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Section 13 or 15(d) of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21,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CAPITAL ONE FINANCIAL CORPORATION</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tbl>
      <w:tblPr>
        <w:tblW w:w="8020" w:type="dxa"/>
        <w:jc w:val="center"/>
        <w:tblInd w:w="0" w:type="dxa"/>
        <w:tblLayout w:type="fixed"/>
        <w:tblCellMar>
          <w:top w:w="28" w:type="dxa"/>
          <w:left w:w="28" w:type="dxa"/>
          <w:bottom w:w="28" w:type="dxa"/>
          <w:right w:w="28" w:type="dxa"/>
        </w:tblCellMar>
      </w:tblPr>
      <w:tblGrid>
        <w:gridCol w:w="623"/>
        <w:gridCol w:w="548"/>
        <w:gridCol w:w="548"/>
        <w:gridCol w:w="548"/>
        <w:gridCol w:w="548"/>
        <w:gridCol w:w="557"/>
        <w:gridCol w:w="677"/>
        <w:gridCol w:w="677"/>
        <w:gridCol w:w="685"/>
        <w:gridCol w:w="760"/>
        <w:gridCol w:w="760"/>
        <w:gridCol w:w="1089"/>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001-13300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54-1719854</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1680 Capital One Drive,</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McLean,</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Virginia</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22102</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(703) 720-1000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505"/>
        <w:gridCol w:w="1968"/>
        <w:gridCol w:w="1980"/>
        <w:gridCol w:w="395"/>
        <w:gridCol w:w="395"/>
        <w:gridCol w:w="397"/>
        <w:gridCol w:w="749"/>
        <w:gridCol w:w="749"/>
        <w:gridCol w:w="1067"/>
      </w:tblGrid>
      <w:tr>
        <w:trPr/>
        <w:tc>
          <w:tcPr>
            <w:tcW w:w="250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64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I</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PRI</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J</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PRJ</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K</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PRK</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L</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PRL</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N</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PRN</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1.650% Senior Notes Due 2029</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COF29</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erif" w:hAnsi="Times New Roman;serif"/>
          <w:b w:val="false"/>
          <w:color w:val="000000"/>
          <w:sz w:val="16"/>
        </w:rPr>
        <w:t xml:space="preserve">Emerging growth company     </w:t>
      </w:r>
      <w:r>
        <w:rPr>
          <w:color w:val="000000"/>
        </w:rPr>
        <w:t>☐</w:t>
      </w:r>
    </w:p>
    <w:p>
      <w:pPr>
        <w:pStyle w:val="TextBody"/>
        <w:bidi w:val="0"/>
        <w:spacing w:lineRule="auto" w:line="288" w:before="60" w:after="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rPr>
        <w:t>Item 7.01</w:t>
      </w:r>
      <w:r>
        <w:rPr>
          <w:color w:val="000000"/>
        </w:rPr>
        <w:t>    </w:t>
      </w:r>
      <w:r>
        <w:rPr>
          <w:rFonts w:ascii="Times New Roman;serif" w:hAnsi="Times New Roman;serif"/>
          <w:b/>
          <w:color w:val="000000"/>
          <w:sz w:val="20"/>
        </w:rPr>
        <w:t>Regulation FD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One Financial Corporation (the “Company”) hereby furnishes the information in Exhibit 99.1 hereto, Monthly Charge-Off and Delinquency Metrics - As of and for the month ended June 30,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Note:</w:t>
      </w:r>
      <w:r>
        <w:rPr>
          <w:color w:val="000000"/>
        </w:rPr>
        <w:t xml:space="preserve"> </w:t>
      </w:r>
      <w:r>
        <w:rPr>
          <w:rFonts w:ascii="Times New Roman;serif" w:hAnsi="Times New Roman;serif"/>
          <w:b w:val="false"/>
          <w:color w:val="000000"/>
          <w:sz w:val="20"/>
        </w:rPr>
        <w:t>Information in this report (including the exhibit) furnished pursuant to Item 7.01 shall not be deemed to be “filed” for the purposes of Section 18 of the Securities Exchange Act of 1934 or otherwise subject to the liabilities of that Section. This report will not be deemed an admission as to the materiality of any information in the report that is required to be disclosed solely by Regulation FD. Furthermore, the information provided in Exhibit 99.1 shall not be deemed incorporated by reference into any filing under the Securities Act of 1933 or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44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9026" w:type="dxa"/>
        <w:jc w:val="center"/>
        <w:tblInd w:w="0" w:type="dxa"/>
        <w:tblLayout w:type="fixed"/>
        <w:tblCellMar>
          <w:top w:w="28" w:type="dxa"/>
          <w:left w:w="28" w:type="dxa"/>
          <w:bottom w:w="28" w:type="dxa"/>
          <w:right w:w="28" w:type="dxa"/>
        </w:tblCellMar>
      </w:tblPr>
      <w:tblGrid>
        <w:gridCol w:w="363"/>
        <w:gridCol w:w="320"/>
        <w:gridCol w:w="321"/>
        <w:gridCol w:w="109"/>
        <w:gridCol w:w="109"/>
        <w:gridCol w:w="109"/>
        <w:gridCol w:w="2249"/>
        <w:gridCol w:w="2249"/>
        <w:gridCol w:w="3197"/>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3197"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june2026creditmetrics.htm">
              <w:r>
                <w:rPr>
                  <w:rStyle w:val="InternetLink"/>
                  <w:rFonts w:ascii="Times New Roman;serif" w:hAnsi="Times New Roman;serif"/>
                  <w:b w:val="false"/>
                  <w:color w:val="000080"/>
                  <w:sz w:val="20"/>
                  <w:u w:val="single"/>
                </w:rPr>
                <w:t xml:space="preserve">Monthly Charge-Off and Delinquency Metrics - As of and for the month ended </w:t>
              </w:r>
            </w:hyperlink>
            <w:hyperlink w:anchor="ex991june2026creditmetrics.htm">
              <w:r>
                <w:rPr>
                  <w:rStyle w:val="InternetLink"/>
                  <w:rFonts w:ascii="Times New Roman;serif" w:hAnsi="Times New Roman;serif"/>
                  <w:b w:val="false"/>
                  <w:color w:val="000080"/>
                  <w:sz w:val="20"/>
                  <w:u w:val="single"/>
                </w:rPr>
                <w:t>June</w:t>
              </w:r>
            </w:hyperlink>
            <w:hyperlink w:anchor="ex991june2026creditmetrics.htm">
              <w:r>
                <w:rPr>
                  <w:rStyle w:val="InternetLink"/>
                  <w:rFonts w:ascii="Times New Roman;serif" w:hAnsi="Times New Roman;serif"/>
                  <w:b w:val="false"/>
                  <w:color w:val="000080"/>
                  <w:sz w:val="20"/>
                  <w:u w:val="single"/>
                </w:rPr>
                <w:t xml:space="preserve"> 3</w:t>
              </w:r>
            </w:hyperlink>
            <w:hyperlink w:anchor="ex991june2026creditmetrics.htm">
              <w:r>
                <w:rPr>
                  <w:rStyle w:val="InternetLink"/>
                  <w:rFonts w:ascii="Times New Roman;serif" w:hAnsi="Times New Roman;serif"/>
                  <w:b w:val="false"/>
                  <w:color w:val="000080"/>
                  <w:sz w:val="20"/>
                  <w:u w:val="single"/>
                </w:rPr>
                <w:t>0</w:t>
              </w:r>
            </w:hyperlink>
            <w:hyperlink w:anchor="ex991june2026creditmetrics.htm">
              <w:r>
                <w:rPr>
                  <w:rStyle w:val="InternetLink"/>
                  <w:rFonts w:ascii="Times New Roman;serif" w:hAnsi="Times New Roman;serif"/>
                  <w:b w:val="false"/>
                  <w:color w:val="000080"/>
                  <w:sz w:val="20"/>
                  <w:u w:val="single"/>
                </w:rPr>
                <w:t>, 2026</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Company has duly caused this Current Report on Form 8-K to be signed on its behalf by the undersigned hereunto duly authorized.</w:t>
      </w:r>
    </w:p>
    <w:tbl>
      <w:tblPr>
        <w:tblW w:w="5921" w:type="dxa"/>
        <w:jc w:val="left"/>
        <w:tblInd w:w="0" w:type="dxa"/>
        <w:tblLayout w:type="fixed"/>
        <w:tblCellMar>
          <w:top w:w="28" w:type="dxa"/>
          <w:left w:w="28" w:type="dxa"/>
          <w:bottom w:w="28" w:type="dxa"/>
          <w:right w:w="28" w:type="dxa"/>
        </w:tblCellMar>
      </w:tblPr>
      <w:tblGrid>
        <w:gridCol w:w="213"/>
        <w:gridCol w:w="187"/>
        <w:gridCol w:w="187"/>
        <w:gridCol w:w="187"/>
        <w:gridCol w:w="187"/>
        <w:gridCol w:w="187"/>
        <w:gridCol w:w="187"/>
        <w:gridCol w:w="187"/>
        <w:gridCol w:w="187"/>
        <w:gridCol w:w="639"/>
        <w:gridCol w:w="639"/>
        <w:gridCol w:w="639"/>
        <w:gridCol w:w="670"/>
        <w:gridCol w:w="670"/>
        <w:gridCol w:w="955"/>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ONE FINANCIAL CORPORATION</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21, 2026</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P. GOLDEN</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P. Golden</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bl>
    <w:p>
      <w:pPr>
        <w:pStyle w:val="TextBody"/>
        <w:bidi w:val="0"/>
        <w:spacing w:before="0" w:after="60"/>
        <w:ind w:left="0" w:right="0" w:hanging="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99.1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Capital One Financial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Monthly Charge-Off and Delinquency Metrics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and for the month ended June 30, 2026</w:t>
      </w:r>
    </w:p>
    <w:tbl>
      <w:tblPr>
        <w:tblW w:w="10947" w:type="dxa"/>
        <w:jc w:val="center"/>
        <w:tblInd w:w="0" w:type="dxa"/>
        <w:tblLayout w:type="fixed"/>
        <w:tblCellMar>
          <w:top w:w="28" w:type="dxa"/>
          <w:left w:w="28" w:type="dxa"/>
          <w:bottom w:w="28" w:type="dxa"/>
          <w:right w:w="28" w:type="dxa"/>
        </w:tblCellMar>
      </w:tblPr>
      <w:tblGrid>
        <w:gridCol w:w="656"/>
        <w:gridCol w:w="234"/>
        <w:gridCol w:w="236"/>
        <w:gridCol w:w="109"/>
        <w:gridCol w:w="109"/>
        <w:gridCol w:w="109"/>
        <w:gridCol w:w="211"/>
        <w:gridCol w:w="826"/>
        <w:gridCol w:w="109"/>
        <w:gridCol w:w="109"/>
        <w:gridCol w:w="109"/>
        <w:gridCol w:w="109"/>
        <w:gridCol w:w="211"/>
        <w:gridCol w:w="826"/>
        <w:gridCol w:w="109"/>
        <w:gridCol w:w="109"/>
        <w:gridCol w:w="109"/>
        <w:gridCol w:w="109"/>
        <w:gridCol w:w="211"/>
        <w:gridCol w:w="466"/>
        <w:gridCol w:w="109"/>
        <w:gridCol w:w="109"/>
        <w:gridCol w:w="109"/>
        <w:gridCol w:w="109"/>
        <w:gridCol w:w="255"/>
        <w:gridCol w:w="256"/>
        <w:gridCol w:w="285"/>
        <w:gridCol w:w="109"/>
        <w:gridCol w:w="109"/>
        <w:gridCol w:w="109"/>
        <w:gridCol w:w="211"/>
        <w:gridCol w:w="616"/>
        <w:gridCol w:w="109"/>
        <w:gridCol w:w="109"/>
        <w:gridCol w:w="109"/>
        <w:gridCol w:w="109"/>
        <w:gridCol w:w="278"/>
        <w:gridCol w:w="233"/>
        <w:gridCol w:w="271"/>
        <w:gridCol w:w="109"/>
        <w:gridCol w:w="109"/>
        <w:gridCol w:w="109"/>
        <w:gridCol w:w="211"/>
        <w:gridCol w:w="466"/>
        <w:gridCol w:w="109"/>
        <w:gridCol w:w="109"/>
        <w:gridCol w:w="109"/>
        <w:gridCol w:w="109"/>
        <w:gridCol w:w="264"/>
        <w:gridCol w:w="247"/>
        <w:gridCol w:w="316"/>
      </w:tblGrid>
      <w:tr>
        <w:trPr/>
        <w:tc>
          <w:tcPr>
            <w:tcW w:w="6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Held for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 Day Performing Delinquencies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Nonperforming Loans</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Rate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Rate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Rate</w:t>
            </w:r>
            <w:r>
              <w:rPr>
                <w:rFonts w:ascii="Times New Roman;serif" w:hAnsi="Times New Roman;serif"/>
                <w:b/>
                <w:color w:val="000000"/>
                <w:sz w:val="12"/>
              </w:rPr>
              <w:t>(3)</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Credit Card:</w:t>
            </w:r>
            <w:r>
              <w:rPr>
                <w:rFonts w:ascii="Times New Roman;serif" w:hAnsi="Times New Roman;serif"/>
                <w:b/>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Domestic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Auto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___________________ </w:t>
      </w:r>
    </w:p>
    <w:p>
      <w:pPr>
        <w:pStyle w:val="TextBody"/>
        <w:bidi w:val="0"/>
        <w:spacing w:lineRule="auto" w:line="288" w:before="0" w:after="6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Net charge-off rate is calculated by dividing annualized net charge-offs for the period by average loans held for investment during the period for the specified loan category. Net charge-offs and the net charge-off rate are impacted periodically by fluctuations in recoveries, including impacts of debt sales. </w:t>
      </w:r>
    </w:p>
    <w:p>
      <w:pPr>
        <w:pStyle w:val="TextBody"/>
        <w:bidi w:val="0"/>
        <w:spacing w:lineRule="auto" w:line="288" w:before="0" w:after="6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30+ day performing delinquency rate is calculated by dividing 30+ day performing delinquent loans as of the end of the period by period-end loans held for investment for the specified loan category. </w:t>
      </w:r>
    </w:p>
    <w:p>
      <w:pPr>
        <w:pStyle w:val="TextBody"/>
        <w:bidi w:val="0"/>
        <w:spacing w:lineRule="auto" w:line="288" w:before="0" w:after="6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Nonperforming loan rate is calculated by dividing nonperforming loans as of the end of the period by period-end loans held for investment for the specified loan category.</w:t>
      </w:r>
    </w:p>
    <w:p>
      <w:pPr>
        <w:pStyle w:val="TextBody"/>
        <w:bidi w:val="0"/>
        <w:spacing w:lineRule="auto" w:line="288" w:before="0" w:after="6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Period-end loans held for investment and average loans held for investment include billed finance charges and fees. We recognize billed finance charges and fee income on open-ended loans in accordance with the contractual provisions of the credit arrangements and estimate the uncollectible amount on a quarterly basis. Billed finance charges and fees that are ultimately uncollectible are reflected as a reduction in revenue and not included in our net charge-offs.</w:t>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935</Words>
  <Characters>5233</Characters>
  <CharactersWithSpaces>6117</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