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February 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7.01    Regulation FD Disclosure.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Capital One Financial Corporation (the “Company”) will present at the UBS Financial Services Conference 2026 in Miami, FL on Tuesday, February 10, 2026, at 2:40 p.m. ET. A live audio webcast will be available via the Company’s website (http://www.capitalone.com). Choose “Investors” to access the Investor Center and listen to the presentation. The replay of the presentation will be archived on the Company’s website through at least February 24,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Information in this report furnished pursuant to Item 7.01 shall not be deemed to be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stated by specific reference in such filing. This report will not be deemed an admission as to the materiality of any information in the report that is required to be disclosed solely by Regulation FD.</w:t>
      </w:r>
    </w:p>
    <w:p>
      <w:pPr>
        <w:pStyle w:val="TextBody"/>
        <w:bidi w:val="0"/>
        <w:spacing w:before="0" w:after="0"/>
        <w:jc w:val="both"/>
        <w:rPr/>
      </w:pPr>
      <w:r>
        <w:rPr/>
      </w:r>
    </w:p>
    <w:p>
      <w:pPr>
        <w:pStyle w:val="TextBody"/>
        <w:bidi w:val="0"/>
        <w:spacing w:lineRule="auto" w:line="288" w:before="0" w:after="0"/>
        <w:ind w:left="0" w:right="0" w:hanging="99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991"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1948"/>
        <w:gridCol w:w="1948"/>
        <w:gridCol w:w="276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p>
      <w:pPr>
        <w:pStyle w:val="TextBody"/>
        <w:bidi w:val="0"/>
        <w:spacing w:before="0" w:after="0"/>
        <w:jc w:val="both"/>
        <w:rPr/>
      </w:pPr>
      <w:r>
        <w:rPr/>
      </w:r>
    </w:p>
    <w:tbl>
      <w:tblPr>
        <w:tblW w:w="7385" w:type="dxa"/>
        <w:jc w:val="left"/>
        <w:tblInd w:w="0" w:type="dxa"/>
        <w:tblLayout w:type="fixed"/>
        <w:tblCellMar>
          <w:top w:w="28" w:type="dxa"/>
          <w:left w:w="28" w:type="dxa"/>
          <w:bottom w:w="28" w:type="dxa"/>
          <w:right w:w="28" w:type="dxa"/>
        </w:tblCellMar>
      </w:tblPr>
      <w:tblGrid>
        <w:gridCol w:w="246"/>
        <w:gridCol w:w="216"/>
        <w:gridCol w:w="216"/>
        <w:gridCol w:w="216"/>
        <w:gridCol w:w="216"/>
        <w:gridCol w:w="216"/>
        <w:gridCol w:w="216"/>
        <w:gridCol w:w="216"/>
        <w:gridCol w:w="216"/>
        <w:gridCol w:w="639"/>
        <w:gridCol w:w="639"/>
        <w:gridCol w:w="639"/>
        <w:gridCol w:w="1020"/>
        <w:gridCol w:w="1020"/>
        <w:gridCol w:w="1454"/>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February 9,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W. Cooper</w:t>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W. Cooper</w:t>
            </w:r>
          </w:p>
        </w:tc>
      </w:tr>
      <w:tr>
        <w:trPr/>
        <w:tc>
          <w:tcPr>
            <w:tcW w:w="197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and Corporate Secretary</w:t>
            </w:r>
          </w:p>
        </w:tc>
      </w:tr>
    </w:tbl>
    <w:p>
      <w:pPr>
        <w:pStyle w:val="TextBody"/>
        <w:bidi w:val="0"/>
        <w:spacing w:before="0" w:after="60"/>
        <w:ind w:left="0" w:right="0" w:hanging="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4002</Characters>
  <CharactersWithSpaces>4663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