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20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205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44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1"/>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Schneider Ryan M.</w:t>
              </w:r>
            </w:hyperlink>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6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640" w:type="dxa"/>
            <w:vAlign w:val="bottom"/>
            <w:gridSpan w:val="5"/>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480" w:type="dxa"/>
            <w:vAlign w:val="bottom"/>
            <w:gridSpan w:val="4"/>
            <w:vMerge w:val="restart"/>
          </w:tcPr>
          <w:p>
            <w:pPr>
              <w:ind w:left="240"/>
              <w:spacing w:after="0" w:line="250" w:lineRule="exact"/>
              <w:rPr>
                <w:sz w:val="20"/>
                <w:szCs w:val="20"/>
                <w:color w:val="auto"/>
              </w:rPr>
            </w:pPr>
            <w:r>
              <w:rPr>
                <w:rFonts w:ascii="Arial" w:cs="Arial" w:eastAsia="Arial" w:hAnsi="Arial"/>
                <w:sz w:val="22"/>
                <w:szCs w:val="22"/>
                <w:color w:val="auto"/>
              </w:rPr>
              <w:t>]</w:t>
            </w: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vMerge w:val="restart"/>
          </w:tcPr>
          <w:p>
            <w:pPr>
              <w:ind w:left="220"/>
              <w:spacing w:after="0"/>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12"/>
                <w:szCs w:val="1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9A9A9A"/>
            </w:tcBorders>
          </w:tcPr>
          <w:p>
            <w:pPr>
              <w:spacing w:after="0"/>
              <w:rPr>
                <w:sz w:val="2"/>
                <w:szCs w:val="2"/>
                <w:color w:val="auto"/>
              </w:rPr>
            </w:pPr>
          </w:p>
        </w:tc>
        <w:tc>
          <w:tcPr>
            <w:tcW w:w="660" w:type="dxa"/>
            <w:vAlign w:val="bottom"/>
            <w:tcBorders>
              <w:top w:val="single" w:sz="8" w:color="9A9A9A"/>
            </w:tcBorders>
          </w:tcPr>
          <w:p>
            <w:pPr>
              <w:spacing w:after="0"/>
              <w:rPr>
                <w:sz w:val="2"/>
                <w:szCs w:val="2"/>
                <w:color w:val="auto"/>
              </w:rPr>
            </w:pPr>
          </w:p>
        </w:tc>
        <w:tc>
          <w:tcPr>
            <w:tcW w:w="220" w:type="dxa"/>
            <w:vAlign w:val="bottom"/>
            <w:tcBorders>
              <w:top w:val="single" w:sz="8" w:color="9A9A9A"/>
            </w:tcBorders>
          </w:tcPr>
          <w:p>
            <w:pPr>
              <w:spacing w:after="0"/>
              <w:rPr>
                <w:sz w:val="2"/>
                <w:szCs w:val="2"/>
                <w:color w:val="auto"/>
              </w:rPr>
            </w:pPr>
          </w:p>
        </w:tc>
        <w:tc>
          <w:tcPr>
            <w:tcW w:w="180" w:type="dxa"/>
            <w:vAlign w:val="bottom"/>
            <w:tcBorders>
              <w:top w:val="single" w:sz="8" w:color="9A9A9A"/>
            </w:tcBorders>
          </w:tcPr>
          <w:p>
            <w:pPr>
              <w:spacing w:after="0"/>
              <w:rPr>
                <w:sz w:val="2"/>
                <w:szCs w:val="2"/>
                <w:color w:val="auto"/>
              </w:rPr>
            </w:pPr>
          </w:p>
        </w:tc>
        <w:tc>
          <w:tcPr>
            <w:tcW w:w="840" w:type="dxa"/>
            <w:vAlign w:val="bottom"/>
            <w:tcBorders>
              <w:top w:val="single" w:sz="8" w:color="9A9A9A"/>
            </w:tcBorders>
          </w:tcPr>
          <w:p>
            <w:pPr>
              <w:spacing w:after="0"/>
              <w:rPr>
                <w:sz w:val="2"/>
                <w:szCs w:val="2"/>
                <w:color w:val="auto"/>
              </w:rPr>
            </w:pPr>
          </w:p>
        </w:tc>
        <w:tc>
          <w:tcPr>
            <w:tcW w:w="1200" w:type="dxa"/>
            <w:vAlign w:val="bottom"/>
            <w:tcBorders>
              <w:top w:val="single" w:sz="8" w:color="9A9A9A"/>
            </w:tcBorders>
          </w:tcPr>
          <w:p>
            <w:pPr>
              <w:spacing w:after="0"/>
              <w:rPr>
                <w:sz w:val="2"/>
                <w:szCs w:val="2"/>
                <w:color w:val="auto"/>
              </w:rPr>
            </w:pPr>
          </w:p>
        </w:tc>
        <w:tc>
          <w:tcPr>
            <w:tcW w:w="80" w:type="dxa"/>
            <w:vAlign w:val="bottom"/>
            <w:tcBorders>
              <w:top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4"/>
                <w:szCs w:val="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5"/>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8"/>
                <w:szCs w:val="18"/>
                <w:color w:val="0000FF"/>
              </w:rPr>
              <w:t>President, Card</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1680 CAPITAL ONE DRIVE</w:t>
            </w:r>
          </w:p>
        </w:tc>
        <w:tc>
          <w:tcPr>
            <w:tcW w:w="1200" w:type="dxa"/>
            <w:vAlign w:val="bottom"/>
          </w:tcPr>
          <w:p>
            <w:pPr>
              <w:spacing w:after="0"/>
              <w:rPr>
                <w:sz w:val="9"/>
                <w:szCs w:val="9"/>
                <w:color w:val="auto"/>
              </w:rPr>
            </w:pPr>
          </w:p>
        </w:tc>
        <w:tc>
          <w:tcPr>
            <w:tcW w:w="166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02/10/2014</w:t>
            </w: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6"/>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gridSpan w:val="7"/>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11"/>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00" w:type="dxa"/>
            <w:vAlign w:val="bottom"/>
            <w:gridSpan w:val="7"/>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3"/>
          </w:tcPr>
          <w:p>
            <w:pPr>
              <w:ind w:left="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MCLEAN</w:t>
            </w:r>
          </w:p>
        </w:tc>
        <w:tc>
          <w:tcPr>
            <w:tcW w:w="220" w:type="dxa"/>
            <w:vAlign w:val="bottom"/>
          </w:tcPr>
          <w:p>
            <w:pPr>
              <w:spacing w:after="0"/>
              <w:rPr>
                <w:sz w:val="20"/>
                <w:szCs w:val="20"/>
                <w:color w:val="auto"/>
              </w:rPr>
            </w:pPr>
            <w:r>
              <w:rPr>
                <w:rFonts w:ascii="Arial" w:cs="Arial" w:eastAsia="Arial" w:hAnsi="Arial"/>
                <w:sz w:val="18"/>
                <w:szCs w:val="18"/>
                <w:color w:val="0000FF"/>
                <w:w w:val="83"/>
              </w:rPr>
              <w:t>VA</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22102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8"/>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6"/>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8"/>
          </w:tcPr>
          <w:p>
            <w:pPr>
              <w:jc w:val="center"/>
              <w:ind w:left="4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jc w:val="right"/>
              <w:ind w:right="155"/>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gridSpan w:val="5"/>
          </w:tcPr>
          <w:p>
            <w:pPr>
              <w:jc w:val="center"/>
              <w:ind w:left="52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9,521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0.0000</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183,454</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5,200</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0.0000</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188,654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(3)</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3,209</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4"/>
          </w:tcPr>
          <w:p>
            <w:pPr>
              <w:jc w:val="center"/>
              <w:ind w:left="2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71.37</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185,445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(4)</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4,937</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4"/>
          </w:tcPr>
          <w:p>
            <w:pPr>
              <w:jc w:val="center"/>
              <w:ind w:left="2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71.37</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180,508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78"/>
              </w:rPr>
              <w:t>D</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5,200</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72.24</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175,308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78"/>
              </w:rPr>
              <w:t>D</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9,521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72.24</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165,787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8"/>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27"/>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47"/>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40" w:type="dxa"/>
            <w:vAlign w:val="bottom"/>
            <w:gridSpan w:val="3"/>
          </w:tcPr>
          <w:p>
            <w:pPr>
              <w:ind w:left="80"/>
              <w:spacing w:after="0"/>
              <w:rPr>
                <w:sz w:val="20"/>
                <w:szCs w:val="20"/>
                <w:color w:val="auto"/>
              </w:rPr>
            </w:pPr>
            <w:r>
              <w:rPr>
                <w:rFonts w:ascii="Arial" w:cs="Arial" w:eastAsia="Arial" w:hAnsi="Arial"/>
                <w:sz w:val="14"/>
                <w:szCs w:val="14"/>
                <w:color w:val="0000FF"/>
              </w:rPr>
              <w:t>2013</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8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02/10/2014</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restart"/>
          </w:tcPr>
          <w:p>
            <w:pPr>
              <w:jc w:val="right"/>
              <w:ind w:right="135"/>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0000FF"/>
              </w:rPr>
              <w:t>5,200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47"/>
              <w:spacing w:after="0"/>
              <w:rPr>
                <w:sz w:val="20"/>
                <w:szCs w:val="20"/>
                <w:color w:val="auto"/>
              </w:rPr>
            </w:pPr>
            <w:r>
              <w:rPr>
                <w:rFonts w:ascii="Arial" w:cs="Arial" w:eastAsia="Arial" w:hAnsi="Arial"/>
                <w:sz w:val="11"/>
                <w:szCs w:val="11"/>
                <w:color w:val="008000"/>
              </w:rPr>
              <w:t>(5)</w:t>
            </w: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gridSpan w:val="3"/>
            <w:vMerge w:val="restart"/>
          </w:tcPr>
          <w:p>
            <w:pPr>
              <w:ind w:left="80"/>
              <w:spacing w:after="0"/>
              <w:rPr>
                <w:sz w:val="20"/>
                <w:szCs w:val="20"/>
                <w:color w:val="auto"/>
              </w:rPr>
            </w:pPr>
            <w:r>
              <w:rPr>
                <w:rFonts w:ascii="Arial" w:cs="Arial" w:eastAsia="Arial" w:hAnsi="Arial"/>
                <w:sz w:val="18"/>
                <w:szCs w:val="18"/>
                <w:color w:val="0000FF"/>
              </w:rPr>
              <w:t>5,200</w:t>
            </w:r>
          </w:p>
        </w:tc>
        <w:tc>
          <w:tcPr>
            <w:tcW w:w="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00FF"/>
              </w:rPr>
              <w:t>10,401</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0000FF"/>
              </w:rPr>
              <w:t>Stock</w:t>
            </w: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7"/>
              <w:spacing w:after="0"/>
              <w:rPr>
                <w:sz w:val="20"/>
                <w:szCs w:val="20"/>
                <w:color w:val="auto"/>
              </w:rPr>
            </w:pPr>
            <w:r>
              <w:rPr>
                <w:rFonts w:ascii="Arial" w:cs="Arial" w:eastAsia="Arial" w:hAnsi="Arial"/>
                <w:sz w:val="11"/>
                <w:szCs w:val="11"/>
                <w:color w:val="008000"/>
              </w:rPr>
              <w:t>(6)</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3"/>
            <w:vMerge w:val="restart"/>
          </w:tcPr>
          <w:p>
            <w:pPr>
              <w:ind w:left="80"/>
              <w:spacing w:after="0"/>
              <w:rPr>
                <w:sz w:val="20"/>
                <w:szCs w:val="20"/>
                <w:color w:val="auto"/>
              </w:rPr>
            </w:pPr>
            <w:r>
              <w:rPr>
                <w:rFonts w:ascii="Arial" w:cs="Arial" w:eastAsia="Arial" w:hAnsi="Arial"/>
                <w:sz w:val="18"/>
                <w:szCs w:val="18"/>
                <w:color w:val="0000FF"/>
              </w:rPr>
              <w:t>9,521</w:t>
            </w:r>
          </w:p>
        </w:tc>
        <w:tc>
          <w:tcPr>
            <w:tcW w:w="6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80" w:type="dxa"/>
            <w:vAlign w:val="bottom"/>
            <w:gridSpan w:val="2"/>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02/10/2014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3"/>
            <w:vMerge w:val="restart"/>
          </w:tcPr>
          <w:p>
            <w:pPr>
              <w:jc w:val="right"/>
              <w:ind w:right="135"/>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9,521</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9,522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10, 2014 the restricted stock units were settled in cash based on the Company's average fair market value of shares of common stock over the twenty trading days preceding the vesting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acquired by the reporting person through the Company's Associate Stock Purchase Plan since the last reported transaction.</w:t>
      </w:r>
    </w:p>
    <w:p>
      <w:pPr>
        <w:spacing w:after="0" w:line="41"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2013. This is authorized in the applicable restricted stock award agreement.</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2012. This is authorized in the applicable restricted stock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1/3 increments beginning on February 10, 2014 and annually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1/3 increments beginning on February 10, 2013 and annually thereafter.</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Gregory W. Seward (POA on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02/12/2014</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file)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0501"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2019-12-18T08:52:20Z</dcterms:created>
  <dcterms:modified xsi:type="dcterms:W3CDTF">2019-12-18T08:52:20Z</dcterms:modified>
</cp:coreProperties>
</file>