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Hall Sheldon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Chief Risk Officer</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16,407</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90,755</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74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0000FF"/>
              </w:rPr>
              <w:t>7,925</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2"/>
              </w:rPr>
              <w:t>82,830</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4,188</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earned pursuant to an award of performance shares granted on January 31, 2019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acquired by the reporting person through the Company's Associate Stock Purchase Plan since the last reported transaction.</w:t>
      </w:r>
    </w:p>
    <w:p>
      <w:pPr>
        <w:spacing w:after="0" w:line="50"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065"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2022-03-15T15:16:43Z</dcterms:created>
  <dcterms:modified xsi:type="dcterms:W3CDTF">2022-03-15T15:16:43Z</dcterms:modified>
</cp:coreProperties>
</file>