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Dean Lia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Pres, Retail Bank &amp; Prem. Card</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11,814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47,558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74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0000FF"/>
              </w:rPr>
              <w:t>5,703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41,855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earned pursuant to an award of performance shares granted on January 31, 2019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acquired by the reporting person through the Company's Associate Stock Purchase Plan since the last reported transaction.</w:t>
      </w:r>
    </w:p>
    <w:p>
      <w:pPr>
        <w:spacing w:after="0" w:line="50"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1273"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2022-03-15T15:19:10Z</dcterms:created>
  <dcterms:modified xsi:type="dcterms:W3CDTF">2022-03-15T15:19:10Z</dcterms:modified>
</cp:coreProperties>
</file>