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98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9805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80" w:type="dxa"/>
            <w:vAlign w:val="bottom"/>
            <w:gridSpan w:val="11"/>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Berson Jory A</w:t>
              </w:r>
            </w:hyperlink>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6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CAPITAL ONE FINANCIAL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COF</w:t>
            </w:r>
          </w:p>
        </w:tc>
        <w:tc>
          <w:tcPr>
            <w:tcW w:w="1640" w:type="dxa"/>
            <w:vAlign w:val="bottom"/>
            <w:gridSpan w:val="5"/>
            <w:vMerge w:val="restart"/>
          </w:tcPr>
          <w:p>
            <w:pPr>
              <w:ind w:left="2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80" w:type="dxa"/>
            <w:vAlign w:val="bottom"/>
            <w:gridSpan w:val="4"/>
            <w:vMerge w:val="restart"/>
          </w:tcPr>
          <w:p>
            <w:pPr>
              <w:ind w:left="240"/>
              <w:spacing w:after="0" w:line="250" w:lineRule="exact"/>
              <w:rPr>
                <w:sz w:val="20"/>
                <w:szCs w:val="20"/>
                <w:color w:val="auto"/>
              </w:rPr>
            </w:pPr>
            <w:r>
              <w:rPr>
                <w:rFonts w:ascii="Arial" w:cs="Arial" w:eastAsia="Arial" w:hAnsi="Arial"/>
                <w:sz w:val="22"/>
                <w:szCs w:val="22"/>
                <w:color w:val="auto"/>
              </w:rPr>
              <w:t>]</w:t>
            </w: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gridSpan w:val="4"/>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vMerge w:val="restart"/>
          </w:tcPr>
          <w:p>
            <w:pPr>
              <w:ind w:left="220"/>
              <w:spacing w:after="0"/>
              <w:rPr>
                <w:sz w:val="20"/>
                <w:szCs w:val="20"/>
                <w:color w:val="auto"/>
              </w:rPr>
            </w:pPr>
            <w:r>
              <w:rPr>
                <w:rFonts w:ascii="Arial" w:cs="Arial" w:eastAsia="Arial" w:hAnsi="Arial"/>
                <w:sz w:val="18"/>
                <w:szCs w:val="18"/>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12"/>
                <w:szCs w:val="1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9A9A9A"/>
            </w:tcBorders>
          </w:tcPr>
          <w:p>
            <w:pPr>
              <w:spacing w:after="0"/>
              <w:rPr>
                <w:sz w:val="2"/>
                <w:szCs w:val="2"/>
                <w:color w:val="auto"/>
              </w:rPr>
            </w:pPr>
          </w:p>
        </w:tc>
        <w:tc>
          <w:tcPr>
            <w:tcW w:w="640" w:type="dxa"/>
            <w:vAlign w:val="bottom"/>
            <w:tcBorders>
              <w:top w:val="single" w:sz="8" w:color="9A9A9A"/>
            </w:tcBorders>
          </w:tcPr>
          <w:p>
            <w:pPr>
              <w:spacing w:after="0"/>
              <w:rPr>
                <w:sz w:val="2"/>
                <w:szCs w:val="2"/>
                <w:color w:val="auto"/>
              </w:rPr>
            </w:pPr>
          </w:p>
        </w:tc>
        <w:tc>
          <w:tcPr>
            <w:tcW w:w="20" w:type="dxa"/>
            <w:vAlign w:val="bottom"/>
            <w:tcBorders>
              <w:top w:val="single" w:sz="8" w:color="9A9A9A"/>
            </w:tcBorders>
          </w:tcPr>
          <w:p>
            <w:pPr>
              <w:spacing w:after="0"/>
              <w:rPr>
                <w:sz w:val="2"/>
                <w:szCs w:val="2"/>
                <w:color w:val="auto"/>
              </w:rPr>
            </w:pPr>
          </w:p>
        </w:tc>
        <w:tc>
          <w:tcPr>
            <w:tcW w:w="220" w:type="dxa"/>
            <w:vAlign w:val="bottom"/>
            <w:tcBorders>
              <w:top w:val="single" w:sz="8" w:color="9A9A9A"/>
            </w:tcBorders>
          </w:tcPr>
          <w:p>
            <w:pPr>
              <w:spacing w:after="0"/>
              <w:rPr>
                <w:sz w:val="2"/>
                <w:szCs w:val="2"/>
                <w:color w:val="auto"/>
              </w:rPr>
            </w:pPr>
          </w:p>
        </w:tc>
        <w:tc>
          <w:tcPr>
            <w:tcW w:w="1020" w:type="dxa"/>
            <w:vAlign w:val="bottom"/>
            <w:tcBorders>
              <w:top w:val="single" w:sz="8" w:color="9A9A9A"/>
            </w:tcBorders>
          </w:tcPr>
          <w:p>
            <w:pPr>
              <w:spacing w:after="0"/>
              <w:rPr>
                <w:sz w:val="2"/>
                <w:szCs w:val="2"/>
                <w:color w:val="auto"/>
              </w:rPr>
            </w:pPr>
          </w:p>
        </w:tc>
        <w:tc>
          <w:tcPr>
            <w:tcW w:w="1200" w:type="dxa"/>
            <w:vAlign w:val="bottom"/>
            <w:tcBorders>
              <w:top w:val="single" w:sz="8" w:color="9A9A9A"/>
            </w:tcBorders>
          </w:tcPr>
          <w:p>
            <w:pPr>
              <w:spacing w:after="0"/>
              <w:rPr>
                <w:sz w:val="2"/>
                <w:szCs w:val="2"/>
                <w:color w:val="auto"/>
              </w:rPr>
            </w:pPr>
          </w:p>
        </w:tc>
        <w:tc>
          <w:tcPr>
            <w:tcW w:w="80" w:type="dxa"/>
            <w:vAlign w:val="bottom"/>
            <w:tcBorders>
              <w:top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3"/>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5"/>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8"/>
                <w:szCs w:val="18"/>
                <w:color w:val="0000FF"/>
              </w:rPr>
              <w:t>Chief Human Resources Officer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1680 CAPITAL ONE DRIVE</w:t>
            </w:r>
          </w:p>
        </w:tc>
        <w:tc>
          <w:tcPr>
            <w:tcW w:w="1200" w:type="dxa"/>
            <w:vAlign w:val="bottom"/>
          </w:tcPr>
          <w:p>
            <w:pPr>
              <w:spacing w:after="0"/>
              <w:rPr>
                <w:sz w:val="9"/>
                <w:szCs w:val="9"/>
                <w:color w:val="auto"/>
              </w:rPr>
            </w:pPr>
          </w:p>
        </w:tc>
        <w:tc>
          <w:tcPr>
            <w:tcW w:w="1660" w:type="dxa"/>
            <w:vAlign w:val="bottom"/>
            <w:gridSpan w:val="6"/>
            <w:vMerge w:val="restart"/>
          </w:tcPr>
          <w:p>
            <w:pPr>
              <w:ind w:left="240"/>
              <w:spacing w:after="0"/>
              <w:rPr>
                <w:sz w:val="20"/>
                <w:szCs w:val="20"/>
                <w:color w:val="auto"/>
              </w:rPr>
            </w:pPr>
            <w:r>
              <w:rPr>
                <w:rFonts w:ascii="Arial" w:cs="Arial" w:eastAsia="Arial" w:hAnsi="Arial"/>
                <w:sz w:val="18"/>
                <w:szCs w:val="18"/>
                <w:color w:val="0000FF"/>
              </w:rPr>
              <w:t>02/10/2014</w:t>
            </w: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1660" w:type="dxa"/>
            <w:vAlign w:val="bottom"/>
            <w:gridSpan w:val="6"/>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220" w:type="dxa"/>
            <w:vAlign w:val="bottom"/>
            <w:tcBorders>
              <w:bottom w:val="single" w:sz="8" w:color="2C2C2C"/>
            </w:tcBorders>
            <w:gridSpan w:val="6"/>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140" w:type="dxa"/>
            <w:vAlign w:val="bottom"/>
            <w:tcBorders>
              <w:bottom w:val="single" w:sz="8" w:color="2C2C2C"/>
            </w:tcBorders>
            <w:gridSpan w:val="7"/>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00" w:type="dxa"/>
            <w:vAlign w:val="bottom"/>
            <w:gridSpan w:val="7"/>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80" w:type="dxa"/>
            <w:vAlign w:val="bottom"/>
            <w:gridSpan w:val="11"/>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00" w:type="dxa"/>
            <w:vAlign w:val="bottom"/>
            <w:gridSpan w:val="7"/>
            <w:vMerge w:val="continue"/>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gridSpan w:val="3"/>
          </w:tcPr>
          <w:p>
            <w:pPr>
              <w:ind w:left="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spacing w:after="0"/>
              <w:rPr>
                <w:sz w:val="20"/>
                <w:szCs w:val="20"/>
                <w:color w:val="auto"/>
              </w:rPr>
            </w:pPr>
            <w:r>
              <w:rPr>
                <w:rFonts w:ascii="Arial" w:cs="Arial" w:eastAsia="Arial" w:hAnsi="Arial"/>
                <w:sz w:val="18"/>
                <w:szCs w:val="18"/>
                <w:color w:val="0000FF"/>
              </w:rPr>
              <w:t>MCLEAN</w:t>
            </w:r>
          </w:p>
        </w:tc>
        <w:tc>
          <w:tcPr>
            <w:tcW w:w="220" w:type="dxa"/>
            <w:vAlign w:val="bottom"/>
          </w:tcPr>
          <w:p>
            <w:pPr>
              <w:spacing w:after="0"/>
              <w:rPr>
                <w:sz w:val="20"/>
                <w:szCs w:val="20"/>
                <w:color w:val="auto"/>
              </w:rPr>
            </w:pPr>
            <w:r>
              <w:rPr>
                <w:rFonts w:ascii="Arial" w:cs="Arial" w:eastAsia="Arial" w:hAnsi="Arial"/>
                <w:sz w:val="18"/>
                <w:szCs w:val="18"/>
                <w:color w:val="0000FF"/>
                <w:w w:val="83"/>
              </w:rPr>
              <w:t>VA</w:t>
            </w:r>
          </w:p>
        </w:tc>
        <w:tc>
          <w:tcPr>
            <w:tcW w:w="10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22102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8"/>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6"/>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jc w:val="center"/>
              <w:ind w:left="67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jc w:val="right"/>
              <w:ind w:right="155"/>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5"/>
          </w:tcPr>
          <w:p>
            <w:pPr>
              <w:jc w:val="center"/>
              <w:ind w:left="526"/>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8,105</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0.0000</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83,862</w:t>
            </w:r>
            <w:r>
              <w:rPr>
                <w:rFonts w:ascii="Arial" w:cs="Arial" w:eastAsia="Arial" w:hAnsi="Arial"/>
                <w:sz w:val="22"/>
                <w:szCs w:val="22"/>
                <w:color w:val="008000"/>
                <w:w w:val="84"/>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4,023</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0.0000</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87,885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(3)</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2,909</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4"/>
          </w:tcPr>
          <w:p>
            <w:pPr>
              <w:jc w:val="center"/>
              <w:ind w:left="2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71.37</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84,976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(4)</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3,580</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4"/>
          </w:tcPr>
          <w:p>
            <w:pPr>
              <w:jc w:val="center"/>
              <w:ind w:left="24"/>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71.37</w:t>
            </w:r>
          </w:p>
        </w:tc>
        <w:tc>
          <w:tcPr>
            <w:tcW w:w="1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81,396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78"/>
              </w:rPr>
              <w:t>D</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4,023</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72.24</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77,373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6"/>
              <w:spacing w:after="0"/>
              <w:rPr>
                <w:sz w:val="20"/>
                <w:szCs w:val="20"/>
                <w:color w:val="auto"/>
              </w:rPr>
            </w:pPr>
            <w:r>
              <w:rPr>
                <w:rFonts w:ascii="Arial" w:cs="Arial" w:eastAsia="Arial" w:hAnsi="Arial"/>
                <w:sz w:val="18"/>
                <w:szCs w:val="18"/>
                <w:color w:val="0000FF"/>
                <w:w w:val="88"/>
              </w:rPr>
              <w:t>02/10/2014</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4"/>
                <w:szCs w:val="14"/>
                <w:color w:val="0000FF"/>
                <w:w w:val="78"/>
              </w:rPr>
              <w:t>D</w:t>
            </w:r>
          </w:p>
        </w:tc>
        <w:tc>
          <w:tcPr>
            <w:tcW w:w="740" w:type="dxa"/>
            <w:vAlign w:val="bottom"/>
            <w:tcBorders>
              <w:bottom w:val="single" w:sz="8" w:color="2C2C2C"/>
            </w:tcBorders>
          </w:tcPr>
          <w:p>
            <w:pPr>
              <w:jc w:val="right"/>
              <w:ind w:right="27"/>
              <w:spacing w:after="0"/>
              <w:rPr>
                <w:sz w:val="20"/>
                <w:szCs w:val="20"/>
                <w:color w:val="auto"/>
              </w:rPr>
            </w:pPr>
            <w:r>
              <w:rPr>
                <w:rFonts w:ascii="Arial" w:cs="Arial" w:eastAsia="Arial" w:hAnsi="Arial"/>
                <w:sz w:val="18"/>
                <w:szCs w:val="18"/>
                <w:color w:val="0000FF"/>
              </w:rPr>
              <w:t>8,105</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72.24</w:t>
            </w:r>
            <w:r>
              <w:rPr>
                <w:rFonts w:ascii="Arial" w:cs="Arial" w:eastAsia="Arial" w:hAnsi="Arial"/>
                <w:sz w:val="22"/>
                <w:szCs w:val="22"/>
                <w:color w:val="008000"/>
                <w:w w:val="84"/>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69,268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6,298</w:t>
            </w:r>
            <w:r>
              <w:rPr>
                <w:rFonts w:ascii="Arial" w:cs="Arial" w:eastAsia="Arial" w:hAnsi="Arial"/>
                <w:sz w:val="22"/>
                <w:szCs w:val="22"/>
                <w:color w:val="008000"/>
                <w:w w:val="82"/>
                <w:vertAlign w:val="superscript"/>
              </w:rPr>
              <w:t>(5)</w:t>
            </w:r>
          </w:p>
        </w:tc>
        <w:tc>
          <w:tcPr>
            <w:tcW w:w="280" w:type="dxa"/>
            <w:vAlign w:val="bottom"/>
          </w:tcPr>
          <w:p>
            <w:pPr>
              <w:spacing w:after="0"/>
              <w:rPr>
                <w:sz w:val="22"/>
                <w:szCs w:val="22"/>
                <w:color w:val="auto"/>
              </w:rPr>
            </w:pPr>
          </w:p>
        </w:tc>
        <w:tc>
          <w:tcPr>
            <w:tcW w:w="700" w:type="dxa"/>
            <w:vAlign w:val="bottom"/>
            <w:vMerge w:val="restart"/>
          </w:tcPr>
          <w:p>
            <w:pPr>
              <w:jc w:val="center"/>
              <w:ind w:right="287"/>
              <w:spacing w:after="0"/>
              <w:rPr>
                <w:sz w:val="20"/>
                <w:szCs w:val="20"/>
                <w:color w:val="auto"/>
              </w:rPr>
            </w:pPr>
            <w:r>
              <w:rPr>
                <w:rFonts w:ascii="Arial" w:cs="Arial" w:eastAsia="Arial" w:hAnsi="Arial"/>
                <w:sz w:val="18"/>
                <w:szCs w:val="18"/>
                <w:color w:val="0000FF"/>
              </w:rPr>
              <w:t>I</w:t>
            </w:r>
          </w:p>
        </w:tc>
        <w:tc>
          <w:tcPr>
            <w:tcW w:w="860" w:type="dxa"/>
            <w:vAlign w:val="bottom"/>
            <w:gridSpan w:val="4"/>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3220" w:type="dxa"/>
            <w:vAlign w:val="bottom"/>
            <w:tcBorders>
              <w:bottom w:val="single" w:sz="8" w:color="2C2C2C"/>
            </w:tcBorders>
            <w:gridSpan w:val="6"/>
          </w:tcPr>
          <w:p>
            <w:pPr>
              <w:spacing w:after="0"/>
              <w:rPr>
                <w:sz w:val="8"/>
                <w:szCs w:val="8"/>
                <w:color w:val="auto"/>
              </w:rPr>
            </w:pPr>
          </w:p>
        </w:tc>
        <w:tc>
          <w:tcPr>
            <w:tcW w:w="96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5"/>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right"/>
              <w:ind w:right="27"/>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47"/>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40" w:type="dxa"/>
            <w:vAlign w:val="bottom"/>
            <w:gridSpan w:val="3"/>
          </w:tcPr>
          <w:p>
            <w:pPr>
              <w:ind w:left="80"/>
              <w:spacing w:after="0"/>
              <w:rPr>
                <w:sz w:val="20"/>
                <w:szCs w:val="20"/>
                <w:color w:val="auto"/>
              </w:rPr>
            </w:pPr>
            <w:r>
              <w:rPr>
                <w:rFonts w:ascii="Arial" w:cs="Arial" w:eastAsia="Arial" w:hAnsi="Arial"/>
                <w:sz w:val="14"/>
                <w:szCs w:val="14"/>
                <w:color w:val="0000FF"/>
              </w:rPr>
              <w:t>2013</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880" w:type="dxa"/>
            <w:vAlign w:val="bottom"/>
            <w:gridSpan w:val="3"/>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0000FF"/>
              </w:rPr>
              <w:t>02/10/2014</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vMerge w:val="restart"/>
          </w:tcPr>
          <w:p>
            <w:pPr>
              <w:jc w:val="right"/>
              <w:ind w:right="135"/>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4"/>
                <w:szCs w:val="14"/>
                <w:color w:val="0000FF"/>
              </w:rPr>
              <w:t>4,023</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right"/>
              <w:ind w:right="247"/>
              <w:spacing w:after="0"/>
              <w:rPr>
                <w:sz w:val="20"/>
                <w:szCs w:val="20"/>
                <w:color w:val="auto"/>
              </w:rPr>
            </w:pPr>
            <w:r>
              <w:rPr>
                <w:rFonts w:ascii="Arial" w:cs="Arial" w:eastAsia="Arial" w:hAnsi="Arial"/>
                <w:sz w:val="11"/>
                <w:szCs w:val="11"/>
                <w:color w:val="008000"/>
              </w:rPr>
              <w:t>(6)</w:t>
            </w: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gridSpan w:val="3"/>
            <w:vMerge w:val="restart"/>
          </w:tcPr>
          <w:p>
            <w:pPr>
              <w:ind w:left="80"/>
              <w:spacing w:after="0"/>
              <w:rPr>
                <w:sz w:val="20"/>
                <w:szCs w:val="20"/>
                <w:color w:val="auto"/>
              </w:rPr>
            </w:pPr>
            <w:r>
              <w:rPr>
                <w:rFonts w:ascii="Arial" w:cs="Arial" w:eastAsia="Arial" w:hAnsi="Arial"/>
                <w:sz w:val="18"/>
                <w:szCs w:val="18"/>
                <w:color w:val="0000FF"/>
              </w:rPr>
              <w:t>4,023</w:t>
            </w:r>
          </w:p>
        </w:tc>
        <w:tc>
          <w:tcPr>
            <w:tcW w:w="6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8,048</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80" w:type="dxa"/>
            <w:vAlign w:val="bottom"/>
            <w:gridSpan w:val="3"/>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0000FF"/>
              </w:rPr>
              <w:t>Stock</w:t>
            </w:r>
          </w:p>
        </w:tc>
        <w:tc>
          <w:tcPr>
            <w:tcW w:w="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80" w:type="dxa"/>
            <w:vAlign w:val="bottom"/>
            <w:gridSpan w:val="3"/>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right"/>
              <w:ind w:right="247"/>
              <w:spacing w:after="0"/>
              <w:rPr>
                <w:sz w:val="20"/>
                <w:szCs w:val="20"/>
                <w:color w:val="auto"/>
              </w:rPr>
            </w:pPr>
            <w:r>
              <w:rPr>
                <w:rFonts w:ascii="Arial" w:cs="Arial" w:eastAsia="Arial" w:hAnsi="Arial"/>
                <w:sz w:val="11"/>
                <w:szCs w:val="11"/>
                <w:color w:val="008000"/>
              </w:rPr>
              <w:t>(7)</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80" w:type="dxa"/>
            <w:vAlign w:val="bottom"/>
            <w:gridSpan w:val="3"/>
            <w:vMerge w:val="restart"/>
          </w:tcPr>
          <w:p>
            <w:pPr>
              <w:ind w:left="80"/>
              <w:spacing w:after="0"/>
              <w:rPr>
                <w:sz w:val="20"/>
                <w:szCs w:val="20"/>
                <w:color w:val="auto"/>
              </w:rPr>
            </w:pPr>
            <w:r>
              <w:rPr>
                <w:rFonts w:ascii="Arial" w:cs="Arial" w:eastAsia="Arial" w:hAnsi="Arial"/>
                <w:sz w:val="18"/>
                <w:szCs w:val="18"/>
                <w:color w:val="0000FF"/>
              </w:rPr>
              <w:t>8,105</w:t>
            </w:r>
          </w:p>
        </w:tc>
        <w:tc>
          <w:tcPr>
            <w:tcW w:w="60" w:type="dxa"/>
            <w:vAlign w:val="bottom"/>
          </w:tcPr>
          <w:p>
            <w:pPr>
              <w:spacing w:after="0"/>
              <w:rPr>
                <w:sz w:val="16"/>
                <w:szCs w:val="16"/>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80" w:type="dxa"/>
            <w:vAlign w:val="bottom"/>
            <w:gridSpan w:val="3"/>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02/10/2014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3"/>
            <w:vMerge w:val="restart"/>
          </w:tcPr>
          <w:p>
            <w:pPr>
              <w:jc w:val="right"/>
              <w:ind w:right="135"/>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8,105</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8,106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color w:val="0000FF"/>
              </w:rPr>
              <w:t>Stock</w:t>
            </w:r>
          </w:p>
        </w:tc>
        <w:tc>
          <w:tcPr>
            <w:tcW w:w="5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10, 2014 the restricted stock units were settled in cash based on the Company's average fair market value of shares of common stock over the twenty trading days preceding the vesting date.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acquired by the reporting person through the Company's Associate Stock Purchase Plan since the last reported transaction.</w:t>
      </w:r>
    </w:p>
    <w:p>
      <w:pPr>
        <w:spacing w:after="0" w:line="41"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automatic withholding by the issuer to satisfy the reporting person's tax obligation associated with the vesting of restricted stock granted on January 31, 2013. This is authorized in the applicable restricted stock award agreement.</w:t>
      </w:r>
    </w:p>
    <w:p>
      <w:pPr>
        <w:spacing w:after="0" w:line="30"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automatic withholding by the issuer to satisfy the reporting person's tax obligation associated with the vesting of restricted stock granted on January 31, 2012. This is authorized in the applicable restricted stock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reporting person's equivalent share ownership in the Company's 401(k) Plan, a unitized plan, as of the date of the latest transaction.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vest in 1/3 increments beginning on February 10, 2014 and annually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vest in 1/3 increments beginning on February 10, 2013 and annually thereafter.</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Gregory W. Seward (POA on</w:t>
            </w:r>
          </w:p>
        </w:tc>
        <w:tc>
          <w:tcPr>
            <w:tcW w:w="1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02/12/2014</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file)</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5632"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2019-12-18T09:25:53Z</dcterms:created>
  <dcterms:modified xsi:type="dcterms:W3CDTF">2019-12-18T09:25:53Z</dcterms:modified>
</cp:coreProperties>
</file>