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20405dfwp.htm"/>
      <w:bookmarkStart w:id="1" w:name="ksd120405dfwp"/>
      <w:bookmarkEnd w:id="0"/>
      <w:bookmarkEnd w:id="1"/>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Dated September 9,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333-277813 </w:t>
      </w:r>
    </w:p>
    <w:p>
      <w:pPr>
        <w:pStyle w:val="TextBody"/>
        <w:bidi w:val="0"/>
        <w:spacing w:before="0" w:after="0"/>
        <w:jc w:val="left"/>
        <w:rPr/>
      </w:pPr>
      <w:r>
        <w:rPr/>
        <w:t> </w:t>
      </w:r>
    </w:p>
    <w:p>
      <w:pPr>
        <w:pStyle w:val="TextBody"/>
        <w:bidi w:val="0"/>
        <w:spacing w:before="0" w:after="0"/>
        <w:jc w:val="center"/>
        <w:rPr/>
      </w:pPr>
      <w:r>
        <w:rPr/>
        <w:drawing>
          <wp:inline distT="0" distB="0" distL="0" distR="0">
            <wp:extent cx="22383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38375" cy="8477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CAPITAL ONE FINANCIAL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1,500,000,000 </w:t>
      </w:r>
    </w:p>
    <w:p>
      <w:pPr>
        <w:pStyle w:val="TextBody"/>
        <w:bidi w:val="0"/>
        <w:spacing w:before="240" w:after="0"/>
        <w:jc w:val="center"/>
        <w:rPr>
          <w:rFonts w:ascii="Times New Roman" w:hAnsi="Times New Roman"/>
          <w:b/>
          <w:sz w:val="20"/>
        </w:rPr>
      </w:pPr>
      <w:r>
        <w:rPr>
          <w:rFonts w:ascii="Times New Roman" w:hAnsi="Times New Roman"/>
          <w:b/>
          <w:sz w:val="20"/>
        </w:rPr>
        <w:t xml:space="preserve">750,000,000 4.326% FIXED-TO-FLOATING RATE SENIOR NOTES DUE 2032 </w:t>
      </w:r>
    </w:p>
    <w:p>
      <w:pPr>
        <w:pStyle w:val="TextBody"/>
        <w:bidi w:val="0"/>
        <w:spacing w:before="0" w:after="0"/>
        <w:jc w:val="center"/>
        <w:rPr>
          <w:rFonts w:ascii="Times New Roman" w:hAnsi="Times New Roman"/>
          <w:b/>
          <w:sz w:val="20"/>
        </w:rPr>
      </w:pPr>
      <w:r>
        <w:rPr>
          <w:rFonts w:ascii="Times New Roman" w:hAnsi="Times New Roman"/>
          <w:b/>
          <w:sz w:val="20"/>
        </w:rPr>
        <w:t xml:space="preserve">750,000,000 4.832% FIXED-TO-FLOATING RATE SENIOR NOTES DUE 2037 </w:t>
      </w:r>
    </w:p>
    <w:p>
      <w:pPr>
        <w:pStyle w:val="TextBody"/>
        <w:bidi w:val="0"/>
        <w:spacing w:before="240" w:after="0"/>
        <w:jc w:val="center"/>
        <w:rPr>
          <w:rFonts w:ascii="Times New Roman" w:hAnsi="Times New Roman"/>
          <w:b/>
          <w:sz w:val="20"/>
        </w:rPr>
      </w:pPr>
      <w:r>
        <w:rPr>
          <w:rFonts w:ascii="Times New Roman" w:hAnsi="Times New Roman"/>
          <w:b/>
          <w:sz w:val="20"/>
        </w:rPr>
        <w:t xml:space="preserve">Summary of Terms for Issuance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69"/>
        <w:gridCol w:w="120"/>
        <w:gridCol w:w="7816"/>
      </w:tblGrid>
      <w:tr>
        <w:trPr/>
        <w:tc>
          <w:tcPr>
            <w:tcW w:w="226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269" w:type="dxa"/>
            <w:tcBorders/>
          </w:tcPr>
          <w:p>
            <w:pPr>
              <w:pStyle w:val="TableContents"/>
              <w:bidi w:val="0"/>
              <w:spacing w:before="0" w:after="283"/>
              <w:jc w:val="left"/>
              <w:rPr/>
            </w:pPr>
            <w:r>
              <w:rPr/>
              <w:t>Issuer:</w:t>
            </w:r>
          </w:p>
        </w:tc>
        <w:tc>
          <w:tcPr>
            <w:tcW w:w="120" w:type="dxa"/>
            <w:tcBorders/>
            <w:vAlign w:val="bottom"/>
          </w:tcPr>
          <w:p>
            <w:pPr>
              <w:pStyle w:val="TableContents"/>
              <w:bidi w:val="0"/>
              <w:spacing w:before="0" w:after="283"/>
              <w:jc w:val="left"/>
              <w:rPr/>
            </w:pPr>
            <w:r>
              <w:rPr/>
              <w:t>  </w:t>
            </w:r>
          </w:p>
        </w:tc>
        <w:tc>
          <w:tcPr>
            <w:tcW w:w="7816" w:type="dxa"/>
            <w:tcBorders/>
          </w:tcPr>
          <w:p>
            <w:pPr>
              <w:pStyle w:val="TableContents"/>
              <w:bidi w:val="0"/>
              <w:spacing w:before="0" w:after="283"/>
              <w:jc w:val="left"/>
              <w:rPr/>
            </w:pPr>
            <w:r>
              <w:rPr/>
              <w:t>Capital One Financial Corporation</w:t>
            </w:r>
          </w:p>
        </w:tc>
      </w:tr>
      <w:tr>
        <w:trPr>
          <w:trHeight w:val="120" w:hRule="atLeast"/>
        </w:trPr>
        <w:tc>
          <w:tcPr>
            <w:tcW w:w="2269" w:type="dxa"/>
            <w:tcBorders/>
            <w:vAlign w:val="center"/>
          </w:tcPr>
          <w:p>
            <w:pPr>
              <w:pStyle w:val="TableContents"/>
              <w:bidi w:val="0"/>
              <w:spacing w:before="0" w:after="283"/>
              <w:jc w:val="left"/>
              <w:rPr>
                <w:sz w:val="4"/>
                <w:szCs w:val="4"/>
              </w:rPr>
            </w:pPr>
            <w:r>
              <w:rPr>
                <w:sz w:val="4"/>
                <w:szCs w:val="4"/>
              </w:rPr>
            </w:r>
          </w:p>
        </w:tc>
        <w:tc>
          <w:tcPr>
            <w:tcW w:w="7936" w:type="dxa"/>
            <w:gridSpan w:val="2"/>
            <w:tcBorders/>
            <w:vAlign w:val="center"/>
          </w:tcPr>
          <w:p>
            <w:pPr>
              <w:pStyle w:val="TableContents"/>
              <w:bidi w:val="0"/>
              <w:spacing w:before="0" w:after="283"/>
              <w:jc w:val="left"/>
              <w:rPr>
                <w:sz w:val="4"/>
                <w:szCs w:val="4"/>
              </w:rPr>
            </w:pPr>
            <w:r>
              <w:rPr>
                <w:sz w:val="4"/>
                <w:szCs w:val="4"/>
              </w:rPr>
            </w:r>
          </w:p>
        </w:tc>
      </w:tr>
      <w:tr>
        <w:trPr/>
        <w:tc>
          <w:tcPr>
            <w:tcW w:w="2269" w:type="dxa"/>
            <w:tcBorders/>
          </w:tcPr>
          <w:p>
            <w:pPr>
              <w:pStyle w:val="TableContents"/>
              <w:bidi w:val="0"/>
              <w:spacing w:before="0" w:after="283"/>
              <w:jc w:val="left"/>
              <w:rPr/>
            </w:pPr>
            <w:r>
              <w:rPr/>
              <w:t>Legal Entity Identifier:</w:t>
            </w:r>
          </w:p>
        </w:tc>
        <w:tc>
          <w:tcPr>
            <w:tcW w:w="120" w:type="dxa"/>
            <w:tcBorders/>
            <w:vAlign w:val="bottom"/>
          </w:tcPr>
          <w:p>
            <w:pPr>
              <w:pStyle w:val="TableContents"/>
              <w:bidi w:val="0"/>
              <w:spacing w:before="0" w:after="283"/>
              <w:jc w:val="left"/>
              <w:rPr/>
            </w:pPr>
            <w:r>
              <w:rPr/>
              <w:t>  </w:t>
            </w:r>
          </w:p>
        </w:tc>
        <w:tc>
          <w:tcPr>
            <w:tcW w:w="7816" w:type="dxa"/>
            <w:tcBorders/>
          </w:tcPr>
          <w:p>
            <w:pPr>
              <w:pStyle w:val="TableContents"/>
              <w:bidi w:val="0"/>
              <w:spacing w:before="0" w:after="283"/>
              <w:jc w:val="left"/>
              <w:rPr/>
            </w:pPr>
            <w:r>
              <w:rPr/>
              <w:t>ZUE8T73ROZOF6FLBAR73</w:t>
            </w:r>
          </w:p>
        </w:tc>
      </w:tr>
      <w:tr>
        <w:trPr>
          <w:trHeight w:val="120" w:hRule="atLeast"/>
        </w:trPr>
        <w:tc>
          <w:tcPr>
            <w:tcW w:w="2269" w:type="dxa"/>
            <w:tcBorders/>
            <w:vAlign w:val="center"/>
          </w:tcPr>
          <w:p>
            <w:pPr>
              <w:pStyle w:val="TableContents"/>
              <w:bidi w:val="0"/>
              <w:spacing w:before="0" w:after="283"/>
              <w:jc w:val="left"/>
              <w:rPr>
                <w:sz w:val="4"/>
                <w:szCs w:val="4"/>
              </w:rPr>
            </w:pPr>
            <w:r>
              <w:rPr>
                <w:sz w:val="4"/>
                <w:szCs w:val="4"/>
              </w:rPr>
            </w:r>
          </w:p>
        </w:tc>
        <w:tc>
          <w:tcPr>
            <w:tcW w:w="7936" w:type="dxa"/>
            <w:gridSpan w:val="2"/>
            <w:tcBorders/>
            <w:vAlign w:val="center"/>
          </w:tcPr>
          <w:p>
            <w:pPr>
              <w:pStyle w:val="TableContents"/>
              <w:bidi w:val="0"/>
              <w:spacing w:before="0" w:after="283"/>
              <w:jc w:val="left"/>
              <w:rPr>
                <w:sz w:val="4"/>
                <w:szCs w:val="4"/>
              </w:rPr>
            </w:pPr>
            <w:r>
              <w:rPr>
                <w:sz w:val="4"/>
                <w:szCs w:val="4"/>
              </w:rPr>
            </w:r>
          </w:p>
        </w:tc>
      </w:tr>
      <w:tr>
        <w:trPr/>
        <w:tc>
          <w:tcPr>
            <w:tcW w:w="2269" w:type="dxa"/>
            <w:tcBorders/>
          </w:tcPr>
          <w:p>
            <w:pPr>
              <w:pStyle w:val="TableContents"/>
              <w:bidi w:val="0"/>
              <w:spacing w:before="0" w:after="283"/>
              <w:jc w:val="left"/>
              <w:rPr/>
            </w:pPr>
            <w:r>
              <w:rPr/>
              <w:t>Trade Date:</w:t>
            </w:r>
          </w:p>
        </w:tc>
        <w:tc>
          <w:tcPr>
            <w:tcW w:w="120" w:type="dxa"/>
            <w:tcBorders/>
            <w:vAlign w:val="bottom"/>
          </w:tcPr>
          <w:p>
            <w:pPr>
              <w:pStyle w:val="TableContents"/>
              <w:bidi w:val="0"/>
              <w:spacing w:before="0" w:after="283"/>
              <w:jc w:val="left"/>
              <w:rPr/>
            </w:pPr>
            <w:r>
              <w:rPr/>
              <w:t>  </w:t>
            </w:r>
          </w:p>
        </w:tc>
        <w:tc>
          <w:tcPr>
            <w:tcW w:w="7816" w:type="dxa"/>
            <w:tcBorders/>
          </w:tcPr>
          <w:p>
            <w:pPr>
              <w:pStyle w:val="TableContents"/>
              <w:bidi w:val="0"/>
              <w:spacing w:before="0" w:after="283"/>
              <w:jc w:val="left"/>
              <w:rPr/>
            </w:pPr>
            <w:r>
              <w:rPr/>
              <w:t>September 9, 2026</w:t>
            </w:r>
          </w:p>
        </w:tc>
      </w:tr>
      <w:tr>
        <w:trPr>
          <w:trHeight w:val="120" w:hRule="atLeast"/>
        </w:trPr>
        <w:tc>
          <w:tcPr>
            <w:tcW w:w="2269" w:type="dxa"/>
            <w:tcBorders/>
            <w:vAlign w:val="center"/>
          </w:tcPr>
          <w:p>
            <w:pPr>
              <w:pStyle w:val="TableContents"/>
              <w:bidi w:val="0"/>
              <w:spacing w:before="0" w:after="283"/>
              <w:jc w:val="left"/>
              <w:rPr>
                <w:sz w:val="4"/>
                <w:szCs w:val="4"/>
              </w:rPr>
            </w:pPr>
            <w:r>
              <w:rPr>
                <w:sz w:val="4"/>
                <w:szCs w:val="4"/>
              </w:rPr>
            </w:r>
          </w:p>
        </w:tc>
        <w:tc>
          <w:tcPr>
            <w:tcW w:w="7936" w:type="dxa"/>
            <w:gridSpan w:val="2"/>
            <w:tcBorders/>
            <w:vAlign w:val="center"/>
          </w:tcPr>
          <w:p>
            <w:pPr>
              <w:pStyle w:val="TableContents"/>
              <w:bidi w:val="0"/>
              <w:spacing w:before="0" w:after="283"/>
              <w:jc w:val="left"/>
              <w:rPr>
                <w:sz w:val="4"/>
                <w:szCs w:val="4"/>
              </w:rPr>
            </w:pPr>
            <w:r>
              <w:rPr>
                <w:sz w:val="4"/>
                <w:szCs w:val="4"/>
              </w:rPr>
            </w:r>
          </w:p>
        </w:tc>
      </w:tr>
      <w:tr>
        <w:trPr/>
        <w:tc>
          <w:tcPr>
            <w:tcW w:w="2269" w:type="dxa"/>
            <w:tcBorders/>
          </w:tcPr>
          <w:p>
            <w:pPr>
              <w:pStyle w:val="TableContents"/>
              <w:bidi w:val="0"/>
              <w:spacing w:before="0" w:after="283"/>
              <w:jc w:val="left"/>
              <w:rPr/>
            </w:pPr>
            <w:r>
              <w:rPr/>
              <w:t>Settlement Date: *</w:t>
            </w:r>
          </w:p>
        </w:tc>
        <w:tc>
          <w:tcPr>
            <w:tcW w:w="120" w:type="dxa"/>
            <w:tcBorders/>
            <w:vAlign w:val="bottom"/>
          </w:tcPr>
          <w:p>
            <w:pPr>
              <w:pStyle w:val="TableContents"/>
              <w:bidi w:val="0"/>
              <w:spacing w:before="0" w:after="283"/>
              <w:jc w:val="left"/>
              <w:rPr/>
            </w:pPr>
            <w:r>
              <w:rPr/>
              <w:t>  </w:t>
            </w:r>
          </w:p>
        </w:tc>
        <w:tc>
          <w:tcPr>
            <w:tcW w:w="7816" w:type="dxa"/>
            <w:tcBorders/>
          </w:tcPr>
          <w:p>
            <w:pPr>
              <w:pStyle w:val="TableContents"/>
              <w:bidi w:val="0"/>
              <w:spacing w:before="0" w:after="283"/>
              <w:jc w:val="left"/>
              <w:rPr/>
            </w:pPr>
            <w:r>
              <w:rPr/>
              <w:t>September 15, 2026 (T+4)</w:t>
            </w:r>
          </w:p>
        </w:tc>
      </w:tr>
      <w:tr>
        <w:trPr>
          <w:trHeight w:val="120" w:hRule="atLeast"/>
        </w:trPr>
        <w:tc>
          <w:tcPr>
            <w:tcW w:w="2269" w:type="dxa"/>
            <w:tcBorders/>
            <w:vAlign w:val="center"/>
          </w:tcPr>
          <w:p>
            <w:pPr>
              <w:pStyle w:val="TableContents"/>
              <w:bidi w:val="0"/>
              <w:spacing w:before="0" w:after="283"/>
              <w:jc w:val="left"/>
              <w:rPr>
                <w:sz w:val="4"/>
                <w:szCs w:val="4"/>
              </w:rPr>
            </w:pPr>
            <w:r>
              <w:rPr>
                <w:sz w:val="4"/>
                <w:szCs w:val="4"/>
              </w:rPr>
            </w:r>
          </w:p>
        </w:tc>
        <w:tc>
          <w:tcPr>
            <w:tcW w:w="7936" w:type="dxa"/>
            <w:gridSpan w:val="2"/>
            <w:tcBorders/>
            <w:vAlign w:val="center"/>
          </w:tcPr>
          <w:p>
            <w:pPr>
              <w:pStyle w:val="TableContents"/>
              <w:bidi w:val="0"/>
              <w:spacing w:before="0" w:after="283"/>
              <w:jc w:val="left"/>
              <w:rPr>
                <w:sz w:val="4"/>
                <w:szCs w:val="4"/>
              </w:rPr>
            </w:pPr>
            <w:r>
              <w:rPr>
                <w:sz w:val="4"/>
                <w:szCs w:val="4"/>
              </w:rPr>
            </w:r>
          </w:p>
        </w:tc>
      </w:tr>
      <w:tr>
        <w:trPr/>
        <w:tc>
          <w:tcPr>
            <w:tcW w:w="2269" w:type="dxa"/>
            <w:tcBorders/>
          </w:tcPr>
          <w:p>
            <w:pPr>
              <w:pStyle w:val="TableContents"/>
              <w:bidi w:val="0"/>
              <w:spacing w:before="0" w:after="283"/>
              <w:jc w:val="left"/>
              <w:rPr/>
            </w:pPr>
            <w:r>
              <w:rPr/>
              <w:t>Ranking:</w:t>
            </w:r>
          </w:p>
        </w:tc>
        <w:tc>
          <w:tcPr>
            <w:tcW w:w="120" w:type="dxa"/>
            <w:tcBorders/>
            <w:vAlign w:val="bottom"/>
          </w:tcPr>
          <w:p>
            <w:pPr>
              <w:pStyle w:val="TableContents"/>
              <w:bidi w:val="0"/>
              <w:spacing w:before="0" w:after="283"/>
              <w:jc w:val="left"/>
              <w:rPr/>
            </w:pPr>
            <w:r>
              <w:rPr/>
              <w:t>  </w:t>
            </w:r>
          </w:p>
        </w:tc>
        <w:tc>
          <w:tcPr>
            <w:tcW w:w="7816" w:type="dxa"/>
            <w:tcBorders/>
          </w:tcPr>
          <w:p>
            <w:pPr>
              <w:pStyle w:val="TableContents"/>
              <w:bidi w:val="0"/>
              <w:spacing w:before="0" w:after="283"/>
              <w:jc w:val="left"/>
              <w:rPr/>
            </w:pPr>
            <w:r>
              <w:rPr/>
              <w:t>Senior Unsecured</w:t>
            </w:r>
          </w:p>
        </w:tc>
      </w:tr>
      <w:tr>
        <w:trPr>
          <w:trHeight w:val="120" w:hRule="atLeast"/>
        </w:trPr>
        <w:tc>
          <w:tcPr>
            <w:tcW w:w="2269" w:type="dxa"/>
            <w:tcBorders/>
            <w:vAlign w:val="center"/>
          </w:tcPr>
          <w:p>
            <w:pPr>
              <w:pStyle w:val="TableContents"/>
              <w:bidi w:val="0"/>
              <w:spacing w:before="0" w:after="283"/>
              <w:jc w:val="left"/>
              <w:rPr>
                <w:sz w:val="4"/>
                <w:szCs w:val="4"/>
              </w:rPr>
            </w:pPr>
            <w:r>
              <w:rPr>
                <w:sz w:val="4"/>
                <w:szCs w:val="4"/>
              </w:rPr>
            </w:r>
          </w:p>
        </w:tc>
        <w:tc>
          <w:tcPr>
            <w:tcW w:w="7936" w:type="dxa"/>
            <w:gridSpan w:val="2"/>
            <w:tcBorders/>
            <w:vAlign w:val="center"/>
          </w:tcPr>
          <w:p>
            <w:pPr>
              <w:pStyle w:val="TableContents"/>
              <w:bidi w:val="0"/>
              <w:spacing w:before="0" w:after="283"/>
              <w:jc w:val="left"/>
              <w:rPr>
                <w:sz w:val="4"/>
                <w:szCs w:val="4"/>
              </w:rPr>
            </w:pPr>
            <w:r>
              <w:rPr>
                <w:sz w:val="4"/>
                <w:szCs w:val="4"/>
              </w:rPr>
            </w:r>
          </w:p>
        </w:tc>
      </w:tr>
      <w:tr>
        <w:trPr/>
        <w:tc>
          <w:tcPr>
            <w:tcW w:w="2269" w:type="dxa"/>
            <w:tcBorders/>
          </w:tcPr>
          <w:p>
            <w:pPr>
              <w:pStyle w:val="TableContents"/>
              <w:bidi w:val="0"/>
              <w:spacing w:before="0" w:after="283"/>
              <w:jc w:val="left"/>
              <w:rPr/>
            </w:pPr>
            <w:r>
              <w:rPr/>
              <w:t>Expected Security Ratings (Outlook): **</w:t>
            </w:r>
          </w:p>
        </w:tc>
        <w:tc>
          <w:tcPr>
            <w:tcW w:w="120" w:type="dxa"/>
            <w:tcBorders/>
            <w:vAlign w:val="bottom"/>
          </w:tcPr>
          <w:p>
            <w:pPr>
              <w:pStyle w:val="TableContents"/>
              <w:bidi w:val="0"/>
              <w:spacing w:before="0" w:after="283"/>
              <w:jc w:val="left"/>
              <w:rPr/>
            </w:pPr>
            <w:r>
              <w:rPr/>
              <w:t>  </w:t>
            </w:r>
          </w:p>
        </w:tc>
        <w:tc>
          <w:tcPr>
            <w:tcW w:w="7816" w:type="dxa"/>
            <w:tcBorders/>
          </w:tcPr>
          <w:p>
            <w:pPr>
              <w:pStyle w:val="TableContents"/>
              <w:bidi w:val="0"/>
              <w:spacing w:before="0" w:after="283"/>
              <w:jc w:val="left"/>
              <w:rPr/>
            </w:pPr>
            <w:r>
              <w:rPr/>
              <w:t>Baa1 (stable) / BBB+ (stable) / A- (stable) (Moody’s / S&amp;P / Fitch)</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u w:val="single"/>
              </w:rPr>
            </w:pPr>
            <w:r>
              <w:rPr>
                <w:b/>
                <w:u w:val="single"/>
              </w:rPr>
              <w:t>750,000,000 4.326% FIXED-TO-FLOATING RATE SENIOR NOTES DUE 2032</w:t>
            </w:r>
          </w:p>
        </w:tc>
      </w:tr>
      <w:tr>
        <w:trPr>
          <w:trHeight w:val="120" w:hRule="atLeast"/>
        </w:trPr>
        <w:tc>
          <w:tcPr>
            <w:tcW w:w="2269" w:type="dxa"/>
            <w:tcBorders/>
            <w:vAlign w:val="center"/>
          </w:tcPr>
          <w:p>
            <w:pPr>
              <w:pStyle w:val="TableContents"/>
              <w:bidi w:val="0"/>
              <w:spacing w:before="0" w:after="283"/>
              <w:jc w:val="left"/>
              <w:rPr>
                <w:sz w:val="4"/>
                <w:szCs w:val="4"/>
              </w:rPr>
            </w:pPr>
            <w:r>
              <w:rPr>
                <w:sz w:val="4"/>
                <w:szCs w:val="4"/>
              </w:rPr>
            </w:r>
          </w:p>
        </w:tc>
        <w:tc>
          <w:tcPr>
            <w:tcW w:w="7936" w:type="dxa"/>
            <w:gridSpan w:val="2"/>
            <w:tcBorders/>
            <w:vAlign w:val="center"/>
          </w:tcPr>
          <w:p>
            <w:pPr>
              <w:pStyle w:val="TableContents"/>
              <w:bidi w:val="0"/>
              <w:spacing w:before="0" w:after="283"/>
              <w:jc w:val="left"/>
              <w:rPr>
                <w:sz w:val="4"/>
                <w:szCs w:val="4"/>
              </w:rPr>
            </w:pPr>
            <w:r>
              <w:rPr>
                <w:sz w:val="4"/>
                <w:szCs w:val="4"/>
              </w:rPr>
            </w:r>
          </w:p>
        </w:tc>
      </w:tr>
      <w:tr>
        <w:trPr/>
        <w:tc>
          <w:tcPr>
            <w:tcW w:w="2269" w:type="dxa"/>
            <w:tcBorders/>
          </w:tcPr>
          <w:p>
            <w:pPr>
              <w:pStyle w:val="TableContents"/>
              <w:bidi w:val="0"/>
              <w:spacing w:before="0" w:after="283"/>
              <w:jc w:val="left"/>
              <w:rPr/>
            </w:pPr>
            <w:r>
              <w:rPr/>
              <w:t>Security:</w:t>
            </w:r>
          </w:p>
        </w:tc>
        <w:tc>
          <w:tcPr>
            <w:tcW w:w="120" w:type="dxa"/>
            <w:tcBorders/>
            <w:vAlign w:val="bottom"/>
          </w:tcPr>
          <w:p>
            <w:pPr>
              <w:pStyle w:val="TableContents"/>
              <w:bidi w:val="0"/>
              <w:spacing w:before="0" w:after="283"/>
              <w:jc w:val="left"/>
              <w:rPr/>
            </w:pPr>
            <w:r>
              <w:rPr/>
              <w:t>  </w:t>
            </w:r>
          </w:p>
        </w:tc>
        <w:tc>
          <w:tcPr>
            <w:tcW w:w="7816" w:type="dxa"/>
            <w:tcBorders/>
          </w:tcPr>
          <w:p>
            <w:pPr>
              <w:pStyle w:val="TableContents"/>
              <w:bidi w:val="0"/>
              <w:spacing w:before="0" w:after="283"/>
              <w:jc w:val="left"/>
              <w:rPr/>
            </w:pPr>
            <w:r>
              <w:rPr/>
              <w:t>4.326% Fixed-to-Floating Rate Senior Notes due 2032 (the “2032 notes”)</w:t>
            </w:r>
          </w:p>
        </w:tc>
      </w:tr>
      <w:tr>
        <w:trPr>
          <w:trHeight w:val="120" w:hRule="atLeast"/>
        </w:trPr>
        <w:tc>
          <w:tcPr>
            <w:tcW w:w="2269" w:type="dxa"/>
            <w:tcBorders/>
            <w:vAlign w:val="center"/>
          </w:tcPr>
          <w:p>
            <w:pPr>
              <w:pStyle w:val="TableContents"/>
              <w:bidi w:val="0"/>
              <w:spacing w:before="0" w:after="283"/>
              <w:jc w:val="left"/>
              <w:rPr>
                <w:sz w:val="4"/>
                <w:szCs w:val="4"/>
              </w:rPr>
            </w:pPr>
            <w:r>
              <w:rPr>
                <w:sz w:val="4"/>
                <w:szCs w:val="4"/>
              </w:rPr>
            </w:r>
          </w:p>
        </w:tc>
        <w:tc>
          <w:tcPr>
            <w:tcW w:w="7936" w:type="dxa"/>
            <w:gridSpan w:val="2"/>
            <w:tcBorders/>
            <w:vAlign w:val="center"/>
          </w:tcPr>
          <w:p>
            <w:pPr>
              <w:pStyle w:val="TableContents"/>
              <w:bidi w:val="0"/>
              <w:spacing w:before="0" w:after="283"/>
              <w:jc w:val="left"/>
              <w:rPr>
                <w:sz w:val="4"/>
                <w:szCs w:val="4"/>
              </w:rPr>
            </w:pPr>
            <w:r>
              <w:rPr>
                <w:sz w:val="4"/>
                <w:szCs w:val="4"/>
              </w:rPr>
            </w:r>
          </w:p>
        </w:tc>
      </w:tr>
      <w:tr>
        <w:trPr/>
        <w:tc>
          <w:tcPr>
            <w:tcW w:w="2269" w:type="dxa"/>
            <w:tcBorders/>
          </w:tcPr>
          <w:p>
            <w:pPr>
              <w:pStyle w:val="TableContents"/>
              <w:bidi w:val="0"/>
              <w:spacing w:before="0" w:after="283"/>
              <w:jc w:val="left"/>
              <w:rPr/>
            </w:pPr>
            <w:r>
              <w:rPr/>
              <w:t>Principal Amount:</w:t>
            </w:r>
          </w:p>
        </w:tc>
        <w:tc>
          <w:tcPr>
            <w:tcW w:w="120" w:type="dxa"/>
            <w:tcBorders/>
            <w:vAlign w:val="bottom"/>
          </w:tcPr>
          <w:p>
            <w:pPr>
              <w:pStyle w:val="TableContents"/>
              <w:bidi w:val="0"/>
              <w:spacing w:before="0" w:after="283"/>
              <w:jc w:val="left"/>
              <w:rPr/>
            </w:pPr>
            <w:r>
              <w:rPr/>
              <w:t>  </w:t>
            </w:r>
          </w:p>
        </w:tc>
        <w:tc>
          <w:tcPr>
            <w:tcW w:w="7816" w:type="dxa"/>
            <w:tcBorders/>
          </w:tcPr>
          <w:p>
            <w:pPr>
              <w:pStyle w:val="TableContents"/>
              <w:bidi w:val="0"/>
              <w:spacing w:before="0" w:after="283"/>
              <w:jc w:val="left"/>
              <w:rPr/>
            </w:pPr>
            <w:r>
              <w:rPr/>
              <w:t>EUR 750,000,000</w:t>
            </w:r>
          </w:p>
        </w:tc>
      </w:tr>
      <w:tr>
        <w:trPr>
          <w:trHeight w:val="120" w:hRule="atLeast"/>
        </w:trPr>
        <w:tc>
          <w:tcPr>
            <w:tcW w:w="2269" w:type="dxa"/>
            <w:tcBorders/>
            <w:vAlign w:val="center"/>
          </w:tcPr>
          <w:p>
            <w:pPr>
              <w:pStyle w:val="TableContents"/>
              <w:bidi w:val="0"/>
              <w:spacing w:before="0" w:after="283"/>
              <w:jc w:val="left"/>
              <w:rPr>
                <w:sz w:val="4"/>
                <w:szCs w:val="4"/>
              </w:rPr>
            </w:pPr>
            <w:r>
              <w:rPr>
                <w:sz w:val="4"/>
                <w:szCs w:val="4"/>
              </w:rPr>
            </w:r>
          </w:p>
        </w:tc>
        <w:tc>
          <w:tcPr>
            <w:tcW w:w="7936" w:type="dxa"/>
            <w:gridSpan w:val="2"/>
            <w:tcBorders/>
            <w:vAlign w:val="center"/>
          </w:tcPr>
          <w:p>
            <w:pPr>
              <w:pStyle w:val="TableContents"/>
              <w:bidi w:val="0"/>
              <w:spacing w:before="0" w:after="283"/>
              <w:jc w:val="left"/>
              <w:rPr>
                <w:sz w:val="4"/>
                <w:szCs w:val="4"/>
              </w:rPr>
            </w:pPr>
            <w:r>
              <w:rPr>
                <w:sz w:val="4"/>
                <w:szCs w:val="4"/>
              </w:rPr>
            </w:r>
          </w:p>
        </w:tc>
      </w:tr>
      <w:tr>
        <w:trPr/>
        <w:tc>
          <w:tcPr>
            <w:tcW w:w="2269" w:type="dxa"/>
            <w:tcBorders/>
          </w:tcPr>
          <w:p>
            <w:pPr>
              <w:pStyle w:val="TableContents"/>
              <w:bidi w:val="0"/>
              <w:spacing w:before="0" w:after="283"/>
              <w:jc w:val="left"/>
              <w:rPr/>
            </w:pPr>
            <w:r>
              <w:rPr/>
              <w:t>Net Proceeds to Issuer (before expenses):</w:t>
            </w:r>
          </w:p>
        </w:tc>
        <w:tc>
          <w:tcPr>
            <w:tcW w:w="120" w:type="dxa"/>
            <w:tcBorders/>
            <w:vAlign w:val="bottom"/>
          </w:tcPr>
          <w:p>
            <w:pPr>
              <w:pStyle w:val="TableContents"/>
              <w:bidi w:val="0"/>
              <w:spacing w:before="0" w:after="283"/>
              <w:jc w:val="left"/>
              <w:rPr/>
            </w:pPr>
            <w:r>
              <w:rPr/>
              <w:t>  </w:t>
            </w:r>
          </w:p>
        </w:tc>
        <w:tc>
          <w:tcPr>
            <w:tcW w:w="7816" w:type="dxa"/>
            <w:tcBorders/>
          </w:tcPr>
          <w:p>
            <w:pPr>
              <w:pStyle w:val="TableContents"/>
              <w:bidi w:val="0"/>
              <w:spacing w:before="0" w:after="283"/>
              <w:jc w:val="left"/>
              <w:rPr/>
            </w:pPr>
            <w:r>
              <w:rPr/>
              <w:t>EUR 747,375,000</w:t>
            </w:r>
          </w:p>
        </w:tc>
      </w:tr>
      <w:tr>
        <w:trPr>
          <w:trHeight w:val="120" w:hRule="atLeast"/>
        </w:trPr>
        <w:tc>
          <w:tcPr>
            <w:tcW w:w="2269" w:type="dxa"/>
            <w:tcBorders/>
            <w:vAlign w:val="center"/>
          </w:tcPr>
          <w:p>
            <w:pPr>
              <w:pStyle w:val="TableContents"/>
              <w:bidi w:val="0"/>
              <w:spacing w:before="0" w:after="283"/>
              <w:jc w:val="left"/>
              <w:rPr>
                <w:sz w:val="4"/>
                <w:szCs w:val="4"/>
              </w:rPr>
            </w:pPr>
            <w:r>
              <w:rPr>
                <w:sz w:val="4"/>
                <w:szCs w:val="4"/>
              </w:rPr>
            </w:r>
          </w:p>
        </w:tc>
        <w:tc>
          <w:tcPr>
            <w:tcW w:w="7936" w:type="dxa"/>
            <w:gridSpan w:val="2"/>
            <w:tcBorders/>
            <w:vAlign w:val="center"/>
          </w:tcPr>
          <w:p>
            <w:pPr>
              <w:pStyle w:val="TableContents"/>
              <w:bidi w:val="0"/>
              <w:spacing w:before="0" w:after="283"/>
              <w:jc w:val="left"/>
              <w:rPr>
                <w:sz w:val="4"/>
                <w:szCs w:val="4"/>
              </w:rPr>
            </w:pPr>
            <w:r>
              <w:rPr>
                <w:sz w:val="4"/>
                <w:szCs w:val="4"/>
              </w:rPr>
            </w:r>
          </w:p>
        </w:tc>
      </w:tr>
      <w:tr>
        <w:trPr/>
        <w:tc>
          <w:tcPr>
            <w:tcW w:w="2269" w:type="dxa"/>
            <w:tcBorders/>
          </w:tcPr>
          <w:p>
            <w:pPr>
              <w:pStyle w:val="TableContents"/>
              <w:bidi w:val="0"/>
              <w:spacing w:before="0" w:after="283"/>
              <w:jc w:val="left"/>
              <w:rPr/>
            </w:pPr>
            <w:r>
              <w:rPr/>
              <w:t>Maturity Date:</w:t>
            </w:r>
          </w:p>
        </w:tc>
        <w:tc>
          <w:tcPr>
            <w:tcW w:w="120" w:type="dxa"/>
            <w:tcBorders/>
            <w:vAlign w:val="bottom"/>
          </w:tcPr>
          <w:p>
            <w:pPr>
              <w:pStyle w:val="TableContents"/>
              <w:bidi w:val="0"/>
              <w:spacing w:before="0" w:after="283"/>
              <w:jc w:val="left"/>
              <w:rPr/>
            </w:pPr>
            <w:r>
              <w:rPr/>
              <w:t>  </w:t>
            </w:r>
          </w:p>
        </w:tc>
        <w:tc>
          <w:tcPr>
            <w:tcW w:w="7816" w:type="dxa"/>
            <w:tcBorders/>
          </w:tcPr>
          <w:p>
            <w:pPr>
              <w:pStyle w:val="TableContents"/>
              <w:bidi w:val="0"/>
              <w:spacing w:before="0" w:after="283"/>
              <w:jc w:val="left"/>
              <w:rPr/>
            </w:pPr>
            <w:r>
              <w:rPr/>
              <w:t>September 15, 2032</w:t>
            </w:r>
          </w:p>
        </w:tc>
      </w:tr>
      <w:tr>
        <w:trPr>
          <w:trHeight w:val="120" w:hRule="atLeast"/>
        </w:trPr>
        <w:tc>
          <w:tcPr>
            <w:tcW w:w="2269" w:type="dxa"/>
            <w:tcBorders/>
            <w:vAlign w:val="center"/>
          </w:tcPr>
          <w:p>
            <w:pPr>
              <w:pStyle w:val="TableContents"/>
              <w:bidi w:val="0"/>
              <w:spacing w:before="0" w:after="283"/>
              <w:jc w:val="left"/>
              <w:rPr>
                <w:sz w:val="4"/>
                <w:szCs w:val="4"/>
              </w:rPr>
            </w:pPr>
            <w:r>
              <w:rPr>
                <w:sz w:val="4"/>
                <w:szCs w:val="4"/>
              </w:rPr>
            </w:r>
          </w:p>
        </w:tc>
        <w:tc>
          <w:tcPr>
            <w:tcW w:w="7936" w:type="dxa"/>
            <w:gridSpan w:val="2"/>
            <w:tcBorders/>
            <w:vAlign w:val="center"/>
          </w:tcPr>
          <w:p>
            <w:pPr>
              <w:pStyle w:val="TableContents"/>
              <w:bidi w:val="0"/>
              <w:spacing w:before="0" w:after="283"/>
              <w:jc w:val="left"/>
              <w:rPr>
                <w:sz w:val="4"/>
                <w:szCs w:val="4"/>
              </w:rPr>
            </w:pPr>
            <w:r>
              <w:rPr>
                <w:sz w:val="4"/>
                <w:szCs w:val="4"/>
              </w:rPr>
            </w:r>
          </w:p>
        </w:tc>
      </w:tr>
      <w:tr>
        <w:trPr/>
        <w:tc>
          <w:tcPr>
            <w:tcW w:w="2269" w:type="dxa"/>
            <w:tcBorders/>
          </w:tcPr>
          <w:p>
            <w:pPr>
              <w:pStyle w:val="TableContents"/>
              <w:bidi w:val="0"/>
              <w:spacing w:before="0" w:after="283"/>
              <w:jc w:val="left"/>
              <w:rPr/>
            </w:pPr>
            <w:r>
              <w:rPr/>
              <w:t>Interest Reset Date:</w:t>
            </w:r>
          </w:p>
        </w:tc>
        <w:tc>
          <w:tcPr>
            <w:tcW w:w="120" w:type="dxa"/>
            <w:tcBorders/>
            <w:vAlign w:val="bottom"/>
          </w:tcPr>
          <w:p>
            <w:pPr>
              <w:pStyle w:val="TableContents"/>
              <w:bidi w:val="0"/>
              <w:spacing w:before="0" w:after="283"/>
              <w:jc w:val="left"/>
              <w:rPr/>
            </w:pPr>
            <w:r>
              <w:rPr/>
              <w:t>  </w:t>
            </w:r>
          </w:p>
        </w:tc>
        <w:tc>
          <w:tcPr>
            <w:tcW w:w="7816" w:type="dxa"/>
            <w:tcBorders/>
          </w:tcPr>
          <w:p>
            <w:pPr>
              <w:pStyle w:val="TableContents"/>
              <w:bidi w:val="0"/>
              <w:spacing w:before="0" w:after="283"/>
              <w:jc w:val="left"/>
              <w:rPr/>
            </w:pPr>
            <w:r>
              <w:rPr/>
              <w:t>September 15, 2031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373"/>
        <w:gridCol w:w="123"/>
        <w:gridCol w:w="7709"/>
      </w:tblGrid>
      <w:tr>
        <w:trPr/>
        <w:tc>
          <w:tcPr>
            <w:tcW w:w="237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709" w:type="dxa"/>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Fixed Rate Period:</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From and including September 15, 2026 to but excluding the Interest Reset Date</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Floating Rate Period:</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From and including the Interest Reset Date to but excluding the Maturity Date</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Payment Frequency:</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Annually with respect to the Fixed Rate Period and quarterly with respect to the Floating Rate Period</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Day Count/Business Day Convention:</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0"/>
              <w:jc w:val="left"/>
              <w:rPr>
                <w:rFonts w:ascii="Times New Roman" w:hAnsi="Times New Roman"/>
                <w:sz w:val="20"/>
              </w:rPr>
            </w:pPr>
            <w:r>
              <w:rPr>
                <w:rFonts w:ascii="Times New Roman" w:hAnsi="Times New Roman"/>
                <w:sz w:val="20"/>
              </w:rPr>
              <w:t>Fixed Rate Period: Actual/Actual (ICMA); Following, Unadjusted</w:t>
            </w:r>
          </w:p>
          <w:p>
            <w:pPr>
              <w:pStyle w:val="TableContents"/>
              <w:bidi w:val="0"/>
              <w:spacing w:before="0" w:after="20"/>
              <w:jc w:val="left"/>
              <w:rPr>
                <w:rFonts w:ascii="Times New Roman" w:hAnsi="Times New Roman"/>
                <w:sz w:val="20"/>
              </w:rPr>
            </w:pPr>
            <w:r>
              <w:rPr>
                <w:rFonts w:ascii="Times New Roman" w:hAnsi="Times New Roman"/>
                <w:sz w:val="20"/>
              </w:rPr>
              <w:t>Floating Rate Period: Actual/360; Modified Following, Adjusted</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Fixed Rate Period Interest Payment Dates:</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Annually in arrears on each September 15, commencing on September 15, 2027 and ending on September 15, 2031</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Benchmark Security:</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DBR 0.000% Notes due August 15, 2031</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Benchmark Security Price and Yield:</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85.76; 3.168%</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Spread to Benchmark Security:</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+115.8 bps</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Yield to Maturity:</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4.326%</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Mid-Swap Yield:</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3.346%</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Spread to Mid-Swap Yield:</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+98 bps</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Fixed Rate Period Coupon:</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4.326% per annum</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Price to Public:</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100.000% of principal amount</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Floating Rate Period Interest Rate:</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Base Rate plus the Spread payable quarterly in arrears during the Floating Rate Period</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Base Rate:</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EURIBOR determined for each quarterly Floating Rate Interest Payment Period, in accordance with the terms and provisions set forth under “</w:t>
            </w:r>
            <w:r>
              <w:rPr>
                <w:i/>
              </w:rPr>
              <w:t>Description of the Notes—Floating Rate Period Interest Rates”</w:t>
            </w:r>
            <w:r>
              <w:rPr/>
              <w:t> in the Preliminary Prospectus Supplement (as defined below)</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Index Maturity:</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Three months</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Spread (Plus or Minus):</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Plus 107.2 bps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391"/>
        <w:gridCol w:w="120"/>
        <w:gridCol w:w="7694"/>
      </w:tblGrid>
      <w:tr>
        <w:trPr/>
        <w:tc>
          <w:tcPr>
            <w:tcW w:w="239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94" w:type="dxa"/>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Floating Rate Interest Payment Periods:</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pPr>
            <w:r>
              <w:rPr/>
              <w:t>Quarterly; with respect to a Floating Rate Interest Payment Date, the period from and including the most recent Floating Rate Interest Payment Date (or from and including the Interest Reset Date in the case of the first Floating Rate Interest Payment Period) to but excluding the next succeeding Floating Rate Interest Payment Date</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0"/>
              <w:jc w:val="left"/>
              <w:rPr>
                <w:rFonts w:ascii="Times New Roman" w:hAnsi="Times New Roman"/>
                <w:sz w:val="20"/>
              </w:rPr>
            </w:pPr>
            <w:r>
              <w:rPr>
                <w:rFonts w:ascii="Times New Roman" w:hAnsi="Times New Roman"/>
                <w:sz w:val="20"/>
              </w:rPr>
              <w:t>Floating Rate Interest</w:t>
            </w:r>
          </w:p>
          <w:p>
            <w:pPr>
              <w:pStyle w:val="TableContents"/>
              <w:bidi w:val="0"/>
              <w:spacing w:before="0" w:after="20"/>
              <w:jc w:val="left"/>
              <w:rPr>
                <w:rFonts w:ascii="Times New Roman" w:hAnsi="Times New Roman"/>
                <w:sz w:val="20"/>
              </w:rPr>
            </w:pPr>
            <w:r>
              <w:rPr>
                <w:rFonts w:ascii="Times New Roman" w:hAnsi="Times New Roman"/>
                <w:sz w:val="20"/>
              </w:rPr>
              <w:t>Determination Date:</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pPr>
            <w:r>
              <w:rPr/>
              <w:t>The second T2 Business Day prior to the first day of each applicable Floating Rate Interest Payment Period</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0"/>
              <w:jc w:val="left"/>
              <w:rPr>
                <w:rFonts w:ascii="Times New Roman" w:hAnsi="Times New Roman"/>
                <w:sz w:val="20"/>
              </w:rPr>
            </w:pPr>
            <w:r>
              <w:rPr>
                <w:rFonts w:ascii="Times New Roman" w:hAnsi="Times New Roman"/>
                <w:sz w:val="20"/>
              </w:rPr>
              <w:t>Floating Rate Interest</w:t>
            </w:r>
          </w:p>
          <w:p>
            <w:pPr>
              <w:pStyle w:val="TableContents"/>
              <w:bidi w:val="0"/>
              <w:spacing w:before="0" w:after="20"/>
              <w:jc w:val="left"/>
              <w:rPr>
                <w:rFonts w:ascii="Times New Roman" w:hAnsi="Times New Roman"/>
                <w:sz w:val="20"/>
              </w:rPr>
            </w:pPr>
            <w:r>
              <w:rPr>
                <w:rFonts w:ascii="Times New Roman" w:hAnsi="Times New Roman"/>
                <w:sz w:val="20"/>
              </w:rPr>
              <w:t>Payment Dates:</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pPr>
            <w:r>
              <w:rPr/>
              <w:t xml:space="preserve">Quarterly in arrears on each March 15, June 15, September 15 and December 15, beginning on December 15, 2031 and ending on the Maturity Date; </w:t>
            </w:r>
            <w:r>
              <w:rPr>
                <w:i/>
              </w:rPr>
              <w:t>provided</w:t>
            </w:r>
            <w:r>
              <w:rPr/>
              <w:t xml:space="preserve"> if the scheduled Maturity Date falls on a day that is not a business day, the payment of principal and interest will be made on the next succeeding business day, but interest on that payment will not accrue during the period from and after the scheduled Maturity Date</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Business Day:</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pPr>
            <w:r>
              <w:rPr/>
              <w:t>New York, New York, Chicago, Illinois, McLean, Virginia, London, England and T2 system (or its successor)</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Optional Redemption:</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pPr>
            <w:r>
              <w:rPr/>
              <w:t>The Issuer may redeem the 2032 notes at its option on September 15, 2031 (which is the date that is one year prior to the Maturity Date), in whole but not in part, at a redemption price equal to 100% of the principal amount of the 2032 notes to be redeemed, plus accrued and unpaid interest thereon to the redemption date upon not less than 15 nor more than 60 days’ prior notice given to the holders of the 2032 notes to be redeemed</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Redemption for Tax Reasons:</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pPr>
            <w:r>
              <w:rPr/>
              <w:t>If the Issuer determines that, as a result of any change in, or amendment to, the laws (or any regulations or rulings promulgated thereunder) of the United States or of any political subdivision or taxing authority thereof or therein, or any income tax treaty, or any change in, or amendment to, an official position regarding the application or interpretation of such laws, regulations or rulings, or treaties, which change or amendment becomes effective on or after the date of issuance of the 2032 notes, the Issuer has or will become obligated to pay additional amounts with respect to the 2032 notes, then the Issuer has the option to redeem at any time, in whole, but not in part, the 2032 notes at a redemption price equal to 100% of the principal amount of the 2032 notes to be redeemed, plus any accrued and unpaid interest and additional amounts to, but not including, the redemption date</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Minimum Denomination:</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pPr>
            <w:r>
              <w:rPr/>
              <w:t>100,000 and integral multiples of 1,000 in excess thereof</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ISIN/Common Code/CUSIP:</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pPr>
            <w:r>
              <w:rPr/>
              <w:t>XS3486716775 / 348671677 / 14040H DR3</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Paying Agent:</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pPr>
            <w:r>
              <w:rPr/>
              <w:t>The Bank of New York Mellon, London Branch.</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Listing:</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pPr>
            <w:r>
              <w:rPr/>
              <w:t>The Issuer intends to apply to list the 2032 notes on the New York Stock Exchange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373"/>
        <w:gridCol w:w="123"/>
        <w:gridCol w:w="7709"/>
      </w:tblGrid>
      <w:tr>
        <w:trPr/>
        <w:tc>
          <w:tcPr>
            <w:tcW w:w="237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709" w:type="dxa"/>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u w:val="single"/>
              </w:rPr>
            </w:pPr>
            <w:r>
              <w:rPr>
                <w:b/>
                <w:u w:val="single"/>
              </w:rPr>
              <w:t>750,000,000 4.832% FIXED-TO-FLOATING RATE SENIOR NOTES DUE 2037</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Security:</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4.832% Fixed-to-Floating Rate Senior notes due 2037 (the “2037 notes,” together with the 2032 notes, the “notes”)</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Principal Amount:</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EUR 750,000,000</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Net Proceeds to Issuer (before expenses):</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EUR 746,625,000</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Maturity Date:</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September 15, 2037</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Interest Reset Date:</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September 15, 2036</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Fixed Rate Period:</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From and including September 15, 2026 to but excluding the Interest Reset Date</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Floating Rate Period:</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From and including the Interest Reset Date to but excluding the Maturity Date</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Payment Frequency:</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Annually with respect to the Fixed Rate Period and quarterly with respect to the Floating Rate Period</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Day Count/Business Day Convention:</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Fixed Rate Period: Actual/Actual (ICMA); Following, Unadjusted </w:t>
            </w:r>
          </w:p>
          <w:p>
            <w:pPr>
              <w:pStyle w:val="TableContents"/>
              <w:bidi w:val="0"/>
              <w:spacing w:before="0" w:after="20"/>
              <w:jc w:val="left"/>
              <w:rPr>
                <w:rFonts w:ascii="Times New Roman" w:hAnsi="Times New Roman"/>
                <w:sz w:val="20"/>
              </w:rPr>
            </w:pPr>
            <w:r>
              <w:rPr>
                <w:rFonts w:ascii="Times New Roman" w:hAnsi="Times New Roman"/>
                <w:sz w:val="20"/>
              </w:rPr>
              <w:t>Floating Rate Period: Actual/360; Modified Following, Adjusted</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0"/>
              <w:jc w:val="left"/>
              <w:rPr>
                <w:rFonts w:ascii="Times New Roman" w:hAnsi="Times New Roman"/>
                <w:sz w:val="20"/>
              </w:rPr>
            </w:pPr>
            <w:r>
              <w:rPr>
                <w:rFonts w:ascii="Times New Roman" w:hAnsi="Times New Roman"/>
                <w:sz w:val="20"/>
              </w:rPr>
              <w:t>Fixed Rate Period</w:t>
            </w:r>
          </w:p>
          <w:p>
            <w:pPr>
              <w:pStyle w:val="TableContents"/>
              <w:bidi w:val="0"/>
              <w:spacing w:before="0" w:after="20"/>
              <w:jc w:val="left"/>
              <w:rPr>
                <w:rFonts w:ascii="Times New Roman" w:hAnsi="Times New Roman"/>
                <w:sz w:val="20"/>
              </w:rPr>
            </w:pPr>
            <w:r>
              <w:rPr>
                <w:rFonts w:ascii="Times New Roman" w:hAnsi="Times New Roman"/>
                <w:sz w:val="20"/>
              </w:rPr>
              <w:t>Interest Payment Dates:</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Annually in arrears on each September 15, commencing on September 15, 2027 and ending on September 15, 2036</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Benchmark Security:</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DBR 3.000% Notes due August 15, 2036</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0"/>
              <w:jc w:val="left"/>
              <w:rPr>
                <w:rFonts w:ascii="Times New Roman" w:hAnsi="Times New Roman"/>
                <w:sz w:val="20"/>
              </w:rPr>
            </w:pPr>
            <w:r>
              <w:rPr>
                <w:rFonts w:ascii="Times New Roman" w:hAnsi="Times New Roman"/>
                <w:sz w:val="20"/>
              </w:rPr>
              <w:t>Benchmark Security Price</w:t>
            </w:r>
          </w:p>
          <w:p>
            <w:pPr>
              <w:pStyle w:val="TableContents"/>
              <w:bidi w:val="0"/>
              <w:spacing w:before="0" w:after="20"/>
              <w:jc w:val="left"/>
              <w:rPr>
                <w:rFonts w:ascii="Times New Roman" w:hAnsi="Times New Roman"/>
                <w:sz w:val="20"/>
              </w:rPr>
            </w:pPr>
            <w:r>
              <w:rPr>
                <w:rFonts w:ascii="Times New Roman" w:hAnsi="Times New Roman"/>
                <w:sz w:val="20"/>
              </w:rPr>
              <w:t>and Yield:</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96.50; 3.420%</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Spread to Benchmark Security:</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+141.2 bps</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Yield to Maturity:</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4.832%</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Mid-Swap Yield:</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3.452%</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Spread to Mid-Swap Yield:</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+138 bps</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Fixed Rate Period Coupon:</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4.832% per annum</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Price to Public:</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100.000% of principal amount</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7832"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pPr>
            <w:r>
              <w:rPr/>
              <w:t>Floating Rate Period Interest Rate:</w:t>
            </w:r>
          </w:p>
        </w:tc>
        <w:tc>
          <w:tcPr>
            <w:tcW w:w="123" w:type="dxa"/>
            <w:tcBorders/>
            <w:vAlign w:val="bottom"/>
          </w:tcPr>
          <w:p>
            <w:pPr>
              <w:pStyle w:val="TableContents"/>
              <w:bidi w:val="0"/>
              <w:spacing w:before="0" w:after="283"/>
              <w:jc w:val="left"/>
              <w:rPr/>
            </w:pPr>
            <w:r>
              <w:rPr/>
              <w:t>  </w:t>
            </w:r>
          </w:p>
        </w:tc>
        <w:tc>
          <w:tcPr>
            <w:tcW w:w="7709" w:type="dxa"/>
            <w:tcBorders/>
          </w:tcPr>
          <w:p>
            <w:pPr>
              <w:pStyle w:val="TableContents"/>
              <w:bidi w:val="0"/>
              <w:spacing w:before="0" w:after="283"/>
              <w:jc w:val="left"/>
              <w:rPr/>
            </w:pPr>
            <w:r>
              <w:rPr/>
              <w:t>Base Rate plus the Spread payable quarterly in arrears during the Floating Rate Period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376"/>
        <w:gridCol w:w="121"/>
        <w:gridCol w:w="7708"/>
      </w:tblGrid>
      <w:tr>
        <w:trPr/>
        <w:tc>
          <w:tcPr>
            <w:tcW w:w="23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08" w:type="dxa"/>
            <w:tcBorders/>
            <w:vAlign w:val="center"/>
          </w:tcPr>
          <w:p>
            <w:pPr>
              <w:pStyle w:val="TableContents"/>
              <w:bidi w:val="0"/>
              <w:spacing w:before="0" w:after="283"/>
              <w:jc w:val="left"/>
              <w:rPr>
                <w:sz w:val="4"/>
                <w:szCs w:val="4"/>
              </w:rPr>
            </w:pPr>
            <w:r>
              <w:rPr>
                <w:sz w:val="4"/>
                <w:szCs w:val="4"/>
              </w:rPr>
            </w:r>
          </w:p>
        </w:tc>
      </w:tr>
      <w:tr>
        <w:trPr/>
        <w:tc>
          <w:tcPr>
            <w:tcW w:w="2376" w:type="dxa"/>
            <w:tcBorders/>
          </w:tcPr>
          <w:p>
            <w:pPr>
              <w:pStyle w:val="TableContents"/>
              <w:bidi w:val="0"/>
              <w:spacing w:before="0" w:after="283"/>
              <w:jc w:val="left"/>
              <w:rPr/>
            </w:pPr>
            <w:r>
              <w:rPr/>
              <w:t>Base Rate:</w:t>
            </w:r>
          </w:p>
        </w:tc>
        <w:tc>
          <w:tcPr>
            <w:tcW w:w="121" w:type="dxa"/>
            <w:tcBorders/>
            <w:vAlign w:val="bottom"/>
          </w:tcPr>
          <w:p>
            <w:pPr>
              <w:pStyle w:val="TableContents"/>
              <w:bidi w:val="0"/>
              <w:spacing w:before="0" w:after="283"/>
              <w:jc w:val="left"/>
              <w:rPr/>
            </w:pPr>
            <w:r>
              <w:rPr/>
              <w:t>  </w:t>
            </w:r>
          </w:p>
        </w:tc>
        <w:tc>
          <w:tcPr>
            <w:tcW w:w="7708" w:type="dxa"/>
            <w:tcBorders/>
          </w:tcPr>
          <w:p>
            <w:pPr>
              <w:pStyle w:val="TableContents"/>
              <w:bidi w:val="0"/>
              <w:spacing w:before="0" w:after="283"/>
              <w:jc w:val="left"/>
              <w:rPr/>
            </w:pPr>
            <w:r>
              <w:rPr/>
              <w:t>EURIBOR determined for each quarterly Floating Rate Interest Payment Period, in accordance with the terms and provisions set forth under “</w:t>
            </w:r>
            <w:r>
              <w:rPr>
                <w:i/>
              </w:rPr>
              <w:t>Description of the Notes—Floating Rate Period Interest Rates”</w:t>
            </w:r>
            <w:r>
              <w:rPr/>
              <w:t> in the Preliminary Prospectus Supplement (as defined below)</w:t>
            </w:r>
          </w:p>
        </w:tc>
      </w:tr>
      <w:tr>
        <w:trPr>
          <w:trHeight w:val="120" w:hRule="atLeast"/>
        </w:trPr>
        <w:tc>
          <w:tcPr>
            <w:tcW w:w="2376" w:type="dxa"/>
            <w:tcBorders/>
            <w:vAlign w:val="center"/>
          </w:tcPr>
          <w:p>
            <w:pPr>
              <w:pStyle w:val="TableContents"/>
              <w:bidi w:val="0"/>
              <w:spacing w:before="0" w:after="283"/>
              <w:jc w:val="left"/>
              <w:rPr>
                <w:sz w:val="4"/>
                <w:szCs w:val="4"/>
              </w:rPr>
            </w:pPr>
            <w:r>
              <w:rPr>
                <w:sz w:val="4"/>
                <w:szCs w:val="4"/>
              </w:rPr>
            </w:r>
          </w:p>
        </w:tc>
        <w:tc>
          <w:tcPr>
            <w:tcW w:w="7829" w:type="dxa"/>
            <w:gridSpan w:val="2"/>
            <w:tcBorders/>
            <w:vAlign w:val="center"/>
          </w:tcPr>
          <w:p>
            <w:pPr>
              <w:pStyle w:val="TableContents"/>
              <w:bidi w:val="0"/>
              <w:spacing w:before="0" w:after="283"/>
              <w:jc w:val="left"/>
              <w:rPr>
                <w:sz w:val="4"/>
                <w:szCs w:val="4"/>
              </w:rPr>
            </w:pPr>
            <w:r>
              <w:rPr>
                <w:sz w:val="4"/>
                <w:szCs w:val="4"/>
              </w:rPr>
            </w:r>
          </w:p>
        </w:tc>
      </w:tr>
      <w:tr>
        <w:trPr/>
        <w:tc>
          <w:tcPr>
            <w:tcW w:w="2376" w:type="dxa"/>
            <w:tcBorders/>
          </w:tcPr>
          <w:p>
            <w:pPr>
              <w:pStyle w:val="TableContents"/>
              <w:bidi w:val="0"/>
              <w:spacing w:before="0" w:after="283"/>
              <w:jc w:val="left"/>
              <w:rPr/>
            </w:pPr>
            <w:r>
              <w:rPr/>
              <w:t>Index Maturity:</w:t>
            </w:r>
          </w:p>
        </w:tc>
        <w:tc>
          <w:tcPr>
            <w:tcW w:w="121" w:type="dxa"/>
            <w:tcBorders/>
            <w:vAlign w:val="bottom"/>
          </w:tcPr>
          <w:p>
            <w:pPr>
              <w:pStyle w:val="TableContents"/>
              <w:bidi w:val="0"/>
              <w:spacing w:before="0" w:after="283"/>
              <w:jc w:val="left"/>
              <w:rPr/>
            </w:pPr>
            <w:r>
              <w:rPr/>
              <w:t>  </w:t>
            </w:r>
          </w:p>
        </w:tc>
        <w:tc>
          <w:tcPr>
            <w:tcW w:w="7708" w:type="dxa"/>
            <w:tcBorders/>
          </w:tcPr>
          <w:p>
            <w:pPr>
              <w:pStyle w:val="TableContents"/>
              <w:bidi w:val="0"/>
              <w:spacing w:before="0" w:after="283"/>
              <w:jc w:val="left"/>
              <w:rPr/>
            </w:pPr>
            <w:r>
              <w:rPr/>
              <w:t>Three months</w:t>
            </w:r>
          </w:p>
        </w:tc>
      </w:tr>
      <w:tr>
        <w:trPr>
          <w:trHeight w:val="120" w:hRule="atLeast"/>
        </w:trPr>
        <w:tc>
          <w:tcPr>
            <w:tcW w:w="2376" w:type="dxa"/>
            <w:tcBorders/>
            <w:vAlign w:val="center"/>
          </w:tcPr>
          <w:p>
            <w:pPr>
              <w:pStyle w:val="TableContents"/>
              <w:bidi w:val="0"/>
              <w:spacing w:before="0" w:after="283"/>
              <w:jc w:val="left"/>
              <w:rPr>
                <w:sz w:val="4"/>
                <w:szCs w:val="4"/>
              </w:rPr>
            </w:pPr>
            <w:r>
              <w:rPr>
                <w:sz w:val="4"/>
                <w:szCs w:val="4"/>
              </w:rPr>
            </w:r>
          </w:p>
        </w:tc>
        <w:tc>
          <w:tcPr>
            <w:tcW w:w="7829" w:type="dxa"/>
            <w:gridSpan w:val="2"/>
            <w:tcBorders/>
            <w:vAlign w:val="center"/>
          </w:tcPr>
          <w:p>
            <w:pPr>
              <w:pStyle w:val="TableContents"/>
              <w:bidi w:val="0"/>
              <w:spacing w:before="0" w:after="283"/>
              <w:jc w:val="left"/>
              <w:rPr>
                <w:sz w:val="4"/>
                <w:szCs w:val="4"/>
              </w:rPr>
            </w:pPr>
            <w:r>
              <w:rPr>
                <w:sz w:val="4"/>
                <w:szCs w:val="4"/>
              </w:rPr>
            </w:r>
          </w:p>
        </w:tc>
      </w:tr>
      <w:tr>
        <w:trPr/>
        <w:tc>
          <w:tcPr>
            <w:tcW w:w="2376" w:type="dxa"/>
            <w:tcBorders/>
          </w:tcPr>
          <w:p>
            <w:pPr>
              <w:pStyle w:val="TableContents"/>
              <w:bidi w:val="0"/>
              <w:spacing w:before="0" w:after="283"/>
              <w:jc w:val="left"/>
              <w:rPr/>
            </w:pPr>
            <w:r>
              <w:rPr/>
              <w:t>Spread (Plus or Minus):</w:t>
            </w:r>
          </w:p>
        </w:tc>
        <w:tc>
          <w:tcPr>
            <w:tcW w:w="121" w:type="dxa"/>
            <w:tcBorders/>
            <w:vAlign w:val="bottom"/>
          </w:tcPr>
          <w:p>
            <w:pPr>
              <w:pStyle w:val="TableContents"/>
              <w:bidi w:val="0"/>
              <w:spacing w:before="0" w:after="283"/>
              <w:jc w:val="left"/>
              <w:rPr/>
            </w:pPr>
            <w:r>
              <w:rPr/>
              <w:t>  </w:t>
            </w:r>
          </w:p>
        </w:tc>
        <w:tc>
          <w:tcPr>
            <w:tcW w:w="7708" w:type="dxa"/>
            <w:tcBorders/>
          </w:tcPr>
          <w:p>
            <w:pPr>
              <w:pStyle w:val="TableContents"/>
              <w:bidi w:val="0"/>
              <w:spacing w:before="0" w:after="283"/>
              <w:jc w:val="left"/>
              <w:rPr/>
            </w:pPr>
            <w:r>
              <w:rPr/>
              <w:t>Plus 145.1 bps</w:t>
            </w:r>
          </w:p>
        </w:tc>
      </w:tr>
      <w:tr>
        <w:trPr>
          <w:trHeight w:val="120" w:hRule="atLeast"/>
        </w:trPr>
        <w:tc>
          <w:tcPr>
            <w:tcW w:w="2376" w:type="dxa"/>
            <w:tcBorders/>
            <w:vAlign w:val="center"/>
          </w:tcPr>
          <w:p>
            <w:pPr>
              <w:pStyle w:val="TableContents"/>
              <w:bidi w:val="0"/>
              <w:spacing w:before="0" w:after="283"/>
              <w:jc w:val="left"/>
              <w:rPr>
                <w:sz w:val="4"/>
                <w:szCs w:val="4"/>
              </w:rPr>
            </w:pPr>
            <w:r>
              <w:rPr>
                <w:sz w:val="4"/>
                <w:szCs w:val="4"/>
              </w:rPr>
            </w:r>
          </w:p>
        </w:tc>
        <w:tc>
          <w:tcPr>
            <w:tcW w:w="7829" w:type="dxa"/>
            <w:gridSpan w:val="2"/>
            <w:tcBorders/>
            <w:vAlign w:val="center"/>
          </w:tcPr>
          <w:p>
            <w:pPr>
              <w:pStyle w:val="TableContents"/>
              <w:bidi w:val="0"/>
              <w:spacing w:before="0" w:after="283"/>
              <w:jc w:val="left"/>
              <w:rPr>
                <w:sz w:val="4"/>
                <w:szCs w:val="4"/>
              </w:rPr>
            </w:pPr>
            <w:r>
              <w:rPr>
                <w:sz w:val="4"/>
                <w:szCs w:val="4"/>
              </w:rPr>
            </w:r>
          </w:p>
        </w:tc>
      </w:tr>
      <w:tr>
        <w:trPr/>
        <w:tc>
          <w:tcPr>
            <w:tcW w:w="2376" w:type="dxa"/>
            <w:tcBorders/>
          </w:tcPr>
          <w:p>
            <w:pPr>
              <w:pStyle w:val="TableContents"/>
              <w:bidi w:val="0"/>
              <w:spacing w:before="0" w:after="283"/>
              <w:jc w:val="left"/>
              <w:rPr/>
            </w:pPr>
            <w:r>
              <w:rPr/>
              <w:t>Floating Rate Interest Payment Periods:</w:t>
            </w:r>
          </w:p>
        </w:tc>
        <w:tc>
          <w:tcPr>
            <w:tcW w:w="121" w:type="dxa"/>
            <w:tcBorders/>
            <w:vAlign w:val="bottom"/>
          </w:tcPr>
          <w:p>
            <w:pPr>
              <w:pStyle w:val="TableContents"/>
              <w:bidi w:val="0"/>
              <w:spacing w:before="0" w:after="283"/>
              <w:jc w:val="left"/>
              <w:rPr/>
            </w:pPr>
            <w:r>
              <w:rPr/>
              <w:t>  </w:t>
            </w:r>
          </w:p>
        </w:tc>
        <w:tc>
          <w:tcPr>
            <w:tcW w:w="7708" w:type="dxa"/>
            <w:tcBorders/>
          </w:tcPr>
          <w:p>
            <w:pPr>
              <w:pStyle w:val="TableContents"/>
              <w:bidi w:val="0"/>
              <w:spacing w:before="0" w:after="283"/>
              <w:jc w:val="left"/>
              <w:rPr/>
            </w:pPr>
            <w:r>
              <w:rPr/>
              <w:t>Quarterly; with respect to a Floating Rate Interest Payment Date, the period from and including the most recent Floating Rate Interest Payment Date (or from and including the Interest Reset Date in the case of the first Floating Rate Interest Payment Period) to but excluding the next succeeding Floating Rate Interest Payment Date</w:t>
            </w:r>
          </w:p>
        </w:tc>
      </w:tr>
      <w:tr>
        <w:trPr>
          <w:trHeight w:val="120" w:hRule="atLeast"/>
        </w:trPr>
        <w:tc>
          <w:tcPr>
            <w:tcW w:w="2376" w:type="dxa"/>
            <w:tcBorders/>
            <w:vAlign w:val="center"/>
          </w:tcPr>
          <w:p>
            <w:pPr>
              <w:pStyle w:val="TableContents"/>
              <w:bidi w:val="0"/>
              <w:spacing w:before="0" w:after="283"/>
              <w:jc w:val="left"/>
              <w:rPr>
                <w:sz w:val="4"/>
                <w:szCs w:val="4"/>
              </w:rPr>
            </w:pPr>
            <w:r>
              <w:rPr>
                <w:sz w:val="4"/>
                <w:szCs w:val="4"/>
              </w:rPr>
            </w:r>
          </w:p>
        </w:tc>
        <w:tc>
          <w:tcPr>
            <w:tcW w:w="7829" w:type="dxa"/>
            <w:gridSpan w:val="2"/>
            <w:tcBorders/>
            <w:vAlign w:val="center"/>
          </w:tcPr>
          <w:p>
            <w:pPr>
              <w:pStyle w:val="TableContents"/>
              <w:bidi w:val="0"/>
              <w:spacing w:before="0" w:after="283"/>
              <w:jc w:val="left"/>
              <w:rPr>
                <w:sz w:val="4"/>
                <w:szCs w:val="4"/>
              </w:rPr>
            </w:pPr>
            <w:r>
              <w:rPr>
                <w:sz w:val="4"/>
                <w:szCs w:val="4"/>
              </w:rPr>
            </w:r>
          </w:p>
        </w:tc>
      </w:tr>
      <w:tr>
        <w:trPr/>
        <w:tc>
          <w:tcPr>
            <w:tcW w:w="2376" w:type="dxa"/>
            <w:tcBorders/>
          </w:tcPr>
          <w:p>
            <w:pPr>
              <w:pStyle w:val="TableContents"/>
              <w:bidi w:val="0"/>
              <w:spacing w:before="0" w:after="0"/>
              <w:jc w:val="left"/>
              <w:rPr>
                <w:rFonts w:ascii="Times New Roman" w:hAnsi="Times New Roman"/>
                <w:sz w:val="20"/>
              </w:rPr>
            </w:pPr>
            <w:r>
              <w:rPr>
                <w:rFonts w:ascii="Times New Roman" w:hAnsi="Times New Roman"/>
                <w:sz w:val="20"/>
              </w:rPr>
              <w:t>Floating Rate Interest</w:t>
            </w:r>
          </w:p>
          <w:p>
            <w:pPr>
              <w:pStyle w:val="TableContents"/>
              <w:bidi w:val="0"/>
              <w:spacing w:before="0" w:after="20"/>
              <w:jc w:val="left"/>
              <w:rPr>
                <w:rFonts w:ascii="Times New Roman" w:hAnsi="Times New Roman"/>
                <w:sz w:val="20"/>
              </w:rPr>
            </w:pPr>
            <w:r>
              <w:rPr>
                <w:rFonts w:ascii="Times New Roman" w:hAnsi="Times New Roman"/>
                <w:sz w:val="20"/>
              </w:rPr>
              <w:t>Determination Date:</w:t>
            </w:r>
          </w:p>
        </w:tc>
        <w:tc>
          <w:tcPr>
            <w:tcW w:w="121" w:type="dxa"/>
            <w:tcBorders/>
            <w:vAlign w:val="bottom"/>
          </w:tcPr>
          <w:p>
            <w:pPr>
              <w:pStyle w:val="TableContents"/>
              <w:bidi w:val="0"/>
              <w:spacing w:before="0" w:after="283"/>
              <w:jc w:val="left"/>
              <w:rPr/>
            </w:pPr>
            <w:r>
              <w:rPr/>
              <w:t>  </w:t>
            </w:r>
          </w:p>
        </w:tc>
        <w:tc>
          <w:tcPr>
            <w:tcW w:w="7708" w:type="dxa"/>
            <w:tcBorders/>
          </w:tcPr>
          <w:p>
            <w:pPr>
              <w:pStyle w:val="TableContents"/>
              <w:bidi w:val="0"/>
              <w:spacing w:before="0" w:after="283"/>
              <w:jc w:val="left"/>
              <w:rPr/>
            </w:pPr>
            <w:r>
              <w:rPr/>
              <w:t>The second T2 Business Day prior to the first day of each applicable Floating Rate Interest Payment Period</w:t>
            </w:r>
          </w:p>
        </w:tc>
      </w:tr>
      <w:tr>
        <w:trPr>
          <w:trHeight w:val="120" w:hRule="atLeast"/>
        </w:trPr>
        <w:tc>
          <w:tcPr>
            <w:tcW w:w="2376" w:type="dxa"/>
            <w:tcBorders/>
            <w:vAlign w:val="center"/>
          </w:tcPr>
          <w:p>
            <w:pPr>
              <w:pStyle w:val="TableContents"/>
              <w:bidi w:val="0"/>
              <w:spacing w:before="0" w:after="283"/>
              <w:jc w:val="left"/>
              <w:rPr>
                <w:sz w:val="4"/>
                <w:szCs w:val="4"/>
              </w:rPr>
            </w:pPr>
            <w:r>
              <w:rPr>
                <w:sz w:val="4"/>
                <w:szCs w:val="4"/>
              </w:rPr>
            </w:r>
          </w:p>
        </w:tc>
        <w:tc>
          <w:tcPr>
            <w:tcW w:w="7829" w:type="dxa"/>
            <w:gridSpan w:val="2"/>
            <w:tcBorders/>
            <w:vAlign w:val="center"/>
          </w:tcPr>
          <w:p>
            <w:pPr>
              <w:pStyle w:val="TableContents"/>
              <w:bidi w:val="0"/>
              <w:spacing w:before="0" w:after="283"/>
              <w:jc w:val="left"/>
              <w:rPr>
                <w:sz w:val="4"/>
                <w:szCs w:val="4"/>
              </w:rPr>
            </w:pPr>
            <w:r>
              <w:rPr>
                <w:sz w:val="4"/>
                <w:szCs w:val="4"/>
              </w:rPr>
            </w:r>
          </w:p>
        </w:tc>
      </w:tr>
      <w:tr>
        <w:trPr/>
        <w:tc>
          <w:tcPr>
            <w:tcW w:w="2376" w:type="dxa"/>
            <w:tcBorders/>
          </w:tcPr>
          <w:p>
            <w:pPr>
              <w:pStyle w:val="TableContents"/>
              <w:bidi w:val="0"/>
              <w:spacing w:before="0" w:after="0"/>
              <w:jc w:val="left"/>
              <w:rPr>
                <w:rFonts w:ascii="Times New Roman" w:hAnsi="Times New Roman"/>
                <w:sz w:val="20"/>
              </w:rPr>
            </w:pPr>
            <w:r>
              <w:rPr>
                <w:rFonts w:ascii="Times New Roman" w:hAnsi="Times New Roman"/>
                <w:sz w:val="20"/>
              </w:rPr>
              <w:t>Floating Rate Interest</w:t>
            </w:r>
          </w:p>
          <w:p>
            <w:pPr>
              <w:pStyle w:val="TableContents"/>
              <w:bidi w:val="0"/>
              <w:spacing w:before="0" w:after="20"/>
              <w:jc w:val="left"/>
              <w:rPr>
                <w:rFonts w:ascii="Times New Roman" w:hAnsi="Times New Roman"/>
                <w:sz w:val="20"/>
              </w:rPr>
            </w:pPr>
            <w:r>
              <w:rPr>
                <w:rFonts w:ascii="Times New Roman" w:hAnsi="Times New Roman"/>
                <w:sz w:val="20"/>
              </w:rPr>
              <w:t>Payment Dates:</w:t>
            </w:r>
          </w:p>
        </w:tc>
        <w:tc>
          <w:tcPr>
            <w:tcW w:w="121" w:type="dxa"/>
            <w:tcBorders/>
            <w:vAlign w:val="bottom"/>
          </w:tcPr>
          <w:p>
            <w:pPr>
              <w:pStyle w:val="TableContents"/>
              <w:bidi w:val="0"/>
              <w:spacing w:before="0" w:after="283"/>
              <w:jc w:val="left"/>
              <w:rPr/>
            </w:pPr>
            <w:r>
              <w:rPr/>
              <w:t>  </w:t>
            </w:r>
          </w:p>
        </w:tc>
        <w:tc>
          <w:tcPr>
            <w:tcW w:w="7708" w:type="dxa"/>
            <w:tcBorders/>
          </w:tcPr>
          <w:p>
            <w:pPr>
              <w:pStyle w:val="TableContents"/>
              <w:bidi w:val="0"/>
              <w:spacing w:before="0" w:after="283"/>
              <w:jc w:val="left"/>
              <w:rPr/>
            </w:pPr>
            <w:r>
              <w:rPr/>
              <w:t xml:space="preserve">Quarterly in arrears on each March 15, June 15, September 15 and December 15, beginning on December 15, 2036 and ending on the Maturity Date; </w:t>
            </w:r>
            <w:r>
              <w:rPr>
                <w:i/>
              </w:rPr>
              <w:t>provided</w:t>
            </w:r>
            <w:r>
              <w:rPr/>
              <w:t xml:space="preserve"> if the scheduled Maturity Date falls on a day that is not a business day, the payment of principal and interest will be made on the next succeeding business day, but interest on that payment will not accrue during the period from and after the scheduled Maturity Date</w:t>
            </w:r>
          </w:p>
        </w:tc>
      </w:tr>
      <w:tr>
        <w:trPr>
          <w:trHeight w:val="120" w:hRule="atLeast"/>
        </w:trPr>
        <w:tc>
          <w:tcPr>
            <w:tcW w:w="2376" w:type="dxa"/>
            <w:tcBorders/>
            <w:vAlign w:val="center"/>
          </w:tcPr>
          <w:p>
            <w:pPr>
              <w:pStyle w:val="TableContents"/>
              <w:bidi w:val="0"/>
              <w:spacing w:before="0" w:after="283"/>
              <w:jc w:val="left"/>
              <w:rPr>
                <w:sz w:val="4"/>
                <w:szCs w:val="4"/>
              </w:rPr>
            </w:pPr>
            <w:r>
              <w:rPr>
                <w:sz w:val="4"/>
                <w:szCs w:val="4"/>
              </w:rPr>
            </w:r>
          </w:p>
        </w:tc>
        <w:tc>
          <w:tcPr>
            <w:tcW w:w="7829" w:type="dxa"/>
            <w:gridSpan w:val="2"/>
            <w:tcBorders/>
            <w:vAlign w:val="center"/>
          </w:tcPr>
          <w:p>
            <w:pPr>
              <w:pStyle w:val="TableContents"/>
              <w:bidi w:val="0"/>
              <w:spacing w:before="0" w:after="283"/>
              <w:jc w:val="left"/>
              <w:rPr>
                <w:sz w:val="4"/>
                <w:szCs w:val="4"/>
              </w:rPr>
            </w:pPr>
            <w:r>
              <w:rPr>
                <w:sz w:val="4"/>
                <w:szCs w:val="4"/>
              </w:rPr>
            </w:r>
          </w:p>
        </w:tc>
      </w:tr>
      <w:tr>
        <w:trPr/>
        <w:tc>
          <w:tcPr>
            <w:tcW w:w="2376" w:type="dxa"/>
            <w:tcBorders/>
          </w:tcPr>
          <w:p>
            <w:pPr>
              <w:pStyle w:val="TableContents"/>
              <w:bidi w:val="0"/>
              <w:spacing w:before="0" w:after="283"/>
              <w:jc w:val="left"/>
              <w:rPr/>
            </w:pPr>
            <w:r>
              <w:rPr/>
              <w:t>Business Day:</w:t>
            </w:r>
          </w:p>
        </w:tc>
        <w:tc>
          <w:tcPr>
            <w:tcW w:w="121" w:type="dxa"/>
            <w:tcBorders/>
            <w:vAlign w:val="bottom"/>
          </w:tcPr>
          <w:p>
            <w:pPr>
              <w:pStyle w:val="TableContents"/>
              <w:bidi w:val="0"/>
              <w:spacing w:before="0" w:after="283"/>
              <w:jc w:val="left"/>
              <w:rPr/>
            </w:pPr>
            <w:r>
              <w:rPr/>
              <w:t>  </w:t>
            </w:r>
          </w:p>
        </w:tc>
        <w:tc>
          <w:tcPr>
            <w:tcW w:w="7708" w:type="dxa"/>
            <w:tcBorders/>
          </w:tcPr>
          <w:p>
            <w:pPr>
              <w:pStyle w:val="TableContents"/>
              <w:bidi w:val="0"/>
              <w:spacing w:before="0" w:after="283"/>
              <w:jc w:val="left"/>
              <w:rPr/>
            </w:pPr>
            <w:r>
              <w:rPr/>
              <w:t>New York, New York, Chicago, Illinois, McLean, Virginia, London, England and T2 system (or its successor)</w:t>
            </w:r>
          </w:p>
        </w:tc>
      </w:tr>
      <w:tr>
        <w:trPr>
          <w:trHeight w:val="120" w:hRule="atLeast"/>
        </w:trPr>
        <w:tc>
          <w:tcPr>
            <w:tcW w:w="2376" w:type="dxa"/>
            <w:tcBorders/>
            <w:vAlign w:val="center"/>
          </w:tcPr>
          <w:p>
            <w:pPr>
              <w:pStyle w:val="TableContents"/>
              <w:bidi w:val="0"/>
              <w:spacing w:before="0" w:after="283"/>
              <w:jc w:val="left"/>
              <w:rPr>
                <w:sz w:val="4"/>
                <w:szCs w:val="4"/>
              </w:rPr>
            </w:pPr>
            <w:r>
              <w:rPr>
                <w:sz w:val="4"/>
                <w:szCs w:val="4"/>
              </w:rPr>
            </w:r>
          </w:p>
        </w:tc>
        <w:tc>
          <w:tcPr>
            <w:tcW w:w="7829" w:type="dxa"/>
            <w:gridSpan w:val="2"/>
            <w:tcBorders/>
            <w:vAlign w:val="center"/>
          </w:tcPr>
          <w:p>
            <w:pPr>
              <w:pStyle w:val="TableContents"/>
              <w:bidi w:val="0"/>
              <w:spacing w:before="0" w:after="283"/>
              <w:jc w:val="left"/>
              <w:rPr>
                <w:sz w:val="4"/>
                <w:szCs w:val="4"/>
              </w:rPr>
            </w:pPr>
            <w:r>
              <w:rPr>
                <w:sz w:val="4"/>
                <w:szCs w:val="4"/>
              </w:rPr>
            </w:r>
          </w:p>
        </w:tc>
      </w:tr>
      <w:tr>
        <w:trPr/>
        <w:tc>
          <w:tcPr>
            <w:tcW w:w="2376" w:type="dxa"/>
            <w:tcBorders/>
          </w:tcPr>
          <w:p>
            <w:pPr>
              <w:pStyle w:val="TableContents"/>
              <w:bidi w:val="0"/>
              <w:spacing w:before="0" w:after="283"/>
              <w:jc w:val="left"/>
              <w:rPr/>
            </w:pPr>
            <w:r>
              <w:rPr/>
              <w:t>Optional Redemption:</w:t>
            </w:r>
          </w:p>
        </w:tc>
        <w:tc>
          <w:tcPr>
            <w:tcW w:w="121" w:type="dxa"/>
            <w:tcBorders/>
            <w:vAlign w:val="bottom"/>
          </w:tcPr>
          <w:p>
            <w:pPr>
              <w:pStyle w:val="TableContents"/>
              <w:bidi w:val="0"/>
              <w:spacing w:before="0" w:after="283"/>
              <w:jc w:val="left"/>
              <w:rPr/>
            </w:pPr>
            <w:r>
              <w:rPr/>
              <w:t>  </w:t>
            </w:r>
          </w:p>
        </w:tc>
        <w:tc>
          <w:tcPr>
            <w:tcW w:w="7708" w:type="dxa"/>
            <w:tcBorders/>
          </w:tcPr>
          <w:p>
            <w:pPr>
              <w:pStyle w:val="TableContents"/>
              <w:bidi w:val="0"/>
              <w:spacing w:before="0" w:after="283"/>
              <w:jc w:val="left"/>
              <w:rPr/>
            </w:pPr>
            <w:r>
              <w:rPr/>
              <w:t>The Issuer may redeem the 2037 notes at its option on September 15, 2036 (which is the date that is one year prior to the Maturity Date), in whole but not in part, at a redemption price equal to 100% of the principal amount of the 2037 notes to be redeemed, plus accrued and unpaid interest thereon to the redemption date upon not less than 15 nor more than 60 days’ prior notice given to the holders of the 2037 notes to be redeemed</w:t>
            </w:r>
          </w:p>
        </w:tc>
      </w:tr>
      <w:tr>
        <w:trPr>
          <w:trHeight w:val="120" w:hRule="atLeast"/>
        </w:trPr>
        <w:tc>
          <w:tcPr>
            <w:tcW w:w="2376" w:type="dxa"/>
            <w:tcBorders/>
            <w:vAlign w:val="center"/>
          </w:tcPr>
          <w:p>
            <w:pPr>
              <w:pStyle w:val="TableContents"/>
              <w:bidi w:val="0"/>
              <w:spacing w:before="0" w:after="283"/>
              <w:jc w:val="left"/>
              <w:rPr>
                <w:sz w:val="4"/>
                <w:szCs w:val="4"/>
              </w:rPr>
            </w:pPr>
            <w:r>
              <w:rPr>
                <w:sz w:val="4"/>
                <w:szCs w:val="4"/>
              </w:rPr>
            </w:r>
          </w:p>
        </w:tc>
        <w:tc>
          <w:tcPr>
            <w:tcW w:w="7829" w:type="dxa"/>
            <w:gridSpan w:val="2"/>
            <w:tcBorders/>
            <w:vAlign w:val="center"/>
          </w:tcPr>
          <w:p>
            <w:pPr>
              <w:pStyle w:val="TableContents"/>
              <w:bidi w:val="0"/>
              <w:spacing w:before="0" w:after="283"/>
              <w:jc w:val="left"/>
              <w:rPr>
                <w:sz w:val="4"/>
                <w:szCs w:val="4"/>
              </w:rPr>
            </w:pPr>
            <w:r>
              <w:rPr>
                <w:sz w:val="4"/>
                <w:szCs w:val="4"/>
              </w:rPr>
            </w:r>
          </w:p>
        </w:tc>
      </w:tr>
      <w:tr>
        <w:trPr/>
        <w:tc>
          <w:tcPr>
            <w:tcW w:w="2376" w:type="dxa"/>
            <w:tcBorders/>
          </w:tcPr>
          <w:p>
            <w:pPr>
              <w:pStyle w:val="TableContents"/>
              <w:bidi w:val="0"/>
              <w:spacing w:before="0" w:after="283"/>
              <w:jc w:val="left"/>
              <w:rPr/>
            </w:pPr>
            <w:r>
              <w:rPr/>
              <w:t>Redemption for Tax Reasons:</w:t>
            </w:r>
          </w:p>
        </w:tc>
        <w:tc>
          <w:tcPr>
            <w:tcW w:w="121" w:type="dxa"/>
            <w:tcBorders/>
            <w:vAlign w:val="bottom"/>
          </w:tcPr>
          <w:p>
            <w:pPr>
              <w:pStyle w:val="TableContents"/>
              <w:bidi w:val="0"/>
              <w:spacing w:before="0" w:after="283"/>
              <w:jc w:val="left"/>
              <w:rPr/>
            </w:pPr>
            <w:r>
              <w:rPr/>
              <w:t>  </w:t>
            </w:r>
          </w:p>
        </w:tc>
        <w:tc>
          <w:tcPr>
            <w:tcW w:w="7708" w:type="dxa"/>
            <w:tcBorders/>
          </w:tcPr>
          <w:p>
            <w:pPr>
              <w:pStyle w:val="TableContents"/>
              <w:bidi w:val="0"/>
              <w:spacing w:before="0" w:after="283"/>
              <w:jc w:val="left"/>
              <w:rPr/>
            </w:pPr>
            <w:r>
              <w:rPr/>
              <w:t>If the Issuer determines that, as a result of any change in, or amendment to, the laws (or any regulations or rulings promulgated thereunder) of the United States or of any political subdivision or taxing authority thereof or therein, or any income tax treaty, or any change in, or amendment to, an official position regarding the application or interpretation of such laws, regulations or rulings, or treaties, which change or amendment becomes effective on or after the date of issuance of the 2037 notes, the Issuer has or will become obligated to pay additional amounts with respect to the 2037 notes, then the Issuer has the option to redeem at any time, in whole, but not in part, the 2037 notes at a redemption price equal to 100% of the principal amount of the 2037 notes to be redeemed, plus any accrued and unpaid interest and additional amounts to, but not including, the redemption 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391"/>
        <w:gridCol w:w="120"/>
        <w:gridCol w:w="7694"/>
      </w:tblGrid>
      <w:tr>
        <w:trPr/>
        <w:tc>
          <w:tcPr>
            <w:tcW w:w="239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94" w:type="dxa"/>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Minimum Denomination:</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pPr>
            <w:r>
              <w:rPr/>
              <w:t>100,000 and integral multiples of 1,000 in excess thereof</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ISIN/Common Code/CUSIP:</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pPr>
            <w:r>
              <w:rPr/>
              <w:t>XS3486716858 / 348671685 / 14040H DS1</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Paying Agent:</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pPr>
            <w:r>
              <w:rPr/>
              <w:t>The Bank of New York Mellon, London Branch.</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Listing:</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pPr>
            <w:r>
              <w:rPr/>
              <w:t>The Issuer intends to apply to list the 2037 notes on the New York Stock Exchange.</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OTHER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14"/>
        <w:gridCol w:w="122"/>
        <w:gridCol w:w="7669"/>
      </w:tblGrid>
      <w:tr>
        <w:trPr/>
        <w:tc>
          <w:tcPr>
            <w:tcW w:w="241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669" w:type="dxa"/>
            <w:tcBorders/>
            <w:vAlign w:val="center"/>
          </w:tcPr>
          <w:p>
            <w:pPr>
              <w:pStyle w:val="TableContents"/>
              <w:bidi w:val="0"/>
              <w:spacing w:before="0" w:after="283"/>
              <w:jc w:val="left"/>
              <w:rPr>
                <w:sz w:val="4"/>
                <w:szCs w:val="4"/>
              </w:rPr>
            </w:pPr>
            <w:r>
              <w:rPr>
                <w:sz w:val="4"/>
                <w:szCs w:val="4"/>
              </w:rPr>
            </w:r>
          </w:p>
        </w:tc>
      </w:tr>
      <w:tr>
        <w:trPr/>
        <w:tc>
          <w:tcPr>
            <w:tcW w:w="2414" w:type="dxa"/>
            <w:tcBorders/>
          </w:tcPr>
          <w:p>
            <w:pPr>
              <w:pStyle w:val="TableContents"/>
              <w:bidi w:val="0"/>
              <w:spacing w:before="0" w:after="283"/>
              <w:jc w:val="left"/>
              <w:rPr/>
            </w:pPr>
            <w:r>
              <w:rPr/>
              <w:t>Settlement:</w:t>
            </w:r>
          </w:p>
        </w:tc>
        <w:tc>
          <w:tcPr>
            <w:tcW w:w="122" w:type="dxa"/>
            <w:tcBorders/>
            <w:vAlign w:val="bottom"/>
          </w:tcPr>
          <w:p>
            <w:pPr>
              <w:pStyle w:val="TableContents"/>
              <w:bidi w:val="0"/>
              <w:spacing w:before="0" w:after="283"/>
              <w:jc w:val="left"/>
              <w:rPr/>
            </w:pPr>
            <w:r>
              <w:rPr/>
              <w:t>  </w:t>
            </w:r>
          </w:p>
        </w:tc>
        <w:tc>
          <w:tcPr>
            <w:tcW w:w="7669" w:type="dxa"/>
            <w:tcBorders/>
          </w:tcPr>
          <w:p>
            <w:pPr>
              <w:pStyle w:val="TableContents"/>
              <w:bidi w:val="0"/>
              <w:spacing w:before="0" w:after="283"/>
              <w:jc w:val="left"/>
              <w:rPr/>
            </w:pPr>
            <w:r>
              <w:rPr/>
              <w:t>Euroclear/Clearstream, Luxembourg</w:t>
            </w:r>
          </w:p>
        </w:tc>
      </w:tr>
      <w:tr>
        <w:trPr>
          <w:trHeight w:val="120" w:hRule="atLeast"/>
        </w:trPr>
        <w:tc>
          <w:tcPr>
            <w:tcW w:w="2414" w:type="dxa"/>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414" w:type="dxa"/>
            <w:tcBorders/>
          </w:tcPr>
          <w:p>
            <w:pPr>
              <w:pStyle w:val="TableContents"/>
              <w:bidi w:val="0"/>
              <w:spacing w:before="0" w:after="0"/>
              <w:jc w:val="left"/>
              <w:rPr>
                <w:rFonts w:ascii="Times New Roman" w:hAnsi="Times New Roman"/>
                <w:sz w:val="20"/>
              </w:rPr>
            </w:pPr>
            <w:r>
              <w:rPr>
                <w:rFonts w:ascii="Times New Roman" w:hAnsi="Times New Roman"/>
                <w:sz w:val="20"/>
              </w:rPr>
              <w:t>Prohibition of Sales to EEA</w:t>
            </w:r>
          </w:p>
          <w:p>
            <w:pPr>
              <w:pStyle w:val="TableContents"/>
              <w:bidi w:val="0"/>
              <w:spacing w:before="0" w:after="20"/>
              <w:jc w:val="left"/>
              <w:rPr>
                <w:rFonts w:ascii="Times New Roman" w:hAnsi="Times New Roman"/>
                <w:sz w:val="20"/>
              </w:rPr>
            </w:pPr>
            <w:r>
              <w:rPr>
                <w:rFonts w:ascii="Times New Roman" w:hAnsi="Times New Roman"/>
                <w:sz w:val="20"/>
              </w:rPr>
              <w:t>and UK Retail Investors:</w:t>
            </w:r>
          </w:p>
        </w:tc>
        <w:tc>
          <w:tcPr>
            <w:tcW w:w="122" w:type="dxa"/>
            <w:tcBorders/>
            <w:vAlign w:val="bottom"/>
          </w:tcPr>
          <w:p>
            <w:pPr>
              <w:pStyle w:val="TableContents"/>
              <w:bidi w:val="0"/>
              <w:spacing w:before="0" w:after="283"/>
              <w:jc w:val="left"/>
              <w:rPr/>
            </w:pPr>
            <w:r>
              <w:rPr/>
              <w:t>  </w:t>
            </w:r>
          </w:p>
        </w:tc>
        <w:tc>
          <w:tcPr>
            <w:tcW w:w="7669" w:type="dxa"/>
            <w:tcBorders/>
          </w:tcPr>
          <w:p>
            <w:pPr>
              <w:pStyle w:val="TableContents"/>
              <w:bidi w:val="0"/>
              <w:spacing w:before="0" w:after="283"/>
              <w:jc w:val="left"/>
              <w:rPr/>
            </w:pPr>
            <w:r>
              <w:rPr/>
              <w:t>Applicable</w:t>
            </w:r>
          </w:p>
        </w:tc>
      </w:tr>
      <w:tr>
        <w:trPr>
          <w:trHeight w:val="120" w:hRule="atLeast"/>
        </w:trPr>
        <w:tc>
          <w:tcPr>
            <w:tcW w:w="2414" w:type="dxa"/>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414" w:type="dxa"/>
            <w:tcBorders/>
          </w:tcPr>
          <w:p>
            <w:pPr>
              <w:pStyle w:val="TableContents"/>
              <w:bidi w:val="0"/>
              <w:spacing w:before="0" w:after="0"/>
              <w:jc w:val="left"/>
              <w:rPr>
                <w:rFonts w:ascii="Times New Roman" w:hAnsi="Times New Roman"/>
                <w:sz w:val="20"/>
              </w:rPr>
            </w:pPr>
            <w:r>
              <w:rPr>
                <w:rFonts w:ascii="Times New Roman" w:hAnsi="Times New Roman"/>
                <w:sz w:val="20"/>
              </w:rPr>
              <w:t>MiFID II Target Market and</w:t>
            </w:r>
          </w:p>
          <w:p>
            <w:pPr>
              <w:pStyle w:val="TableContents"/>
              <w:bidi w:val="0"/>
              <w:spacing w:before="0" w:after="20"/>
              <w:jc w:val="left"/>
              <w:rPr>
                <w:rFonts w:ascii="Times New Roman" w:hAnsi="Times New Roman"/>
                <w:sz w:val="20"/>
              </w:rPr>
            </w:pPr>
            <w:r>
              <w:rPr>
                <w:rFonts w:ascii="Times New Roman" w:hAnsi="Times New Roman"/>
                <w:sz w:val="20"/>
              </w:rPr>
              <w:t>PRIIPs Regulation:</w:t>
            </w:r>
          </w:p>
        </w:tc>
        <w:tc>
          <w:tcPr>
            <w:tcW w:w="122" w:type="dxa"/>
            <w:tcBorders/>
            <w:vAlign w:val="bottom"/>
          </w:tcPr>
          <w:p>
            <w:pPr>
              <w:pStyle w:val="TableContents"/>
              <w:bidi w:val="0"/>
              <w:spacing w:before="0" w:after="283"/>
              <w:jc w:val="left"/>
              <w:rPr/>
            </w:pPr>
            <w:r>
              <w:rPr/>
              <w:t>  </w:t>
            </w:r>
          </w:p>
        </w:tc>
        <w:tc>
          <w:tcPr>
            <w:tcW w:w="7669" w:type="dxa"/>
            <w:tcBorders/>
          </w:tcPr>
          <w:p>
            <w:pPr>
              <w:pStyle w:val="TableContents"/>
              <w:bidi w:val="0"/>
              <w:spacing w:before="0" w:after="283"/>
              <w:jc w:val="left"/>
              <w:rPr/>
            </w:pPr>
            <w:r>
              <w:rPr/>
              <w:t>MiFID II professionals / ECPs-only / No PRIIPs KID – Manufacturer target market (MiFID II product governance) is eligible counterparties and professional clients only (all distribution channels). No PRIIPs key information document (KID) has been prepared as not available to retail in the EEA.</w:t>
            </w:r>
          </w:p>
        </w:tc>
      </w:tr>
      <w:tr>
        <w:trPr>
          <w:trHeight w:val="120" w:hRule="atLeast"/>
        </w:trPr>
        <w:tc>
          <w:tcPr>
            <w:tcW w:w="2414" w:type="dxa"/>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414" w:type="dxa"/>
            <w:tcBorders/>
          </w:tcPr>
          <w:p>
            <w:pPr>
              <w:pStyle w:val="TableContents"/>
              <w:bidi w:val="0"/>
              <w:spacing w:before="0" w:after="283"/>
              <w:jc w:val="left"/>
              <w:rPr/>
            </w:pPr>
            <w:r>
              <w:rPr/>
              <w:t>UK MiFIR and FCA Product Disclosure Sourcebook (DISC):</w:t>
            </w:r>
          </w:p>
        </w:tc>
        <w:tc>
          <w:tcPr>
            <w:tcW w:w="122" w:type="dxa"/>
            <w:tcBorders/>
            <w:vAlign w:val="bottom"/>
          </w:tcPr>
          <w:p>
            <w:pPr>
              <w:pStyle w:val="TableContents"/>
              <w:bidi w:val="0"/>
              <w:spacing w:before="0" w:after="283"/>
              <w:jc w:val="left"/>
              <w:rPr/>
            </w:pPr>
            <w:r>
              <w:rPr/>
              <w:t>  </w:t>
            </w:r>
          </w:p>
        </w:tc>
        <w:tc>
          <w:tcPr>
            <w:tcW w:w="7669" w:type="dxa"/>
            <w:tcBorders/>
          </w:tcPr>
          <w:p>
            <w:pPr>
              <w:pStyle w:val="TableContents"/>
              <w:bidi w:val="0"/>
              <w:spacing w:before="0" w:after="283"/>
              <w:jc w:val="left"/>
              <w:rPr/>
            </w:pPr>
            <w:r>
              <w:rPr/>
              <w:t>UK MiFIR professionals / ECPs-only / No CCI disclosure document – Manufacturer target market (UK MiFIR product governance) is eligible counterparties and professional clients only (all distribution channels). No CCI disclosure document required by the FCA Product Disclosure Sourcebook has been prepared as not available to retail in the UK.</w:t>
            </w:r>
          </w:p>
        </w:tc>
      </w:tr>
      <w:tr>
        <w:trPr>
          <w:trHeight w:val="120" w:hRule="atLeast"/>
        </w:trPr>
        <w:tc>
          <w:tcPr>
            <w:tcW w:w="2414" w:type="dxa"/>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414" w:type="dxa"/>
            <w:tcBorders/>
          </w:tcPr>
          <w:p>
            <w:pPr>
              <w:pStyle w:val="TableContents"/>
              <w:bidi w:val="0"/>
              <w:spacing w:before="0" w:after="283"/>
              <w:jc w:val="left"/>
              <w:rPr/>
            </w:pPr>
            <w:r>
              <w:rPr/>
              <w:t>Stabilization:</w:t>
            </w:r>
          </w:p>
        </w:tc>
        <w:tc>
          <w:tcPr>
            <w:tcW w:w="122" w:type="dxa"/>
            <w:tcBorders/>
            <w:vAlign w:val="bottom"/>
          </w:tcPr>
          <w:p>
            <w:pPr>
              <w:pStyle w:val="TableContents"/>
              <w:bidi w:val="0"/>
              <w:spacing w:before="0" w:after="283"/>
              <w:jc w:val="left"/>
              <w:rPr/>
            </w:pPr>
            <w:r>
              <w:rPr/>
              <w:t>  </w:t>
            </w:r>
          </w:p>
        </w:tc>
        <w:tc>
          <w:tcPr>
            <w:tcW w:w="7669" w:type="dxa"/>
            <w:tcBorders/>
          </w:tcPr>
          <w:p>
            <w:pPr>
              <w:pStyle w:val="TableContents"/>
              <w:bidi w:val="0"/>
              <w:spacing w:before="0" w:after="283"/>
              <w:jc w:val="left"/>
              <w:rPr/>
            </w:pPr>
            <w:r>
              <w:rPr/>
              <w:t>Relevant stabilization regulations including FCA/ICMA apply</w:t>
            </w:r>
          </w:p>
        </w:tc>
      </w:tr>
      <w:tr>
        <w:trPr>
          <w:trHeight w:val="120" w:hRule="atLeast"/>
        </w:trPr>
        <w:tc>
          <w:tcPr>
            <w:tcW w:w="2414" w:type="dxa"/>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414" w:type="dxa"/>
            <w:tcBorders/>
          </w:tcPr>
          <w:p>
            <w:pPr>
              <w:pStyle w:val="TableContents"/>
              <w:bidi w:val="0"/>
              <w:spacing w:before="0" w:after="283"/>
              <w:jc w:val="left"/>
              <w:rPr/>
            </w:pPr>
            <w:r>
              <w:rPr/>
              <w:t>Joint Book-Running Managers:</w:t>
            </w:r>
          </w:p>
        </w:tc>
        <w:tc>
          <w:tcPr>
            <w:tcW w:w="122" w:type="dxa"/>
            <w:tcBorders/>
            <w:vAlign w:val="bottom"/>
          </w:tcPr>
          <w:p>
            <w:pPr>
              <w:pStyle w:val="TableContents"/>
              <w:bidi w:val="0"/>
              <w:spacing w:before="0" w:after="283"/>
              <w:jc w:val="left"/>
              <w:rPr/>
            </w:pPr>
            <w:r>
              <w:rPr/>
              <w:t>  </w:t>
            </w:r>
          </w:p>
        </w:tc>
        <w:tc>
          <w:tcPr>
            <w:tcW w:w="7669" w:type="dxa"/>
            <w:tcBorders/>
          </w:tcPr>
          <w:p>
            <w:pPr>
              <w:pStyle w:val="TableContents"/>
              <w:bidi w:val="0"/>
              <w:spacing w:before="0" w:after="0"/>
              <w:jc w:val="left"/>
              <w:rPr>
                <w:rFonts w:ascii="Times New Roman" w:hAnsi="Times New Roman"/>
                <w:sz w:val="20"/>
              </w:rPr>
            </w:pPr>
            <w:r>
              <w:rPr>
                <w:rFonts w:ascii="Times New Roman" w:hAnsi="Times New Roman"/>
                <w:sz w:val="20"/>
              </w:rPr>
              <w:t>Barclays Bank PLC</w:t>
            </w:r>
          </w:p>
          <w:p>
            <w:pPr>
              <w:pStyle w:val="TableContents"/>
              <w:bidi w:val="0"/>
              <w:spacing w:before="0" w:after="0"/>
              <w:jc w:val="left"/>
              <w:rPr>
                <w:rFonts w:ascii="Times New Roman" w:hAnsi="Times New Roman"/>
                <w:sz w:val="20"/>
              </w:rPr>
            </w:pPr>
            <w:r>
              <w:rPr>
                <w:rFonts w:ascii="Times New Roman" w:hAnsi="Times New Roman"/>
                <w:sz w:val="20"/>
              </w:rPr>
              <w:t>Deutsche Bank AG, London Branch</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rFonts w:ascii="Times New Roman" w:hAnsi="Times New Roman"/>
                <w:sz w:val="20"/>
              </w:rPr>
            </w:pPr>
            <w:r>
              <w:rPr>
                <w:rFonts w:ascii="Times New Roman" w:hAnsi="Times New Roman"/>
                <w:sz w:val="20"/>
              </w:rPr>
              <w:t>Morgan Stanley &amp; Co. International plc</w:t>
            </w:r>
          </w:p>
          <w:p>
            <w:pPr>
              <w:pStyle w:val="TableContents"/>
              <w:bidi w:val="0"/>
              <w:spacing w:before="0" w:after="20"/>
              <w:jc w:val="left"/>
              <w:rPr>
                <w:rFonts w:ascii="Times New Roman" w:hAnsi="Times New Roman"/>
                <w:sz w:val="20"/>
              </w:rPr>
            </w:pPr>
            <w:r>
              <w:rPr>
                <w:rFonts w:ascii="Times New Roman" w:hAnsi="Times New Roman"/>
                <w:sz w:val="20"/>
              </w:rPr>
              <w:t>Capital One Securities, Inc.</w:t>
            </w:r>
          </w:p>
        </w:tc>
      </w:tr>
      <w:tr>
        <w:trPr>
          <w:trHeight w:val="120" w:hRule="atLeast"/>
        </w:trPr>
        <w:tc>
          <w:tcPr>
            <w:tcW w:w="2414" w:type="dxa"/>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r>
      <w:tr>
        <w:trPr/>
        <w:tc>
          <w:tcPr>
            <w:tcW w:w="2414" w:type="dxa"/>
            <w:tcBorders/>
          </w:tcPr>
          <w:p>
            <w:pPr>
              <w:pStyle w:val="TableContents"/>
              <w:bidi w:val="0"/>
              <w:spacing w:before="0" w:after="283"/>
              <w:jc w:val="left"/>
              <w:rPr/>
            </w:pPr>
            <w:r>
              <w:rPr/>
              <w:t>Co-Managers:</w:t>
            </w:r>
          </w:p>
        </w:tc>
        <w:tc>
          <w:tcPr>
            <w:tcW w:w="122" w:type="dxa"/>
            <w:tcBorders/>
            <w:vAlign w:val="bottom"/>
          </w:tcPr>
          <w:p>
            <w:pPr>
              <w:pStyle w:val="TableContents"/>
              <w:bidi w:val="0"/>
              <w:spacing w:before="0" w:after="283"/>
              <w:jc w:val="left"/>
              <w:rPr/>
            </w:pPr>
            <w:r>
              <w:rPr/>
              <w:t>  </w:t>
            </w:r>
          </w:p>
        </w:tc>
        <w:tc>
          <w:tcPr>
            <w:tcW w:w="7669"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p>
            <w:pPr>
              <w:pStyle w:val="TableContents"/>
              <w:bidi w:val="0"/>
              <w:spacing w:before="0" w:after="0"/>
              <w:jc w:val="left"/>
              <w:rPr>
                <w:rFonts w:ascii="Times New Roman" w:hAnsi="Times New Roman"/>
                <w:sz w:val="20"/>
              </w:rPr>
            </w:pPr>
            <w:r>
              <w:rPr>
                <w:rFonts w:ascii="Times New Roman" w:hAnsi="Times New Roman"/>
                <w:sz w:val="20"/>
              </w:rPr>
              <w:t>R. Seelaus &amp; Co., LLC</w:t>
            </w:r>
          </w:p>
          <w:p>
            <w:pPr>
              <w:pStyle w:val="TableContents"/>
              <w:bidi w:val="0"/>
              <w:spacing w:before="0" w:after="0"/>
              <w:jc w:val="left"/>
              <w:rPr>
                <w:rFonts w:ascii="Times New Roman" w:hAnsi="Times New Roman"/>
                <w:sz w:val="20"/>
              </w:rPr>
            </w:pPr>
            <w:r>
              <w:rPr>
                <w:rFonts w:ascii="Times New Roman" w:hAnsi="Times New Roman"/>
                <w:sz w:val="20"/>
              </w:rPr>
              <w:t>Samuel A. Ramirez &amp; Company, Inc.</w:t>
            </w:r>
          </w:p>
          <w:p>
            <w:pPr>
              <w:pStyle w:val="TableContents"/>
              <w:bidi w:val="0"/>
              <w:spacing w:before="0" w:after="20"/>
              <w:jc w:val="left"/>
              <w:rPr>
                <w:rFonts w:ascii="Times New Roman" w:hAnsi="Times New Roman"/>
                <w:sz w:val="20"/>
              </w:rPr>
            </w:pPr>
            <w:r>
              <w:rPr>
                <w:rFonts w:ascii="Times New Roman" w:hAnsi="Times New Roman"/>
                <w:sz w:val="20"/>
              </w:rPr>
              <w:t>Siebert Williams Shank &amp; Co.,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*Note:</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Rule 15c6-1 of the U.S. Securities Exchange Act of 1934, as amended, trades in the secondary market generally are required to settle in one business day, unless the parties to a trade expressly agree otherwise. Accordingly, purchasers who wish to trade the notes on any date prior to the first business day before delivery will be required by virtue of the fact that the notes initially will settle in four business days to specify alternative settlement arrangements to prevent a failed settlement. </w:t>
            </w:r>
          </w:p>
        </w:tc>
      </w:tr>
    </w:tbl>
    <w:tbl>
      <w:tblPr>
        <w:tblW w:w="5000" w:type="pct"/>
        <w:jc w:val="left"/>
        <w:tblInd w:w="0" w:type="dxa"/>
        <w:tblLayout w:type="fixed"/>
        <w:tblCellMar>
          <w:top w:w="0" w:type="dxa"/>
          <w:left w:w="0" w:type="dxa"/>
          <w:bottom w:w="0" w:type="dxa"/>
          <w:right w:w="0" w:type="dxa"/>
        </w:tblCellMar>
      </w:tblPr>
      <w:tblGrid>
        <w:gridCol w:w="736"/>
        <w:gridCol w:w="9469"/>
      </w:tblGrid>
      <w:tr>
        <w:trPr/>
        <w:tc>
          <w:tcPr>
            <w:tcW w:w="736" w:type="dxa"/>
            <w:tcBorders/>
          </w:tcPr>
          <w:p>
            <w:pPr>
              <w:pStyle w:val="TableContents"/>
              <w:bidi w:val="0"/>
              <w:spacing w:before="0" w:after="283"/>
              <w:jc w:val="left"/>
              <w:rPr/>
            </w:pPr>
            <w:r>
              <w:rPr/>
              <w:t>**Note:</w:t>
            </w:r>
          </w:p>
        </w:tc>
        <w:tc>
          <w:tcPr>
            <w:tcW w:w="94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securities rating is not a recommendation to buy, sell or hold securities and may be subject to revision or withdrawal at any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will be represented by beneficial interests in fully registered permanent global notes (the “international global notes”) without interest coupons attached, which will be registered in the name of, and shall be deposited on or about September 15, 2026 with a common depositary for, and in respect of interests held through, Euroclear Bank, S.A./N.V., as operator of the Euroclear System (“Euroclear”), and Clearstream Banking, société anonyme (“Clearstream”). Any notes represented by global notes held by a nominee of Euroclear or Clearstream will be subject to the then applicable procedures of Euroclear and Clearstream, as applicable. </w:t>
      </w:r>
    </w:p>
    <w:p>
      <w:pPr>
        <w:pStyle w:val="TextBody"/>
        <w:bidi w:val="0"/>
        <w:spacing w:before="240" w:after="0"/>
        <w:jc w:val="left"/>
        <w:rPr>
          <w:rFonts w:ascii="Times New Roman" w:hAnsi="Times New Roman"/>
          <w:sz w:val="20"/>
        </w:rPr>
      </w:pPr>
      <w:r>
        <w:rPr>
          <w:rFonts w:ascii="Times New Roman" w:hAnsi="Times New Roman"/>
          <w:b/>
          <w:sz w:val="20"/>
        </w:rPr>
        <w:t>PROHIBITION OF SALES TO EEA RETAIL INVESTORS</w:t>
      </w:r>
      <w:r>
        <w:rPr>
          <w:rFonts w:ascii="Times New Roman" w:hAnsi="Times New Roman"/>
          <w:sz w:val="20"/>
        </w:rPr>
        <w:t xml:space="preserve"> – 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packaged retail and insurance based investment products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b/>
          <w:sz w:val="20"/>
        </w:rPr>
        <w:t>MIFID II PRODUCT GOVERNANCE / PROFESSIONAL INVESTORS AND ECPS ONLY TARGET MARKET</w:t>
      </w:r>
      <w:r>
        <w:rPr>
          <w:rFonts w:ascii="Times New Roman" w:hAnsi="Times New Roman"/>
          <w:sz w:val="20"/>
        </w:rPr>
        <w:t xml:space="preserve"> – Solely for the purposes of each manufacturer’s product approval 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(for the purposes of this paragraph,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 </w:t>
      </w:r>
    </w:p>
    <w:p>
      <w:pPr>
        <w:pStyle w:val="TextBody"/>
        <w:bidi w:val="0"/>
        <w:spacing w:before="240" w:after="0"/>
        <w:jc w:val="left"/>
        <w:rPr>
          <w:rFonts w:ascii="Times New Roman" w:hAnsi="Times New Roman"/>
          <w:sz w:val="20"/>
        </w:rPr>
      </w:pPr>
      <w:r>
        <w:rPr>
          <w:rFonts w:ascii="Times New Roman" w:hAnsi="Times New Roman"/>
          <w:b/>
          <w:sz w:val="20"/>
        </w:rPr>
        <w:t xml:space="preserve">PROHIBITION OF SALES TO UK RETAIL INVESTORS </w:t>
      </w:r>
      <w:r>
        <w:rPr>
          <w:rFonts w:ascii="Times New Roman" w:hAnsi="Times New Roman"/>
          <w:sz w:val="20"/>
        </w:rPr>
        <w:t xml:space="preserve">– The notes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(i) not a “professional client” as defined in point (8) of Article 2(1) of Regulation (EU) No 600/2014 as it forms part of domestic law in the UK by virtue of the European Union (Withdrawal) Act 2018 (as amended, the “EUWA”); or (ii) not a “qualified investor” as defined in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of Schedule 1 to the Public Offers and Admissions to Trading Regulations 2024 (the “UK POATRs”). Consequently, no disclosure document required by the Product Disclosure Sourcebook of the UK Financial Conduct Authority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w:t>
      </w:r>
    </w:p>
    <w:p>
      <w:pPr>
        <w:pStyle w:val="TextBody"/>
        <w:bidi w:val="0"/>
        <w:spacing w:before="240" w:after="0"/>
        <w:jc w:val="left"/>
        <w:rPr>
          <w:rFonts w:ascii="Times New Roman" w:hAnsi="Times New Roman"/>
          <w:sz w:val="20"/>
        </w:rPr>
      </w:pPr>
      <w:r>
        <w:rPr>
          <w:rFonts w:ascii="Times New Roman" w:hAnsi="Times New Roman"/>
          <w:b/>
          <w:sz w:val="20"/>
        </w:rPr>
        <w:t>NOTICE TO PROSPECTIVE INVESTORS IN THE UNITED KINGDOM</w:t>
      </w:r>
      <w:r>
        <w:rPr>
          <w:rFonts w:ascii="Times New Roman" w:hAnsi="Times New Roman"/>
          <w:sz w:val="20"/>
        </w:rPr>
        <w:t> – In the UK, this document is for distribution only to non-retail investors (being persons who are not “retail investors” as defined in the paragraph above titled “</w:t>
      </w:r>
      <w:r>
        <w:rPr>
          <w:rFonts w:ascii="Times New Roman" w:hAnsi="Times New Roman"/>
          <w:i/>
          <w:sz w:val="20"/>
        </w:rPr>
        <w:t>Prohibition of Sales to UK Retail Investors</w:t>
      </w:r>
      <w:r>
        <w:rPr>
          <w:rFonts w:ascii="Times New Roman" w:hAnsi="Times New Roman"/>
          <w:sz w:val="20"/>
        </w:rPr>
        <w:t xml:space="preserve">”)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49(2)(a) to (c) (“high net worth companies, unincorporated associations etc.”) of the Order; or (iii) persons to whom an invitation or inducement to engage in investment activity (within the meaning of section 21 of the Financial Services and Markets Act 2000 (“FSMA”)) in connection with the issue or sale of any securities may otherwise lawfully be communicated (all such persons together being referred to as “Relevant Persons”). In the UK, this document and the accompanying prospectus supplement and prospectus are directed only at Relevant Persons and must not be acted on or relied on by persons who are not Relevant Persons. In the UK, any investment or investment activity to which this document and the accompanying prospectus supplement and prospectus relate is available only to Relevant Persons and will be engaged in only with Relevant Persons. </w:t>
      </w:r>
    </w:p>
    <w:p>
      <w:pPr>
        <w:pStyle w:val="TextBody"/>
        <w:bidi w:val="0"/>
        <w:spacing w:before="240" w:after="0"/>
        <w:jc w:val="left"/>
        <w:rPr>
          <w:rFonts w:ascii="Times New Roman" w:hAnsi="Times New Roman"/>
          <w:sz w:val="20"/>
        </w:rPr>
      </w:pPr>
      <w:r>
        <w:rPr>
          <w:rFonts w:ascii="Times New Roman" w:hAnsi="Times New Roman"/>
          <w:b/>
          <w:sz w:val="20"/>
        </w:rPr>
        <w:t>UK MIFIR PRODUCT GOVERNANCE//PROFESSIONAL INVESTORS AND ECPS ONLY TARGET MARKET</w:t>
      </w:r>
      <w:r>
        <w:rPr>
          <w:rFonts w:ascii="Times New Roman" w:hAnsi="Times New Roman"/>
          <w:sz w:val="20"/>
        </w:rPr>
        <w:t xml:space="preserve"> - Solely for the purposes of each manufacturer’s product approval process, the target market assessment in respect of the notes has led to the conclusion that: (i) the target market for the notes is only eligible counterparties, as defined in the FCA Handbook Conduct of Business Sourcebook, and professional clients, as defined in Regulation (EU) No 600/2014 as it forms part of domestic law by virtue of the EUWA (“UK MiFIR”); and (ii) all channels for distribution of the notes to eligible counterparties and professional clients are appropriate. Any person subsequently offering, selling or recommending the notes (for the purposes of this paragraph, a “distributor”) should take into consideration the manufacturers’ target market assessment; however, a distributor subject to the FCA Handbook Product Intervention and Product Governance Sourcebook is responsible for undertaking its own target market assessment in respect of the notes (by either adopting or refining the manufacturers’ target market assessment) and determining appropriate distribution channels. </w:t>
      </w:r>
    </w:p>
    <w:p>
      <w:pPr>
        <w:pStyle w:val="TextBody"/>
        <w:bidi w:val="0"/>
        <w:spacing w:before="360" w:after="0"/>
        <w:jc w:val="left"/>
        <w:rPr>
          <w:rFonts w:ascii="Times New Roman" w:hAnsi="Times New Roman"/>
          <w:b/>
          <w:sz w:val="20"/>
        </w:rPr>
      </w:pPr>
      <w:r>
        <w:rPr>
          <w:rFonts w:ascii="Times New Roman" w:hAnsi="Times New Roman"/>
          <w:b/>
          <w:sz w:val="20"/>
        </w:rPr>
        <w:t xml:space="preserve">Capital One Financial Corporation has filed a registration statement (File No. 333-277813 including a base shelf prospectus dated March 11, 2024 and Preliminary Prospectus Supplement dated September 8, 2026 (the “Preliminary Prospectus Supplement”)) with the SEC for the offering to which this communication relates. Before you invest, you should read each of these documents and the other documents Capital One Financial Corporation has filed with the SEC and incorporated by reference in such documents for more complete information about Capital One Financial Corporation and this offering. You may obtain these documents for free by visiting EDGAR on the SEC website at www.sec.gov. Alternatively, you may obtain a copy of these documents by contacting Barclays Bank PLC at +1-888-603-5847, Deutsche Bank AG, London Branch at +44-20-541-9938, Goldman Sachs &amp; Co. LLC at 1-866-471-2526, Morgan Stanley &amp; Co. International plc at +1 (866) 718-1649 or Capital One Securities, Inc. at 1-800-666-9174, Attn: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Any disclaimers or other notices that may appear below are not applicable to this communication and should be disregarded. Such disclaimers were automatically generated as a result of this communication being sent via Bloomberg or another email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3055</Words>
  <Characters>16497</Characters>
  <CharactersWithSpaces>19538</CharactersWithSpaces>
  <Paragraphs>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