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4"/>
            <w:vMerge w:val="restart"/>
          </w:tcPr>
          <w:p>
            <w:pPr>
              <w:spacing w:after="0" w:line="250" w:lineRule="exact"/>
              <w:rPr>
                <w:rFonts w:ascii="Arial" w:cs="Arial" w:eastAsia="Arial" w:hAnsi="Arial"/>
                <w:sz w:val="22"/>
                <w:szCs w:val="22"/>
                <w:color w:val="0000EE"/>
                <w:w w:val="94"/>
              </w:rPr>
            </w:pPr>
            <w:hyperlink r:id="rId12">
              <w:r>
                <w:rPr>
                  <w:rFonts w:ascii="Arial" w:cs="Arial" w:eastAsia="Arial" w:hAnsi="Arial"/>
                  <w:sz w:val="22"/>
                  <w:szCs w:val="22"/>
                  <w:color w:val="0000EE"/>
                  <w:w w:val="94"/>
                </w:rPr>
                <w:t>PERLIN GARY L</w:t>
              </w:r>
            </w:hyperlink>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CAPITAL ONE FINANCIAL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COF</w:t>
            </w:r>
          </w:p>
        </w:tc>
        <w:tc>
          <w:tcPr>
            <w:tcW w:w="1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4"/>
            <w:vMerge w:val="continue"/>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Borders>
              <w:bottom w:val="single" w:sz="8" w:color="0000EE"/>
            </w:tcBorders>
            <w:gridSpan w:val="4"/>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restart"/>
          </w:tcPr>
          <w:p>
            <w:pPr>
              <w:ind w:left="160"/>
              <w:spacing w:after="0" w:line="250"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4"/>
          </w:tcPr>
          <w:p>
            <w:pPr>
              <w:spacing w:after="0"/>
              <w:rPr>
                <w:sz w:val="4"/>
                <w:szCs w:val="4"/>
                <w:color w:val="auto"/>
              </w:rPr>
            </w:pPr>
          </w:p>
        </w:tc>
        <w:tc>
          <w:tcPr>
            <w:tcW w:w="94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80" w:type="dxa"/>
            <w:vAlign w:val="bottom"/>
            <w:gridSpan w:val="2"/>
            <w:vMerge w:val="restart"/>
          </w:tcPr>
          <w:p>
            <w:pPr>
              <w:spacing w:after="0"/>
              <w:rPr>
                <w:sz w:val="20"/>
                <w:szCs w:val="20"/>
                <w:color w:val="auto"/>
              </w:rPr>
            </w:pPr>
            <w:r>
              <w:rPr>
                <w:rFonts w:ascii="Arial" w:cs="Arial" w:eastAsia="Arial" w:hAnsi="Arial"/>
                <w:sz w:val="18"/>
                <w:szCs w:val="18"/>
                <w:color w:val="0000FF"/>
                <w:w w:val="99"/>
              </w:rPr>
              <w:t>Chief Financial Officer</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6"/>
            <w:vMerge w:val="continue"/>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1680 CAPITAL ONE DRIVE</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03/02/2009</w:t>
            </w: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gridSpan w:val="4"/>
          </w:tcPr>
          <w:p>
            <w:pPr>
              <w:spacing w:after="0"/>
              <w:rPr>
                <w:sz w:val="9"/>
                <w:szCs w:val="9"/>
                <w:color w:val="auto"/>
              </w:rPr>
            </w:pPr>
          </w:p>
        </w:tc>
        <w:tc>
          <w:tcPr>
            <w:tcW w:w="1680" w:type="dxa"/>
            <w:vAlign w:val="bottom"/>
            <w:tcBorders>
              <w:bottom w:val="single" w:sz="8" w:color="2C2C2C"/>
            </w:tcBorders>
            <w:gridSpan w:val="3"/>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6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40" w:type="dxa"/>
            <w:vAlign w:val="bottom"/>
            <w:vMerge w:val="restart"/>
          </w:tcPr>
          <w:p>
            <w:pPr>
              <w:spacing w:after="0"/>
              <w:rPr>
                <w:sz w:val="7"/>
                <w:szCs w:val="7"/>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MCLEAN</w:t>
            </w:r>
          </w:p>
        </w:tc>
        <w:tc>
          <w:tcPr>
            <w:tcW w:w="280" w:type="dxa"/>
            <w:vAlign w:val="bottom"/>
          </w:tcPr>
          <w:p>
            <w:pPr>
              <w:ind w:left="40"/>
              <w:spacing w:after="0"/>
              <w:rPr>
                <w:sz w:val="20"/>
                <w:szCs w:val="20"/>
                <w:color w:val="auto"/>
              </w:rPr>
            </w:pPr>
            <w:r>
              <w:rPr>
                <w:rFonts w:ascii="Arial" w:cs="Arial" w:eastAsia="Arial" w:hAnsi="Arial"/>
                <w:sz w:val="18"/>
                <w:szCs w:val="18"/>
                <w:color w:val="0000FF"/>
                <w:w w:val="91"/>
              </w:rPr>
              <w:t>VA</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22102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60" w:type="dxa"/>
            <w:vAlign w:val="bottom"/>
            <w:gridSpan w:val="5"/>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1"/>
                <w:szCs w:val="11"/>
                <w:color w:val="auto"/>
              </w:rPr>
            </w:pPr>
          </w:p>
        </w:tc>
        <w:tc>
          <w:tcPr>
            <w:tcW w:w="5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03/02/2009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1,670</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10.97</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266,492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ind w:left="2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5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automatic withholding by the issuer to satisfy the reporting person's tax obligation associated with the vesting of restricted stock granted on March 2, 2007. This is authorized in the applicable restricted stock award agreement.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Tangela S. Richter (POA on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03/04/2009</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file)</w:t>
            </w: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2395"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2019-12-18T07:12:58Z</dcterms:created>
  <dcterms:modified xsi:type="dcterms:W3CDTF">2019-12-18T07:12:58Z</dcterms:modified>
</cp:coreProperties>
</file>