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jpeg" ContentType="image/jpeg"/>
  <Override PartName="/word/media/image48.jpeg" ContentType="image/jpeg"/>
  <Override PartName="/word/media/image32.jpeg" ContentType="image/jpeg"/>
  <Override PartName="/word/media/image5.jpeg" ContentType="image/jpeg"/>
  <Override PartName="/word/media/image26.jpeg" ContentType="image/jpeg"/>
  <Override PartName="/word/media/image49.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45790ddef14a.htm"/>
        <w:bookmarkStart w:id="1" w:name="ksd845790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ARIAL" w:hAnsi="ARIAL"/>
          <w:b/>
          <w:sz w:val="36"/>
        </w:rPr>
      </w:pPr>
      <w:r>
        <w:rPr>
          <w:rFonts w:ascii="ARIAL" w:hAnsi="ARIAL"/>
          <w:b/>
          <w:sz w:val="36"/>
        </w:rPr>
        <w:t xml:space="preserve">UNITED STATES </w:t>
      </w:r>
    </w:p>
    <w:p>
      <w:pPr>
        <w:pStyle w:val="TextBody"/>
        <w:bidi w:val="0"/>
        <w:spacing w:before="0" w:after="0"/>
        <w:jc w:val="center"/>
        <w:rPr>
          <w:rFonts w:ascii="ARIAL" w:hAnsi="ARIAL"/>
          <w:b/>
          <w:sz w:val="36"/>
        </w:rPr>
      </w:pPr>
      <w:r>
        <w:rPr>
          <w:rFonts w:ascii="ARIAL" w:hAnsi="ARIAL"/>
          <w:b/>
          <w:sz w:val="36"/>
        </w:rPr>
        <w:t xml:space="preserve">SECURITIES AND EXCHANGE COMMISSION </w:t>
      </w:r>
    </w:p>
    <w:p>
      <w:pPr>
        <w:pStyle w:val="TextBody"/>
        <w:bidi w:val="0"/>
        <w:spacing w:before="0" w:after="0"/>
        <w:jc w:val="center"/>
        <w:rPr>
          <w:rFonts w:ascii="ARIAL" w:hAnsi="ARIAL"/>
          <w:b/>
          <w:sz w:val="24"/>
        </w:rPr>
      </w:pPr>
      <w:r>
        <w:rPr>
          <w:rFonts w:ascii="ARIAL" w:hAnsi="ARIAL"/>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36"/>
        </w:rPr>
      </w:pPr>
      <w:r>
        <w:rPr>
          <w:rFonts w:ascii="ARIAL" w:hAnsi="ARIAL"/>
          <w:b/>
          <w:sz w:val="36"/>
        </w:rPr>
        <w:t>SCHEDULE 14A</w:t>
      </w:r>
    </w:p>
    <w:p>
      <w:pPr>
        <w:pStyle w:val="TextBody"/>
        <w:bidi w:val="0"/>
        <w:spacing w:before="240" w:after="0"/>
        <w:jc w:val="center"/>
        <w:rPr>
          <w:rFonts w:ascii="ARIAL" w:hAnsi="ARIAL"/>
          <w:b/>
          <w:sz w:val="24"/>
        </w:rPr>
      </w:pPr>
      <w:r>
        <w:rPr>
          <w:rFonts w:ascii="ARIAL" w:hAnsi="ARIAL"/>
          <w:b/>
          <w:sz w:val="24"/>
        </w:rPr>
        <w:t xml:space="preserve">Proxy Statement Pursuant to Section 14(a) of the </w:t>
      </w:r>
    </w:p>
    <w:p>
      <w:pPr>
        <w:pStyle w:val="TextBody"/>
        <w:bidi w:val="0"/>
        <w:spacing w:before="0" w:after="0"/>
        <w:jc w:val="center"/>
        <w:rPr>
          <w:rFonts w:ascii="ARIAL" w:hAnsi="ARIAL"/>
          <w:b/>
          <w:sz w:val="24"/>
        </w:rPr>
      </w:pPr>
      <w:r>
        <w:rPr>
          <w:rFonts w:ascii="ARIAL" w:hAnsi="ARIAL"/>
          <w:b/>
          <w:sz w:val="24"/>
        </w:rPr>
        <w:t xml:space="preserve">Securities Exchange Act of 1934 </w:t>
      </w:r>
    </w:p>
    <w:p>
      <w:pPr>
        <w:pStyle w:val="TextBody"/>
        <w:bidi w:val="0"/>
        <w:spacing w:before="0" w:after="0"/>
        <w:jc w:val="center"/>
        <w:rPr>
          <w:rFonts w:ascii="ARIAL" w:hAnsi="ARIAL"/>
          <w:b/>
          <w:sz w:val="24"/>
        </w:rPr>
      </w:pPr>
      <w:r>
        <w:rPr>
          <w:rFonts w:ascii="ARIAL" w:hAnsi="ARIAL"/>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ARIAL" w:hAnsi="ARIAL"/>
          <w:sz w:val="20"/>
        </w:rPr>
      </w:pPr>
      <w:r>
        <w:rPr>
          <w:rFonts w:ascii="ARIAL" w:hAnsi="ARIAL"/>
          <w:sz w:val="20"/>
        </w:rPr>
        <w:t>Filed by the Registrant </w:t>
      </w:r>
    </w:p>
    <w:p>
      <w:pPr>
        <w:pStyle w:val="TextBody"/>
        <w:bidi w:val="0"/>
        <w:spacing w:before="240" w:after="0"/>
        <w:jc w:val="left"/>
        <w:rPr>
          <w:spacing w:val="0"/>
        </w:rPr>
      </w:pPr>
      <w:r>
        <w:rPr>
          <w:spacing w:val="0"/>
        </w:rPr>
        <w:t>☒</w:t>
      </w:r>
    </w:p>
    <w:p>
      <w:pPr>
        <w:pStyle w:val="TextBody"/>
        <w:bidi w:val="0"/>
        <w:spacing w:before="240" w:after="0"/>
        <w:jc w:val="left"/>
        <w:rPr>
          <w:rFonts w:ascii="ARIAL" w:hAnsi="ARIAL"/>
          <w:sz w:val="20"/>
        </w:rPr>
      </w:pPr>
      <w:r>
        <w:rPr>
          <w:rFonts w:ascii="ARIAL" w:hAnsi="ARIAL"/>
          <w:sz w:val="20"/>
        </w:rPr>
        <w:t>Filed by a party other than the Registrant  </w:t>
      </w:r>
    </w:p>
    <w:p>
      <w:pPr>
        <w:pStyle w:val="TextBody"/>
        <w:bidi w:val="0"/>
        <w:spacing w:before="240" w:after="0"/>
        <w:jc w:val="left"/>
        <w:rPr>
          <w:spacing w:val="0"/>
        </w:rPr>
      </w:pPr>
      <w:r>
        <w:rPr>
          <w:spacing w:val="0"/>
        </w:rPr>
        <w:t>☐</w:t>
      </w:r>
    </w:p>
    <w:p>
      <w:pPr>
        <w:pStyle w:val="TextBody"/>
        <w:bidi w:val="0"/>
        <w:spacing w:before="480" w:after="0"/>
        <w:jc w:val="left"/>
        <w:rPr>
          <w:rFonts w:ascii="ARIAL" w:hAnsi="ARIAL"/>
          <w:sz w:val="20"/>
        </w:rPr>
      </w:pPr>
      <w:r>
        <w:rPr>
          <w:rFonts w:ascii="ARIAL" w:hAnsi="ARIAL"/>
          <w:sz w:val="20"/>
        </w:rPr>
        <w:t xml:space="preserve">Check the appropriate box: </w:t>
      </w:r>
    </w:p>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245"/>
        <w:gridCol w:w="60"/>
        <w:gridCol w:w="6950"/>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b/>
                <w:spacing w:val="0"/>
              </w:rPr>
            </w:pPr>
            <w:r>
              <w:rPr>
                <w:b/>
                <w:spacing w:val="0"/>
              </w:rPr>
              <w:t xml:space="preserve">Confidential, for Use of the Commission Only (as permitted by Rule </w:t>
            </w:r>
          </w:p>
          <w:p>
            <w:pPr>
              <w:pStyle w:val="TableContents"/>
              <w:bidi w:val="0"/>
              <w:spacing w:before="0" w:after="0"/>
              <w:jc w:val="left"/>
              <w:rPr>
                <w:b/>
                <w:spacing w:val="0"/>
              </w:rPr>
            </w:pPr>
            <w:r>
              <w:rPr>
                <w:b/>
                <w:spacing w:val="0"/>
              </w:rPr>
              <w:t>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pPr>
            <w:r>
              <w:rPr/>
              <w:t xml:space="preserve">Soliciting Material Under </w:t>
            </w:r>
          </w:p>
          <w:p>
            <w:pPr>
              <w:pStyle w:val="TableContents"/>
              <w:bidi w:val="0"/>
              <w:spacing w:before="0" w:after="0"/>
              <w:jc w:val="left"/>
              <w:rPr>
                <w:spacing w:val="0"/>
              </w:rPr>
            </w:pPr>
            <w:r>
              <w:rPr>
                <w:spacing w:val="0"/>
              </w:rPr>
              <w:t>§240.14a-12</w:t>
            </w:r>
          </w:p>
        </w:tc>
      </w:tr>
    </w:tbl>
    <w:p>
      <w:pPr>
        <w:pStyle w:val="TextBody"/>
        <w:bidi w:val="0"/>
        <w:spacing w:before="240" w:after="0"/>
        <w:jc w:val="center"/>
        <w:rPr>
          <w:rFonts w:ascii="ARIAL" w:hAnsi="ARIAL"/>
          <w:b/>
          <w:sz w:val="44"/>
        </w:rPr>
      </w:pPr>
      <w:r>
        <w:rPr>
          <w:rFonts w:ascii="ARIAL" w:hAnsi="ARIAL"/>
          <w:b/>
          <w:sz w:val="44"/>
        </w:rPr>
        <w:t xml:space="preserve">Capital One Financial Corporation </w:t>
      </w:r>
    </w:p>
    <w:p>
      <w:pPr>
        <w:pStyle w:val="TextBody"/>
        <w:bidi w:val="0"/>
        <w:spacing w:before="0" w:after="0"/>
        <w:jc w:val="center"/>
        <w:rPr>
          <w:rFonts w:ascii="ARIAL" w:hAnsi="ARIAL"/>
          <w:b/>
          <w:sz w:val="20"/>
        </w:rPr>
      </w:pPr>
      <w:r>
        <w:rPr>
          <w:rFonts w:ascii="ARIAL" w:hAnsi="ARIAL"/>
          <w:b/>
          <w:sz w:val="20"/>
        </w:rPr>
        <w:t xml:space="preserve">(Name of Registrant as Specified In Its Charter) </w:t>
      </w:r>
    </w:p>
    <w:p>
      <w:pPr>
        <w:pStyle w:val="TextBody"/>
        <w:bidi w:val="0"/>
        <w:spacing w:before="240" w:after="0"/>
        <w:jc w:val="center"/>
        <w:rPr>
          <w:rFonts w:ascii="ARIAL" w:hAnsi="ARIAL"/>
          <w:b/>
          <w:sz w:val="20"/>
        </w:rPr>
      </w:pPr>
      <w:r>
        <w:rPr>
          <w:rFonts w:ascii="ARIAL" w:hAnsi="ARIAL"/>
          <w:b/>
          <w:sz w:val="20"/>
        </w:rPr>
        <w:t xml:space="preserve">(Name of Person(s) Filing Proxy Statement, if other than the Registrant) </w:t>
      </w:r>
    </w:p>
    <w:p>
      <w:pPr>
        <w:pStyle w:val="TextBody"/>
        <w:bidi w:val="0"/>
        <w:spacing w:before="240" w:after="0"/>
        <w:jc w:val="left"/>
        <w:rPr>
          <w:rFonts w:ascii="ARIAL" w:hAnsi="ARIAL"/>
          <w:sz w:val="20"/>
        </w:rPr>
      </w:pPr>
      <w:r>
        <w:rPr>
          <w:rFonts w:ascii="ARIAL" w:hAnsi="ARIAL"/>
          <w:sz w:val="20"/>
        </w:rPr>
        <w:t xml:space="preserve">Payment of Filing Fee (Check the appropriate box): </w:t>
      </w:r>
    </w:p>
    <w:p>
      <w:pPr>
        <w:pStyle w:val="TextBody"/>
        <w:bidi w:val="0"/>
        <w:spacing w:before="0" w:after="0"/>
        <w:jc w:val="left"/>
        <w:rPr/>
      </w:pPr>
      <w:r>
        <w:rPr/>
        <w:t> </w:t>
      </w:r>
    </w:p>
    <w:tbl>
      <w:tblPr>
        <w:tblW w:w="8049" w:type="dxa"/>
        <w:jc w:val="left"/>
        <w:tblInd w:w="0" w:type="dxa"/>
        <w:tblLayout w:type="fixed"/>
        <w:tblCellMar>
          <w:top w:w="0" w:type="dxa"/>
          <w:left w:w="0" w:type="dxa"/>
          <w:bottom w:w="0" w:type="dxa"/>
          <w:right w:w="0" w:type="dxa"/>
        </w:tblCellMar>
      </w:tblPr>
      <w:tblGrid>
        <w:gridCol w:w="245"/>
        <w:gridCol w:w="60"/>
        <w:gridCol w:w="2115"/>
        <w:gridCol w:w="2115"/>
        <w:gridCol w:w="3514"/>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0"/>
              <w:jc w:val="left"/>
              <w:rPr/>
            </w:pPr>
            <w:r>
              <w:rPr/>
              <w:t xml:space="preserve">Fee computed on table in exhibit required by Item 25(b) per Exchange Act Rules </w:t>
            </w:r>
          </w:p>
          <w:p>
            <w:pPr>
              <w:pStyle w:val="TableContents"/>
              <w:bidi w:val="0"/>
              <w:spacing w:before="0" w:after="0"/>
              <w:jc w:val="left"/>
              <w:rPr>
                <w:spacing w:val="0"/>
              </w:rPr>
            </w:pPr>
            <w:r>
              <w:rPr>
                <w:spacing w:val="0"/>
              </w:rPr>
              <w:t>14a-6(i)(1)</w:t>
            </w:r>
          </w:p>
          <w:p>
            <w:pPr>
              <w:pStyle w:val="TableContents"/>
              <w:bidi w:val="0"/>
              <w:spacing w:before="0" w:after="0"/>
              <w:jc w:val="left"/>
              <w:rPr/>
            </w:pPr>
            <w:r>
              <w:rPr/>
              <w:t xml:space="preserve">and </w:t>
            </w:r>
          </w:p>
          <w:p>
            <w:pPr>
              <w:pStyle w:val="TableContents"/>
              <w:bidi w:val="0"/>
              <w:spacing w:before="0" w:after="0"/>
              <w:jc w:val="left"/>
              <w:rPr>
                <w:spacing w:val="0"/>
              </w:rPr>
            </w:pPr>
            <w:r>
              <w:rPr>
                <w:spacing w:val="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8001000" cy="10287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01000" cy="10287000"/>
                    </a:xfrm>
                    <a:prstGeom prst="rect">
                      <a:avLst/>
                    </a:prstGeom>
                  </pic:spPr>
                </pic:pic>
              </a:graphicData>
            </a:graphic>
          </wp:inline>
        </w:drawing>
      </w:r>
      <w:r>
        <w:rPr/>
        <w:t xml:space="preserve"> </w:t>
      </w:r>
    </w:p>
    <w:p>
      <w:pPr>
        <w:pStyle w:val="TextBody"/>
        <w:bidi w:val="0"/>
        <w:jc w:val="center"/>
        <w:rPr>
          <w:rFonts w:ascii="arial" w:hAnsi="arial"/>
          <w:color w:val="FFFFFF"/>
          <w:sz w:val="2"/>
        </w:rPr>
      </w:pPr>
      <w:r>
        <w:rPr>
          <w:rFonts w:ascii="arial" w:hAnsi="arial"/>
          <w:color w:val="FFFFFF"/>
          <w:sz w:val="2"/>
        </w:rPr>
        <w:t xml:space="preserve">2025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2032000" cy="7296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32000" cy="729615"/>
                    </a:xfrm>
                    <a:prstGeom prst="rect">
                      <a:avLst/>
                    </a:prstGeom>
                  </pic:spPr>
                </pic:pic>
              </a:graphicData>
            </a:graphic>
          </wp:inline>
        </w:drawing>
      </w:r>
      <w:r>
        <w:rPr/>
        <w:t xml:space="preserve"> </w:t>
      </w:r>
    </w:p>
    <w:p>
      <w:pPr>
        <w:pStyle w:val="TextBody"/>
        <w:bidi w:val="0"/>
        <w:spacing w:before="120" w:after="0"/>
        <w:jc w:val="center"/>
        <w:rPr>
          <w:rFonts w:ascii="arial" w:hAnsi="arial"/>
          <w:b/>
          <w:sz w:val="36"/>
        </w:rPr>
      </w:pPr>
      <w:r>
        <w:rPr>
          <w:rFonts w:ascii="arial" w:hAnsi="arial"/>
          <w:b/>
          <w:sz w:val="36"/>
        </w:rPr>
        <w:t xml:space="preserve">Notice of Capital One Financial Corporation’s </w:t>
      </w:r>
    </w:p>
    <w:p>
      <w:pPr>
        <w:pStyle w:val="TextBody"/>
        <w:bidi w:val="0"/>
        <w:spacing w:before="0" w:after="0"/>
        <w:jc w:val="center"/>
        <w:rPr>
          <w:rFonts w:ascii="arial" w:hAnsi="arial"/>
          <w:b/>
          <w:sz w:val="36"/>
        </w:rPr>
      </w:pPr>
      <w:r>
        <w:rPr>
          <w:rFonts w:ascii="arial" w:hAnsi="arial"/>
          <w:b/>
          <w:sz w:val="36"/>
        </w:rPr>
        <w:t xml:space="preserve">2025 Annual Stockholder Meeting </w:t>
      </w:r>
    </w:p>
    <w:p>
      <w:pPr>
        <w:pStyle w:val="TextBody"/>
        <w:bidi w:val="0"/>
        <w:spacing w:before="120" w:after="0"/>
        <w:jc w:val="center"/>
        <w:rPr>
          <w:rFonts w:ascii="arial" w:hAnsi="arial"/>
          <w:b/>
          <w:sz w:val="20"/>
        </w:rPr>
      </w:pPr>
      <w:r>
        <w:rPr>
          <w:rFonts w:ascii="arial" w:hAnsi="arial"/>
          <w:b/>
          <w:sz w:val="20"/>
        </w:rPr>
        <w:t xml:space="preserve">Important Notice Regarding the Availability of Proxy Materials for </w:t>
      </w:r>
    </w:p>
    <w:p>
      <w:pPr>
        <w:pStyle w:val="TextBody"/>
        <w:bidi w:val="0"/>
        <w:spacing w:before="60" w:after="0"/>
        <w:jc w:val="center"/>
        <w:rPr>
          <w:rFonts w:ascii="arial" w:hAnsi="arial"/>
          <w:b/>
          <w:sz w:val="20"/>
        </w:rPr>
      </w:pPr>
      <w:r>
        <w:rPr>
          <w:rFonts w:ascii="arial" w:hAnsi="arial"/>
          <w:b/>
          <w:sz w:val="20"/>
        </w:rPr>
        <w:t xml:space="preserve">the Stockholder Meeting to be held on May 8, 2025 </w:t>
      </w:r>
    </w:p>
    <w:p>
      <w:pPr>
        <w:pStyle w:val="TextBody"/>
        <w:bidi w:val="0"/>
        <w:spacing w:before="120" w:after="0"/>
        <w:jc w:val="center"/>
        <w:rPr>
          <w:rFonts w:ascii="arial" w:hAnsi="arial"/>
          <w:b/>
          <w:sz w:val="20"/>
        </w:rPr>
      </w:pPr>
      <w:r>
        <w:rPr>
          <w:rFonts w:ascii="arial" w:hAnsi="arial"/>
          <w:b/>
          <w:sz w:val="20"/>
        </w:rPr>
        <w:t xml:space="preserve">The Proxy Statement and Annual Report to Stockholders are available at </w:t>
      </w:r>
      <w:r>
        <w:rPr>
          <w:rFonts w:ascii="arial" w:hAnsi="arial"/>
          <w:b/>
          <w:sz w:val="20"/>
          <w:u w:val="single"/>
        </w:rPr>
        <w:t>www.proxyvote.com</w:t>
      </w:r>
      <w:r>
        <w:rPr>
          <w:rFonts w:ascii="arial" w:hAnsi="arial"/>
          <w:b/>
          <w:sz w:val="20"/>
        </w:rPr>
        <w:t xml:space="preserve"> </w:t>
      </w:r>
    </w:p>
    <w:p>
      <w:pPr>
        <w:pStyle w:val="TextBody"/>
        <w:bidi w:val="0"/>
        <w:spacing w:before="120" w:after="0"/>
        <w:jc w:val="both"/>
        <w:rPr>
          <w:rFonts w:ascii="arial" w:hAnsi="arial"/>
          <w:sz w:val="20"/>
        </w:rPr>
      </w:pPr>
      <w:r>
        <w:rPr>
          <w:rFonts w:ascii="arial" w:hAnsi="arial"/>
          <w:sz w:val="20"/>
        </w:rPr>
        <w:t xml:space="preserve">The 2025 Annual Stockholder Meeting of Capital One Financial Corporation (“Capital One” or “Company”) will be held at Capital One’s campus at 1600 Capital One Drive, McLean, Virginia 22102 on May 8, 2025, at 10:00 a.m. Eastern Time. </w:t>
      </w:r>
    </w:p>
    <w:p>
      <w:pPr>
        <w:pStyle w:val="TextBody"/>
        <w:bidi w:val="0"/>
        <w:spacing w:before="120" w:after="0"/>
        <w:jc w:val="left"/>
        <w:rPr>
          <w:rFonts w:ascii="arial" w:hAnsi="arial"/>
          <w:b/>
          <w:sz w:val="20"/>
        </w:rPr>
      </w:pPr>
      <w:r>
        <w:rPr>
          <w:rFonts w:ascii="arial" w:hAnsi="arial"/>
          <w:b/>
          <w:sz w:val="20"/>
        </w:rPr>
        <w:t xml:space="preserve">Items of Business </w:t>
      </w:r>
    </w:p>
    <w:p>
      <w:pPr>
        <w:pStyle w:val="TextBody"/>
        <w:bidi w:val="0"/>
        <w:spacing w:before="120" w:after="0"/>
        <w:jc w:val="both"/>
        <w:rPr>
          <w:rFonts w:ascii="arial" w:hAnsi="arial"/>
          <w:sz w:val="20"/>
        </w:rPr>
      </w:pPr>
      <w:r>
        <w:rPr>
          <w:rFonts w:ascii="arial" w:hAnsi="arial"/>
          <w:sz w:val="20"/>
        </w:rPr>
        <w:t xml:space="preserve">As a stockholder, you will be asked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7"/>
        <w:gridCol w:w="60"/>
        <w:gridCol w:w="9788"/>
      </w:tblGrid>
      <w:tr>
        <w:trPr/>
        <w:tc>
          <w:tcPr>
            <w:tcW w:w="3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88" w:type="dxa"/>
            <w:tcBorders/>
            <w:vAlign w:val="center"/>
          </w:tcPr>
          <w:p>
            <w:pPr>
              <w:pStyle w:val="TableContents"/>
              <w:bidi w:val="0"/>
              <w:spacing w:before="0" w:after="283"/>
              <w:jc w:val="left"/>
              <w:rPr>
                <w:sz w:val="4"/>
                <w:szCs w:val="4"/>
              </w:rPr>
            </w:pPr>
            <w:r>
              <w:rPr>
                <w:sz w:val="4"/>
                <w:szCs w:val="4"/>
              </w:rPr>
            </w:r>
          </w:p>
        </w:tc>
      </w:tr>
      <w:tr>
        <w:trPr/>
        <w:tc>
          <w:tcPr>
            <w:tcW w:w="357" w:type="dxa"/>
            <w:tcBorders/>
            <w:vAlign w:val="center"/>
          </w:tcPr>
          <w:p>
            <w:pPr>
              <w:pStyle w:val="TableContents"/>
              <w:bidi w:val="0"/>
              <w:spacing w:lineRule="atLeast" w:line="200" w:before="0" w:after="0"/>
              <w:jc w:val="right"/>
              <w:rPr>
                <w:rFonts w:ascii="arial" w:hAnsi="arial"/>
                <w:b/>
                <w:color w:val="003A5D"/>
                <w:sz w:val="20"/>
              </w:rPr>
            </w:pPr>
            <w:r>
              <w:rPr>
                <w:rFonts w:ascii="arial" w:hAnsi="arial"/>
                <w:b/>
                <w:color w:val="003A5D"/>
                <w:sz w:val="20"/>
              </w:rPr>
              <w:t>1.</w:t>
            </w:r>
          </w:p>
        </w:tc>
        <w:tc>
          <w:tcPr>
            <w:tcW w:w="60" w:type="dxa"/>
            <w:tcBorders/>
            <w:vAlign w:val="center"/>
          </w:tcPr>
          <w:p>
            <w:pPr>
              <w:pStyle w:val="TableContents"/>
              <w:bidi w:val="0"/>
              <w:spacing w:before="0" w:after="283"/>
              <w:jc w:val="left"/>
              <w:rPr/>
            </w:pPr>
            <w:r>
              <w:rPr/>
              <w:t> </w:t>
            </w:r>
          </w:p>
        </w:tc>
        <w:tc>
          <w:tcPr>
            <w:tcW w:w="9788" w:type="dxa"/>
            <w:tcBorders/>
            <w:vAlign w:val="center"/>
          </w:tcPr>
          <w:p>
            <w:pPr>
              <w:pStyle w:val="TableContents"/>
              <w:bidi w:val="0"/>
              <w:spacing w:before="0" w:after="0"/>
              <w:jc w:val="both"/>
              <w:rPr>
                <w:rFonts w:ascii="arial" w:hAnsi="arial"/>
                <w:b/>
                <w:color w:val="003A5D"/>
                <w:sz w:val="20"/>
              </w:rPr>
            </w:pPr>
            <w:r>
              <w:rPr>
                <w:rFonts w:ascii="arial" w:hAnsi="arial"/>
                <w:b/>
                <w:color w:val="003A5D"/>
                <w:sz w:val="20"/>
              </w:rPr>
              <w:t>Elect twelve nominated directors, who are listed in the proxy statement, as directors of Capital One;</w:t>
            </w:r>
          </w:p>
        </w:tc>
      </w:tr>
      <w:tr>
        <w:trPr/>
        <w:tc>
          <w:tcPr>
            <w:tcW w:w="357" w:type="dxa"/>
            <w:tcBorders/>
            <w:vAlign w:val="center"/>
          </w:tcPr>
          <w:p>
            <w:pPr>
              <w:pStyle w:val="TableContents"/>
              <w:bidi w:val="0"/>
              <w:spacing w:before="0" w:after="283"/>
              <w:jc w:val="left"/>
              <w:rPr>
                <w:sz w:val="4"/>
                <w:szCs w:val="4"/>
              </w:rPr>
            </w:pPr>
            <w:r>
              <w:rPr>
                <w:sz w:val="4"/>
                <w:szCs w:val="4"/>
              </w:rPr>
            </w:r>
          </w:p>
        </w:tc>
        <w:tc>
          <w:tcPr>
            <w:tcW w:w="9848" w:type="dxa"/>
            <w:gridSpan w:val="2"/>
            <w:tcBorders/>
            <w:vAlign w:val="center"/>
          </w:tcPr>
          <w:p>
            <w:pPr>
              <w:pStyle w:val="TableContents"/>
              <w:bidi w:val="0"/>
              <w:spacing w:before="0" w:after="283"/>
              <w:jc w:val="left"/>
              <w:rPr>
                <w:sz w:val="4"/>
                <w:szCs w:val="4"/>
              </w:rPr>
            </w:pPr>
            <w:r>
              <w:rPr>
                <w:sz w:val="4"/>
                <w:szCs w:val="4"/>
              </w:rPr>
            </w:r>
          </w:p>
        </w:tc>
      </w:tr>
      <w:tr>
        <w:trPr/>
        <w:tc>
          <w:tcPr>
            <w:tcW w:w="357" w:type="dxa"/>
            <w:tcBorders/>
            <w:vAlign w:val="center"/>
          </w:tcPr>
          <w:p>
            <w:pPr>
              <w:pStyle w:val="TableContents"/>
              <w:bidi w:val="0"/>
              <w:spacing w:lineRule="atLeast" w:line="200" w:before="0" w:after="0"/>
              <w:jc w:val="right"/>
              <w:rPr>
                <w:rFonts w:ascii="arial" w:hAnsi="arial"/>
                <w:b/>
                <w:color w:val="003A5D"/>
                <w:sz w:val="20"/>
              </w:rPr>
            </w:pPr>
            <w:r>
              <w:rPr>
                <w:rFonts w:ascii="arial" w:hAnsi="arial"/>
                <w:b/>
                <w:color w:val="003A5D"/>
                <w:sz w:val="20"/>
              </w:rPr>
              <w:t>2.</w:t>
            </w:r>
          </w:p>
        </w:tc>
        <w:tc>
          <w:tcPr>
            <w:tcW w:w="60" w:type="dxa"/>
            <w:tcBorders/>
            <w:vAlign w:val="center"/>
          </w:tcPr>
          <w:p>
            <w:pPr>
              <w:pStyle w:val="TableContents"/>
              <w:bidi w:val="0"/>
              <w:spacing w:before="0" w:after="283"/>
              <w:jc w:val="left"/>
              <w:rPr/>
            </w:pPr>
            <w:r>
              <w:rPr/>
              <w:t> </w:t>
            </w:r>
          </w:p>
        </w:tc>
        <w:tc>
          <w:tcPr>
            <w:tcW w:w="9788" w:type="dxa"/>
            <w:tcBorders/>
            <w:vAlign w:val="center"/>
          </w:tcPr>
          <w:p>
            <w:pPr>
              <w:pStyle w:val="TableContents"/>
              <w:bidi w:val="0"/>
              <w:spacing w:before="0" w:after="0"/>
              <w:jc w:val="both"/>
              <w:rPr>
                <w:rFonts w:ascii="arial" w:hAnsi="arial"/>
                <w:b/>
                <w:color w:val="003A5D"/>
                <w:sz w:val="20"/>
              </w:rPr>
            </w:pPr>
            <w:r>
              <w:rPr>
                <w:rFonts w:ascii="arial" w:hAnsi="arial"/>
                <w:b/>
                <w:color w:val="003A5D"/>
                <w:sz w:val="20"/>
              </w:rPr>
              <w:t>Approve, on a non-binding advisory basis, our Named Executive Officer compensation (“Say on Pay”);</w:t>
            </w:r>
          </w:p>
        </w:tc>
      </w:tr>
      <w:tr>
        <w:trPr/>
        <w:tc>
          <w:tcPr>
            <w:tcW w:w="357" w:type="dxa"/>
            <w:tcBorders/>
            <w:vAlign w:val="center"/>
          </w:tcPr>
          <w:p>
            <w:pPr>
              <w:pStyle w:val="TableContents"/>
              <w:bidi w:val="0"/>
              <w:spacing w:before="0" w:after="283"/>
              <w:jc w:val="left"/>
              <w:rPr>
                <w:sz w:val="4"/>
                <w:szCs w:val="4"/>
              </w:rPr>
            </w:pPr>
            <w:r>
              <w:rPr>
                <w:sz w:val="4"/>
                <w:szCs w:val="4"/>
              </w:rPr>
            </w:r>
          </w:p>
        </w:tc>
        <w:tc>
          <w:tcPr>
            <w:tcW w:w="9848" w:type="dxa"/>
            <w:gridSpan w:val="2"/>
            <w:tcBorders/>
            <w:vAlign w:val="center"/>
          </w:tcPr>
          <w:p>
            <w:pPr>
              <w:pStyle w:val="TableContents"/>
              <w:bidi w:val="0"/>
              <w:spacing w:before="0" w:after="283"/>
              <w:jc w:val="left"/>
              <w:rPr>
                <w:sz w:val="4"/>
                <w:szCs w:val="4"/>
              </w:rPr>
            </w:pPr>
            <w:r>
              <w:rPr>
                <w:sz w:val="4"/>
                <w:szCs w:val="4"/>
              </w:rPr>
            </w:r>
          </w:p>
        </w:tc>
      </w:tr>
      <w:tr>
        <w:trPr/>
        <w:tc>
          <w:tcPr>
            <w:tcW w:w="357" w:type="dxa"/>
            <w:tcBorders/>
            <w:vAlign w:val="center"/>
          </w:tcPr>
          <w:p>
            <w:pPr>
              <w:pStyle w:val="TableContents"/>
              <w:bidi w:val="0"/>
              <w:spacing w:lineRule="atLeast" w:line="200" w:before="0" w:after="0"/>
              <w:jc w:val="right"/>
              <w:rPr>
                <w:rFonts w:ascii="arial" w:hAnsi="arial"/>
                <w:b/>
                <w:color w:val="003A5D"/>
                <w:sz w:val="20"/>
              </w:rPr>
            </w:pPr>
            <w:r>
              <w:rPr>
                <w:rFonts w:ascii="arial" w:hAnsi="arial"/>
                <w:b/>
                <w:color w:val="003A5D"/>
                <w:sz w:val="20"/>
              </w:rPr>
              <w:t>3.</w:t>
            </w:r>
          </w:p>
        </w:tc>
        <w:tc>
          <w:tcPr>
            <w:tcW w:w="60" w:type="dxa"/>
            <w:tcBorders/>
            <w:vAlign w:val="center"/>
          </w:tcPr>
          <w:p>
            <w:pPr>
              <w:pStyle w:val="TableContents"/>
              <w:bidi w:val="0"/>
              <w:spacing w:before="0" w:after="283"/>
              <w:jc w:val="left"/>
              <w:rPr/>
            </w:pPr>
            <w:r>
              <w:rPr/>
              <w:t> </w:t>
            </w:r>
          </w:p>
        </w:tc>
        <w:tc>
          <w:tcPr>
            <w:tcW w:w="9788" w:type="dxa"/>
            <w:tcBorders/>
            <w:vAlign w:val="center"/>
          </w:tcPr>
          <w:p>
            <w:pPr>
              <w:pStyle w:val="TableContents"/>
              <w:bidi w:val="0"/>
              <w:spacing w:before="0" w:after="0"/>
              <w:jc w:val="both"/>
              <w:rPr>
                <w:rFonts w:ascii="arial" w:hAnsi="arial"/>
                <w:b/>
                <w:color w:val="003A5D"/>
                <w:sz w:val="20"/>
              </w:rPr>
            </w:pPr>
            <w:r>
              <w:rPr>
                <w:rFonts w:ascii="arial" w:hAnsi="arial"/>
                <w:b/>
                <w:color w:val="003A5D"/>
                <w:sz w:val="20"/>
              </w:rPr>
              <w:t>Ratify the selection of Ernst &amp; Young LLP as our independent registered public accounting firm for 2025; and</w:t>
            </w:r>
          </w:p>
        </w:tc>
      </w:tr>
      <w:tr>
        <w:trPr/>
        <w:tc>
          <w:tcPr>
            <w:tcW w:w="357" w:type="dxa"/>
            <w:tcBorders/>
            <w:vAlign w:val="center"/>
          </w:tcPr>
          <w:p>
            <w:pPr>
              <w:pStyle w:val="TableContents"/>
              <w:bidi w:val="0"/>
              <w:spacing w:before="0" w:after="283"/>
              <w:jc w:val="left"/>
              <w:rPr>
                <w:sz w:val="4"/>
                <w:szCs w:val="4"/>
              </w:rPr>
            </w:pPr>
            <w:r>
              <w:rPr>
                <w:sz w:val="4"/>
                <w:szCs w:val="4"/>
              </w:rPr>
            </w:r>
          </w:p>
        </w:tc>
        <w:tc>
          <w:tcPr>
            <w:tcW w:w="9848" w:type="dxa"/>
            <w:gridSpan w:val="2"/>
            <w:tcBorders/>
            <w:vAlign w:val="center"/>
          </w:tcPr>
          <w:p>
            <w:pPr>
              <w:pStyle w:val="TableContents"/>
              <w:bidi w:val="0"/>
              <w:spacing w:before="0" w:after="283"/>
              <w:jc w:val="left"/>
              <w:rPr>
                <w:sz w:val="4"/>
                <w:szCs w:val="4"/>
              </w:rPr>
            </w:pPr>
            <w:r>
              <w:rPr>
                <w:sz w:val="4"/>
                <w:szCs w:val="4"/>
              </w:rPr>
            </w:r>
          </w:p>
        </w:tc>
      </w:tr>
      <w:tr>
        <w:trPr/>
        <w:tc>
          <w:tcPr>
            <w:tcW w:w="357" w:type="dxa"/>
            <w:tcBorders/>
            <w:vAlign w:val="center"/>
          </w:tcPr>
          <w:p>
            <w:pPr>
              <w:pStyle w:val="TableContents"/>
              <w:bidi w:val="0"/>
              <w:spacing w:lineRule="atLeast" w:line="200" w:before="0" w:after="0"/>
              <w:jc w:val="right"/>
              <w:rPr>
                <w:color w:val="003A5D"/>
              </w:rPr>
            </w:pPr>
            <w:r>
              <w:rPr>
                <w:color w:val="003A5D"/>
              </w:rPr>
              <w:t>  </w:t>
            </w:r>
            <w:r>
              <w:rPr>
                <w:rFonts w:ascii="arial" w:hAnsi="arial"/>
                <w:b/>
                <w:color w:val="003A5D"/>
                <w:sz w:val="20"/>
              </w:rPr>
              <w:t>4.</w:t>
            </w:r>
          </w:p>
        </w:tc>
        <w:tc>
          <w:tcPr>
            <w:tcW w:w="60" w:type="dxa"/>
            <w:tcBorders/>
            <w:vAlign w:val="center"/>
          </w:tcPr>
          <w:p>
            <w:pPr>
              <w:pStyle w:val="TableContents"/>
              <w:bidi w:val="0"/>
              <w:spacing w:before="0" w:after="283"/>
              <w:jc w:val="left"/>
              <w:rPr/>
            </w:pPr>
            <w:r>
              <w:rPr/>
              <w:t> </w:t>
            </w:r>
          </w:p>
        </w:tc>
        <w:tc>
          <w:tcPr>
            <w:tcW w:w="9788" w:type="dxa"/>
            <w:tcBorders/>
            <w:vAlign w:val="center"/>
          </w:tcPr>
          <w:p>
            <w:pPr>
              <w:pStyle w:val="TableContents"/>
              <w:bidi w:val="0"/>
              <w:spacing w:before="0" w:after="0"/>
              <w:jc w:val="both"/>
              <w:rPr>
                <w:rFonts w:ascii="arial" w:hAnsi="arial"/>
                <w:b/>
                <w:color w:val="003A5D"/>
                <w:sz w:val="20"/>
              </w:rPr>
            </w:pPr>
            <w:r>
              <w:rPr>
                <w:rFonts w:ascii="arial" w:hAnsi="arial"/>
                <w:b/>
                <w:color w:val="003A5D"/>
                <w:sz w:val="20"/>
              </w:rPr>
              <w:t>Consider a stockholder proposal, if properly presented at the meeting.</w:t>
            </w:r>
          </w:p>
        </w:tc>
      </w:tr>
    </w:tbl>
    <w:p>
      <w:pPr>
        <w:pStyle w:val="TextBody"/>
        <w:bidi w:val="0"/>
        <w:spacing w:before="120" w:after="0"/>
        <w:jc w:val="both"/>
        <w:rPr>
          <w:rFonts w:ascii="arial" w:hAnsi="arial"/>
          <w:sz w:val="20"/>
        </w:rPr>
      </w:pPr>
      <w:r>
        <w:rPr>
          <w:rFonts w:ascii="arial" w:hAnsi="arial"/>
          <w:sz w:val="20"/>
        </w:rPr>
        <w:t xml:space="preserve">Stockholders will also transact other business that may properly come before the meeting. </w:t>
      </w:r>
    </w:p>
    <w:p>
      <w:pPr>
        <w:pStyle w:val="TextBody"/>
        <w:bidi w:val="0"/>
        <w:spacing w:before="120" w:after="0"/>
        <w:jc w:val="left"/>
        <w:rPr>
          <w:rFonts w:ascii="arial" w:hAnsi="arial"/>
          <w:b/>
          <w:color w:val="003A5D"/>
          <w:sz w:val="20"/>
        </w:rPr>
      </w:pPr>
      <w:r>
        <w:rPr>
          <w:rFonts w:ascii="arial" w:hAnsi="arial"/>
          <w:b/>
          <w:color w:val="003A5D"/>
          <w:sz w:val="20"/>
        </w:rPr>
        <w:t xml:space="preserve">Record Date </w:t>
      </w:r>
    </w:p>
    <w:p>
      <w:pPr>
        <w:pStyle w:val="TextBody"/>
        <w:bidi w:val="0"/>
        <w:spacing w:before="120" w:after="0"/>
        <w:jc w:val="both"/>
        <w:rPr>
          <w:rFonts w:ascii="arial" w:hAnsi="arial"/>
          <w:sz w:val="20"/>
        </w:rPr>
      </w:pPr>
      <w:r>
        <w:rPr>
          <w:rFonts w:ascii="arial" w:hAnsi="arial"/>
          <w:sz w:val="20"/>
        </w:rPr>
        <w:t xml:space="preserve">You may vote if you held shares of Capital One common stock as of the close of business on March 12, 2025 (“Record Date”). </w:t>
      </w:r>
    </w:p>
    <w:p>
      <w:pPr>
        <w:pStyle w:val="TextBody"/>
        <w:bidi w:val="0"/>
        <w:spacing w:before="120" w:after="0"/>
        <w:jc w:val="left"/>
        <w:rPr>
          <w:rFonts w:ascii="arial" w:hAnsi="arial"/>
          <w:b/>
          <w:color w:val="003A5D"/>
          <w:sz w:val="20"/>
        </w:rPr>
      </w:pPr>
      <w:r>
        <w:rPr>
          <w:rFonts w:ascii="arial" w:hAnsi="arial"/>
          <w:b/>
          <w:color w:val="003A5D"/>
          <w:sz w:val="20"/>
        </w:rPr>
        <w:t xml:space="preserve">Proxy Voting </w:t>
      </w:r>
    </w:p>
    <w:p>
      <w:pPr>
        <w:pStyle w:val="TextBody"/>
        <w:bidi w:val="0"/>
        <w:spacing w:before="120" w:after="0"/>
        <w:jc w:val="both"/>
        <w:rPr>
          <w:rFonts w:ascii="arial" w:hAnsi="arial"/>
          <w:sz w:val="20"/>
        </w:rPr>
      </w:pPr>
      <w:r>
        <w:rPr>
          <w:rFonts w:ascii="arial" w:hAnsi="arial"/>
          <w:sz w:val="20"/>
        </w:rPr>
        <w:t xml:space="preserve">Your vote is important. You may vote your shares in advance of the meeting via the Internet, by telephone, by mail, or in person at the 2025 Annual Stockholder Meeting. Please refer to the section “How do I vote?” in the proxy statement for detailed voting instructions. If you vote via the Internet, by telephone, or plan to vote in person during the 2025 Annual Stockholder Meeting, you do not need to mail in a proxy card. </w:t>
      </w:r>
    </w:p>
    <w:p>
      <w:pPr>
        <w:pStyle w:val="TextBody"/>
        <w:bidi w:val="0"/>
        <w:spacing w:before="120" w:after="0"/>
        <w:jc w:val="left"/>
        <w:rPr>
          <w:rFonts w:ascii="arial" w:hAnsi="arial"/>
          <w:b/>
          <w:color w:val="003A5D"/>
          <w:sz w:val="20"/>
        </w:rPr>
      </w:pPr>
      <w:r>
        <w:rPr>
          <w:rFonts w:ascii="arial" w:hAnsi="arial"/>
          <w:b/>
          <w:color w:val="003A5D"/>
          <w:sz w:val="20"/>
        </w:rPr>
        <w:t xml:space="preserve">2025 Annual Stockholder Meeting Admission </w:t>
      </w:r>
    </w:p>
    <w:p>
      <w:pPr>
        <w:pStyle w:val="TextBody"/>
        <w:bidi w:val="0"/>
        <w:spacing w:before="120" w:after="0"/>
        <w:jc w:val="both"/>
        <w:rPr>
          <w:rFonts w:ascii="arial" w:hAnsi="arial"/>
          <w:sz w:val="20"/>
        </w:rPr>
      </w:pPr>
      <w:r>
        <w:rPr>
          <w:rFonts w:ascii="arial" w:hAnsi="arial"/>
          <w:sz w:val="20"/>
        </w:rPr>
        <w:t xml:space="preserve">Due to space limitations, attendance is limited to stockholders and persons holding valid legal proxies from those stockholders. Admission to the meeting is on a first-come, first-served basis. Registration will begin at 9:00 a.m. Eastern Time. Valid government-issued identification must be presented to attend the meeting. If you hold Capital One common stock through a broker, bank, trust, or other nominee, you must bring a copy of a statement reflecting your stock ownership as of the Record Date, and if you wish to vote in person, you must also bring a legal proxy from your broker, bank, trust, or other nominee. Cameras, recording devices, and other electronic devices are not permitted. If you require special assistance at the meeting, please contact the Corporate Secretary at 1600 Capital One Drive, McLean, VA 22102. </w:t>
      </w:r>
    </w:p>
    <w:p>
      <w:pPr>
        <w:pStyle w:val="TextBody"/>
        <w:bidi w:val="0"/>
        <w:spacing w:before="120" w:after="0"/>
        <w:jc w:val="both"/>
        <w:rPr>
          <w:rFonts w:ascii="arial" w:hAnsi="arial"/>
          <w:sz w:val="20"/>
        </w:rPr>
      </w:pPr>
      <w:r>
        <w:rPr>
          <w:rFonts w:ascii="arial" w:hAnsi="arial"/>
          <w:sz w:val="20"/>
        </w:rPr>
        <w:t xml:space="preserve">We look forward to seeing you at the meeting. </w:t>
      </w:r>
    </w:p>
    <w:p>
      <w:pPr>
        <w:pStyle w:val="TextBody"/>
        <w:bidi w:val="0"/>
        <w:spacing w:before="120" w:after="0"/>
        <w:jc w:val="both"/>
        <w:rPr>
          <w:rFonts w:ascii="arial" w:hAnsi="arial"/>
          <w:sz w:val="20"/>
        </w:rPr>
      </w:pPr>
      <w:r>
        <w:rPr>
          <w:rFonts w:ascii="arial" w:hAnsi="arial"/>
          <w:sz w:val="20"/>
        </w:rPr>
        <w:t xml:space="preserve">On behalf of the Board, </w:t>
      </w:r>
    </w:p>
    <w:p>
      <w:pPr>
        <w:pStyle w:val="TextBody"/>
        <w:bidi w:val="0"/>
        <w:spacing w:before="0" w:after="0"/>
        <w:jc w:val="left"/>
        <w:rPr/>
      </w:pPr>
      <w:r>
        <w:rPr/>
        <w:t> </w:t>
      </w:r>
    </w:p>
    <w:p>
      <w:pPr>
        <w:pStyle w:val="TextBody"/>
        <w:bidi w:val="0"/>
        <w:spacing w:before="0" w:after="0"/>
        <w:jc w:val="left"/>
        <w:rPr/>
      </w:pPr>
      <w:r>
        <w:rPr/>
        <w:drawing>
          <wp:inline distT="0" distB="0" distL="0" distR="0">
            <wp:extent cx="1929130" cy="4483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29130" cy="448310"/>
                    </a:xfrm>
                    <a:prstGeom prst="rect">
                      <a:avLst/>
                    </a:prstGeom>
                  </pic:spPr>
                </pic:pic>
              </a:graphicData>
            </a:graphic>
          </wp:inline>
        </w:drawing>
      </w:r>
      <w:r>
        <w:rPr/>
        <w:t xml:space="preserve"> </w:t>
      </w:r>
    </w:p>
    <w:p>
      <w:pPr>
        <w:pStyle w:val="TextBody"/>
        <w:bidi w:val="0"/>
        <w:spacing w:before="0" w:after="0"/>
        <w:jc w:val="left"/>
        <w:rPr>
          <w:rFonts w:ascii="arial" w:hAnsi="arial"/>
          <w:sz w:val="20"/>
        </w:rPr>
      </w:pPr>
      <w:r>
        <w:rPr>
          <w:rFonts w:ascii="arial" w:hAnsi="arial"/>
          <w:sz w:val="20"/>
        </w:rPr>
        <w:t xml:space="preserve">Matthew W. Cooper </w:t>
      </w:r>
    </w:p>
    <w:p>
      <w:pPr>
        <w:pStyle w:val="TextBody"/>
        <w:bidi w:val="0"/>
        <w:spacing w:before="0" w:after="0"/>
        <w:jc w:val="left"/>
        <w:rPr>
          <w:rFonts w:ascii="arial" w:hAnsi="arial"/>
          <w:sz w:val="20"/>
        </w:rPr>
      </w:pPr>
      <w:r>
        <w:rPr>
          <w:rFonts w:ascii="arial" w:hAnsi="arial"/>
          <w:sz w:val="20"/>
        </w:rPr>
        <w:t xml:space="preserve">Corporate Secretary </w:t>
      </w:r>
    </w:p>
    <w:p>
      <w:pPr>
        <w:pStyle w:val="TextBody"/>
        <w:bidi w:val="0"/>
        <w:spacing w:before="0" w:after="0"/>
        <w:jc w:val="both"/>
        <w:rPr>
          <w:rFonts w:ascii="arial" w:hAnsi="arial"/>
          <w:sz w:val="20"/>
        </w:rPr>
      </w:pPr>
      <w:r>
        <w:rPr>
          <w:rFonts w:ascii="arial" w:hAnsi="arial"/>
          <w:sz w:val="20"/>
        </w:rPr>
        <w:t xml:space="preserve">March 27, 2025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36"/>
        </w:rPr>
      </w:pPr>
      <w:r>
        <w:rPr>
          <w:rFonts w:ascii="arial" w:hAnsi="arial"/>
          <w:b/>
          <w:sz w:val="36"/>
        </w:rPr>
        <w:t xml:space="preserve">Proxy Summary </w:t>
      </w:r>
    </w:p>
    <w:p>
      <w:pPr>
        <w:pStyle w:val="TextBody"/>
        <w:pBdr>
          <w:bottom w:val="single" w:sz="8" w:space="1" w:color="000000"/>
        </w:pBdr>
        <w:bidi w:val="0"/>
        <w:spacing w:lineRule="atLeast" w:line="142" w:before="0" w:after="40"/>
        <w:jc w:val="left"/>
        <w:rPr/>
      </w:pPr>
      <w:r>
        <w:rPr/>
        <w:t> </w:t>
      </w:r>
    </w:p>
    <w:p>
      <w:pPr>
        <w:pStyle w:val="TextBody"/>
        <w:bidi w:val="0"/>
        <w:spacing w:before="240" w:after="0"/>
        <w:jc w:val="both"/>
        <w:rPr>
          <w:rFonts w:ascii="arial" w:hAnsi="arial"/>
          <w:b/>
          <w:i/>
          <w:sz w:val="20"/>
        </w:rPr>
      </w:pPr>
      <w:r>
        <w:rPr>
          <w:rFonts w:ascii="arial" w:hAnsi="arial"/>
          <w:b/>
          <w:i/>
          <w:sz w:val="20"/>
        </w:rPr>
        <w:t xml:space="preserve">This summary highlights information contained elsewhere in this proxy statement. This summary does not contain all the information you should consider in voting your shares. Please read the complete proxy statement and our Annual Report to Stockholders for the fiscal year ended December 31, 2024 (“Annual Report”) carefully before voting. </w:t>
      </w:r>
    </w:p>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1295"/>
        <w:gridCol w:w="120"/>
        <w:gridCol w:w="4205"/>
      </w:tblGrid>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05" w:type="dxa"/>
            <w:tcBorders/>
            <w:vAlign w:val="center"/>
          </w:tcPr>
          <w:p>
            <w:pPr>
              <w:pStyle w:val="TableContents"/>
              <w:bidi w:val="0"/>
              <w:spacing w:before="0" w:after="283"/>
              <w:jc w:val="left"/>
              <w:rPr>
                <w:sz w:val="4"/>
                <w:szCs w:val="4"/>
              </w:rPr>
            </w:pPr>
            <w:r>
              <w:rPr>
                <w:sz w:val="4"/>
                <w:szCs w:val="4"/>
              </w:rPr>
            </w:r>
          </w:p>
        </w:tc>
      </w:tr>
      <w:tr>
        <w:trPr/>
        <w:tc>
          <w:tcPr>
            <w:tcW w:w="5620" w:type="dxa"/>
            <w:gridSpan w:val="3"/>
            <w:tcBorders/>
            <w:shd w:fill="003A5D" w:val="clear"/>
            <w:vAlign w:val="center"/>
          </w:tcPr>
          <w:p>
            <w:pPr>
              <w:pStyle w:val="TableContents"/>
              <w:bidi w:val="0"/>
              <w:spacing w:before="0" w:after="0"/>
              <w:jc w:val="left"/>
              <w:rPr/>
            </w:pPr>
            <w:r>
              <w:rPr/>
              <w:t> </w:t>
            </w:r>
          </w:p>
          <w:p>
            <w:pPr>
              <w:pStyle w:val="TableContents"/>
              <w:bidi w:val="0"/>
              <w:spacing w:before="0" w:after="20"/>
              <w:jc w:val="left"/>
              <w:rPr>
                <w:color w:val="FFFFFF"/>
              </w:rPr>
            </w:pPr>
            <w:r>
              <w:rPr>
                <w:color w:val="FFFFFF"/>
              </w:rPr>
              <w:t> </w:t>
            </w:r>
            <w:r>
              <w:rPr>
                <w:rFonts w:ascii="arial" w:hAnsi="arial"/>
                <w:b/>
                <w:color w:val="FFFFFF"/>
                <w:sz w:val="24"/>
              </w:rPr>
              <w:t>Meeting Information</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4325" w:type="dxa"/>
            <w:gridSpan w:val="2"/>
            <w:tcBorders/>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0"/>
              <w:jc w:val="left"/>
              <w:rPr/>
            </w:pPr>
            <w:r>
              <w:rPr/>
              <w:t> </w:t>
            </w:r>
          </w:p>
          <w:p>
            <w:pPr>
              <w:pStyle w:val="TableContents"/>
              <w:bidi w:val="0"/>
              <w:spacing w:before="0" w:after="20"/>
              <w:jc w:val="both"/>
              <w:rPr/>
            </w:pPr>
            <w:r>
              <w:rPr/>
              <w:t> </w:t>
            </w:r>
            <w:r>
              <w:rPr>
                <w:rFonts w:ascii="arial" w:hAnsi="arial"/>
                <w:sz w:val="20"/>
              </w:rPr>
              <w:t>Date:</w:t>
            </w:r>
          </w:p>
        </w:tc>
        <w:tc>
          <w:tcPr>
            <w:tcW w:w="12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Thursday, May 8, 2025</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4325" w:type="dxa"/>
            <w:gridSpan w:val="2"/>
            <w:tcBorders/>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0"/>
              <w:jc w:val="left"/>
              <w:rPr/>
            </w:pPr>
            <w:r>
              <w:rPr/>
              <w:t> </w:t>
            </w:r>
          </w:p>
          <w:p>
            <w:pPr>
              <w:pStyle w:val="TableContents"/>
              <w:bidi w:val="0"/>
              <w:spacing w:before="0" w:after="20"/>
              <w:jc w:val="both"/>
              <w:rPr/>
            </w:pPr>
            <w:r>
              <w:rPr/>
              <w:t> </w:t>
            </w:r>
            <w:r>
              <w:rPr>
                <w:rFonts w:ascii="arial" w:hAnsi="arial"/>
                <w:sz w:val="20"/>
              </w:rPr>
              <w:t>Time:</w:t>
            </w:r>
          </w:p>
        </w:tc>
        <w:tc>
          <w:tcPr>
            <w:tcW w:w="12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10:00 a.m. Eastern Time</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4325" w:type="dxa"/>
            <w:gridSpan w:val="2"/>
            <w:tcBorders/>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0"/>
              <w:jc w:val="left"/>
              <w:rPr/>
            </w:pPr>
            <w:r>
              <w:rPr/>
              <w:t> </w:t>
            </w:r>
          </w:p>
          <w:p>
            <w:pPr>
              <w:pStyle w:val="TableContents"/>
              <w:bidi w:val="0"/>
              <w:spacing w:before="0" w:after="20"/>
              <w:jc w:val="both"/>
              <w:rPr/>
            </w:pPr>
            <w:r>
              <w:rPr/>
              <w:t> </w:t>
            </w:r>
            <w:r>
              <w:rPr>
                <w:rFonts w:ascii="arial" w:hAnsi="arial"/>
                <w:sz w:val="20"/>
              </w:rPr>
              <w:t>Location:</w:t>
            </w:r>
          </w:p>
        </w:tc>
        <w:tc>
          <w:tcPr>
            <w:tcW w:w="12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20"/>
              </w:rPr>
            </w:pPr>
            <w:r>
              <w:rPr>
                <w:rFonts w:ascii="arial" w:hAnsi="arial"/>
                <w:sz w:val="20"/>
              </w:rPr>
              <w:t>1600 Capital One Drive, McLean, Virginia 22102</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4325" w:type="dxa"/>
            <w:gridSpan w:val="2"/>
            <w:tcBorders/>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Record Date:</w:t>
            </w:r>
          </w:p>
        </w:tc>
        <w:tc>
          <w:tcPr>
            <w:tcW w:w="12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March 12, 2025</w:t>
            </w:r>
          </w:p>
        </w:tc>
      </w:tr>
    </w:tbl>
    <w:p>
      <w:pPr>
        <w:pStyle w:val="TextBody"/>
        <w:bidi w:val="0"/>
        <w:spacing w:before="0" w:after="0"/>
        <w:jc w:val="left"/>
        <w:rPr/>
      </w:pPr>
      <w:r>
        <w:rPr/>
        <w:t> </w:t>
      </w:r>
    </w:p>
    <w:tbl>
      <w:tblPr>
        <w:tblW w:w="1398" w:type="dxa"/>
        <w:jc w:val="left"/>
        <w:tblInd w:w="0" w:type="dxa"/>
        <w:tblLayout w:type="fixed"/>
        <w:tblCellMar>
          <w:top w:w="0" w:type="dxa"/>
          <w:left w:w="0" w:type="dxa"/>
          <w:bottom w:w="0" w:type="dxa"/>
          <w:right w:w="0" w:type="dxa"/>
        </w:tblCellMar>
      </w:tblPr>
      <w:tblGrid>
        <w:gridCol w:w="536"/>
        <w:gridCol w:w="324"/>
        <w:gridCol w:w="538"/>
      </w:tblGrid>
      <w:tr>
        <w:trPr/>
        <w:tc>
          <w:tcPr>
            <w:tcW w:w="53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1398" w:type="dxa"/>
            <w:gridSpan w:val="3"/>
            <w:tcBorders/>
            <w:shd w:fill="003A5D" w:val="clear"/>
            <w:vAlign w:val="center"/>
          </w:tcPr>
          <w:p>
            <w:pPr>
              <w:pStyle w:val="TableContents"/>
              <w:bidi w:val="0"/>
              <w:spacing w:before="0" w:after="283"/>
              <w:jc w:val="left"/>
              <w:rPr>
                <w:sz w:val="4"/>
                <w:szCs w:val="4"/>
              </w:rPr>
            </w:pPr>
            <w:r>
              <w:rPr>
                <w:sz w:val="4"/>
                <w:szCs w:val="4"/>
              </w:rPr>
            </w:r>
            <w:bookmarkStart w:id="2" w:name="txa845790_hw"/>
            <w:bookmarkStart w:id="3" w:name="txa845790_hw"/>
            <w:bookmarkEnd w:id="3"/>
          </w:p>
        </w:tc>
      </w:tr>
      <w:tr>
        <w:trPr/>
        <w:tc>
          <w:tcPr>
            <w:tcW w:w="1398" w:type="dxa"/>
            <w:gridSpan w:val="3"/>
            <w:tcBorders/>
            <w:shd w:fill="003A5D" w:val="clear"/>
            <w:vAlign w:val="center"/>
          </w:tcPr>
          <w:p>
            <w:pPr>
              <w:pStyle w:val="TableContents"/>
              <w:bidi w:val="0"/>
              <w:spacing w:before="0" w:after="283"/>
              <w:jc w:val="left"/>
              <w:rPr>
                <w:color w:val="FFFFFF"/>
              </w:rPr>
            </w:pPr>
            <w:r>
              <w:rPr>
                <w:color w:val="FFFFFF"/>
              </w:rPr>
              <w:t> </w:t>
            </w:r>
            <w:r>
              <w:rPr>
                <w:b/>
                <w:color w:val="FFFFFF"/>
              </w:rPr>
              <w:t>How to Vote</w:t>
            </w:r>
          </w:p>
        </w:tc>
      </w:tr>
    </w:tbl>
    <w:p>
      <w:pPr>
        <w:pStyle w:val="TextBody"/>
        <w:bidi w:val="0"/>
        <w:spacing w:before="60" w:after="0"/>
        <w:jc w:val="both"/>
        <w:rPr>
          <w:rFonts w:ascii="arial" w:hAnsi="arial"/>
          <w:sz w:val="20"/>
        </w:rPr>
      </w:pPr>
      <w:r>
        <w:rPr>
          <w:rFonts w:ascii="arial" w:hAnsi="arial"/>
          <w:sz w:val="20"/>
        </w:rPr>
        <w:t xml:space="preserve">Your vote is important. You may vote your shares in advance of the meeting via the Internet, by telephone, by mail, or in person at the 2025 Annual Stockholder Meeting. Please refer to the section “How do I vote?” on page 131 for detailed voting instructions. If you vote via the Internet, by telephone, or plan to vote in person at the 2025 Annual Stockholder Meeting, you do not need to mail in a proxy card.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36"/>
        <w:gridCol w:w="60"/>
        <w:gridCol w:w="2972"/>
        <w:gridCol w:w="60"/>
        <w:gridCol w:w="3394"/>
        <w:gridCol w:w="60"/>
        <w:gridCol w:w="2023"/>
      </w:tblGrid>
      <w:tr>
        <w:trPr/>
        <w:tc>
          <w:tcPr>
            <w:tcW w:w="16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center"/>
              <w:rPr>
                <w:b/>
                <w:color w:val="003A5D"/>
              </w:rPr>
            </w:pPr>
            <w:r>
              <w:rPr>
                <w:b/>
                <w:color w:val="003A5D"/>
              </w:rPr>
              <w:t>INTERNET</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0"/>
              <w:jc w:val="center"/>
              <w:rPr>
                <w:rFonts w:ascii="arial" w:hAnsi="arial"/>
                <w:b/>
                <w:color w:val="003A5D"/>
                <w:sz w:val="20"/>
              </w:rPr>
            </w:pPr>
            <w:r>
              <w:rPr>
                <w:rFonts w:ascii="arial" w:hAnsi="arial"/>
                <w:b/>
                <w:color w:val="003A5D"/>
                <w:sz w:val="20"/>
              </w:rPr>
              <w:t>TELEPHONE</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3394" w:type="dxa"/>
            <w:tcBorders/>
            <w:vAlign w:val="center"/>
          </w:tcPr>
          <w:p>
            <w:pPr>
              <w:pStyle w:val="TableContents"/>
              <w:bidi w:val="0"/>
              <w:spacing w:before="0" w:after="0"/>
              <w:jc w:val="center"/>
              <w:rPr>
                <w:rFonts w:ascii="arial" w:hAnsi="arial"/>
                <w:b/>
                <w:color w:val="003A5D"/>
                <w:sz w:val="20"/>
              </w:rPr>
            </w:pPr>
            <w:r>
              <w:rPr>
                <w:rFonts w:ascii="arial" w:hAnsi="arial"/>
                <w:b/>
                <w:color w:val="003A5D"/>
                <w:sz w:val="20"/>
              </w:rPr>
              <w:t>MAIL</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023" w:type="dxa"/>
            <w:tcBorders/>
            <w:vAlign w:val="center"/>
          </w:tcPr>
          <w:p>
            <w:pPr>
              <w:pStyle w:val="TableContents"/>
              <w:bidi w:val="0"/>
              <w:spacing w:before="0" w:after="0"/>
              <w:jc w:val="center"/>
              <w:rPr>
                <w:rFonts w:ascii="arial" w:hAnsi="arial"/>
                <w:b/>
                <w:color w:val="003A5D"/>
                <w:sz w:val="20"/>
              </w:rPr>
            </w:pPr>
            <w:r>
              <w:rPr>
                <w:rFonts w:ascii="arial" w:hAnsi="arial"/>
                <w:b/>
                <w:color w:val="003A5D"/>
                <w:sz w:val="20"/>
              </w:rPr>
              <w:t>IN PERSON</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3032" w:type="dxa"/>
            <w:gridSpan w:val="2"/>
            <w:tcBorders>
              <w:left w:val="single" w:sz="8" w:space="0" w:color="003A5D"/>
            </w:tcBorders>
            <w:tcMar>
              <w:left w:w="28" w:type="dxa"/>
            </w:tcMar>
            <w:vAlign w:val="center"/>
          </w:tcPr>
          <w:p>
            <w:pPr>
              <w:pStyle w:val="TableContents"/>
              <w:bidi w:val="0"/>
              <w:spacing w:before="0" w:after="283"/>
              <w:jc w:val="left"/>
              <w:rPr/>
            </w:pPr>
            <w:r>
              <w:rPr/>
              <w:t> </w:t>
            </w:r>
          </w:p>
        </w:tc>
        <w:tc>
          <w:tcPr>
            <w:tcW w:w="3454" w:type="dxa"/>
            <w:gridSpan w:val="2"/>
            <w:tcBorders>
              <w:left w:val="single" w:sz="8" w:space="0" w:color="003A5D"/>
            </w:tcBorders>
            <w:tcMar>
              <w:left w:w="28" w:type="dxa"/>
            </w:tcMar>
            <w:vAlign w:val="center"/>
          </w:tcPr>
          <w:p>
            <w:pPr>
              <w:pStyle w:val="TableContents"/>
              <w:bidi w:val="0"/>
              <w:spacing w:before="0" w:after="283"/>
              <w:jc w:val="left"/>
              <w:rPr/>
            </w:pPr>
            <w:r>
              <w:rPr/>
              <w:t> </w:t>
            </w:r>
          </w:p>
        </w:tc>
        <w:tc>
          <w:tcPr>
            <w:tcW w:w="2083" w:type="dxa"/>
            <w:gridSpan w:val="2"/>
            <w:tcBorders>
              <w:left w:val="single" w:sz="8" w:space="0" w:color="003A5D"/>
            </w:tcBorders>
            <w:tcMar>
              <w:left w:w="28" w:type="dxa"/>
            </w:tcMar>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center"/>
              <w:rPr/>
            </w:pPr>
            <w:r>
              <w:rPr/>
              <w:drawing>
                <wp:inline distT="0" distB="0" distL="0" distR="0">
                  <wp:extent cx="355600" cy="33845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55600" cy="338455"/>
                          </a:xfrm>
                          <a:prstGeom prst="rect">
                            <a:avLst/>
                          </a:prstGeom>
                        </pic:spPr>
                      </pic:pic>
                    </a:graphicData>
                  </a:graphic>
                </wp:inline>
              </w:drawing>
            </w:r>
            <w:r>
              <w:rPr/>
              <w:t xml:space="preserve">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0"/>
              <w:jc w:val="center"/>
              <w:rPr/>
            </w:pPr>
            <w:r>
              <w:rPr/>
              <w:drawing>
                <wp:inline distT="0" distB="0" distL="0" distR="0">
                  <wp:extent cx="215900" cy="3790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5900" cy="379095"/>
                          </a:xfrm>
                          <a:prstGeom prst="rect">
                            <a:avLst/>
                          </a:prstGeom>
                        </pic:spPr>
                      </pic:pic>
                    </a:graphicData>
                  </a:graphic>
                </wp:inline>
              </w:drawing>
            </w:r>
            <w:r>
              <w:rPr/>
              <w:t xml:space="preserve">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3394" w:type="dxa"/>
            <w:tcBorders/>
            <w:vAlign w:val="center"/>
          </w:tcPr>
          <w:p>
            <w:pPr>
              <w:pStyle w:val="TableContents"/>
              <w:bidi w:val="0"/>
              <w:spacing w:before="0" w:after="0"/>
              <w:jc w:val="center"/>
              <w:rPr/>
            </w:pPr>
            <w:r>
              <w:rPr/>
              <w:drawing>
                <wp:inline distT="0" distB="0" distL="0" distR="0">
                  <wp:extent cx="330835" cy="32512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30835" cy="325120"/>
                          </a:xfrm>
                          <a:prstGeom prst="rect">
                            <a:avLst/>
                          </a:prstGeom>
                        </pic:spPr>
                      </pic:pic>
                    </a:graphicData>
                  </a:graphic>
                </wp:inline>
              </w:drawing>
            </w:r>
            <w:r>
              <w:rPr/>
              <w:t xml:space="preserve">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023" w:type="dxa"/>
            <w:tcBorders/>
            <w:vAlign w:val="center"/>
          </w:tcPr>
          <w:p>
            <w:pPr>
              <w:pStyle w:val="TableContents"/>
              <w:bidi w:val="0"/>
              <w:spacing w:before="0" w:after="0"/>
              <w:jc w:val="center"/>
              <w:rPr/>
            </w:pPr>
            <w:r>
              <w:rPr/>
              <w:drawing>
                <wp:inline distT="0" distB="0" distL="0" distR="0">
                  <wp:extent cx="319405" cy="27876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19405" cy="278765"/>
                          </a:xfrm>
                          <a:prstGeom prst="rect">
                            <a:avLst/>
                          </a:prstGeom>
                        </pic:spPr>
                      </pic:pic>
                    </a:graphicData>
                  </a:graphic>
                </wp:inline>
              </w:drawing>
            </w:r>
            <w:r>
              <w:rPr/>
              <w:t xml:space="preserve"> </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3032" w:type="dxa"/>
            <w:gridSpan w:val="2"/>
            <w:tcBorders>
              <w:left w:val="single" w:sz="8" w:space="0" w:color="003A5D"/>
            </w:tcBorders>
            <w:tcMar>
              <w:left w:w="28" w:type="dxa"/>
            </w:tcMar>
            <w:vAlign w:val="center"/>
          </w:tcPr>
          <w:p>
            <w:pPr>
              <w:pStyle w:val="TableContents"/>
              <w:bidi w:val="0"/>
              <w:spacing w:before="0" w:after="283"/>
              <w:jc w:val="left"/>
              <w:rPr/>
            </w:pPr>
            <w:r>
              <w:rPr/>
              <w:t> </w:t>
            </w:r>
          </w:p>
        </w:tc>
        <w:tc>
          <w:tcPr>
            <w:tcW w:w="3454" w:type="dxa"/>
            <w:gridSpan w:val="2"/>
            <w:tcBorders>
              <w:left w:val="single" w:sz="8" w:space="0" w:color="003A5D"/>
            </w:tcBorders>
            <w:tcMar>
              <w:left w:w="28" w:type="dxa"/>
            </w:tcMar>
            <w:vAlign w:val="center"/>
          </w:tcPr>
          <w:p>
            <w:pPr>
              <w:pStyle w:val="TableContents"/>
              <w:bidi w:val="0"/>
              <w:spacing w:before="0" w:after="283"/>
              <w:jc w:val="left"/>
              <w:rPr/>
            </w:pPr>
            <w:r>
              <w:rPr/>
              <w:t> </w:t>
            </w:r>
          </w:p>
        </w:tc>
        <w:tc>
          <w:tcPr>
            <w:tcW w:w="2083" w:type="dxa"/>
            <w:gridSpan w:val="2"/>
            <w:tcBorders>
              <w:left w:val="single" w:sz="8" w:space="0" w:color="003A5D"/>
            </w:tcBorders>
            <w:tcMar>
              <w:left w:w="28" w:type="dxa"/>
            </w:tcMar>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0"/>
              <w:jc w:val="center"/>
              <w:rPr>
                <w:rFonts w:ascii="arial" w:hAnsi="arial"/>
                <w:sz w:val="16"/>
              </w:rPr>
            </w:pPr>
            <w:r>
              <w:rPr>
                <w:rFonts w:ascii="arial" w:hAnsi="arial"/>
                <w:sz w:val="16"/>
              </w:rPr>
              <w:t>Visit www.proxyvote.com.</w:t>
            </w:r>
          </w:p>
          <w:p>
            <w:pPr>
              <w:pStyle w:val="TableContents"/>
              <w:bidi w:val="0"/>
              <w:spacing w:before="0" w:after="0"/>
              <w:jc w:val="center"/>
              <w:rPr>
                <w:rFonts w:ascii="arial" w:hAnsi="arial"/>
                <w:sz w:val="16"/>
              </w:rPr>
            </w:pPr>
            <w:r>
              <w:rPr>
                <w:rFonts w:ascii="arial" w:hAnsi="arial"/>
                <w:sz w:val="16"/>
              </w:rPr>
              <w:t>You will need the control</w:t>
            </w:r>
          </w:p>
          <w:p>
            <w:pPr>
              <w:pStyle w:val="TableContents"/>
              <w:bidi w:val="0"/>
              <w:spacing w:before="0" w:after="0"/>
              <w:jc w:val="center"/>
              <w:rPr>
                <w:rFonts w:ascii="arial" w:hAnsi="arial"/>
                <w:sz w:val="16"/>
              </w:rPr>
            </w:pPr>
            <w:r>
              <w:rPr>
                <w:rFonts w:ascii="arial" w:hAnsi="arial"/>
                <w:sz w:val="16"/>
              </w:rPr>
              <w:t>number printed on your</w:t>
            </w:r>
          </w:p>
          <w:p>
            <w:pPr>
              <w:pStyle w:val="TableContents"/>
              <w:bidi w:val="0"/>
              <w:spacing w:before="0" w:after="0"/>
              <w:jc w:val="center"/>
              <w:rPr>
                <w:rFonts w:ascii="arial" w:hAnsi="arial"/>
                <w:sz w:val="16"/>
              </w:rPr>
            </w:pPr>
            <w:r>
              <w:rPr>
                <w:rFonts w:ascii="arial" w:hAnsi="arial"/>
                <w:sz w:val="16"/>
              </w:rPr>
              <w:t>notice, proxy card, or voting</w:t>
            </w:r>
          </w:p>
          <w:p>
            <w:pPr>
              <w:pStyle w:val="TableContents"/>
              <w:bidi w:val="0"/>
              <w:spacing w:before="0" w:after="20"/>
              <w:jc w:val="center"/>
              <w:rPr>
                <w:rFonts w:ascii="arial" w:hAnsi="arial"/>
                <w:sz w:val="16"/>
              </w:rPr>
            </w:pPr>
            <w:r>
              <w:rPr>
                <w:rFonts w:ascii="arial" w:hAnsi="arial"/>
                <w:sz w:val="16"/>
              </w:rPr>
              <w:t>instruction form.</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0"/>
              <w:jc w:val="center"/>
              <w:rPr>
                <w:rFonts w:ascii="arial" w:hAnsi="arial"/>
                <w:sz w:val="16"/>
              </w:rPr>
            </w:pPr>
            <w:r>
              <w:rPr>
                <w:rFonts w:ascii="arial" w:hAnsi="arial"/>
                <w:sz w:val="16"/>
              </w:rPr>
              <w:t>If you received a paper copy of the proxy materials, dial toll-free (1-800-690-6903) or use the telephone number on your voting instruction form. You will need the control number printed on your proxy card or voting instruction form.</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3394" w:type="dxa"/>
            <w:tcBorders/>
            <w:vAlign w:val="center"/>
          </w:tcPr>
          <w:p>
            <w:pPr>
              <w:pStyle w:val="TableContents"/>
              <w:bidi w:val="0"/>
              <w:spacing w:before="0" w:after="0"/>
              <w:jc w:val="center"/>
              <w:rPr>
                <w:rFonts w:ascii="arial" w:hAnsi="arial"/>
                <w:sz w:val="16"/>
              </w:rPr>
            </w:pPr>
            <w:r>
              <w:rPr>
                <w:rFonts w:ascii="arial" w:hAnsi="arial"/>
                <w:sz w:val="16"/>
              </w:rPr>
              <w:t>If you received a paper copy of the proxy materials, send your completed and signed proxy card or voting instruction form using the enclosed postage- paid envelope.</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023" w:type="dxa"/>
            <w:tcBorders/>
            <w:vAlign w:val="center"/>
          </w:tcPr>
          <w:p>
            <w:pPr>
              <w:pStyle w:val="TableContents"/>
              <w:bidi w:val="0"/>
              <w:spacing w:before="0" w:after="0"/>
              <w:jc w:val="center"/>
              <w:rPr>
                <w:rFonts w:ascii="arial" w:hAnsi="arial"/>
                <w:sz w:val="16"/>
              </w:rPr>
            </w:pPr>
            <w:r>
              <w:rPr>
                <w:rFonts w:ascii="arial" w:hAnsi="arial"/>
                <w:sz w:val="16"/>
              </w:rPr>
              <w:t>Follow the instructions under “Can I attend the 2025 Annual Stockholder Meeting?” on page 130 and request a ballot when you arrive at the meeting.</w:t>
            </w:r>
          </w:p>
        </w:tc>
      </w:tr>
    </w:tbl>
    <w:p>
      <w:pPr>
        <w:pStyle w:val="TextBody"/>
        <w:bidi w:val="0"/>
        <w:spacing w:before="240" w:after="0"/>
        <w:jc w:val="both"/>
        <w:rPr>
          <w:rFonts w:ascii="arial" w:hAnsi="arial"/>
          <w:sz w:val="20"/>
        </w:rPr>
      </w:pPr>
      <w:r>
        <w:rPr>
          <w:rFonts w:ascii="arial" w:hAnsi="arial"/>
          <w:sz w:val="20"/>
        </w:rPr>
        <w:t xml:space="preserve">On March 27, 2025, we began sending our stockholders a Notice Regarding the Internet Availability of Proxy Materials (“Notice”).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3395"/>
        <w:gridCol w:w="60"/>
        <w:gridCol w:w="2255"/>
        <w:gridCol w:w="60"/>
        <w:gridCol w:w="33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jc w:val="center"/>
              <w:rPr/>
            </w:pPr>
            <w:r>
              <w:rPr/>
              <w:t> </w:t>
            </w:r>
            <w:r>
              <w:rPr>
                <w:b/>
              </w:rPr>
              <w:t>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3A5D"/>
          <w:sz w:val="32"/>
        </w:rPr>
      </w:pPr>
      <w:r>
        <w:rPr>
          <w:rFonts w:ascii="arial" w:hAnsi="arial"/>
          <w:b/>
          <w:color w:val="003A5D"/>
          <w:sz w:val="32"/>
        </w:rPr>
        <w:t xml:space="preserve">Voting Item 1: Election of Directors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32"/>
        <w:gridCol w:w="60"/>
        <w:gridCol w:w="9413"/>
      </w:tblGrid>
      <w:tr>
        <w:trPr/>
        <w:tc>
          <w:tcPr>
            <w:tcW w:w="7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13" w:type="dxa"/>
            <w:tcBorders/>
            <w:vAlign w:val="center"/>
          </w:tcPr>
          <w:p>
            <w:pPr>
              <w:pStyle w:val="TableContents"/>
              <w:bidi w:val="0"/>
              <w:spacing w:before="0" w:after="283"/>
              <w:jc w:val="left"/>
              <w:rPr>
                <w:sz w:val="4"/>
                <w:szCs w:val="4"/>
              </w:rPr>
            </w:pPr>
            <w:r>
              <w:rPr>
                <w:sz w:val="4"/>
                <w:szCs w:val="4"/>
              </w:rPr>
            </w:r>
          </w:p>
        </w:tc>
      </w:tr>
      <w:tr>
        <w:trPr/>
        <w:tc>
          <w:tcPr>
            <w:tcW w:w="732" w:type="dxa"/>
            <w:tcBorders/>
            <w:shd w:fill="003A5D" w:val="clear"/>
            <w:vAlign w:val="center"/>
          </w:tcPr>
          <w:p>
            <w:pPr>
              <w:pStyle w:val="TableContents"/>
              <w:bidi w:val="0"/>
              <w:spacing w:before="0" w:after="283"/>
              <w:jc w:val="left"/>
              <w:rPr>
                <w:sz w:val="4"/>
                <w:szCs w:val="4"/>
              </w:rPr>
            </w:pPr>
            <w:r>
              <w:rPr>
                <w:sz w:val="4"/>
                <w:szCs w:val="4"/>
              </w:rPr>
            </w:r>
          </w:p>
        </w:tc>
        <w:tc>
          <w:tcPr>
            <w:tcW w:w="9473"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732" w:type="dxa"/>
            <w:tcBorders/>
            <w:shd w:fill="003A5D" w:val="clear"/>
            <w:vAlign w:val="center"/>
          </w:tcPr>
          <w:p>
            <w:pPr>
              <w:pStyle w:val="TableContents"/>
              <w:bidi w:val="0"/>
              <w:spacing w:before="0" w:after="283"/>
              <w:jc w:val="center"/>
              <w:rPr>
                <w:color w:val="FFFFFF"/>
              </w:rPr>
            </w:pPr>
            <w:r>
              <w:rPr>
                <w:color w:val="FFFFFF"/>
              </w:rPr>
              <w:t> </w:t>
            </w:r>
            <w:r>
              <w:rPr>
                <w:b/>
                <w:color w:val="FFFFFF"/>
                <w:sz w:val="24"/>
              </w:rPr>
              <w:t>Item 1 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413" w:type="dxa"/>
            <w:tcBorders/>
            <w:shd w:fill="E5EBEE" w:val="clear"/>
            <w:vAlign w:val="center"/>
          </w:tcPr>
          <w:p>
            <w:pPr>
              <w:pStyle w:val="TableContents"/>
              <w:bidi w:val="0"/>
              <w:spacing w:before="0" w:after="0"/>
              <w:jc w:val="both"/>
              <w:rPr>
                <w:rFonts w:ascii="arial" w:hAnsi="arial"/>
                <w:sz w:val="20"/>
              </w:rPr>
            </w:pPr>
            <w:r>
              <w:rPr>
                <w:rFonts w:ascii="arial" w:hAnsi="arial"/>
                <w:sz w:val="20"/>
              </w:rPr>
              <w:t>You are being asked to elect the following twelve candidates for director: Richard D. Fairbank, Ime Archibong, Christine Detrick, Ann Fritz Hackett, Suni P. Harford, Peter Thomas Killalea, Cornelis Petrus Adrianus Joseph (“Eli”) Leenaars, François Locoh-Donou, Peter E. Raskind, Eileen Serra, Mayo A. Shattuck III, and Craig Anthony Williams. Each nominee to our Board of Directors (“Board”) is standing for election to hold office until our next annual stockholder meeting or until their successor is duly elected and qualified. For additional information regarding our director nominees, see “Our Director Nominees” beginning on page 12 and “Skills and Experience of Our Director Nominees” beginning on page 19 of this proxy statement. For a description of our corporate governance practices, see “Corporate Governance at Capital One” beginning on page 21 of this proxy statement.</w:t>
            </w:r>
          </w:p>
          <w:p>
            <w:pPr>
              <w:pStyle w:val="TableContents"/>
              <w:bidi w:val="0"/>
              <w:spacing w:before="0" w:after="0"/>
              <w:jc w:val="left"/>
              <w:rPr/>
            </w:pPr>
            <w:r>
              <w:rPr/>
              <w:t> </w:t>
            </w:r>
          </w:p>
          <w:p>
            <w:pPr>
              <w:pStyle w:val="TableContents"/>
              <w:bidi w:val="0"/>
              <w:spacing w:before="0" w:after="20"/>
              <w:jc w:val="both"/>
              <w:rPr>
                <w:color w:val="003A5D"/>
              </w:rPr>
            </w:pPr>
            <w:r>
              <w:rPr>
                <w:color w:val="003A5D"/>
              </w:rPr>
              <w:t>✓  </w:t>
            </w:r>
            <w:r>
              <w:rPr>
                <w:rFonts w:ascii="arial" w:hAnsi="arial"/>
                <w:i/>
                <w:color w:val="003A5D"/>
                <w:sz w:val="20"/>
              </w:rPr>
              <w:t>Our Board unanimously recommends that you vote “FOR” each of these director nominees.</w:t>
            </w:r>
          </w:p>
        </w:tc>
      </w:tr>
    </w:tbl>
    <w:p>
      <w:pPr>
        <w:pStyle w:val="TextBody"/>
        <w:bidi w:val="0"/>
        <w:spacing w:before="240" w:after="0"/>
        <w:jc w:val="left"/>
        <w:rPr>
          <w:rFonts w:ascii="arial" w:hAnsi="arial"/>
          <w:b/>
          <w:i/>
          <w:color w:val="003A5D"/>
          <w:sz w:val="24"/>
        </w:rPr>
      </w:pPr>
      <w:r>
        <w:rPr>
          <w:rFonts w:ascii="arial" w:hAnsi="arial"/>
          <w:b/>
          <w:i/>
          <w:color w:val="003A5D"/>
          <w:sz w:val="24"/>
        </w:rPr>
        <w:t xml:space="preserve">Corporate Governance Highlights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3411"/>
        <w:gridCol w:w="60"/>
        <w:gridCol w:w="60"/>
        <w:gridCol w:w="60"/>
        <w:gridCol w:w="6479"/>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79" w:type="dxa"/>
            <w:tcBorders/>
            <w:vAlign w:val="center"/>
          </w:tcPr>
          <w:p>
            <w:pPr>
              <w:pStyle w:val="TableContents"/>
              <w:bidi w:val="0"/>
              <w:spacing w:before="0" w:after="283"/>
              <w:jc w:val="left"/>
              <w:rPr>
                <w:sz w:val="4"/>
                <w:szCs w:val="4"/>
              </w:rPr>
            </w:pPr>
            <w:r>
              <w:rPr>
                <w:sz w:val="4"/>
                <w:szCs w:val="4"/>
              </w:rPr>
            </w:r>
          </w:p>
        </w:tc>
      </w:tr>
      <w:tr>
        <w:trPr/>
        <w:tc>
          <w:tcPr>
            <w:tcW w:w="75" w:type="dxa"/>
            <w:tcBorders/>
            <w:shd w:fill="003A5D" w:val="clear"/>
            <w:vAlign w:val="center"/>
          </w:tcPr>
          <w:p>
            <w:pPr>
              <w:pStyle w:val="TableContents"/>
              <w:bidi w:val="0"/>
              <w:spacing w:before="0" w:after="283"/>
              <w:jc w:val="left"/>
              <w:rPr>
                <w:sz w:val="4"/>
                <w:szCs w:val="4"/>
              </w:rPr>
            </w:pPr>
            <w:r>
              <w:rPr>
                <w:sz w:val="4"/>
                <w:szCs w:val="4"/>
              </w:rPr>
            </w:r>
          </w:p>
        </w:tc>
        <w:tc>
          <w:tcPr>
            <w:tcW w:w="3471" w:type="dxa"/>
            <w:gridSpan w:val="2"/>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6539"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75" w:type="dxa"/>
            <w:tcBorders/>
            <w:shd w:fill="003A5D" w:val="cle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3411" w:type="dxa"/>
            <w:tcBorders/>
            <w:shd w:fill="003A5D"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rFonts w:ascii="arial" w:hAnsi="arial"/>
                <w:b/>
                <w:color w:val="FFFFFF"/>
                <w:sz w:val="24"/>
              </w:rPr>
            </w:pPr>
            <w:r>
              <w:rPr>
                <w:rFonts w:ascii="arial" w:hAnsi="arial"/>
                <w:b/>
                <w:color w:val="FFFFFF"/>
                <w:sz w:val="24"/>
              </w:rPr>
              <w:t>Board Members and Leadership</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6479"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24"/>
              </w:rPr>
            </w:pPr>
            <w:r>
              <w:rPr>
                <w:rFonts w:ascii="arial" w:hAnsi="arial"/>
                <w:b/>
                <w:color w:val="FFFFFF"/>
                <w:sz w:val="24"/>
              </w:rPr>
              <w:t>Board Governance Best Practices</w:t>
            </w:r>
          </w:p>
        </w:tc>
      </w:tr>
      <w:tr>
        <w:trPr/>
        <w:tc>
          <w:tcPr>
            <w:tcW w:w="75"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3411" w:type="dxa"/>
            <w:tcBorders/>
            <w:shd w:fill="E5EBEE" w:val="clear"/>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Eleven of our twelve director nominees are independent; our Chief Executive Officer (“CEO”) and founder is the only member of management who serves as a director</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Appointment of five new independent directors since 2020, all of whom are current director nominees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Active and empowered Lead Independent Director elected annually by the independent members of our Board (“Independent Directors”)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Active and empowered committee chairs, all of whom are independent</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Directors have a mix of tenures, including long-standing members, relatively new members, and others at different points along the tenure continuum</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Directors reflect a variety of experiences and skills that match the Company’s complexity and strategic direction, and give the Board the collective capability necessary to oversee the Company’s activities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Regular discussions regarding Board recruiting, succession, and refreshment, including director skills and qualifications, that support the Company’s long-term strategic objectives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479" w:type="dxa"/>
            <w:tcBorders/>
            <w:shd w:fill="E5EBEE" w:val="clear"/>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Regular executive sessions of the Independent Directors that regularly include separate meetings with our CEO, Chief Financial Officer (“CFO”), General Counsel and Corporate Secretary, Chief Enterprise Risk Officer, Chief Credit and Financial Risk Officer (together with the Chief Enterprise Risk Officer, the “Chief Risk Officers”), Chief Audit Officer, Chief Information Security Officer, Chief Technology Risk Officer, Chief Credit Review Officer, and/or Chief Compliance Officer</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Annual assessments of the Board and each of its committees, the Independent Directors, and the Lead Independent Director</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Active engagement and oversight of Company strategy; risk management (including technology risk management); the Company’s political activities and contributions; and environmental, social, and governance (“ESG”) matters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Direct access to members of management by the Board</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Annual CEO evaluation process led by the Lead Independent Director</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Regular talent and succession planning discussions regarding the CEO and other key executives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Regular meetings between the Board and federal banking regulators</w:t>
            </w:r>
          </w:p>
          <w:p>
            <w:pPr>
              <w:pStyle w:val="TableContents"/>
              <w:bidi w:val="0"/>
              <w:spacing w:before="0" w:after="20"/>
              <w:jc w:val="left"/>
              <w:rPr/>
            </w:pPr>
            <w:r>
              <w:rPr/>
              <w:t> </w:t>
            </w:r>
          </w:p>
        </w:tc>
      </w:tr>
    </w:tbl>
    <w:p>
      <w:pPr>
        <w:pStyle w:val="TextBody"/>
        <w:bidi w:val="0"/>
        <w:spacing w:before="0" w:after="0"/>
        <w:jc w:val="left"/>
        <w:rPr/>
      </w:pPr>
      <w:r>
        <w:rPr/>
        <w:t> </w:t>
      </w:r>
    </w:p>
    <w:tbl>
      <w:tblPr>
        <w:tblW w:w="6151" w:type="dxa"/>
        <w:jc w:val="left"/>
        <w:tblInd w:w="0" w:type="dxa"/>
        <w:tblLayout w:type="fixed"/>
        <w:tblCellMar>
          <w:top w:w="0" w:type="dxa"/>
          <w:left w:w="0" w:type="dxa"/>
          <w:bottom w:w="0" w:type="dxa"/>
          <w:right w:w="0" w:type="dxa"/>
        </w:tblCellMar>
      </w:tblPr>
      <w:tblGrid>
        <w:gridCol w:w="305"/>
        <w:gridCol w:w="60"/>
        <w:gridCol w:w="23"/>
        <w:gridCol w:w="60"/>
        <w:gridCol w:w="23"/>
        <w:gridCol w:w="60"/>
        <w:gridCol w:w="3380"/>
        <w:gridCol w:w="60"/>
        <w:gridCol w:w="218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305" w:type="dxa"/>
            <w:tcBorders/>
            <w:vAlign w:val="center"/>
          </w:tcPr>
          <w:p>
            <w:pPr>
              <w:pStyle w:val="TableContents"/>
              <w:bidi w:val="0"/>
              <w:jc w:val="center"/>
              <w:rPr/>
            </w:pPr>
            <w:r>
              <w:rPr>
                <w:b/>
                <w:sz w:val="20"/>
              </w:rPr>
              <w:t>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70" w:type="dxa"/>
            <w:tcBorders/>
            <w:vAlign w:val="center"/>
          </w:tcPr>
          <w:p>
            <w:pPr>
              <w:pStyle w:val="TableContents"/>
              <w:bidi w:val="0"/>
              <w:spacing w:before="0" w:after="283"/>
              <w:jc w:val="left"/>
              <w:rPr>
                <w:sz w:val="4"/>
                <w:szCs w:val="4"/>
              </w:rPr>
            </w:pPr>
            <w:r>
              <w:rPr>
                <w:sz w:val="4"/>
                <w:szCs w:val="4"/>
              </w:rPr>
            </w:r>
          </w:p>
        </w:tc>
      </w:tr>
      <w:tr>
        <w:trPr/>
        <w:tc>
          <w:tcPr>
            <w:tcW w:w="75" w:type="dxa"/>
            <w:tcBorders/>
            <w:shd w:fill="003A5D" w:val="clear"/>
            <w:vAlign w:val="center"/>
          </w:tcPr>
          <w:p>
            <w:pPr>
              <w:pStyle w:val="TableContents"/>
              <w:bidi w:val="0"/>
              <w:spacing w:before="0" w:after="283"/>
              <w:jc w:val="left"/>
              <w:rPr>
                <w:sz w:val="4"/>
                <w:szCs w:val="4"/>
              </w:rPr>
            </w:pPr>
            <w:r>
              <w:rPr>
                <w:sz w:val="4"/>
                <w:szCs w:val="4"/>
              </w:rPr>
            </w:r>
          </w:p>
        </w:tc>
        <w:tc>
          <w:tcPr>
            <w:tcW w:w="10130"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75" w:type="dxa"/>
            <w:tcBorders/>
            <w:shd w:fill="003A5D" w:val="cle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0070" w:type="dxa"/>
            <w:tcBorders/>
            <w:shd w:fill="003A5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24"/>
              </w:rPr>
            </w:pPr>
            <w:r>
              <w:rPr>
                <w:rFonts w:ascii="arial" w:hAnsi="arial"/>
                <w:b/>
                <w:color w:val="FFFFFF"/>
                <w:sz w:val="24"/>
              </w:rPr>
              <w:t>Stockholder Engagement and Stockholder Role in Governance</w:t>
            </w:r>
          </w:p>
          <w:p>
            <w:pPr>
              <w:pStyle w:val="TableContents"/>
              <w:bidi w:val="0"/>
              <w:spacing w:before="0" w:after="20"/>
              <w:jc w:val="left"/>
              <w:rPr/>
            </w:pPr>
            <w:r>
              <w:rPr/>
              <w:t> </w:t>
            </w:r>
          </w:p>
        </w:tc>
      </w:tr>
      <w:tr>
        <w:trPr/>
        <w:tc>
          <w:tcPr>
            <w:tcW w:w="75" w:type="dxa"/>
            <w:tcBorders/>
            <w:shd w:fill="E5EBEE" w:val="clear"/>
            <w:vAlign w:val="center"/>
          </w:tcPr>
          <w:p>
            <w:pPr>
              <w:pStyle w:val="TableContents"/>
              <w:bidi w:val="0"/>
              <w:spacing w:before="0" w:after="283"/>
              <w:jc w:val="left"/>
              <w:rPr>
                <w:sz w:val="4"/>
                <w:szCs w:val="4"/>
              </w:rPr>
            </w:pPr>
            <w:r>
              <w:rPr>
                <w:sz w:val="4"/>
                <w:szCs w:val="4"/>
              </w:rPr>
            </w:r>
          </w:p>
        </w:tc>
        <w:tc>
          <w:tcPr>
            <w:tcW w:w="10130"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75"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0070" w:type="dxa"/>
            <w:tcBorders/>
            <w:shd w:fill="E5EBEE" w:val="clear"/>
            <w:vAlign w:val="center"/>
          </w:tcPr>
          <w:p>
            <w:pPr>
              <w:pStyle w:val="TableContents"/>
              <w:bidi w:val="0"/>
              <w:spacing w:before="0" w:after="0"/>
              <w:jc w:val="both"/>
              <w:rPr/>
            </w:pPr>
            <w:r>
              <w:rPr>
                <w:color w:val="003A5D"/>
              </w:rPr>
              <w:t>∎</w:t>
            </w:r>
            <w:r>
              <w:rPr/>
              <w:t>   </w:t>
            </w:r>
            <w:r>
              <w:rPr>
                <w:rFonts w:ascii="arial" w:hAnsi="arial"/>
                <w:sz w:val="20"/>
              </w:rPr>
              <w:t>Regular outreach and engagement throughout the year by our CEO, CFO, and Investor Relations team with stockholders regarding Company strategy and performance</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Formal outreach and engagement with governance representatives of our largest stockholders at least two times per year</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Feedback from investors regularly shared with our Board and its committees to ensure that our Board has insight on investor views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The Board and its Governance and Nominating Committee review extensive briefings and benchmarking reports on corporate governance practices and emerging corporate governance issues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Majority voting for directors with resignation policy in uncontested elections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Stockholders can act by written consent, subject to certain procedural and other safeguards that the Board believes are in the best interests of Capital One and our stockholders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Stockholders holding at least 25% of outstanding common stock may request a special meeting</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Stockholders holding at least 3% of outstanding common stock continuously for at least three years can nominate director candidates for inclusion in our proxy materials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No supermajority vote provisions in Bylaws and Certificate of Incorporation</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No stockholder rights plan (commonly referred to as a “poison pill”)</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Detailed director skills matrix, showing each individual nominee’s self-identified diversity, skills, and attributes that are most relevant to fulfill the Board’s oversight responsibilities considering the Company’s business, strategy, and risk management</w:t>
            </w:r>
          </w:p>
        </w:tc>
      </w:tr>
    </w:tbl>
    <w:p>
      <w:pPr>
        <w:pStyle w:val="TextBody"/>
        <w:bidi w:val="0"/>
        <w:spacing w:before="240" w:after="0"/>
        <w:jc w:val="left"/>
        <w:rPr>
          <w:rFonts w:ascii="arial" w:hAnsi="arial"/>
          <w:b/>
          <w:color w:val="003A5D"/>
          <w:sz w:val="32"/>
        </w:rPr>
      </w:pPr>
      <w:r>
        <w:rPr>
          <w:rFonts w:ascii="arial" w:hAnsi="arial"/>
          <w:b/>
          <w:color w:val="003A5D"/>
          <w:sz w:val="32"/>
        </w:rPr>
        <w:t xml:space="preserve">Voting Item 2: Advisory Vote on Our Named Executive Officer Compensation (“Say on Pay”)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1"/>
        <w:gridCol w:w="60"/>
        <w:gridCol w:w="9344"/>
      </w:tblGrid>
      <w:tr>
        <w:trPr/>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44" w:type="dxa"/>
            <w:tcBorders/>
            <w:vAlign w:val="center"/>
          </w:tcPr>
          <w:p>
            <w:pPr>
              <w:pStyle w:val="TableContents"/>
              <w:bidi w:val="0"/>
              <w:spacing w:before="0" w:after="283"/>
              <w:jc w:val="left"/>
              <w:rPr>
                <w:sz w:val="4"/>
                <w:szCs w:val="4"/>
              </w:rPr>
            </w:pPr>
            <w:r>
              <w:rPr>
                <w:sz w:val="4"/>
                <w:szCs w:val="4"/>
              </w:rPr>
            </w:r>
          </w:p>
        </w:tc>
      </w:tr>
      <w:tr>
        <w:trPr/>
        <w:tc>
          <w:tcPr>
            <w:tcW w:w="801" w:type="dxa"/>
            <w:tcBorders/>
            <w:shd w:fill="003A5D" w:val="clear"/>
            <w:vAlign w:val="center"/>
          </w:tcPr>
          <w:p>
            <w:pPr>
              <w:pStyle w:val="TableContents"/>
              <w:bidi w:val="0"/>
              <w:spacing w:before="0" w:after="283"/>
              <w:jc w:val="left"/>
              <w:rPr>
                <w:sz w:val="4"/>
                <w:szCs w:val="4"/>
              </w:rPr>
            </w:pPr>
            <w:r>
              <w:rPr>
                <w:sz w:val="4"/>
                <w:szCs w:val="4"/>
              </w:rPr>
            </w:r>
          </w:p>
        </w:tc>
        <w:tc>
          <w:tcPr>
            <w:tcW w:w="9404"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801" w:type="dxa"/>
            <w:tcBorders/>
            <w:shd w:fill="003A5D" w:val="clear"/>
            <w:vAlign w:val="center"/>
          </w:tcPr>
          <w:p>
            <w:pPr>
              <w:pStyle w:val="TableContents"/>
              <w:bidi w:val="0"/>
              <w:spacing w:before="0" w:after="283"/>
              <w:jc w:val="center"/>
              <w:rPr>
                <w:color w:val="FFFFFF"/>
              </w:rPr>
            </w:pPr>
            <w:r>
              <w:rPr>
                <w:color w:val="FFFFFF"/>
              </w:rPr>
              <w:t> </w:t>
            </w:r>
            <w:r>
              <w:rPr>
                <w:b/>
                <w:color w:val="FFFFFF"/>
                <w:sz w:val="24"/>
              </w:rPr>
              <w:t>Item 2 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344" w:type="dxa"/>
            <w:tcBorders/>
            <w:shd w:fill="E5EBEE"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You are being asked to approve, on an advisory basis, the compensation of our named executive officers (“NEOs”). For additional information regarding our executive compensation program and our NEO compensation, see “Compensation Discussion and Analysis” beginning on page 55 and “Named Executive Officer Compensation” beginning on page 96 of this proxy statement.</w:t>
            </w:r>
          </w:p>
          <w:p>
            <w:pPr>
              <w:pStyle w:val="TableContents"/>
              <w:bidi w:val="0"/>
              <w:spacing w:before="0" w:after="0"/>
              <w:jc w:val="left"/>
              <w:rPr/>
            </w:pPr>
            <w:r>
              <w:rPr/>
              <w:t> </w:t>
            </w:r>
          </w:p>
          <w:p>
            <w:pPr>
              <w:pStyle w:val="TableContents"/>
              <w:bidi w:val="0"/>
              <w:spacing w:before="0" w:after="0"/>
              <w:jc w:val="both"/>
              <w:rPr>
                <w:color w:val="003A5D"/>
              </w:rPr>
            </w:pPr>
            <w:r>
              <w:rPr>
                <w:color w:val="003A5D"/>
              </w:rPr>
              <w:t>✓  </w:t>
            </w:r>
            <w:r>
              <w:rPr>
                <w:rFonts w:ascii="arial" w:hAnsi="arial"/>
                <w:i/>
                <w:color w:val="003A5D"/>
                <w:sz w:val="20"/>
              </w:rPr>
              <w:t>Our Board unanimously recommends that you vote “FOR” the advisory approval of our 2024 NEO Compensation as disclosed in this proxy statement.</w:t>
            </w:r>
          </w:p>
          <w:p>
            <w:pPr>
              <w:pStyle w:val="TableContents"/>
              <w:bidi w:val="0"/>
              <w:spacing w:before="0" w:after="20"/>
              <w:jc w:val="left"/>
              <w:rPr/>
            </w:pPr>
            <w:r>
              <w:rPr/>
              <w:t> </w:t>
            </w:r>
          </w:p>
        </w:tc>
      </w:tr>
    </w:tbl>
    <w:p>
      <w:pPr>
        <w:pStyle w:val="TextBody"/>
        <w:bidi w:val="0"/>
        <w:spacing w:before="240" w:after="0"/>
        <w:jc w:val="both"/>
        <w:rPr>
          <w:rFonts w:ascii="arial" w:hAnsi="arial"/>
          <w:sz w:val="20"/>
        </w:rPr>
      </w:pPr>
      <w:r>
        <w:rPr>
          <w:rFonts w:ascii="arial" w:hAnsi="arial"/>
          <w:sz w:val="20"/>
        </w:rPr>
        <w:t xml:space="preserve">Our executive compensation program is designed to attract, retain, motivate, and reward leaders who drive growth and innovation, deliver strong business results, and facilitate the long-term success of the Company. We believe our executive compensation program strongly links rewards with both business and individual performance over multiple time horizons. We aim to align our executives’ interests with those of our stockholders while supporting safety and soundness, and appropriately balancing risk. </w:t>
      </w:r>
    </w:p>
    <w:p>
      <w:pPr>
        <w:pStyle w:val="TextBody"/>
        <w:bidi w:val="0"/>
        <w:spacing w:before="240" w:after="0"/>
        <w:jc w:val="left"/>
        <w:rPr>
          <w:rFonts w:ascii="arial" w:hAnsi="arial"/>
          <w:b/>
          <w:i/>
          <w:color w:val="003A5D"/>
          <w:sz w:val="24"/>
        </w:rPr>
      </w:pPr>
      <w:r>
        <w:rPr>
          <w:rFonts w:ascii="arial" w:hAnsi="arial"/>
          <w:b/>
          <w:i/>
          <w:color w:val="003A5D"/>
          <w:sz w:val="24"/>
        </w:rPr>
        <w:t xml:space="preserve">2024 Company Performance </w:t>
      </w:r>
    </w:p>
    <w:p>
      <w:pPr>
        <w:pStyle w:val="TextBody"/>
        <w:bidi w:val="0"/>
        <w:spacing w:before="240" w:after="0"/>
        <w:jc w:val="both"/>
        <w:rPr>
          <w:rFonts w:ascii="arial" w:hAnsi="arial"/>
          <w:sz w:val="20"/>
        </w:rPr>
      </w:pPr>
      <w:r>
        <w:rPr>
          <w:rFonts w:ascii="arial" w:hAnsi="arial"/>
          <w:sz w:val="20"/>
        </w:rPr>
        <w:t xml:space="preserve">Each year the Compensation Committee (“Committee”) and the Independent Directors review and evaluate the Company’s performance using qualitative and quantitative assessments in order to make determinations regarding the compensation of our NEOs based on Capital One’s pay-for-performance philosophy. The Committee seeks to directly link the compensation of the NEOs with the Company’s performance and the executives’ contributions to that performance over multiple time horizons. </w:t>
      </w:r>
    </w:p>
    <w:p>
      <w:pPr>
        <w:pStyle w:val="TextBody"/>
        <w:bidi w:val="0"/>
        <w:spacing w:before="240" w:after="0"/>
        <w:jc w:val="both"/>
        <w:rPr>
          <w:rFonts w:ascii="arial" w:hAnsi="arial"/>
          <w:sz w:val="20"/>
        </w:rPr>
      </w:pPr>
      <w:r>
        <w:rPr>
          <w:rFonts w:ascii="arial" w:hAnsi="arial"/>
          <w:sz w:val="20"/>
        </w:rPr>
        <w:t xml:space="preserve">In 2024, Capital One delivered strong financial results and made significant progress on our long-term strategic initiatives–enabled by years of strategic choices; sound operating performance; and long-term investments in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3395"/>
        <w:gridCol w:w="60"/>
        <w:gridCol w:w="2255"/>
        <w:gridCol w:w="60"/>
        <w:gridCol w:w="33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jc w:val="center"/>
              <w:rPr/>
            </w:pPr>
            <w:r>
              <w:rPr/>
              <w:t> </w:t>
            </w:r>
            <w:r>
              <w:rPr>
                <w:b/>
              </w:rPr>
              <w:t>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0"/>
        </w:rPr>
      </w:pPr>
      <w:r>
        <w:rPr>
          <w:rFonts w:ascii="arial" w:hAnsi="arial"/>
          <w:sz w:val="20"/>
        </w:rPr>
        <w:t xml:space="preserve">technology, growth, talent and risk management. In 2024, the combination of continued-strong top-line revenue growth, higher margins and disciplined expense management aided profitability and capital generation even as consumer credit losses increased primarily as a result of delayed charge-offs from the pandemic. The Company also announced the signing in February 2024 of an agreement and plan of merger to acquire Discover Financial Services, a digital banking and payment services company (“Discover”). The proposed transaction with Discover (the “Discover Transaction”) is subject to regulatory approval and closing conditions and we anticipate that the Discover Transaction will close in early 2025. The Committee and the Independent Directors specifically considered the following quantitative and qualitative results when awarding NEO compensation for the 2024 performance year(1):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Net Revenue</w:t>
            </w:r>
            <w:r>
              <w:rPr>
                <w:rFonts w:ascii="arial" w:hAnsi="arial"/>
                <w:sz w:val="20"/>
              </w:rPr>
              <w:t xml:space="preserve"> of $39.1 billion, an increase of 6% from 2023, driven by strong loan growth in Domestic Card. Total loans as of December 31, 2024 were $328 billion, an increase of 2% from 2023. </w:t>
            </w:r>
          </w:p>
        </w:tc>
      </w:tr>
    </w:tbl>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75"/>
        <w:gridCol w:w="215"/>
        <w:gridCol w:w="60"/>
        <w:gridCol w:w="659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0"/>
              <w:jc w:val="both"/>
              <w:rPr>
                <w:rFonts w:ascii="arial" w:hAnsi="arial"/>
                <w:sz w:val="20"/>
              </w:rPr>
            </w:pPr>
            <w:r>
              <w:rPr>
                <w:rFonts w:ascii="arial" w:hAnsi="arial"/>
                <w:b/>
                <w:color w:val="003A5D"/>
                <w:sz w:val="20"/>
              </w:rPr>
              <w:t>Net Interest Margin</w:t>
            </w:r>
            <w:r>
              <w:rPr>
                <w:rFonts w:ascii="arial" w:hAnsi="arial"/>
                <w:sz w:val="20"/>
              </w:rPr>
              <w:t xml:space="preserve"> of 6.88%, a 25 basis point (“bps”) increase from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Operating Efficiency Ratio(2)</w:t>
            </w:r>
            <w:r>
              <w:rPr>
                <w:rFonts w:ascii="arial" w:hAnsi="arial"/>
                <w:sz w:val="20"/>
              </w:rPr>
              <w:t xml:space="preserve"> of 43.3%, an improvement from 44.3% in 2023. Adjusted operating efficiency ratio(1)(3) improved to 42.4% in 2024 from 43.5% in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Efficiency Ratio(2)</w:t>
            </w:r>
            <w:r>
              <w:rPr>
                <w:rFonts w:ascii="arial" w:hAnsi="arial"/>
                <w:sz w:val="20"/>
              </w:rPr>
              <w:t xml:space="preserve"> of 54.9% in 2024, an improvement from 55.2% in 2023 despite an increase in our marketing investments. Adjusted efficiency ratio(1)(3) was 54.0% in 2024 compared to 54.4% in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Diluted Earnings Per Share (“EPS”)</w:t>
            </w:r>
            <w:r>
              <w:rPr>
                <w:rFonts w:ascii="arial" w:hAnsi="arial"/>
                <w:sz w:val="20"/>
              </w:rPr>
              <w:t xml:space="preserve"> of $11.59. Adjusted diluted EPS(1)(3) of $13.96, an increase of 12% from 2023. </w:t>
            </w:r>
          </w:p>
        </w:tc>
      </w:tr>
    </w:tbl>
    <w:p>
      <w:pPr>
        <w:pStyle w:val="TextBody"/>
        <w:bidi w:val="0"/>
        <w:spacing w:before="0" w:after="0"/>
        <w:jc w:val="left"/>
        <w:rPr/>
      </w:pPr>
      <w:r>
        <w:rPr/>
        <w:t> </w:t>
      </w:r>
    </w:p>
    <w:tbl>
      <w:tblPr>
        <w:tblW w:w="9340" w:type="dxa"/>
        <w:jc w:val="left"/>
        <w:tblInd w:w="0" w:type="dxa"/>
        <w:tblLayout w:type="fixed"/>
        <w:tblCellMar>
          <w:top w:w="0" w:type="dxa"/>
          <w:left w:w="0" w:type="dxa"/>
          <w:bottom w:w="0" w:type="dxa"/>
          <w:right w:w="0" w:type="dxa"/>
        </w:tblCellMar>
      </w:tblPr>
      <w:tblGrid>
        <w:gridCol w:w="75"/>
        <w:gridCol w:w="215"/>
        <w:gridCol w:w="60"/>
        <w:gridCol w:w="899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rFonts w:ascii="arial" w:hAnsi="arial"/>
                <w:sz w:val="20"/>
              </w:rPr>
            </w:pPr>
            <w:r>
              <w:rPr>
                <w:rFonts w:ascii="arial" w:hAnsi="arial"/>
                <w:b/>
                <w:color w:val="003A5D"/>
                <w:sz w:val="20"/>
              </w:rPr>
              <w:t>Return On Average Tangible Common Equity (“ROTCE”)(4)</w:t>
            </w:r>
            <w:r>
              <w:rPr>
                <w:rFonts w:ascii="arial" w:hAnsi="arial"/>
                <w:sz w:val="20"/>
              </w:rPr>
              <w:t xml:space="preserve"> of 11.2%, compared to 13.0% in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Potential Acquisition of Discover. </w:t>
            </w:r>
            <w:r>
              <w:rPr>
                <w:rFonts w:ascii="arial" w:hAnsi="arial"/>
                <w:sz w:val="20"/>
              </w:rPr>
              <w:t xml:space="preserve">We announced the Discover Transaction in February 2024 with strong market and investor reaction.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Strong Liquidity and Capital Management </w:t>
            </w:r>
            <w:r>
              <w:rPr>
                <w:rFonts w:ascii="arial" w:hAnsi="arial"/>
                <w:sz w:val="20"/>
              </w:rPr>
              <w:t xml:space="preserve">with continued balance sheet strength. Total deposits of $363 billion, an increase of 4% from 2023, with approximately 82% of total deposits being Federal Deposit Insurance Corporation (“FDIC”) insured. Common equity Tier 1 capital ratio(5) was at 13.5% at year end, an increase from 12.9% at year end 2023 and significantly above regulatory requirements.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Strong Credit Risk Management </w:t>
            </w:r>
            <w:r>
              <w:rPr>
                <w:rFonts w:ascii="arial" w:hAnsi="arial"/>
                <w:sz w:val="20"/>
              </w:rPr>
              <w:t xml:space="preserve">with a net charge-off rate of 3.4%, compared to 2.7% in 2023. Business line credit trends in Card, Auto, and Commercial were favorable to market and industry peers, primarily as a result of management’s choices and actions to successfully navigate the pandemic and post-pandemic credit environment. </w:t>
            </w:r>
          </w:p>
        </w:tc>
      </w:tr>
    </w:tbl>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75"/>
        <w:gridCol w:w="215"/>
        <w:gridCol w:w="60"/>
        <w:gridCol w:w="884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0"/>
              <w:jc w:val="both"/>
              <w:rPr>
                <w:rFonts w:ascii="arial" w:hAnsi="arial"/>
                <w:sz w:val="20"/>
              </w:rPr>
            </w:pPr>
            <w:r>
              <w:rPr>
                <w:rFonts w:ascii="arial" w:hAnsi="arial"/>
                <w:b/>
                <w:color w:val="003A5D"/>
                <w:sz w:val="20"/>
              </w:rPr>
              <w:t>Tangible Book Value Per Common Share(6)</w:t>
            </w:r>
            <w:r>
              <w:rPr>
                <w:rFonts w:ascii="arial" w:hAnsi="arial"/>
                <w:sz w:val="20"/>
              </w:rPr>
              <w:t xml:space="preserve"> was $106.97, an increase of 7% from $99.78 in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Total Shareholder Return (“TSR”) </w:t>
            </w:r>
            <w:r>
              <w:rPr>
                <w:rFonts w:ascii="arial" w:hAnsi="arial"/>
                <w:sz w:val="20"/>
              </w:rPr>
              <w:t xml:space="preserve">of 38.3% for the one-year period ended December 31, 2024, outpacing the KBW Bank Index TSR of 37.2%, and the S&amp;P 500 TSR of 25%. Capital One’s three-year and five-year TSR for the periods ended December 31, 2024 were 30.4%, and 89.4%, respectively, significantly outperforming the TSR of the KBW Bank Index, which was 6.9%, and 32.6% over the same time periods.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Strong Enterprise Risk Management</w:t>
            </w:r>
            <w:r>
              <w:rPr>
                <w:rFonts w:ascii="arial" w:hAnsi="arial"/>
                <w:color w:val="003A5D"/>
                <w:sz w:val="20"/>
              </w:rPr>
              <w:t>.</w:t>
            </w:r>
            <w:r>
              <w:rPr>
                <w:rFonts w:ascii="arial" w:hAnsi="arial"/>
                <w:sz w:val="20"/>
              </w:rPr>
              <w:t xml:space="preserve"> We continued to deliver high-quality foundational risk management activities and achieve strong results on our critical regulatory exams and engagements.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Customer Service and Advocacy</w:t>
            </w:r>
            <w:r>
              <w:rPr>
                <w:rFonts w:ascii="arial" w:hAnsi="arial"/>
                <w:color w:val="003A5D"/>
                <w:sz w:val="20"/>
              </w:rPr>
              <w:t>.</w:t>
            </w:r>
            <w:r>
              <w:rPr>
                <w:rFonts w:ascii="arial" w:hAnsi="arial"/>
                <w:sz w:val="20"/>
              </w:rPr>
              <w:t xml:space="preserve"> We continued to enjoy strong customer advocacy; achieve high Net Promoter Scores across our businesses, products, and digital experiences; and earn external accolades for our customer service. </w:t>
            </w:r>
          </w:p>
        </w:tc>
      </w:tr>
    </w:tbl>
    <w:p>
      <w:pPr>
        <w:pStyle w:val="TextBody"/>
        <w:bidi w:val="0"/>
        <w:spacing w:before="0" w:after="0"/>
        <w:jc w:val="left"/>
        <w:rPr/>
      </w:pPr>
      <w:r>
        <w:rPr/>
        <w:t> </w:t>
      </w:r>
    </w:p>
    <w:tbl>
      <w:tblPr>
        <w:tblW w:w="6151" w:type="dxa"/>
        <w:jc w:val="left"/>
        <w:tblInd w:w="0" w:type="dxa"/>
        <w:tblLayout w:type="fixed"/>
        <w:tblCellMar>
          <w:top w:w="0" w:type="dxa"/>
          <w:left w:w="0" w:type="dxa"/>
          <w:bottom w:w="0" w:type="dxa"/>
          <w:right w:w="0" w:type="dxa"/>
        </w:tblCellMar>
      </w:tblPr>
      <w:tblGrid>
        <w:gridCol w:w="305"/>
        <w:gridCol w:w="60"/>
        <w:gridCol w:w="23"/>
        <w:gridCol w:w="60"/>
        <w:gridCol w:w="23"/>
        <w:gridCol w:w="60"/>
        <w:gridCol w:w="3380"/>
        <w:gridCol w:w="60"/>
        <w:gridCol w:w="218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305" w:type="dxa"/>
            <w:tcBorders/>
            <w:vAlign w:val="center"/>
          </w:tcPr>
          <w:p>
            <w:pPr>
              <w:pStyle w:val="TableContents"/>
              <w:bidi w:val="0"/>
              <w:jc w:val="center"/>
              <w:rPr/>
            </w:pPr>
            <w:r>
              <w:rPr>
                <w:b/>
                <w:sz w:val="20"/>
              </w:rPr>
              <w:t>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0"/>
        </w:rPr>
      </w:pPr>
      <w:r>
        <w:rPr>
          <w:rFonts w:ascii="arial" w:hAnsi="arial"/>
          <w:sz w:val="20"/>
        </w:rPr>
        <w:t xml:space="preserve">See “Executive Summary” beginning on page 56 and “Company Performance Assessment” beginning on page 74 for more information regarding the Company’s 2024 performance.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both"/>
              <w:rPr>
                <w:rFonts w:ascii="arial" w:hAnsi="arial"/>
                <w:sz w:val="16"/>
              </w:rPr>
            </w:pPr>
            <w:r>
              <w:rPr>
                <w:rFonts w:ascii="arial" w:hAnsi="arial"/>
                <w:sz w:val="16"/>
              </w:rPr>
              <w:t xml:space="preserve">The Committee considers these metrics to be key financial performance measures in its assessment of the Company’s performance, including certain non-GAAP measures. We believe our non-GAAP measures help investors and other users of our financial information understand the effect of adjusting items on our selected reported results. These measures may not be comparable to similarly titled measures reported by other companies. See Appendix A for our definition and reconciliation of these non-GAAP measures to the applicable amounts measured in accordance with GAAP.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(2)</w:t>
            </w:r>
          </w:p>
        </w:tc>
        <w:tc>
          <w:tcPr>
            <w:tcW w:w="9949" w:type="dxa"/>
            <w:tcBorders/>
            <w:vAlign w:val="center"/>
          </w:tcPr>
          <w:p>
            <w:pPr>
              <w:pStyle w:val="TableContents"/>
              <w:bidi w:val="0"/>
              <w:spacing w:before="0" w:after="0"/>
              <w:jc w:val="both"/>
              <w:rPr>
                <w:rFonts w:ascii="arial" w:hAnsi="arial"/>
                <w:sz w:val="16"/>
              </w:rPr>
            </w:pPr>
            <w:r>
              <w:rPr>
                <w:rFonts w:ascii="arial" w:hAnsi="arial"/>
                <w:sz w:val="16"/>
              </w:rPr>
              <w:t xml:space="preserve">Operating efficiency ratio is calculated based on operating expense for the period divided by total net revenue for the period and reflects as-reported results in accordance with GAAP. Efficiency ratio is calculated based on total non-interest expense for the period divided by total net revenue for the period and reflects as-reported results in accordance with GAAP.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(3)</w:t>
            </w:r>
          </w:p>
        </w:tc>
        <w:tc>
          <w:tcPr>
            <w:tcW w:w="9935" w:type="dxa"/>
            <w:tcBorders/>
            <w:vAlign w:val="center"/>
          </w:tcPr>
          <w:p>
            <w:pPr>
              <w:pStyle w:val="TableContents"/>
              <w:bidi w:val="0"/>
              <w:spacing w:before="0" w:after="0"/>
              <w:jc w:val="both"/>
              <w:rPr>
                <w:rFonts w:ascii="arial" w:hAnsi="arial"/>
                <w:sz w:val="16"/>
              </w:rPr>
            </w:pPr>
            <w:r>
              <w:rPr>
                <w:rFonts w:ascii="arial" w:hAnsi="arial"/>
                <w:sz w:val="16"/>
              </w:rPr>
              <w:t xml:space="preserve">Adjusted diluted EPS, adjusted operating efficiency ratio, and adjusted efficiency ratio are non-GAAP measures. See Appendix A for our reconciliation of these non-GAAP measures to the applicable amounts measured in accordance with GAAP.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(4)</w:t>
            </w:r>
          </w:p>
        </w:tc>
        <w:tc>
          <w:tcPr>
            <w:tcW w:w="9964" w:type="dxa"/>
            <w:tcBorders/>
            <w:vAlign w:val="center"/>
          </w:tcPr>
          <w:p>
            <w:pPr>
              <w:pStyle w:val="TableContents"/>
              <w:bidi w:val="0"/>
              <w:spacing w:before="0" w:after="0"/>
              <w:jc w:val="both"/>
              <w:rPr>
                <w:rFonts w:ascii="arial" w:hAnsi="arial"/>
                <w:sz w:val="16"/>
              </w:rPr>
            </w:pPr>
            <w:r>
              <w:rPr>
                <w:rFonts w:ascii="arial" w:hAnsi="arial"/>
                <w:sz w:val="16"/>
              </w:rPr>
              <w:t xml:space="preserve">ROTCE is a non-GAAP measure calculated based on annualized net income (loss) available to common stockholders less income (loss) from discontinued operations, net of tax, for the period, divided by average tangible common equity. We consider this metric to be a key financial performance measure that management uses in assessing capital adequacy and the level of returns generated. While this non-GAAP measure is widely used by investors, analysts, and bank regulatory agencies to assess the operating performance and capital position of financial services companies, it may not be comparable to similarly-titled measures reported by other companies. See Appendix A for our reconciliation of this non-GAAP measure to the applicable amounts measured in accordance with GAAP.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(5)</w:t>
            </w:r>
          </w:p>
        </w:tc>
        <w:tc>
          <w:tcPr>
            <w:tcW w:w="9908" w:type="dxa"/>
            <w:tcBorders/>
            <w:vAlign w:val="center"/>
          </w:tcPr>
          <w:p>
            <w:pPr>
              <w:pStyle w:val="TableContents"/>
              <w:bidi w:val="0"/>
              <w:spacing w:before="0" w:after="0"/>
              <w:jc w:val="both"/>
              <w:rPr>
                <w:rFonts w:ascii="arial" w:hAnsi="arial"/>
                <w:sz w:val="16"/>
              </w:rPr>
            </w:pPr>
            <w:r>
              <w:rPr>
                <w:rFonts w:ascii="arial" w:hAnsi="arial"/>
                <w:sz w:val="16"/>
              </w:rPr>
              <w:t xml:space="preserve">Common equity Tier 1 capital ratio is a regulatory capital measure calculated based on common equity Tier 1 capital divided by risk-weighted assets.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(6)</w:t>
            </w:r>
          </w:p>
        </w:tc>
        <w:tc>
          <w:tcPr>
            <w:tcW w:w="9962" w:type="dxa"/>
            <w:tcBorders/>
            <w:vAlign w:val="center"/>
          </w:tcPr>
          <w:p>
            <w:pPr>
              <w:pStyle w:val="TableContents"/>
              <w:bidi w:val="0"/>
              <w:spacing w:before="0" w:after="0"/>
              <w:jc w:val="both"/>
              <w:rPr>
                <w:rFonts w:ascii="arial" w:hAnsi="arial"/>
                <w:sz w:val="16"/>
              </w:rPr>
            </w:pPr>
            <w:r>
              <w:rPr>
                <w:rFonts w:ascii="arial" w:hAnsi="arial"/>
                <w:sz w:val="16"/>
              </w:rPr>
              <w:t xml:space="preserve">Tangible book value per common share is a non-GAAP measure calculated based on tangible common equity divided by common shares outstanding. We consider this metric to be a key financial performance measure that management uses in assessing capital adequacy and the level of returns generated. While this non-GAAP measure is widely used by investors, analysts and bank regulatory agencies to assess the operating performance and capital position of financial services companies, it may not be comparable to similarly-titled measures reported by other companies. See Appendix A for our reconciliation of this non-GAAP measure to the applicable amounts measured in accordance with GAAP. </w:t>
            </w:r>
          </w:p>
        </w:tc>
      </w:tr>
    </w:tbl>
    <w:p>
      <w:pPr>
        <w:pStyle w:val="TextBody"/>
        <w:bidi w:val="0"/>
        <w:spacing w:before="240" w:after="0"/>
        <w:jc w:val="left"/>
        <w:rPr>
          <w:rFonts w:ascii="arial" w:hAnsi="arial"/>
          <w:b/>
          <w:i/>
          <w:color w:val="003A5D"/>
          <w:sz w:val="24"/>
        </w:rPr>
      </w:pPr>
      <w:r>
        <w:rPr>
          <w:rFonts w:ascii="arial" w:hAnsi="arial"/>
          <w:b/>
          <w:i/>
          <w:color w:val="003A5D"/>
          <w:sz w:val="24"/>
        </w:rPr>
        <w:t xml:space="preserve">Highlights of Our 2024 Compensation Programs </w:t>
      </w:r>
    </w:p>
    <w:p>
      <w:pPr>
        <w:pStyle w:val="TextBody"/>
        <w:bidi w:val="0"/>
        <w:spacing w:before="240" w:after="0"/>
        <w:jc w:val="both"/>
        <w:rPr>
          <w:rFonts w:ascii="arial" w:hAnsi="arial"/>
          <w:sz w:val="20"/>
        </w:rPr>
      </w:pPr>
      <w:r>
        <w:rPr>
          <w:rFonts w:ascii="arial" w:hAnsi="arial"/>
          <w:sz w:val="20"/>
        </w:rPr>
        <w:t xml:space="preserve">We believe that our NEO compensation programs balance risk and financial results, reward NEOs for their achievements, promote our overall compensation objectives, and encourage appropriate, but not excessive, risk-taking. Our compensation programs are structured to encourage our executives to deliver strong results over the short term while making decisions that create sustained value for our stockholders over the long term. Key features of our 2024 compensation programs include: </w:t>
      </w:r>
    </w:p>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215"/>
        <w:gridCol w:w="60"/>
        <w:gridCol w:w="570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No CEO Cash Salary. </w:t>
            </w:r>
            <w:r>
              <w:rPr>
                <w:rFonts w:ascii="arial" w:hAnsi="arial"/>
                <w:sz w:val="20"/>
              </w:rPr>
              <w:t xml:space="preserve">Our CEO does not receive a cash salary.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215"/>
        <w:gridCol w:w="60"/>
        <w:gridCol w:w="794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0"/>
              <w:jc w:val="both"/>
              <w:rPr>
                <w:rFonts w:ascii="arial" w:hAnsi="arial"/>
                <w:sz w:val="20"/>
              </w:rPr>
            </w:pPr>
            <w:r>
              <w:rPr>
                <w:rFonts w:ascii="arial" w:hAnsi="arial"/>
                <w:b/>
                <w:color w:val="003A5D"/>
                <w:sz w:val="20"/>
              </w:rPr>
              <w:t>Fully-Deferred CEO Pay.</w:t>
            </w:r>
            <w:r>
              <w:rPr>
                <w:rFonts w:ascii="arial" w:hAnsi="arial"/>
                <w:sz w:val="20"/>
              </w:rPr>
              <w:t xml:space="preserve"> 100% of CEO compensation is deferred for at least three years.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The Payout of a Majority of CEO Year-End Incentive Compensation Determined by Formula. </w:t>
            </w:r>
            <w:r>
              <w:rPr>
                <w:rFonts w:ascii="arial" w:hAnsi="arial"/>
                <w:sz w:val="20"/>
              </w:rPr>
              <w:t xml:space="preserve">A majority of our CEO’s year-end incentive compensation for the 2024 performance year was awarded in the form of performance share awards that vest based entirely on the Company’s three-year performance on an absolute basis and/or relative to the Company’s peers (“Performance Share Peers”) in the KBW Bank Index (Index members, excluding non-traditional banks that do not focus on lending to consumers and businesses).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A Portion of CEO 2024 Performance Share Awards Linked to TSR. </w:t>
            </w:r>
            <w:r>
              <w:rPr>
                <w:rFonts w:ascii="arial" w:hAnsi="arial"/>
                <w:sz w:val="20"/>
              </w:rPr>
              <w:t xml:space="preserve">A portion of our CEO year-end incentive performance share awards will vest based entirely on the Company’s TSR performance relative to the Performance Share Peers over a three-year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Awards Based on Company and Individual Performance. </w:t>
            </w:r>
            <w:r>
              <w:rPr>
                <w:rFonts w:ascii="arial" w:hAnsi="arial"/>
                <w:sz w:val="20"/>
              </w:rPr>
              <w:t xml:space="preserve">All NEOs receive incentive awards based on Company and/or individual performance. For 2024, 100% of CEO compensation and approximately 83% of the compensation for the other NEOs was based on Company and/or individual performance. </w:t>
            </w:r>
          </w:p>
        </w:tc>
      </w:tr>
    </w:tbl>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3395"/>
        <w:gridCol w:w="60"/>
        <w:gridCol w:w="2255"/>
        <w:gridCol w:w="60"/>
        <w:gridCol w:w="33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jc w:val="center"/>
              <w:rPr/>
            </w:pPr>
            <w:r>
              <w:rPr/>
              <w:t> </w:t>
            </w:r>
            <w:r>
              <w:rPr>
                <w:b/>
              </w:rPr>
              <w:t>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The Majority of CEO Compensation and Nearly Half of All Other NEO Compensation is Equity-Based and Determined After Performance Year-End. </w:t>
            </w:r>
            <w:r>
              <w:rPr>
                <w:rFonts w:ascii="arial" w:hAnsi="arial"/>
                <w:sz w:val="20"/>
              </w:rPr>
              <w:t xml:space="preserve">84% of our CEO’s and approximately 50% of all other NEOs’ total compensation for the 2024 performance year was equity-based to align with stockholder interests. In addition, 93% of CEO compensation and the majority of all other NEO compensation was determined after the conclusion of the performance year, allowing the Board to consider the actions and results of the executive management team and the full year of Company and individual performance when awarding year-end incentive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All Equity and Equity-Based Awards Contain Performance and Recovery Provisions. </w:t>
            </w:r>
            <w:r>
              <w:rPr>
                <w:rFonts w:ascii="arial" w:hAnsi="arial"/>
                <w:sz w:val="20"/>
              </w:rPr>
              <w:t xml:space="preserve">All equity awards contain performance and recovery provisions that are designed to further enhance alignment between pay and performance, balance appropriate risk taking, and align with the best interests of stockholders. All incentive-based compensation is subject to the Capital One Financial Corporation Recoupment Policy (“Clawback Policy”). See “Additional Performance Conditions and Recovery Provisions” beginning on page 87 for more information. </w:t>
            </w:r>
          </w:p>
        </w:tc>
      </w:tr>
    </w:tbl>
    <w:p>
      <w:pPr>
        <w:pStyle w:val="TextBody"/>
        <w:bidi w:val="0"/>
        <w:spacing w:before="240" w:after="0"/>
        <w:jc w:val="left"/>
        <w:rPr>
          <w:rFonts w:ascii="arial" w:hAnsi="arial"/>
          <w:b/>
          <w:i/>
          <w:color w:val="003A5D"/>
          <w:sz w:val="24"/>
        </w:rPr>
      </w:pPr>
      <w:r>
        <w:rPr>
          <w:rFonts w:ascii="arial" w:hAnsi="arial"/>
          <w:b/>
          <w:i/>
          <w:color w:val="003A5D"/>
          <w:sz w:val="24"/>
        </w:rPr>
        <w:t xml:space="preserve">2024 Compensation Decisions </w:t>
      </w:r>
    </w:p>
    <w:p>
      <w:pPr>
        <w:pStyle w:val="TextBody"/>
        <w:bidi w:val="0"/>
        <w:spacing w:before="240" w:after="0"/>
        <w:jc w:val="left"/>
        <w:rPr>
          <w:rFonts w:ascii="arial" w:hAnsi="arial"/>
          <w:b/>
          <w:color w:val="003A5D"/>
          <w:sz w:val="20"/>
        </w:rPr>
      </w:pPr>
      <w:r>
        <w:rPr>
          <w:rFonts w:ascii="arial" w:hAnsi="arial"/>
          <w:b/>
          <w:color w:val="003A5D"/>
          <w:sz w:val="20"/>
        </w:rPr>
        <w:t xml:space="preserve">2024 CEO Performance Year Compensation </w:t>
      </w:r>
    </w:p>
    <w:p>
      <w:pPr>
        <w:pStyle w:val="TextBody"/>
        <w:bidi w:val="0"/>
        <w:spacing w:before="240" w:after="0"/>
        <w:jc w:val="both"/>
        <w:rPr>
          <w:rFonts w:ascii="arial" w:hAnsi="arial"/>
          <w:sz w:val="20"/>
        </w:rPr>
      </w:pPr>
      <w:r>
        <w:rPr>
          <w:rFonts w:ascii="arial" w:hAnsi="arial"/>
          <w:sz w:val="20"/>
        </w:rPr>
        <w:t xml:space="preserve">The CEO’s compensation for the 2024 performance year was composed of an equity award designed to provide the CEO with an incentive to focus on long-term performance and the opportunity for a year-end incentive award based on the Committee’s evaluation of the Company’s performance and the CEO’s contributions to that performance. Mr. Fairbank’s total compensation for performance year 2024 was approximately $33.5 million and consisted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Restricted Stock Units (“RSUs”)</w:t>
            </w:r>
            <w:r>
              <w:rPr>
                <w:rFonts w:ascii="arial" w:hAnsi="arial"/>
                <w:sz w:val="20"/>
              </w:rPr>
              <w:t xml:space="preserve"> granted in February 2024, which had a total grant date value of approximately $2.5 million, totaling 18,580 RSUs. The RSUs will vest in full on February 15, 2027, settle in cash based on the Company’s average stock price over the 15 trading days preceding the vesting date, and are subject to performance-based vesting provisions.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Year-End Incentive Award </w:t>
            </w:r>
            <w:r>
              <w:rPr>
                <w:rFonts w:ascii="arial" w:hAnsi="arial"/>
                <w:sz w:val="20"/>
              </w:rPr>
              <w:t xml:space="preserve">totaling approximately $31.0 million granted in February 2025 in recognition of the Company’s performance and the CEO’s contribution to that performance in 2024 and consisting 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i/>
                <w:color w:val="003A5D"/>
                <w:sz w:val="20"/>
              </w:rPr>
              <w:t>Performance Share Units.</w:t>
            </w:r>
            <w:r>
              <w:rPr>
                <w:rFonts w:ascii="arial" w:hAnsi="arial"/>
                <w:sz w:val="20"/>
              </w:rPr>
              <w:t xml:space="preserve"> Performance share unit awards with an aggregate value of approximately $20.5 million, for which the CEO may receive from 0% to 150% of a total target number of 102,440 shares of the Company’s common stock based on the Company’s financial performance (with respect to 91,196 shares, or $18.25 million of the awards) and TSR (with respect to 11,244 shares, or approximately $2.25 million of the awards) over a three-year period from January 1, 2025 through December 31,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i/>
                <w:color w:val="003A5D"/>
                <w:sz w:val="20"/>
              </w:rPr>
              <w:t>RSUs.</w:t>
            </w:r>
            <w:r>
              <w:rPr>
                <w:rFonts w:ascii="arial" w:hAnsi="arial"/>
                <w:sz w:val="20"/>
              </w:rPr>
              <w:t xml:space="preserve"> 24,986 cash-settled RSUs (“Year-End Incentive RSUs”) valued at $5.0 million, which vest in full on February 15, 2028, settle in cash based on the Company’s average stock price over the 15 trading days preceding the vesting date, and are subject to performance-based vesting provisions.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i/>
                <w:color w:val="003A5D"/>
                <w:sz w:val="20"/>
              </w:rPr>
              <w:t>Deferred Cash Bonus</w:t>
            </w:r>
            <w:r>
              <w:rPr>
                <w:rFonts w:ascii="arial" w:hAnsi="arial"/>
                <w:b/>
                <w:color w:val="003A5D"/>
                <w:sz w:val="20"/>
              </w:rPr>
              <w:t>.</w:t>
            </w:r>
            <w:r>
              <w:rPr>
                <w:rFonts w:ascii="arial" w:hAnsi="arial"/>
                <w:sz w:val="20"/>
              </w:rPr>
              <w:t xml:space="preserve"> A deferred cash bonus of $5.5 million, which is mandatorily deferred for three years into the Company’s Voluntary Non-Qualified Deferred Compensation Plan (“VNQDCP”) and will pay out in the first calendar quarter of 2028. </w:t>
            </w:r>
          </w:p>
        </w:tc>
      </w:tr>
    </w:tbl>
    <w:p>
      <w:pPr>
        <w:pStyle w:val="TextBody"/>
        <w:bidi w:val="0"/>
        <w:spacing w:before="0" w:after="0"/>
        <w:jc w:val="left"/>
        <w:rPr/>
      </w:pPr>
      <w:r>
        <w:rPr/>
        <w:t> </w:t>
      </w:r>
    </w:p>
    <w:tbl>
      <w:tblPr>
        <w:tblW w:w="6151" w:type="dxa"/>
        <w:jc w:val="left"/>
        <w:tblInd w:w="0" w:type="dxa"/>
        <w:tblLayout w:type="fixed"/>
        <w:tblCellMar>
          <w:top w:w="0" w:type="dxa"/>
          <w:left w:w="0" w:type="dxa"/>
          <w:bottom w:w="0" w:type="dxa"/>
          <w:right w:w="0" w:type="dxa"/>
        </w:tblCellMar>
      </w:tblPr>
      <w:tblGrid>
        <w:gridCol w:w="305"/>
        <w:gridCol w:w="60"/>
        <w:gridCol w:w="23"/>
        <w:gridCol w:w="60"/>
        <w:gridCol w:w="23"/>
        <w:gridCol w:w="60"/>
        <w:gridCol w:w="3380"/>
        <w:gridCol w:w="60"/>
        <w:gridCol w:w="218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305" w:type="dxa"/>
            <w:tcBorders/>
            <w:vAlign w:val="center"/>
          </w:tcPr>
          <w:p>
            <w:pPr>
              <w:pStyle w:val="TableContents"/>
              <w:bidi w:val="0"/>
              <w:jc w:val="center"/>
              <w:rPr/>
            </w:pPr>
            <w:r>
              <w:rPr>
                <w:b/>
                <w:sz w:val="20"/>
              </w:rPr>
              <w:t>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arial" w:hAnsi="arial"/>
          <w:sz w:val="20"/>
        </w:rPr>
      </w:pPr>
      <w:r>
        <w:rPr>
          <w:rFonts w:ascii="arial" w:hAnsi="arial"/>
          <w:sz w:val="20"/>
        </w:rPr>
        <w:t xml:space="preserve">The chart below shows Mr. Fairbank’s actual total compensation for performance year 2024: </w:t>
      </w:r>
    </w:p>
    <w:p>
      <w:pPr>
        <w:pStyle w:val="TextBody"/>
        <w:bidi w:val="0"/>
        <w:spacing w:before="0" w:after="0"/>
        <w:jc w:val="left"/>
        <w:rPr/>
      </w:pPr>
      <w:r>
        <w:rPr/>
        <w:t> </w:t>
      </w:r>
    </w:p>
    <w:p>
      <w:pPr>
        <w:pStyle w:val="TextBody"/>
        <w:bidi w:val="0"/>
        <w:spacing w:before="0" w:after="0"/>
        <w:jc w:val="center"/>
        <w:rPr/>
      </w:pPr>
      <w:r>
        <w:rPr/>
        <w:drawing>
          <wp:inline distT="0" distB="0" distL="0" distR="0">
            <wp:extent cx="3512820" cy="166306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512820" cy="1663065"/>
                    </a:xfrm>
                    <a:prstGeom prst="rect">
                      <a:avLst/>
                    </a:prstGeom>
                  </pic:spPr>
                </pic:pic>
              </a:graphicData>
            </a:graphic>
          </wp:inline>
        </w:drawing>
      </w:r>
      <w:r>
        <w:rPr/>
        <w:t xml:space="preserve"> </w:t>
      </w:r>
    </w:p>
    <w:p>
      <w:pPr>
        <w:pStyle w:val="TextBody"/>
        <w:bidi w:val="0"/>
        <w:jc w:val="right"/>
        <w:rPr>
          <w:rFonts w:ascii="arial" w:hAnsi="arial"/>
          <w:color w:val="FFFFFF"/>
          <w:sz w:val="2"/>
        </w:rPr>
      </w:pPr>
      <w:r>
        <w:rPr>
          <w:rFonts w:ascii="arial" w:hAnsi="arial"/>
          <w:color w:val="FFFFFF"/>
          <w:sz w:val="2"/>
        </w:rPr>
        <w:t xml:space="preserve">Year-End RSUs Incentive RSUs $2.5 million $5.0 million Deferred Cash Bonus TSR Performance $5.5 million Shares Total Compensation $- million $33.5 million Deferred Cash 16% Equity-Based Financial 84% Performance Shares $20.5 million </w:t>
      </w:r>
    </w:p>
    <w:p>
      <w:pPr>
        <w:pStyle w:val="TextBody"/>
        <w:bidi w:val="0"/>
        <w:spacing w:before="240" w:after="0"/>
        <w:jc w:val="both"/>
        <w:rPr>
          <w:rFonts w:ascii="arial" w:hAnsi="arial"/>
          <w:sz w:val="20"/>
        </w:rPr>
      </w:pPr>
      <w:r>
        <w:rPr>
          <w:rFonts w:ascii="arial" w:hAnsi="arial"/>
          <w:sz w:val="20"/>
        </w:rPr>
        <w:t xml:space="preserve">The table below shows Mr. Fairbank’s compensation awards as they are attributable to the performance years indicated. The table shows how the Committee views compensation actions and to which year the compensation awards relate. This table differs substantially from the Summary Compensation Table and Pay Versus Performance Table required for this proxy statement beginning on page 96 and page 113, respectively, and is therefore not a substitute for the information required in those tables. See “Chief Executive Officer Compensation” beginning on page 67 for a description of the compensation paid to our CEO and additional information regarding Mr. Fairbank’s 2024 performance year compensation. </w:t>
      </w:r>
    </w:p>
    <w:p>
      <w:pPr>
        <w:pStyle w:val="TextBody"/>
        <w:bidi w:val="0"/>
        <w:spacing w:before="0" w:after="0"/>
        <w:jc w:val="left"/>
        <w:rPr/>
      </w:pPr>
      <w:r>
        <w:rPr/>
        <w:t> </w:t>
      </w:r>
    </w:p>
    <w:tbl>
      <w:tblPr>
        <w:tblW w:w="10520" w:type="dxa"/>
        <w:jc w:val="left"/>
        <w:tblInd w:w="0" w:type="dxa"/>
        <w:tblLayout w:type="fixed"/>
        <w:tblCellMar>
          <w:top w:w="0" w:type="dxa"/>
          <w:left w:w="0" w:type="dxa"/>
          <w:bottom w:w="0" w:type="dxa"/>
          <w:right w:w="0" w:type="dxa"/>
        </w:tblCellMar>
      </w:tblPr>
      <w:tblGrid>
        <w:gridCol w:w="1355"/>
        <w:gridCol w:w="60"/>
        <w:gridCol w:w="60"/>
        <w:gridCol w:w="60"/>
        <w:gridCol w:w="575"/>
        <w:gridCol w:w="60"/>
        <w:gridCol w:w="60"/>
        <w:gridCol w:w="120"/>
        <w:gridCol w:w="2195"/>
        <w:gridCol w:w="60"/>
        <w:gridCol w:w="60"/>
        <w:gridCol w:w="120"/>
        <w:gridCol w:w="1100"/>
        <w:gridCol w:w="60"/>
        <w:gridCol w:w="60"/>
        <w:gridCol w:w="120"/>
        <w:gridCol w:w="1100"/>
        <w:gridCol w:w="60"/>
        <w:gridCol w:w="60"/>
        <w:gridCol w:w="120"/>
        <w:gridCol w:w="1580"/>
        <w:gridCol w:w="60"/>
        <w:gridCol w:w="60"/>
        <w:gridCol w:w="120"/>
        <w:gridCol w:w="1235"/>
      </w:tblGrid>
      <w:tr>
        <w:trPr/>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1355" w:type="dxa"/>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635" w:type="dxa"/>
            <w:gridSpan w:val="2"/>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315" w:type="dxa"/>
            <w:gridSpan w:val="2"/>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380" w:type="dxa"/>
            <w:gridSpan w:val="10"/>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1355" w:type="dxa"/>
            <w:vMerge w:val="restart"/>
            <w:tcBorders/>
            <w:shd w:fill="003A5D" w:val="clear"/>
            <w:vAlign w:val="center"/>
          </w:tcPr>
          <w:p>
            <w:pPr>
              <w:pStyle w:val="TableContents"/>
              <w:bidi w:val="0"/>
              <w:spacing w:before="0" w:after="283"/>
              <w:jc w:val="center"/>
              <w:rPr>
                <w:b/>
                <w:color w:val="FFFFFF"/>
              </w:rPr>
            </w:pPr>
            <w:r>
              <w:rPr>
                <w:b/>
                <w:color w:val="FFFFFF"/>
              </w:rPr>
              <w:t>Performance</w:t>
              <w:br/>
              <w:t>Year</w:t>
            </w:r>
          </w:p>
        </w:tc>
        <w:tc>
          <w:tcPr>
            <w:tcW w:w="60" w:type="dxa"/>
            <w:vMerge w:val="restart"/>
            <w:tcBorders/>
            <w:shd w:fill="FFFFFF" w:val="clear"/>
            <w:vAlign w:val="center"/>
          </w:tcPr>
          <w:p>
            <w:pPr>
              <w:pStyle w:val="TableContents"/>
              <w:bidi w:val="0"/>
              <w:spacing w:before="0" w:after="283"/>
              <w:jc w:val="left"/>
              <w:rPr/>
            </w:pPr>
            <w:r>
              <w:rPr/>
              <w:t> </w:t>
            </w:r>
          </w:p>
        </w:tc>
        <w:tc>
          <w:tcPr>
            <w:tcW w:w="60" w:type="dxa"/>
            <w:vMerge w:val="restart"/>
            <w:tcBorders/>
            <w:shd w:fill="FFFFFF" w:val="clear"/>
            <w:vAlign w:val="center"/>
          </w:tcPr>
          <w:p>
            <w:pPr>
              <w:pStyle w:val="TableContents"/>
              <w:bidi w:val="0"/>
              <w:spacing w:before="0" w:after="283"/>
              <w:jc w:val="left"/>
              <w:rPr/>
            </w:pPr>
            <w:r>
              <w:rPr/>
              <w:t> </w:t>
            </w:r>
          </w:p>
        </w:tc>
        <w:tc>
          <w:tcPr>
            <w:tcW w:w="60" w:type="dxa"/>
            <w:vMerge w:val="restart"/>
            <w:tcBorders/>
            <w:shd w:fill="003A5D" w:val="clear"/>
            <w:vAlign w:val="center"/>
          </w:tcPr>
          <w:p>
            <w:pPr>
              <w:pStyle w:val="TableContents"/>
              <w:bidi w:val="0"/>
              <w:spacing w:before="0" w:after="283"/>
              <w:jc w:val="left"/>
              <w:rPr/>
            </w:pPr>
            <w:r>
              <w:rPr/>
              <w:t> </w:t>
            </w:r>
          </w:p>
        </w:tc>
        <w:tc>
          <w:tcPr>
            <w:tcW w:w="575" w:type="dxa"/>
            <w:vMerge w:val="restart"/>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Cash </w:t>
            </w:r>
          </w:p>
          <w:p>
            <w:pPr>
              <w:pStyle w:val="TableContents"/>
              <w:bidi w:val="0"/>
              <w:spacing w:before="0" w:after="20"/>
              <w:jc w:val="center"/>
              <w:rPr>
                <w:color w:val="FFFFFF"/>
              </w:rPr>
            </w:pPr>
            <w:r>
              <w:rPr>
                <w:color w:val="FFFFFF"/>
              </w:rPr>
              <w:t>  </w:t>
            </w:r>
            <w:r>
              <w:rPr>
                <w:rFonts w:ascii="arial" w:hAnsi="arial"/>
                <w:b/>
                <w:color w:val="FFFFFF"/>
                <w:sz w:val="18"/>
              </w:rPr>
              <w:t>Salary  </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20" w:type="dxa"/>
            <w:tcBorders>
              <w:bottom w:val="single" w:sz="32" w:space="0" w:color="FFFFFF"/>
            </w:tcBorders>
            <w:shd w:fill="003A5D" w:val="clear"/>
            <w:tcMar>
              <w:bottom w:w="28" w:type="dxa"/>
            </w:tcMar>
            <w:vAlign w:val="center"/>
          </w:tcPr>
          <w:p>
            <w:pPr>
              <w:pStyle w:val="TableContents"/>
              <w:bidi w:val="0"/>
              <w:spacing w:before="0" w:after="283"/>
              <w:jc w:val="left"/>
              <w:rPr/>
            </w:pPr>
            <w:r>
              <w:rPr/>
              <w:t>  </w:t>
            </w:r>
          </w:p>
        </w:tc>
        <w:tc>
          <w:tcPr>
            <w:tcW w:w="2195" w:type="dxa"/>
            <w:tcBorders>
              <w:bottom w:val="single" w:sz="32" w:space="0" w:color="FFFFFF"/>
            </w:tcBorders>
            <w:shd w:fill="003A5D" w:val="clear"/>
            <w:tcMar>
              <w:bottom w:w="100" w:type="dxa"/>
            </w:tcMar>
            <w:vAlign w:val="center"/>
          </w:tcPr>
          <w:p>
            <w:pPr>
              <w:pStyle w:val="TableContents"/>
              <w:bidi w:val="0"/>
              <w:spacing w:before="0" w:after="283"/>
              <w:jc w:val="center"/>
              <w:rPr>
                <w:b/>
                <w:color w:val="FFFFFF"/>
              </w:rPr>
            </w:pPr>
            <w:r>
              <w:rPr>
                <w:b/>
                <w:color w:val="FFFFFF"/>
              </w:rPr>
              <w:t>Long-Term Incentive 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bottom w:val="single" w:sz="32" w:space="0" w:color="FFFFFF"/>
            </w:tcBorders>
            <w:shd w:fill="003A5D" w:val="clear"/>
            <w:tcMar>
              <w:bottom w:w="28" w:type="dxa"/>
            </w:tcMar>
            <w:vAlign w:val="center"/>
          </w:tcPr>
          <w:p>
            <w:pPr>
              <w:pStyle w:val="TableContents"/>
              <w:bidi w:val="0"/>
              <w:spacing w:before="0" w:after="283"/>
              <w:jc w:val="left"/>
              <w:rPr/>
            </w:pPr>
            <w:r>
              <w:rPr/>
              <w:t>  </w:t>
            </w:r>
          </w:p>
        </w:tc>
        <w:tc>
          <w:tcPr>
            <w:tcW w:w="4260" w:type="dxa"/>
            <w:gridSpan w:val="9"/>
            <w:tcBorders>
              <w:bottom w:val="single" w:sz="32" w:space="0" w:color="FFFFFF"/>
            </w:tcBorders>
            <w:shd w:fill="003A5D" w:val="clear"/>
            <w:tcMar>
              <w:bottom w:w="100" w:type="dxa"/>
            </w:tcMar>
            <w:vAlign w:val="center"/>
          </w:tcPr>
          <w:p>
            <w:pPr>
              <w:pStyle w:val="TableContents"/>
              <w:bidi w:val="0"/>
              <w:spacing w:before="0" w:after="283"/>
              <w:jc w:val="center"/>
              <w:rPr>
                <w:b/>
                <w:color w:val="FFFFFF"/>
              </w:rPr>
            </w:pPr>
            <w:r>
              <w:rPr>
                <w:b/>
                <w:color w:val="FFFFFF"/>
              </w:rPr>
              <w:t>Year-End Incentive </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shd w:fill="003A5D" w:val="clear"/>
            <w:vAlign w:val="center"/>
          </w:tcPr>
          <w:p>
            <w:pPr>
              <w:pStyle w:val="TableContents"/>
              <w:bidi w:val="0"/>
              <w:spacing w:before="0" w:after="283"/>
              <w:jc w:val="left"/>
              <w:rPr/>
            </w:pPr>
            <w:r>
              <w:rPr/>
              <w:t>  </w:t>
            </w:r>
          </w:p>
        </w:tc>
        <w:tc>
          <w:tcPr>
            <w:tcW w:w="1235" w:type="dxa"/>
            <w:vMerge w:val="restart"/>
            <w:tcBorders/>
            <w:shd w:fill="003A5D" w:val="clear"/>
            <w:vAlign w:val="center"/>
          </w:tcPr>
          <w:p>
            <w:pPr>
              <w:pStyle w:val="TableContents"/>
              <w:bidi w:val="0"/>
              <w:spacing w:before="0" w:after="283"/>
              <w:jc w:val="center"/>
              <w:rPr>
                <w:b/>
                <w:color w:val="FFFFFF"/>
              </w:rPr>
            </w:pPr>
            <w:r>
              <w:rPr>
                <w:b/>
                <w:color w:val="FFFFFF"/>
              </w:rPr>
              <w:t>Total </w:t>
            </w:r>
          </w:p>
        </w:tc>
      </w:tr>
      <w:tr>
        <w:trPr/>
        <w:tc>
          <w:tcPr>
            <w:tcW w:w="1355" w:type="dxa"/>
            <w:vMerge w:val="continue"/>
            <w:tcBorders/>
            <w:shd w:fill="003A5D" w:val="clear"/>
            <w:vAlign w:val="center"/>
          </w:tcPr>
          <w:p>
            <w:pPr>
              <w:pStyle w:val="Normal"/>
              <w:bidi w:val="0"/>
              <w:jc w:val="left"/>
              <w:rPr/>
            </w:pPr>
            <w:r>
              <w:rPr/>
            </w:r>
          </w:p>
        </w:tc>
        <w:tc>
          <w:tcPr>
            <w:tcW w:w="60" w:type="dxa"/>
            <w:vMerge w:val="continue"/>
            <w:tcBorders/>
            <w:shd w:fill="FFFFFF" w:val="clear"/>
            <w:vAlign w:val="center"/>
          </w:tcPr>
          <w:p>
            <w:pPr>
              <w:pStyle w:val="Normal"/>
              <w:bidi w:val="0"/>
              <w:jc w:val="left"/>
              <w:rPr/>
            </w:pPr>
            <w:r>
              <w:rPr/>
            </w:r>
          </w:p>
        </w:tc>
        <w:tc>
          <w:tcPr>
            <w:tcW w:w="60" w:type="dxa"/>
            <w:vMerge w:val="continue"/>
            <w:tcBorders/>
            <w:shd w:fill="FFFFFF" w:val="clear"/>
            <w:vAlign w:val="center"/>
          </w:tcPr>
          <w:p>
            <w:pPr>
              <w:pStyle w:val="Normal"/>
              <w:bidi w:val="0"/>
              <w:jc w:val="left"/>
              <w:rPr/>
            </w:pPr>
            <w:r>
              <w:rPr/>
            </w:r>
          </w:p>
        </w:tc>
        <w:tc>
          <w:tcPr>
            <w:tcW w:w="60" w:type="dxa"/>
            <w:vMerge w:val="continue"/>
            <w:tcBorders/>
            <w:shd w:fill="003A5D" w:val="clear"/>
            <w:vAlign w:val="center"/>
          </w:tcPr>
          <w:p>
            <w:pPr>
              <w:pStyle w:val="Normal"/>
              <w:bidi w:val="0"/>
              <w:jc w:val="left"/>
              <w:rPr/>
            </w:pPr>
            <w:r>
              <w:rPr/>
            </w:r>
          </w:p>
        </w:tc>
        <w:tc>
          <w:tcPr>
            <w:tcW w:w="575" w:type="dxa"/>
            <w:vMerge w:val="continue"/>
            <w:tcBorders/>
            <w:shd w:fill="003A5D" w:val="cle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shd w:fill="003A5D" w:val="clear"/>
            <w:vAlign w:val="center"/>
          </w:tcPr>
          <w:p>
            <w:pPr>
              <w:pStyle w:val="TableContents"/>
              <w:bidi w:val="0"/>
              <w:spacing w:before="0" w:after="283"/>
              <w:jc w:val="left"/>
              <w:rPr/>
            </w:pPr>
            <w:r>
              <w:rPr/>
              <w:t>  </w:t>
            </w:r>
          </w:p>
        </w:tc>
        <w:tc>
          <w:tcPr>
            <w:tcW w:w="2195" w:type="dxa"/>
            <w:tcBorders/>
            <w:shd w:fill="003A5D" w:val="clear"/>
            <w:vAlign w:val="center"/>
          </w:tcPr>
          <w:p>
            <w:pPr>
              <w:pStyle w:val="TableContents"/>
              <w:bidi w:val="0"/>
              <w:spacing w:before="0" w:after="283"/>
              <w:jc w:val="center"/>
              <w:rPr>
                <w:b/>
                <w:color w:val="FFFFFF"/>
              </w:rPr>
            </w:pPr>
            <w:r>
              <w:rPr>
                <w:b/>
                <w:color w:val="FFFFFF"/>
              </w:rPr>
              <w:t>Cash-Settled RSUs 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shd w:fill="003A5D" w:val="clear"/>
            <w:vAlign w:val="center"/>
          </w:tcPr>
          <w:p>
            <w:pPr>
              <w:pStyle w:val="TableContents"/>
              <w:bidi w:val="0"/>
              <w:spacing w:before="0" w:after="283"/>
              <w:jc w:val="left"/>
              <w:rPr/>
            </w:pPr>
            <w:r>
              <w:rPr/>
              <w:t>  </w:t>
            </w:r>
          </w:p>
        </w:tc>
        <w:tc>
          <w:tcPr>
            <w:tcW w:w="1100" w:type="dxa"/>
            <w:tcBorders/>
            <w:shd w:fill="003A5D"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Deferred </w:t>
              <w:br/>
              <w:t>Cash </w:t>
            </w:r>
          </w:p>
          <w:p>
            <w:pPr>
              <w:pStyle w:val="TableContents"/>
              <w:bidi w:val="0"/>
              <w:spacing w:before="0" w:after="20"/>
              <w:jc w:val="center"/>
              <w:rPr>
                <w:rFonts w:ascii="arial" w:hAnsi="arial"/>
                <w:b/>
                <w:color w:val="FFFFFF"/>
                <w:sz w:val="18"/>
              </w:rPr>
            </w:pPr>
            <w:r>
              <w:rPr>
                <w:rFonts w:ascii="arial" w:hAnsi="arial"/>
                <w:b/>
                <w:color w:val="FFFFFF"/>
                <w:sz w:val="18"/>
              </w:rPr>
              <w:t>Bonus 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shd w:fill="003A5D" w:val="clear"/>
            <w:vAlign w:val="center"/>
          </w:tcPr>
          <w:p>
            <w:pPr>
              <w:pStyle w:val="TableContents"/>
              <w:bidi w:val="0"/>
              <w:spacing w:before="0" w:after="283"/>
              <w:jc w:val="left"/>
              <w:rPr/>
            </w:pPr>
            <w:r>
              <w:rPr/>
              <w:t>  </w:t>
            </w:r>
          </w:p>
        </w:tc>
        <w:tc>
          <w:tcPr>
            <w:tcW w:w="1100" w:type="dxa"/>
            <w:tcBorders/>
            <w:shd w:fill="003A5D"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Cash- </w:t>
            </w:r>
          </w:p>
          <w:p>
            <w:pPr>
              <w:pStyle w:val="TableContents"/>
              <w:bidi w:val="0"/>
              <w:spacing w:before="0" w:after="20"/>
              <w:jc w:val="center"/>
              <w:rPr>
                <w:rFonts w:ascii="arial" w:hAnsi="arial"/>
                <w:b/>
                <w:color w:val="FFFFFF"/>
                <w:sz w:val="18"/>
              </w:rPr>
            </w:pPr>
            <w:r>
              <w:rPr>
                <w:rFonts w:ascii="arial" w:hAnsi="arial"/>
                <w:b/>
                <w:color w:val="FFFFFF"/>
                <w:sz w:val="18"/>
              </w:rPr>
              <w:t>Settled </w:t>
              <w:br/>
              <w:t>RSUs 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shd w:fill="003A5D" w:val="clear"/>
            <w:vAlign w:val="center"/>
          </w:tcPr>
          <w:p>
            <w:pPr>
              <w:pStyle w:val="TableContents"/>
              <w:bidi w:val="0"/>
              <w:spacing w:before="0" w:after="283"/>
              <w:jc w:val="left"/>
              <w:rPr/>
            </w:pPr>
            <w:r>
              <w:rPr/>
              <w:t>  </w:t>
            </w:r>
          </w:p>
        </w:tc>
        <w:tc>
          <w:tcPr>
            <w:tcW w:w="1580" w:type="dxa"/>
            <w:tcBorders/>
            <w:shd w:fill="003A5D" w:val="clear"/>
            <w:vAlign w:val="center"/>
          </w:tcPr>
          <w:p>
            <w:pPr>
              <w:pStyle w:val="TableContents"/>
              <w:bidi w:val="0"/>
              <w:spacing w:before="0" w:after="283"/>
              <w:jc w:val="center"/>
              <w:rPr>
                <w:color w:val="FFFFFF"/>
              </w:rPr>
            </w:pPr>
            <w:r>
              <w:rPr>
                <w:color w:val="FFFFFF"/>
              </w:rPr>
              <w:t> </w:t>
            </w:r>
            <w:r>
              <w:rPr>
                <w:b/>
                <w:color w:val="FFFFFF"/>
              </w:rPr>
              <w:t>Performance </w:t>
              <w:br/>
              <w:t> Shares(1) </w:t>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shd w:fill="003A5D" w:val="clear"/>
            <w:vAlign w:val="center"/>
          </w:tcPr>
          <w:p>
            <w:pPr>
              <w:pStyle w:val="Normal"/>
              <w:bidi w:val="0"/>
              <w:jc w:val="left"/>
              <w:rPr/>
            </w:pPr>
            <w:r>
              <w:rPr/>
            </w:r>
          </w:p>
        </w:tc>
        <w:tc>
          <w:tcPr>
            <w:tcW w:w="1235" w:type="dxa"/>
            <w:vMerge w:val="continue"/>
            <w:tcBorders/>
            <w:shd w:fill="003A5D" w:val="clear"/>
            <w:vAlign w:val="center"/>
          </w:tcPr>
          <w:p>
            <w:pPr>
              <w:pStyle w:val="Normal"/>
              <w:bidi w:val="0"/>
              <w:jc w:val="left"/>
              <w:rPr/>
            </w:pPr>
            <w:r>
              <w:rPr/>
            </w:r>
          </w:p>
        </w:tc>
      </w:tr>
      <w:tr>
        <w:trPr/>
        <w:tc>
          <w:tcPr>
            <w:tcW w:w="1355" w:type="dxa"/>
            <w:tcBorders>
              <w:top w:val="single" w:sz="8" w:space="0" w:color="FFFFFF"/>
            </w:tcBorders>
            <w:shd w:fill="E5EBEE" w:val="clear"/>
            <w:tcMar>
              <w:top w:w="28" w:type="dxa"/>
            </w:tcMar>
            <w:vAlign w:val="center"/>
          </w:tcPr>
          <w:p>
            <w:pPr>
              <w:pStyle w:val="TableContents"/>
              <w:bidi w:val="0"/>
              <w:spacing w:before="0" w:after="283"/>
              <w:jc w:val="left"/>
              <w:rPr/>
            </w:pPr>
            <w:r>
              <w:rPr/>
              <w:t> </w:t>
            </w:r>
          </w:p>
        </w:tc>
        <w:tc>
          <w:tcPr>
            <w:tcW w:w="120" w:type="dxa"/>
            <w:gridSpan w:val="2"/>
            <w:tcBorders>
              <w:top w:val="single" w:sz="8" w:space="0" w:color="FFFFFF"/>
            </w:tcBorders>
            <w:tcMar>
              <w:top w:w="28" w:type="dxa"/>
            </w:tcMar>
            <w:vAlign w:val="center"/>
          </w:tcPr>
          <w:p>
            <w:pPr>
              <w:pStyle w:val="TableContents"/>
              <w:bidi w:val="0"/>
              <w:spacing w:before="0" w:after="283"/>
              <w:jc w:val="left"/>
              <w:rPr/>
            </w:pPr>
            <w:r>
              <w:rPr/>
              <w:t> </w:t>
            </w:r>
          </w:p>
        </w:tc>
        <w:tc>
          <w:tcPr>
            <w:tcW w:w="635"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c>
          <w:tcPr>
            <w:tcW w:w="120" w:type="dxa"/>
            <w:gridSpan w:val="2"/>
            <w:tcBorders>
              <w:top w:val="single" w:sz="8" w:space="0" w:color="FFFFFF"/>
            </w:tcBorders>
            <w:tcMar>
              <w:top w:w="28" w:type="dxa"/>
            </w:tcMar>
            <w:vAlign w:val="center"/>
          </w:tcPr>
          <w:p>
            <w:pPr>
              <w:pStyle w:val="TableContents"/>
              <w:bidi w:val="0"/>
              <w:spacing w:before="0" w:after="283"/>
              <w:jc w:val="left"/>
              <w:rPr/>
            </w:pPr>
            <w:r>
              <w:rPr/>
              <w:t> </w:t>
            </w:r>
          </w:p>
        </w:tc>
        <w:tc>
          <w:tcPr>
            <w:tcW w:w="2315"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c>
          <w:tcPr>
            <w:tcW w:w="120" w:type="dxa"/>
            <w:gridSpan w:val="2"/>
            <w:tcBorders>
              <w:top w:val="single" w:sz="8" w:space="0" w:color="FFFFFF"/>
            </w:tcBorders>
            <w:tcMar>
              <w:top w:w="28" w:type="dxa"/>
            </w:tcMar>
            <w:vAlign w:val="center"/>
          </w:tcPr>
          <w:p>
            <w:pPr>
              <w:pStyle w:val="TableContents"/>
              <w:bidi w:val="0"/>
              <w:spacing w:before="0" w:after="283"/>
              <w:jc w:val="left"/>
              <w:rPr/>
            </w:pPr>
            <w:r>
              <w:rPr/>
              <w:t> </w:t>
            </w:r>
          </w:p>
        </w:tc>
        <w:tc>
          <w:tcPr>
            <w:tcW w:w="1220"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c>
          <w:tcPr>
            <w:tcW w:w="120" w:type="dxa"/>
            <w:gridSpan w:val="2"/>
            <w:tcBorders>
              <w:top w:val="single" w:sz="8" w:space="0" w:color="FFFFFF"/>
            </w:tcBorders>
            <w:tcMar>
              <w:top w:w="28" w:type="dxa"/>
            </w:tcMar>
            <w:vAlign w:val="center"/>
          </w:tcPr>
          <w:p>
            <w:pPr>
              <w:pStyle w:val="TableContents"/>
              <w:bidi w:val="0"/>
              <w:spacing w:before="0" w:after="283"/>
              <w:jc w:val="left"/>
              <w:rPr/>
            </w:pPr>
            <w:r>
              <w:rPr/>
              <w:t> </w:t>
            </w:r>
          </w:p>
        </w:tc>
        <w:tc>
          <w:tcPr>
            <w:tcW w:w="1220"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c>
          <w:tcPr>
            <w:tcW w:w="120" w:type="dxa"/>
            <w:gridSpan w:val="2"/>
            <w:tcBorders>
              <w:top w:val="single" w:sz="8" w:space="0" w:color="FFFFFF"/>
            </w:tcBorders>
            <w:tcMar>
              <w:top w:w="28" w:type="dxa"/>
            </w:tcMar>
            <w:vAlign w:val="center"/>
          </w:tcPr>
          <w:p>
            <w:pPr>
              <w:pStyle w:val="TableContents"/>
              <w:bidi w:val="0"/>
              <w:spacing w:before="0" w:after="283"/>
              <w:jc w:val="left"/>
              <w:rPr/>
            </w:pPr>
            <w:r>
              <w:rPr/>
              <w:t> </w:t>
            </w:r>
          </w:p>
        </w:tc>
        <w:tc>
          <w:tcPr>
            <w:tcW w:w="1700"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c>
          <w:tcPr>
            <w:tcW w:w="120" w:type="dxa"/>
            <w:gridSpan w:val="2"/>
            <w:tcBorders>
              <w:top w:val="single" w:sz="8" w:space="0" w:color="FFFFFF"/>
            </w:tcBorders>
            <w:tcMar>
              <w:top w:w="28" w:type="dxa"/>
            </w:tcMar>
            <w:vAlign w:val="center"/>
          </w:tcPr>
          <w:p>
            <w:pPr>
              <w:pStyle w:val="TableContents"/>
              <w:bidi w:val="0"/>
              <w:spacing w:before="0" w:after="283"/>
              <w:jc w:val="left"/>
              <w:rPr/>
            </w:pPr>
            <w:r>
              <w:rPr/>
              <w:t> </w:t>
            </w:r>
          </w:p>
        </w:tc>
        <w:tc>
          <w:tcPr>
            <w:tcW w:w="1355"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r>
      <w:tr>
        <w:trPr/>
        <w:tc>
          <w:tcPr>
            <w:tcW w:w="1355" w:type="dxa"/>
            <w:tcBorders>
              <w:bottom w:val="single" w:sz="8" w:space="0" w:color="003A5D"/>
            </w:tcBorders>
            <w:shd w:fill="E5EBEE" w:val="clear"/>
            <w:tcMar>
              <w:bottom w:w="60" w:type="dxa"/>
            </w:tcMar>
            <w:vAlign w:val="center"/>
          </w:tcPr>
          <w:p>
            <w:pPr>
              <w:pStyle w:val="TableContents"/>
              <w:bidi w:val="0"/>
              <w:spacing w:before="0" w:after="0"/>
              <w:jc w:val="center"/>
              <w:rPr>
                <w:rFonts w:ascii="arial" w:hAnsi="arial"/>
                <w:sz w:val="20"/>
              </w:rPr>
            </w:pPr>
            <w:r>
              <w:rPr>
                <w:rFonts w:ascii="arial" w:hAnsi="arial"/>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575" w:type="dxa"/>
            <w:tcBorders>
              <w:bottom w:val="single" w:sz="8" w:space="0" w:color="003A5D"/>
            </w:tcBorders>
            <w:shd w:fill="E5EBEE" w:val="clear"/>
            <w:tcMar>
              <w:bottom w:w="60"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2195" w:type="dxa"/>
            <w:tcBorders>
              <w:bottom w:val="single" w:sz="8" w:space="0" w:color="003A5D"/>
            </w:tcBorders>
            <w:shd w:fill="E5EBEE" w:val="clear"/>
            <w:tcMar>
              <w:bottom w:w="60" w:type="dxa"/>
            </w:tcMar>
            <w:vAlign w:val="center"/>
          </w:tcPr>
          <w:p>
            <w:pPr>
              <w:pStyle w:val="TableContents"/>
              <w:bidi w:val="0"/>
              <w:spacing w:before="0" w:after="283"/>
              <w:jc w:val="center"/>
              <w:rPr/>
            </w:pPr>
            <w:r>
              <w:rPr/>
              <w:t>$2,500,125  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shd w:fill="E5EBEE" w:val="clear"/>
            <w:tcMar>
              <w:bottom w:w="60" w:type="dxa"/>
            </w:tcMar>
            <w:vAlign w:val="center"/>
          </w:tcPr>
          <w:p>
            <w:pPr>
              <w:pStyle w:val="TableContents"/>
              <w:bidi w:val="0"/>
              <w:spacing w:before="0" w:after="283"/>
              <w:jc w:val="center"/>
              <w:rPr/>
            </w:pPr>
            <w:r>
              <w:rPr/>
              <w:t>$5,500,000 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shd w:fill="E5EBEE" w:val="clear"/>
            <w:tcMar>
              <w:bottom w:w="60" w:type="dxa"/>
            </w:tcMar>
            <w:vAlign w:val="center"/>
          </w:tcPr>
          <w:p>
            <w:pPr>
              <w:pStyle w:val="TableContents"/>
              <w:bidi w:val="0"/>
              <w:spacing w:before="0" w:after="283"/>
              <w:jc w:val="center"/>
              <w:rPr/>
            </w:pPr>
            <w:r>
              <w:rPr/>
              <w:t>$5,000,198 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580" w:type="dxa"/>
            <w:tcBorders>
              <w:bottom w:val="single" w:sz="8" w:space="0" w:color="003A5D"/>
            </w:tcBorders>
            <w:shd w:fill="E5EBEE" w:val="clear"/>
            <w:tcMar>
              <w:bottom w:w="60" w:type="dxa"/>
            </w:tcMar>
            <w:vAlign w:val="center"/>
          </w:tcPr>
          <w:p>
            <w:pPr>
              <w:pStyle w:val="TableContents"/>
              <w:bidi w:val="0"/>
              <w:spacing w:before="0" w:after="283"/>
              <w:jc w:val="center"/>
              <w:rPr/>
            </w:pPr>
            <w:r>
              <w:rPr/>
              <w:t>$20,500,293 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35" w:type="dxa"/>
            <w:tcBorders>
              <w:bottom w:val="single" w:sz="8" w:space="0" w:color="003A5D"/>
            </w:tcBorders>
            <w:shd w:fill="E5EBEE" w:val="clear"/>
            <w:tcMar>
              <w:bottom w:w="60" w:type="dxa"/>
            </w:tcMar>
            <w:vAlign w:val="center"/>
          </w:tcPr>
          <w:p>
            <w:pPr>
              <w:pStyle w:val="TableContents"/>
              <w:bidi w:val="0"/>
              <w:spacing w:before="0" w:after="283"/>
              <w:jc w:val="center"/>
              <w:rPr/>
            </w:pPr>
            <w:r>
              <w:rPr/>
              <w:t>$33,500,616 </w:t>
            </w:r>
          </w:p>
        </w:tc>
      </w:tr>
      <w:tr>
        <w:trPr/>
        <w:tc>
          <w:tcPr>
            <w:tcW w:w="135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63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31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70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r>
      <w:tr>
        <w:trPr/>
        <w:tc>
          <w:tcPr>
            <w:tcW w:w="1355" w:type="dxa"/>
            <w:tcBorders>
              <w:bottom w:val="single" w:sz="8" w:space="0" w:color="003A5D"/>
            </w:tcBorders>
            <w:tcMar>
              <w:bottom w:w="60" w:type="dxa"/>
            </w:tcMar>
            <w:vAlign w:val="center"/>
          </w:tcPr>
          <w:p>
            <w:pPr>
              <w:pStyle w:val="TableContents"/>
              <w:bidi w:val="0"/>
              <w:spacing w:before="0" w:after="0"/>
              <w:jc w:val="center"/>
              <w:rPr>
                <w:rFonts w:ascii="arial" w:hAnsi="arial"/>
                <w:sz w:val="20"/>
              </w:rPr>
            </w:pPr>
            <w:r>
              <w:rPr>
                <w:rFonts w:ascii="arial" w:hAnsi="arial"/>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575" w:type="dxa"/>
            <w:tcBorders>
              <w:bottom w:val="single" w:sz="8" w:space="0" w:color="003A5D"/>
            </w:tcBorders>
            <w:tcMar>
              <w:bottom w:w="60"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2195" w:type="dxa"/>
            <w:tcBorders>
              <w:bottom w:val="single" w:sz="8" w:space="0" w:color="003A5D"/>
            </w:tcBorders>
            <w:tcMar>
              <w:bottom w:w="60" w:type="dxa"/>
            </w:tcMar>
            <w:vAlign w:val="center"/>
          </w:tcPr>
          <w:p>
            <w:pPr>
              <w:pStyle w:val="TableContents"/>
              <w:bidi w:val="0"/>
              <w:spacing w:before="0" w:after="283"/>
              <w:jc w:val="center"/>
              <w:rPr/>
            </w:pPr>
            <w:r>
              <w:rPr/>
              <w:t>$2,500,032  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tcMar>
              <w:bottom w:w="60" w:type="dxa"/>
            </w:tcMar>
            <w:vAlign w:val="center"/>
          </w:tcPr>
          <w:p>
            <w:pPr>
              <w:pStyle w:val="TableContents"/>
              <w:bidi w:val="0"/>
              <w:spacing w:before="0" w:after="283"/>
              <w:jc w:val="center"/>
              <w:rPr/>
            </w:pPr>
            <w:r>
              <w:rPr/>
              <w:t>$5,000,000 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tcMar>
              <w:bottom w:w="60" w:type="dxa"/>
            </w:tcMar>
            <w:vAlign w:val="center"/>
          </w:tcPr>
          <w:p>
            <w:pPr>
              <w:pStyle w:val="TableContents"/>
              <w:bidi w:val="0"/>
              <w:spacing w:before="0" w:after="283"/>
              <w:jc w:val="center"/>
              <w:rPr/>
            </w:pPr>
            <w:r>
              <w:rPr/>
              <w:t>$4,700,046 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1580" w:type="dxa"/>
            <w:tcBorders>
              <w:bottom w:val="single" w:sz="8" w:space="0" w:color="003A5D"/>
            </w:tcBorders>
            <w:tcMar>
              <w:bottom w:w="60" w:type="dxa"/>
            </w:tcMar>
            <w:vAlign w:val="center"/>
          </w:tcPr>
          <w:p>
            <w:pPr>
              <w:pStyle w:val="TableContents"/>
              <w:bidi w:val="0"/>
              <w:spacing w:before="0" w:after="283"/>
              <w:jc w:val="center"/>
              <w:rPr/>
            </w:pPr>
            <w:r>
              <w:rPr/>
              <w:t>$16,800,085 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1235" w:type="dxa"/>
            <w:tcBorders>
              <w:bottom w:val="single" w:sz="8" w:space="0" w:color="003A5D"/>
            </w:tcBorders>
            <w:tcMar>
              <w:bottom w:w="60" w:type="dxa"/>
            </w:tcMar>
            <w:vAlign w:val="center"/>
          </w:tcPr>
          <w:p>
            <w:pPr>
              <w:pStyle w:val="TableContents"/>
              <w:bidi w:val="0"/>
              <w:spacing w:before="0" w:after="283"/>
              <w:jc w:val="center"/>
              <w:rPr/>
            </w:pPr>
            <w:r>
              <w:rPr/>
              <w:t>$29,000,163 </w:t>
            </w:r>
          </w:p>
        </w:tc>
      </w:tr>
      <w:tr>
        <w:trPr/>
        <w:tc>
          <w:tcPr>
            <w:tcW w:w="1355" w:type="dxa"/>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635"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315"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70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1355" w:type="dxa"/>
            <w:tcBorders>
              <w:bottom w:val="single" w:sz="8" w:space="0" w:color="003A5D"/>
            </w:tcBorders>
            <w:shd w:fill="E5EBEE" w:val="clear"/>
            <w:tcMar>
              <w:bottom w:w="60" w:type="dxa"/>
            </w:tcMar>
            <w:vAlign w:val="center"/>
          </w:tcPr>
          <w:p>
            <w:pPr>
              <w:pStyle w:val="TableContents"/>
              <w:bidi w:val="0"/>
              <w:spacing w:before="0" w:after="0"/>
              <w:jc w:val="center"/>
              <w:rPr>
                <w:rFonts w:ascii="arial" w:hAnsi="arial"/>
                <w:sz w:val="20"/>
              </w:rPr>
            </w:pPr>
            <w:r>
              <w:rPr>
                <w:rFonts w:ascii="arial" w:hAnsi="arial"/>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575" w:type="dxa"/>
            <w:tcBorders>
              <w:bottom w:val="single" w:sz="8" w:space="0" w:color="003A5D"/>
            </w:tcBorders>
            <w:shd w:fill="E5EBEE" w:val="clear"/>
            <w:tcMar>
              <w:bottom w:w="60"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2195" w:type="dxa"/>
            <w:tcBorders>
              <w:bottom w:val="single" w:sz="8" w:space="0" w:color="003A5D"/>
            </w:tcBorders>
            <w:shd w:fill="E5EBEE" w:val="clear"/>
            <w:tcMar>
              <w:bottom w:w="60" w:type="dxa"/>
            </w:tcMar>
            <w:vAlign w:val="center"/>
          </w:tcPr>
          <w:p>
            <w:pPr>
              <w:pStyle w:val="TableContents"/>
              <w:bidi w:val="0"/>
              <w:spacing w:before="0" w:after="283"/>
              <w:jc w:val="center"/>
              <w:rPr/>
            </w:pPr>
            <w:r>
              <w:rPr/>
              <w:t>$2,500,021  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shd w:fill="E5EBEE" w:val="clear"/>
            <w:tcMar>
              <w:bottom w:w="60" w:type="dxa"/>
            </w:tcMar>
            <w:vAlign w:val="center"/>
          </w:tcPr>
          <w:p>
            <w:pPr>
              <w:pStyle w:val="TableContents"/>
              <w:bidi w:val="0"/>
              <w:spacing w:before="0" w:after="283"/>
              <w:jc w:val="center"/>
              <w:rPr/>
            </w:pPr>
            <w:r>
              <w:rPr/>
              <w:t>$4,250,000 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shd w:fill="E5EBEE" w:val="clear"/>
            <w:tcMar>
              <w:bottom w:w="60" w:type="dxa"/>
            </w:tcMar>
            <w:vAlign w:val="center"/>
          </w:tcPr>
          <w:p>
            <w:pPr>
              <w:pStyle w:val="TableContents"/>
              <w:bidi w:val="0"/>
              <w:spacing w:before="0" w:after="283"/>
              <w:jc w:val="center"/>
              <w:rPr/>
            </w:pPr>
            <w:r>
              <w:rPr/>
              <w:t>$2,850,099 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580" w:type="dxa"/>
            <w:tcBorders>
              <w:bottom w:val="single" w:sz="8" w:space="0" w:color="003A5D"/>
            </w:tcBorders>
            <w:shd w:fill="E5EBEE" w:val="clear"/>
            <w:tcMar>
              <w:bottom w:w="60" w:type="dxa"/>
            </w:tcMar>
            <w:vAlign w:val="center"/>
          </w:tcPr>
          <w:p>
            <w:pPr>
              <w:pStyle w:val="TableContents"/>
              <w:bidi w:val="0"/>
              <w:spacing w:before="0" w:after="283"/>
              <w:jc w:val="center"/>
              <w:rPr/>
            </w:pPr>
            <w:r>
              <w:rPr/>
              <w:t>$16,525,118 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35" w:type="dxa"/>
            <w:tcBorders>
              <w:bottom w:val="single" w:sz="8" w:space="0" w:color="003A5D"/>
            </w:tcBorders>
            <w:shd w:fill="E5EBEE" w:val="clear"/>
            <w:tcMar>
              <w:bottom w:w="60" w:type="dxa"/>
            </w:tcMar>
            <w:vAlign w:val="center"/>
          </w:tcPr>
          <w:p>
            <w:pPr>
              <w:pStyle w:val="TableContents"/>
              <w:bidi w:val="0"/>
              <w:spacing w:before="0" w:after="283"/>
              <w:jc w:val="center"/>
              <w:rPr/>
            </w:pPr>
            <w:r>
              <w:rPr/>
              <w:t>$26,125,238 </w:t>
            </w:r>
          </w:p>
        </w:tc>
      </w:tr>
    </w:tbl>
    <w:p>
      <w:pPr>
        <w:pStyle w:val="TextBody"/>
        <w:pBdr>
          <w:bottom w:val="single" w:sz="2" w:space="1" w:color="000000"/>
        </w:pBdr>
        <w:bidi w:val="0"/>
        <w:spacing w:lineRule="atLeast" w:line="160" w:before="0" w:after="40"/>
        <w:jc w:val="left"/>
        <w:rPr/>
      </w:pPr>
      <w:r>
        <w:rPr/>
        <w:t> </w:t>
      </w:r>
    </w:p>
    <w:tbl>
      <w:tblPr>
        <w:tblW w:w="9985" w:type="dxa"/>
        <w:jc w:val="left"/>
        <w:tblInd w:w="0" w:type="dxa"/>
        <w:tblLayout w:type="fixed"/>
        <w:tblCellMar>
          <w:top w:w="0" w:type="dxa"/>
          <w:left w:w="0" w:type="dxa"/>
          <w:bottom w:w="0" w:type="dxa"/>
          <w:right w:w="0" w:type="dxa"/>
        </w:tblCellMar>
      </w:tblPr>
      <w:tblGrid>
        <w:gridCol w:w="305"/>
        <w:gridCol w:w="9680"/>
      </w:tblGrid>
      <w:tr>
        <w:trPr/>
        <w:tc>
          <w:tcPr>
            <w:tcW w:w="305" w:type="dxa"/>
            <w:tcBorders/>
            <w:vAlign w:val="center"/>
          </w:tcPr>
          <w:p>
            <w:pPr>
              <w:pStyle w:val="TableContents"/>
              <w:bidi w:val="0"/>
              <w:spacing w:before="0" w:after="283"/>
              <w:jc w:val="left"/>
              <w:rPr/>
            </w:pPr>
            <w:r>
              <w:rPr/>
              <w:t>(1)</w:t>
            </w:r>
          </w:p>
        </w:tc>
        <w:tc>
          <w:tcPr>
            <w:tcW w:w="9680" w:type="dxa"/>
            <w:tcBorders/>
            <w:vAlign w:val="center"/>
          </w:tcPr>
          <w:p>
            <w:pPr>
              <w:pStyle w:val="TableContents"/>
              <w:bidi w:val="0"/>
              <w:spacing w:before="0" w:after="0"/>
              <w:jc w:val="both"/>
              <w:rPr>
                <w:rFonts w:ascii="arial" w:hAnsi="arial"/>
                <w:sz w:val="16"/>
              </w:rPr>
            </w:pPr>
            <w:r>
              <w:rPr>
                <w:rFonts w:ascii="arial" w:hAnsi="arial"/>
                <w:sz w:val="16"/>
              </w:rPr>
              <w:t xml:space="preserve">See “Performance Share Award Metrics” beginning on page 69 for a description of the metrics applicable to the performance shares. </w:t>
            </w:r>
          </w:p>
        </w:tc>
      </w:tr>
    </w:tbl>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3395"/>
        <w:gridCol w:w="60"/>
        <w:gridCol w:w="2255"/>
        <w:gridCol w:w="60"/>
        <w:gridCol w:w="33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jc w:val="center"/>
              <w:rPr/>
            </w:pPr>
            <w:r>
              <w:rPr/>
              <w:t> </w:t>
            </w:r>
            <w:r>
              <w:rPr>
                <w:b/>
              </w:rPr>
              <w:t>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03A5D"/>
          <w:sz w:val="20"/>
        </w:rPr>
      </w:pPr>
      <w:r>
        <w:rPr>
          <w:rFonts w:ascii="arial" w:hAnsi="arial"/>
          <w:b/>
          <w:color w:val="003A5D"/>
          <w:sz w:val="20"/>
        </w:rPr>
        <w:t xml:space="preserve">2024 NEO Performance Year Compensation </w:t>
      </w:r>
    </w:p>
    <w:p>
      <w:pPr>
        <w:pStyle w:val="TextBody"/>
        <w:bidi w:val="0"/>
        <w:spacing w:before="240" w:after="0"/>
        <w:jc w:val="both"/>
        <w:rPr>
          <w:rFonts w:ascii="arial" w:hAnsi="arial"/>
          <w:sz w:val="20"/>
        </w:rPr>
      </w:pPr>
      <w:r>
        <w:rPr>
          <w:rFonts w:ascii="arial" w:hAnsi="arial"/>
          <w:sz w:val="20"/>
        </w:rPr>
        <w:t xml:space="preserve">NEO (other than the CEO) compensation for the 2024 performance year was composed of a mix of cash and equity-based compensation and consisted of (i) a base salary and (ii) an annual year-end incentive opportunity which consisted of a cash incentive and a long-term incentive opportunity. The long-term incentive opportunity was comprised of performance shares and stock-settled RSUs as determined by the Committee and the Independent Directors. The chart below shows the elements of NEO compensation as an approximate percentage of NEO 2024 actual total compensation: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697605" cy="16002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97605" cy="1600200"/>
                    </a:xfrm>
                    <a:prstGeom prst="rect">
                      <a:avLst/>
                    </a:prstGeom>
                  </pic:spPr>
                </pic:pic>
              </a:graphicData>
            </a:graphic>
          </wp:inline>
        </w:drawing>
      </w:r>
      <w:r>
        <w:rPr/>
        <w:t xml:space="preserve"> </w:t>
      </w:r>
    </w:p>
    <w:p>
      <w:pPr>
        <w:pStyle w:val="TextBody"/>
        <w:bidi w:val="0"/>
        <w:jc w:val="right"/>
        <w:rPr>
          <w:rFonts w:ascii="arial" w:hAnsi="arial"/>
          <w:color w:val="FFFFFF"/>
          <w:sz w:val="2"/>
        </w:rPr>
      </w:pPr>
      <w:r>
        <w:rPr>
          <w:rFonts w:ascii="arial" w:hAnsi="arial"/>
          <w:color w:val="FFFFFF"/>
          <w:sz w:val="2"/>
        </w:rPr>
        <w:t xml:space="preserve">Base Salary RSUs 17% 23% Cash-Based Total Equity-Based Compensation Range 50% $5.8 million - $7.8 million 50% Cash Incentive Performance Shares 33% 27% </w:t>
      </w:r>
    </w:p>
    <w:p>
      <w:pPr>
        <w:pStyle w:val="TextBody"/>
        <w:bidi w:val="0"/>
        <w:spacing w:before="240" w:after="0"/>
        <w:jc w:val="both"/>
        <w:rPr>
          <w:rFonts w:ascii="arial" w:hAnsi="arial"/>
          <w:sz w:val="20"/>
        </w:rPr>
      </w:pPr>
      <w:r>
        <w:rPr>
          <w:rFonts w:ascii="arial" w:hAnsi="arial"/>
          <w:sz w:val="20"/>
        </w:rPr>
        <w:t xml:space="preserve">See “NEO Compensation” beginning on page 81 for a description of compensation to the NEOs (other than the CEO) </w:t>
      </w:r>
    </w:p>
    <w:p>
      <w:pPr>
        <w:pStyle w:val="TextBody"/>
        <w:bidi w:val="0"/>
        <w:spacing w:before="240" w:after="0"/>
        <w:jc w:val="left"/>
        <w:rPr>
          <w:rFonts w:ascii="arial" w:hAnsi="arial"/>
          <w:b/>
          <w:color w:val="003A5D"/>
          <w:sz w:val="32"/>
        </w:rPr>
      </w:pPr>
      <w:bookmarkStart w:id="4" w:name="r_1"/>
      <w:bookmarkEnd w:id="4"/>
      <w:r>
        <w:rPr>
          <w:rFonts w:ascii="arial" w:hAnsi="arial"/>
          <w:b/>
          <w:color w:val="003A5D"/>
          <w:sz w:val="32"/>
        </w:rPr>
        <w:t xml:space="preserve">Voting Item 3: Ratification of the Selection of Ernst &amp; Young LLP as Our Independent Registered Public Accounting Firm for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60"/>
        <w:gridCol w:w="9360"/>
      </w:tblGrid>
      <w:tr>
        <w:trPr/>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60" w:type="dxa"/>
            <w:tcBorders/>
            <w:vAlign w:val="center"/>
          </w:tcPr>
          <w:p>
            <w:pPr>
              <w:pStyle w:val="TableContents"/>
              <w:bidi w:val="0"/>
              <w:spacing w:before="0" w:after="283"/>
              <w:jc w:val="left"/>
              <w:rPr>
                <w:sz w:val="4"/>
                <w:szCs w:val="4"/>
              </w:rPr>
            </w:pPr>
            <w:r>
              <w:rPr>
                <w:sz w:val="4"/>
                <w:szCs w:val="4"/>
              </w:rPr>
            </w:r>
          </w:p>
        </w:tc>
      </w:tr>
      <w:tr>
        <w:trPr/>
        <w:tc>
          <w:tcPr>
            <w:tcW w:w="785" w:type="dxa"/>
            <w:tcBorders/>
            <w:shd w:fill="003A5D" w:val="clear"/>
            <w:vAlign w:val="center"/>
          </w:tcPr>
          <w:p>
            <w:pPr>
              <w:pStyle w:val="TableContents"/>
              <w:bidi w:val="0"/>
              <w:spacing w:before="0" w:after="283"/>
              <w:jc w:val="left"/>
              <w:rPr>
                <w:sz w:val="4"/>
                <w:szCs w:val="4"/>
              </w:rPr>
            </w:pPr>
            <w:r>
              <w:rPr>
                <w:sz w:val="4"/>
                <w:szCs w:val="4"/>
              </w:rPr>
            </w:r>
          </w:p>
        </w:tc>
        <w:tc>
          <w:tcPr>
            <w:tcW w:w="94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785" w:type="dxa"/>
            <w:tcBorders/>
            <w:shd w:fill="003A5D" w:val="clear"/>
            <w:vAlign w:val="center"/>
          </w:tcPr>
          <w:p>
            <w:pPr>
              <w:pStyle w:val="TableContents"/>
              <w:bidi w:val="0"/>
              <w:spacing w:before="0" w:after="283"/>
              <w:jc w:val="center"/>
              <w:rPr>
                <w:color w:val="FFFFFF"/>
              </w:rPr>
            </w:pPr>
            <w:r>
              <w:rPr>
                <w:color w:val="FFFFFF"/>
              </w:rPr>
              <w:t> </w:t>
            </w:r>
            <w:r>
              <w:rPr>
                <w:b/>
                <w:color w:val="FFFFFF"/>
                <w:sz w:val="24"/>
              </w:rPr>
              <w:t>Item 3 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360" w:type="dxa"/>
            <w:tcBorders/>
            <w:shd w:fill="E5EBEE"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You are being asked to ratify the Audit Committee’s selection of Ernst &amp; Young LLP as our independent registered public accounting firm for 2025. For additional information regarding the Audit Committee’s selection of and the fees paid to Ernst &amp; Young LLP, see “Audit Committee Report” on page 124 and “Ratification of Selection of Our Independent Registered Public Accounting Firm” beginning on page 122 of this proxy statement.</w:t>
            </w:r>
          </w:p>
          <w:p>
            <w:pPr>
              <w:pStyle w:val="TableContents"/>
              <w:bidi w:val="0"/>
              <w:spacing w:before="0" w:after="0"/>
              <w:jc w:val="left"/>
              <w:rPr/>
            </w:pPr>
            <w:r>
              <w:rPr/>
              <w:t> </w:t>
            </w:r>
          </w:p>
          <w:p>
            <w:pPr>
              <w:pStyle w:val="TableContents"/>
              <w:bidi w:val="0"/>
              <w:spacing w:before="0" w:after="20"/>
              <w:jc w:val="both"/>
              <w:rPr>
                <w:color w:val="003A5D"/>
              </w:rPr>
            </w:pPr>
            <w:r>
              <w:rPr>
                <w:color w:val="003A5D"/>
              </w:rPr>
              <w:t>✓  </w:t>
            </w:r>
            <w:r>
              <w:rPr>
                <w:rFonts w:ascii="arial" w:hAnsi="arial"/>
                <w:i/>
                <w:color w:val="003A5D"/>
                <w:sz w:val="20"/>
              </w:rPr>
              <w:t>Our Board unanimously recommends that you vote “FOR” the ratification of the selection of Ernst &amp; Young LLP as our independent registered public accounting firm for 2025.</w:t>
            </w:r>
          </w:p>
        </w:tc>
      </w:tr>
    </w:tbl>
    <w:p>
      <w:pPr>
        <w:pStyle w:val="TextBody"/>
        <w:bidi w:val="0"/>
        <w:spacing w:before="240" w:after="0"/>
        <w:jc w:val="left"/>
        <w:rPr>
          <w:rFonts w:ascii="arial" w:hAnsi="arial"/>
          <w:b/>
          <w:color w:val="003A5D"/>
          <w:sz w:val="32"/>
        </w:rPr>
      </w:pPr>
      <w:r>
        <w:rPr>
          <w:rFonts w:ascii="arial" w:hAnsi="arial"/>
          <w:b/>
          <w:color w:val="003A5D"/>
          <w:sz w:val="32"/>
        </w:rPr>
        <w:t xml:space="preserve">Voting Item 4: Stockholder Proposal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42"/>
        <w:gridCol w:w="60"/>
        <w:gridCol w:w="9203"/>
      </w:tblGrid>
      <w:tr>
        <w:trPr/>
        <w:tc>
          <w:tcPr>
            <w:tcW w:w="9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3" w:type="dxa"/>
            <w:tcBorders/>
            <w:vAlign w:val="center"/>
          </w:tcPr>
          <w:p>
            <w:pPr>
              <w:pStyle w:val="TableContents"/>
              <w:bidi w:val="0"/>
              <w:spacing w:before="0" w:after="283"/>
              <w:jc w:val="left"/>
              <w:rPr>
                <w:sz w:val="4"/>
                <w:szCs w:val="4"/>
              </w:rPr>
            </w:pPr>
            <w:r>
              <w:rPr>
                <w:sz w:val="4"/>
                <w:szCs w:val="4"/>
              </w:rPr>
            </w:r>
          </w:p>
        </w:tc>
      </w:tr>
      <w:tr>
        <w:trPr/>
        <w:tc>
          <w:tcPr>
            <w:tcW w:w="942" w:type="dxa"/>
            <w:tcBorders/>
            <w:shd w:fill="003A5D" w:val="clear"/>
            <w:vAlign w:val="center"/>
          </w:tcPr>
          <w:p>
            <w:pPr>
              <w:pStyle w:val="TableContents"/>
              <w:bidi w:val="0"/>
              <w:spacing w:before="0" w:after="283"/>
              <w:jc w:val="left"/>
              <w:rPr>
                <w:sz w:val="4"/>
                <w:szCs w:val="4"/>
              </w:rPr>
            </w:pPr>
            <w:r>
              <w:rPr>
                <w:sz w:val="4"/>
                <w:szCs w:val="4"/>
              </w:rPr>
            </w:r>
          </w:p>
        </w:tc>
        <w:tc>
          <w:tcPr>
            <w:tcW w:w="9263"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942" w:type="dxa"/>
            <w:tcBorders/>
            <w:shd w:fill="003A5D" w:val="clear"/>
            <w:vAlign w:val="center"/>
          </w:tcPr>
          <w:p>
            <w:pPr>
              <w:pStyle w:val="TableContents"/>
              <w:bidi w:val="0"/>
              <w:spacing w:before="0" w:after="283"/>
              <w:jc w:val="center"/>
              <w:rPr>
                <w:color w:val="FFFFFF"/>
              </w:rPr>
            </w:pPr>
            <w:r>
              <w:rPr>
                <w:color w:val="FFFFFF"/>
              </w:rPr>
              <w:t> </w:t>
            </w:r>
            <w:r>
              <w:rPr>
                <w:b/>
                <w:color w:val="FFFFFF"/>
                <w:sz w:val="24"/>
              </w:rPr>
              <w:t>Item 4 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203" w:type="dxa"/>
            <w:tcBorders/>
            <w:shd w:fill="E5EBEE"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You are being asked to vote on one stockholder proposal. For additional information regarding the proposal, see “Stockholder Proposal” beginning on page 125 of this proxy statement.</w:t>
            </w:r>
          </w:p>
          <w:p>
            <w:pPr>
              <w:pStyle w:val="TableContents"/>
              <w:bidi w:val="0"/>
              <w:spacing w:before="0" w:after="0"/>
              <w:jc w:val="left"/>
              <w:rPr/>
            </w:pPr>
            <w:r>
              <w:rPr/>
              <w:t> </w:t>
            </w:r>
          </w:p>
          <w:p>
            <w:pPr>
              <w:pStyle w:val="TableContents"/>
              <w:bidi w:val="0"/>
              <w:spacing w:before="0" w:after="20"/>
              <w:jc w:val="both"/>
              <w:rPr>
                <w:rFonts w:ascii="arial" w:hAnsi="arial"/>
                <w:color w:val="003A5D"/>
                <w:sz w:val="20"/>
              </w:rPr>
            </w:pPr>
            <w:r>
              <w:rPr>
                <w:rFonts w:ascii="WINGDINGS" w:hAnsi="WINGDINGS"/>
                <w:color w:val="003A5D"/>
                <w:sz w:val="28"/>
              </w:rPr>
              <w:t>û</w:t>
            </w:r>
            <w:r>
              <w:rPr>
                <w:rFonts w:ascii="arial" w:hAnsi="arial"/>
                <w:color w:val="003A5D"/>
                <w:sz w:val="20"/>
              </w:rPr>
              <w:t> </w:t>
            </w:r>
            <w:r>
              <w:rPr>
                <w:rFonts w:ascii="arial" w:hAnsi="arial"/>
                <w:i/>
                <w:color w:val="003A5D"/>
                <w:sz w:val="20"/>
              </w:rPr>
              <w:t>Our Board unanimously recommends that you vote “AGAINST” the stockholder proposal as disclosed in this proxy statement.</w:t>
            </w:r>
          </w:p>
        </w:tc>
      </w:tr>
    </w:tbl>
    <w:p>
      <w:pPr>
        <w:pStyle w:val="TextBody"/>
        <w:bidi w:val="0"/>
        <w:spacing w:before="0" w:after="0"/>
        <w:jc w:val="left"/>
        <w:rPr/>
      </w:pPr>
      <w:r>
        <w:rPr/>
        <w:t> </w:t>
      </w:r>
    </w:p>
    <w:tbl>
      <w:tblPr>
        <w:tblW w:w="6151" w:type="dxa"/>
        <w:jc w:val="left"/>
        <w:tblInd w:w="0" w:type="dxa"/>
        <w:tblLayout w:type="fixed"/>
        <w:tblCellMar>
          <w:top w:w="0" w:type="dxa"/>
          <w:left w:w="0" w:type="dxa"/>
          <w:bottom w:w="0" w:type="dxa"/>
          <w:right w:w="0" w:type="dxa"/>
        </w:tblCellMar>
      </w:tblPr>
      <w:tblGrid>
        <w:gridCol w:w="305"/>
        <w:gridCol w:w="60"/>
        <w:gridCol w:w="23"/>
        <w:gridCol w:w="60"/>
        <w:gridCol w:w="23"/>
        <w:gridCol w:w="60"/>
        <w:gridCol w:w="3380"/>
        <w:gridCol w:w="60"/>
        <w:gridCol w:w="218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305" w:type="dxa"/>
            <w:tcBorders/>
            <w:vAlign w:val="center"/>
          </w:tcPr>
          <w:p>
            <w:pPr>
              <w:pStyle w:val="TableContents"/>
              <w:bidi w:val="0"/>
              <w:jc w:val="center"/>
              <w:rPr/>
            </w:pPr>
            <w:r>
              <w:rPr>
                <w:b/>
                <w:sz w:val="20"/>
              </w:rPr>
              <w:t>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36"/>
        </w:rPr>
      </w:pPr>
      <w:bookmarkStart w:id="5" w:name="toc"/>
      <w:bookmarkEnd w:id="5"/>
      <w:r>
        <w:rPr>
          <w:rFonts w:ascii="arial" w:hAnsi="arial"/>
          <w:b/>
          <w:sz w:val="36"/>
        </w:rPr>
        <w:t xml:space="preserve">Table of Contents </w:t>
      </w:r>
    </w:p>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3110230" cy="9972040"/>
                <wp:effectExtent l="0" t="0" r="0" b="0"/>
                <wp:wrapSquare wrapText="right"/>
                <wp:docPr id="10"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9985" w:type="dxa"/>
                              <w:jc w:val="left"/>
                              <w:tblInd w:w="0" w:type="dxa"/>
                              <w:tblLayout w:type="fixed"/>
                              <w:tblCellMar>
                                <w:top w:w="0" w:type="dxa"/>
                                <w:left w:w="0" w:type="dxa"/>
                                <w:bottom w:w="0" w:type="dxa"/>
                                <w:right w:w="0" w:type="dxa"/>
                              </w:tblCellMar>
                            </w:tblPr>
                            <w:tblGrid>
                              <w:gridCol w:w="9650"/>
                              <w:gridCol w:w="60"/>
                              <w:gridCol w:w="275"/>
                            </w:tblGrid>
                            <w:tr>
                              <w:trPr/>
                              <w:tc>
                                <w:tcPr>
                                  <w:tcW w:w="9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985" w:type="dxa"/>
                                  <w:gridSpan w:val="3"/>
                                  <w:tcBorders/>
                                  <w:vAlign w:val="center"/>
                                </w:tcPr>
                                <w:p>
                                  <w:pPr>
                                    <w:pStyle w:val="TableContents"/>
                                    <w:bidi w:val="0"/>
                                    <w:spacing w:before="0" w:after="283"/>
                                    <w:jc w:val="left"/>
                                    <w:rPr>
                                      <w:sz w:val="4"/>
                                      <w:szCs w:val="4"/>
                                    </w:rPr>
                                  </w:pPr>
                                  <w:r>
                                    <w:rPr>
                                      <w:sz w:val="4"/>
                                      <w:szCs w:val="4"/>
                                    </w:rPr>
                                  </w:r>
                                </w:p>
                              </w:tc>
                            </w:tr>
                            <w:tr>
                              <w:trPr/>
                              <w:tc>
                                <w:tcPr>
                                  <w:tcW w:w="9985" w:type="dxa"/>
                                  <w:gridSpan w:val="3"/>
                                  <w:tcBorders>
                                    <w:bottom w:val="single" w:sz="8" w:space="0" w:color="000000"/>
                                  </w:tcBorders>
                                  <w:tcMar>
                                    <w:bottom w:w="60" w:type="dxa"/>
                                  </w:tcMar>
                                  <w:vAlign w:val="center"/>
                                </w:tcPr>
                                <w:p>
                                  <w:pPr>
                                    <w:pStyle w:val="TableContents"/>
                                    <w:bidi w:val="0"/>
                                    <w:spacing w:before="0" w:after="0"/>
                                    <w:jc w:val="left"/>
                                    <w:rPr>
                                      <w:rFonts w:ascii="arial" w:hAnsi="arial"/>
                                      <w:b/>
                                      <w:color w:val="003A5D"/>
                                      <w:sz w:val="22"/>
                                    </w:rPr>
                                  </w:pPr>
                                  <w:r>
                                    <w:rPr>
                                      <w:rFonts w:ascii="arial" w:hAnsi="arial"/>
                                      <w:b/>
                                      <w:color w:val="003A5D"/>
                                      <w:sz w:val="22"/>
                                    </w:rPr>
                                    <w:t>CORPORATE GOVERNANCE</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1">
                                    <w:r>
                                      <w:rPr>
                                        <w:rStyle w:val="InternetLink"/>
                                        <w:rFonts w:ascii="arial" w:hAnsi="arial"/>
                                        <w:b/>
                                        <w:color w:val="003A5D"/>
                                        <w:sz w:val="18"/>
                                      </w:rPr>
                                      <w:t>Section I - Election of Directors (Item 1 on Proxy Card)</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11</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2a">
                                    <w:r>
                                      <w:rPr>
                                        <w:rStyle w:val="InternetLink"/>
                                        <w:rFonts w:ascii="arial" w:hAnsi="arial"/>
                                        <w:sz w:val="18"/>
                                      </w:rPr>
                                      <w:t>Our Director Nominees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12</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3">
                                    <w:r>
                                      <w:rPr>
                                        <w:rStyle w:val="InternetLink"/>
                                        <w:rFonts w:ascii="arial" w:hAnsi="arial"/>
                                        <w:sz w:val="18"/>
                                      </w:rPr>
                                      <w:t>Skills and Experience of Our Director Nominees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19</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4">
                                    <w:r>
                                      <w:rPr>
                                        <w:rStyle w:val="InternetLink"/>
                                        <w:rFonts w:ascii="arial" w:hAnsi="arial"/>
                                        <w:b/>
                                        <w:color w:val="003A5D"/>
                                        <w:sz w:val="18"/>
                                      </w:rPr>
                                      <w:t>Section II - Corporate Governance at Capital One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21</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5">
                                    <w:r>
                                      <w:rPr>
                                        <w:rStyle w:val="InternetLink"/>
                                        <w:rFonts w:ascii="arial" w:hAnsi="arial"/>
                                        <w:sz w:val="18"/>
                                      </w:rPr>
                                      <w:t>Overview of Corporate Governance at Capital One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21</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6">
                                    <w:r>
                                      <w:rPr>
                                        <w:rStyle w:val="InternetLink"/>
                                        <w:rFonts w:ascii="arial" w:hAnsi="arial"/>
                                        <w:sz w:val="18"/>
                                      </w:rPr>
                                      <w:t>Board Leadership Structure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21</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7">
                                    <w:r>
                                      <w:rPr>
                                        <w:rStyle w:val="InternetLink"/>
                                        <w:rFonts w:ascii="arial" w:hAnsi="arial"/>
                                        <w:sz w:val="18"/>
                                      </w:rPr>
                                      <w:t>Key Board Governance Practices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24</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8">
                                    <w:r>
                                      <w:rPr>
                                        <w:rStyle w:val="InternetLink"/>
                                        <w:rFonts w:ascii="arial" w:hAnsi="arial"/>
                                        <w:sz w:val="18"/>
                                      </w:rPr>
                                      <w:t>The Board’s Role in Corporate Oversight</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30</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9">
                                    <w:r>
                                      <w:rPr>
                                        <w:rStyle w:val="InternetLink"/>
                                        <w:rFonts w:ascii="arial" w:hAnsi="arial"/>
                                        <w:sz w:val="18"/>
                                      </w:rPr>
                                      <w:t>Stockholder Engagement</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34</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10">
                                    <w:r>
                                      <w:rPr>
                                        <w:rStyle w:val="InternetLink"/>
                                        <w:rFonts w:ascii="arial" w:hAnsi="arial"/>
                                        <w:sz w:val="18"/>
                                      </w:rPr>
                                      <w:t>Board Committees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38</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11">
                                    <w:r>
                                      <w:rPr>
                                        <w:rStyle w:val="InternetLink"/>
                                        <w:rFonts w:ascii="arial" w:hAnsi="arial"/>
                                        <w:sz w:val="18"/>
                                      </w:rPr>
                                      <w:t>Executive Officers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41</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12">
                                    <w:r>
                                      <w:rPr>
                                        <w:rStyle w:val="InternetLink"/>
                                        <w:rFonts w:ascii="arial" w:hAnsi="arial"/>
                                        <w:sz w:val="18"/>
                                      </w:rPr>
                                      <w:t>Related Person Transactions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44</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13">
                                    <w:r>
                                      <w:rPr>
                                        <w:rStyle w:val="InternetLink"/>
                                        <w:rFonts w:ascii="arial" w:hAnsi="arial"/>
                                        <w:sz w:val="18"/>
                                      </w:rPr>
                                      <w:t>Corporate Impact at Capital One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45</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14">
                                    <w:r>
                                      <w:rPr>
                                        <w:rStyle w:val="InternetLink"/>
                                        <w:rFonts w:ascii="arial" w:hAnsi="arial"/>
                                        <w:sz w:val="18"/>
                                      </w:rPr>
                                      <w:t>How to Contact Us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49</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15">
                                    <w:r>
                                      <w:rPr>
                                        <w:rStyle w:val="InternetLink"/>
                                        <w:rFonts w:ascii="arial" w:hAnsi="arial"/>
                                        <w:b/>
                                        <w:color w:val="003A5D"/>
                                        <w:sz w:val="18"/>
                                      </w:rPr>
                                      <w:t>Section III - Director Compensation</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50</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16">
                                    <w:r>
                                      <w:rPr>
                                        <w:rStyle w:val="InternetLink"/>
                                        <w:rFonts w:ascii="arial" w:hAnsi="arial"/>
                                        <w:sz w:val="18"/>
                                      </w:rPr>
                                      <w:t>Director Compensation Objectives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50</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17">
                                    <w:r>
                                      <w:rPr>
                                        <w:rStyle w:val="InternetLink"/>
                                        <w:rFonts w:ascii="arial" w:hAnsi="arial"/>
                                        <w:sz w:val="18"/>
                                      </w:rPr>
                                      <w:t>Director Compensation Procedures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50</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18">
                                    <w:r>
                                      <w:rPr>
                                        <w:rStyle w:val="InternetLink"/>
                                        <w:rFonts w:ascii="arial" w:hAnsi="arial"/>
                                        <w:sz w:val="18"/>
                                      </w:rPr>
                                      <w:t>Director Compensation Structure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50</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19">
                                    <w:r>
                                      <w:rPr>
                                        <w:rStyle w:val="InternetLink"/>
                                        <w:rFonts w:ascii="arial" w:hAnsi="arial"/>
                                        <w:sz w:val="18"/>
                                      </w:rPr>
                                      <w:t>Other Benefits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51</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20">
                                    <w:r>
                                      <w:rPr>
                                        <w:rStyle w:val="InternetLink"/>
                                        <w:rFonts w:ascii="arial" w:hAnsi="arial"/>
                                        <w:sz w:val="18"/>
                                      </w:rPr>
                                      <w:t>Compensation of Directors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52</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21">
                                    <w:r>
                                      <w:rPr>
                                        <w:rStyle w:val="InternetLink"/>
                                        <w:rFonts w:ascii="arial" w:hAnsi="arial"/>
                                        <w:sz w:val="18"/>
                                      </w:rPr>
                                      <w:t>Stock Ownership Requirements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53</w:t>
                                  </w:r>
                                </w:p>
                              </w:tc>
                            </w:tr>
                            <w:tr>
                              <w:trPr/>
                              <w:tc>
                                <w:tcPr>
                                  <w:tcW w:w="9985" w:type="dxa"/>
                                  <w:gridSpan w:val="3"/>
                                  <w:tcBorders/>
                                  <w:vAlign w:val="center"/>
                                </w:tcPr>
                                <w:p>
                                  <w:pPr>
                                    <w:pStyle w:val="TableContents"/>
                                    <w:bidi w:val="0"/>
                                    <w:spacing w:before="0" w:after="283"/>
                                    <w:jc w:val="left"/>
                                    <w:rPr>
                                      <w:sz w:val="4"/>
                                      <w:szCs w:val="4"/>
                                    </w:rPr>
                                  </w:pPr>
                                  <w:r>
                                    <w:rPr>
                                      <w:sz w:val="4"/>
                                      <w:szCs w:val="4"/>
                                    </w:rPr>
                                  </w:r>
                                </w:p>
                              </w:tc>
                            </w:tr>
                            <w:tr>
                              <w:trPr/>
                              <w:tc>
                                <w:tcPr>
                                  <w:tcW w:w="9985" w:type="dxa"/>
                                  <w:gridSpan w:val="3"/>
                                  <w:tcBorders>
                                    <w:bottom w:val="single" w:sz="8" w:space="0" w:color="000000"/>
                                  </w:tcBorders>
                                  <w:tcMar>
                                    <w:bottom w:w="60" w:type="dxa"/>
                                  </w:tcMar>
                                  <w:vAlign w:val="center"/>
                                </w:tcPr>
                                <w:p>
                                  <w:pPr>
                                    <w:pStyle w:val="TableContents"/>
                                    <w:bidi w:val="0"/>
                                    <w:spacing w:before="0" w:after="0"/>
                                    <w:jc w:val="left"/>
                                    <w:rPr>
                                      <w:rFonts w:ascii="arial" w:hAnsi="arial"/>
                                      <w:b/>
                                      <w:color w:val="003A5D"/>
                                      <w:sz w:val="22"/>
                                    </w:rPr>
                                  </w:pPr>
                                  <w:r>
                                    <w:rPr>
                                      <w:rFonts w:ascii="arial" w:hAnsi="arial"/>
                                      <w:b/>
                                      <w:color w:val="003A5D"/>
                                      <w:sz w:val="22"/>
                                    </w:rPr>
                                    <w:t>EXECUTIVE COMPENSATION</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22">
                                    <w:r>
                                      <w:rPr>
                                        <w:rStyle w:val="InternetLink"/>
                                        <w:rFonts w:ascii="arial" w:hAnsi="arial"/>
                                        <w:b/>
                                        <w:color w:val="003A5D"/>
                                        <w:sz w:val="18"/>
                                      </w:rPr>
                                      <w:t>Section IV - Advisory Vote on Our Named Executive Officer Compensation (“Say On Pay”) (Item 2 on Proxy Card)</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54</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23">
                                    <w:r>
                                      <w:rPr>
                                        <w:rStyle w:val="InternetLink"/>
                                        <w:rFonts w:ascii="arial" w:hAnsi="arial"/>
                                        <w:b/>
                                        <w:color w:val="003A5D"/>
                                        <w:sz w:val="18"/>
                                      </w:rPr>
                                      <w:t>Section V - Compensation Discussion and Analysis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55</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24">
                                    <w:r>
                                      <w:rPr>
                                        <w:rStyle w:val="InternetLink"/>
                                        <w:rFonts w:ascii="arial" w:hAnsi="arial"/>
                                        <w:sz w:val="18"/>
                                      </w:rPr>
                                      <w:t>Executive Summary</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56</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25">
                                    <w:r>
                                      <w:rPr>
                                        <w:rStyle w:val="InternetLink"/>
                                        <w:rFonts w:ascii="arial" w:hAnsi="arial"/>
                                        <w:sz w:val="18"/>
                                      </w:rPr>
                                      <w:t>Our Compensation Principles and Objectives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64</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26">
                                    <w:r>
                                      <w:rPr>
                                        <w:rStyle w:val="InternetLink"/>
                                        <w:rFonts w:ascii="arial" w:hAnsi="arial"/>
                                        <w:sz w:val="18"/>
                                      </w:rPr>
                                      <w:t>Our Compensation Governance Cycle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66</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27">
                                    <w:r>
                                      <w:rPr>
                                        <w:rStyle w:val="InternetLink"/>
                                        <w:rFonts w:ascii="arial" w:hAnsi="arial"/>
                                        <w:sz w:val="18"/>
                                      </w:rPr>
                                      <w:t>Chief Executive Officer Compensation</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67</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28">
                                    <w:r>
                                      <w:rPr>
                                        <w:rStyle w:val="InternetLink"/>
                                        <w:rFonts w:ascii="arial" w:hAnsi="arial"/>
                                        <w:sz w:val="18"/>
                                      </w:rPr>
                                      <w:t>NEO Compensation</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9985" w:type="dxa"/>
                        <w:jc w:val="left"/>
                        <w:tblInd w:w="0" w:type="dxa"/>
                        <w:tblLayout w:type="fixed"/>
                        <w:tblCellMar>
                          <w:top w:w="0" w:type="dxa"/>
                          <w:left w:w="0" w:type="dxa"/>
                          <w:bottom w:w="0" w:type="dxa"/>
                          <w:right w:w="0" w:type="dxa"/>
                        </w:tblCellMar>
                      </w:tblPr>
                      <w:tblGrid>
                        <w:gridCol w:w="9650"/>
                        <w:gridCol w:w="60"/>
                        <w:gridCol w:w="275"/>
                      </w:tblGrid>
                      <w:tr>
                        <w:trPr/>
                        <w:tc>
                          <w:tcPr>
                            <w:tcW w:w="9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985" w:type="dxa"/>
                            <w:gridSpan w:val="3"/>
                            <w:tcBorders/>
                            <w:vAlign w:val="center"/>
                          </w:tcPr>
                          <w:p>
                            <w:pPr>
                              <w:pStyle w:val="TableContents"/>
                              <w:bidi w:val="0"/>
                              <w:spacing w:before="0" w:after="283"/>
                              <w:jc w:val="left"/>
                              <w:rPr>
                                <w:sz w:val="4"/>
                                <w:szCs w:val="4"/>
                              </w:rPr>
                            </w:pPr>
                            <w:r>
                              <w:rPr>
                                <w:sz w:val="4"/>
                                <w:szCs w:val="4"/>
                              </w:rPr>
                            </w:r>
                          </w:p>
                        </w:tc>
                      </w:tr>
                      <w:tr>
                        <w:trPr/>
                        <w:tc>
                          <w:tcPr>
                            <w:tcW w:w="9985" w:type="dxa"/>
                            <w:gridSpan w:val="3"/>
                            <w:tcBorders>
                              <w:bottom w:val="single" w:sz="8" w:space="0" w:color="000000"/>
                            </w:tcBorders>
                            <w:tcMar>
                              <w:bottom w:w="60" w:type="dxa"/>
                            </w:tcMar>
                            <w:vAlign w:val="center"/>
                          </w:tcPr>
                          <w:p>
                            <w:pPr>
                              <w:pStyle w:val="TableContents"/>
                              <w:bidi w:val="0"/>
                              <w:spacing w:before="0" w:after="0"/>
                              <w:jc w:val="left"/>
                              <w:rPr>
                                <w:rFonts w:ascii="arial" w:hAnsi="arial"/>
                                <w:b/>
                                <w:color w:val="003A5D"/>
                                <w:sz w:val="22"/>
                              </w:rPr>
                            </w:pPr>
                            <w:r>
                              <w:rPr>
                                <w:rFonts w:ascii="arial" w:hAnsi="arial"/>
                                <w:b/>
                                <w:color w:val="003A5D"/>
                                <w:sz w:val="22"/>
                              </w:rPr>
                              <w:t>CORPORATE GOVERNANCE</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1">
                              <w:r>
                                <w:rPr>
                                  <w:rStyle w:val="InternetLink"/>
                                  <w:rFonts w:ascii="arial" w:hAnsi="arial"/>
                                  <w:b/>
                                  <w:color w:val="003A5D"/>
                                  <w:sz w:val="18"/>
                                </w:rPr>
                                <w:t>Section I - Election of Directors (Item 1 on Proxy Card)</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11</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2a">
                              <w:r>
                                <w:rPr>
                                  <w:rStyle w:val="InternetLink"/>
                                  <w:rFonts w:ascii="arial" w:hAnsi="arial"/>
                                  <w:sz w:val="18"/>
                                </w:rPr>
                                <w:t>Our Director Nominees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12</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3">
                              <w:r>
                                <w:rPr>
                                  <w:rStyle w:val="InternetLink"/>
                                  <w:rFonts w:ascii="arial" w:hAnsi="arial"/>
                                  <w:sz w:val="18"/>
                                </w:rPr>
                                <w:t>Skills and Experience of Our Director Nominees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19</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4">
                              <w:r>
                                <w:rPr>
                                  <w:rStyle w:val="InternetLink"/>
                                  <w:rFonts w:ascii="arial" w:hAnsi="arial"/>
                                  <w:b/>
                                  <w:color w:val="003A5D"/>
                                  <w:sz w:val="18"/>
                                </w:rPr>
                                <w:t>Section II - Corporate Governance at Capital One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21</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5">
                              <w:r>
                                <w:rPr>
                                  <w:rStyle w:val="InternetLink"/>
                                  <w:rFonts w:ascii="arial" w:hAnsi="arial"/>
                                  <w:sz w:val="18"/>
                                </w:rPr>
                                <w:t>Overview of Corporate Governance at Capital One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21</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6">
                              <w:r>
                                <w:rPr>
                                  <w:rStyle w:val="InternetLink"/>
                                  <w:rFonts w:ascii="arial" w:hAnsi="arial"/>
                                  <w:sz w:val="18"/>
                                </w:rPr>
                                <w:t>Board Leadership Structure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21</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7">
                              <w:r>
                                <w:rPr>
                                  <w:rStyle w:val="InternetLink"/>
                                  <w:rFonts w:ascii="arial" w:hAnsi="arial"/>
                                  <w:sz w:val="18"/>
                                </w:rPr>
                                <w:t>Key Board Governance Practices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24</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8">
                              <w:r>
                                <w:rPr>
                                  <w:rStyle w:val="InternetLink"/>
                                  <w:rFonts w:ascii="arial" w:hAnsi="arial"/>
                                  <w:sz w:val="18"/>
                                </w:rPr>
                                <w:t>The Board’s Role in Corporate Oversight</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30</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9">
                              <w:r>
                                <w:rPr>
                                  <w:rStyle w:val="InternetLink"/>
                                  <w:rFonts w:ascii="arial" w:hAnsi="arial"/>
                                  <w:sz w:val="18"/>
                                </w:rPr>
                                <w:t>Stockholder Engagement</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34</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10">
                              <w:r>
                                <w:rPr>
                                  <w:rStyle w:val="InternetLink"/>
                                  <w:rFonts w:ascii="arial" w:hAnsi="arial"/>
                                  <w:sz w:val="18"/>
                                </w:rPr>
                                <w:t>Board Committees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38</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11">
                              <w:r>
                                <w:rPr>
                                  <w:rStyle w:val="InternetLink"/>
                                  <w:rFonts w:ascii="arial" w:hAnsi="arial"/>
                                  <w:sz w:val="18"/>
                                </w:rPr>
                                <w:t>Executive Officers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41</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12">
                              <w:r>
                                <w:rPr>
                                  <w:rStyle w:val="InternetLink"/>
                                  <w:rFonts w:ascii="arial" w:hAnsi="arial"/>
                                  <w:sz w:val="18"/>
                                </w:rPr>
                                <w:t>Related Person Transactions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44</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13">
                              <w:r>
                                <w:rPr>
                                  <w:rStyle w:val="InternetLink"/>
                                  <w:rFonts w:ascii="arial" w:hAnsi="arial"/>
                                  <w:sz w:val="18"/>
                                </w:rPr>
                                <w:t>Corporate Impact at Capital One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45</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14">
                              <w:r>
                                <w:rPr>
                                  <w:rStyle w:val="InternetLink"/>
                                  <w:rFonts w:ascii="arial" w:hAnsi="arial"/>
                                  <w:sz w:val="18"/>
                                </w:rPr>
                                <w:t>How to Contact Us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49</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15">
                              <w:r>
                                <w:rPr>
                                  <w:rStyle w:val="InternetLink"/>
                                  <w:rFonts w:ascii="arial" w:hAnsi="arial"/>
                                  <w:b/>
                                  <w:color w:val="003A5D"/>
                                  <w:sz w:val="18"/>
                                </w:rPr>
                                <w:t>Section III - Director Compensation</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50</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16">
                              <w:r>
                                <w:rPr>
                                  <w:rStyle w:val="InternetLink"/>
                                  <w:rFonts w:ascii="arial" w:hAnsi="arial"/>
                                  <w:sz w:val="18"/>
                                </w:rPr>
                                <w:t>Director Compensation Objectives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50</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17">
                              <w:r>
                                <w:rPr>
                                  <w:rStyle w:val="InternetLink"/>
                                  <w:rFonts w:ascii="arial" w:hAnsi="arial"/>
                                  <w:sz w:val="18"/>
                                </w:rPr>
                                <w:t>Director Compensation Procedures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50</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18">
                              <w:r>
                                <w:rPr>
                                  <w:rStyle w:val="InternetLink"/>
                                  <w:rFonts w:ascii="arial" w:hAnsi="arial"/>
                                  <w:sz w:val="18"/>
                                </w:rPr>
                                <w:t>Director Compensation Structure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50</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19">
                              <w:r>
                                <w:rPr>
                                  <w:rStyle w:val="InternetLink"/>
                                  <w:rFonts w:ascii="arial" w:hAnsi="arial"/>
                                  <w:sz w:val="18"/>
                                </w:rPr>
                                <w:t>Other Benefits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51</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20">
                              <w:r>
                                <w:rPr>
                                  <w:rStyle w:val="InternetLink"/>
                                  <w:rFonts w:ascii="arial" w:hAnsi="arial"/>
                                  <w:sz w:val="18"/>
                                </w:rPr>
                                <w:t>Compensation of Directors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52</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21">
                              <w:r>
                                <w:rPr>
                                  <w:rStyle w:val="InternetLink"/>
                                  <w:rFonts w:ascii="arial" w:hAnsi="arial"/>
                                  <w:sz w:val="18"/>
                                </w:rPr>
                                <w:t>Stock Ownership Requirements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53</w:t>
                            </w:r>
                          </w:p>
                        </w:tc>
                      </w:tr>
                      <w:tr>
                        <w:trPr/>
                        <w:tc>
                          <w:tcPr>
                            <w:tcW w:w="9985" w:type="dxa"/>
                            <w:gridSpan w:val="3"/>
                            <w:tcBorders/>
                            <w:vAlign w:val="center"/>
                          </w:tcPr>
                          <w:p>
                            <w:pPr>
                              <w:pStyle w:val="TableContents"/>
                              <w:bidi w:val="0"/>
                              <w:spacing w:before="0" w:after="283"/>
                              <w:jc w:val="left"/>
                              <w:rPr>
                                <w:sz w:val="4"/>
                                <w:szCs w:val="4"/>
                              </w:rPr>
                            </w:pPr>
                            <w:r>
                              <w:rPr>
                                <w:sz w:val="4"/>
                                <w:szCs w:val="4"/>
                              </w:rPr>
                            </w:r>
                          </w:p>
                        </w:tc>
                      </w:tr>
                      <w:tr>
                        <w:trPr/>
                        <w:tc>
                          <w:tcPr>
                            <w:tcW w:w="9985" w:type="dxa"/>
                            <w:gridSpan w:val="3"/>
                            <w:tcBorders>
                              <w:bottom w:val="single" w:sz="8" w:space="0" w:color="000000"/>
                            </w:tcBorders>
                            <w:tcMar>
                              <w:bottom w:w="60" w:type="dxa"/>
                            </w:tcMar>
                            <w:vAlign w:val="center"/>
                          </w:tcPr>
                          <w:p>
                            <w:pPr>
                              <w:pStyle w:val="TableContents"/>
                              <w:bidi w:val="0"/>
                              <w:spacing w:before="0" w:after="0"/>
                              <w:jc w:val="left"/>
                              <w:rPr>
                                <w:rFonts w:ascii="arial" w:hAnsi="arial"/>
                                <w:b/>
                                <w:color w:val="003A5D"/>
                                <w:sz w:val="22"/>
                              </w:rPr>
                            </w:pPr>
                            <w:r>
                              <w:rPr>
                                <w:rFonts w:ascii="arial" w:hAnsi="arial"/>
                                <w:b/>
                                <w:color w:val="003A5D"/>
                                <w:sz w:val="22"/>
                              </w:rPr>
                              <w:t>EXECUTIVE COMPENSATION</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22">
                              <w:r>
                                <w:rPr>
                                  <w:rStyle w:val="InternetLink"/>
                                  <w:rFonts w:ascii="arial" w:hAnsi="arial"/>
                                  <w:b/>
                                  <w:color w:val="003A5D"/>
                                  <w:sz w:val="18"/>
                                </w:rPr>
                                <w:t>Section IV - Advisory Vote on Our Named Executive Officer Compensation (“Say On Pay”) (Item 2 on Proxy Card)</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54</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23">
                              <w:r>
                                <w:rPr>
                                  <w:rStyle w:val="InternetLink"/>
                                  <w:rFonts w:ascii="arial" w:hAnsi="arial"/>
                                  <w:b/>
                                  <w:color w:val="003A5D"/>
                                  <w:sz w:val="18"/>
                                </w:rPr>
                                <w:t>Section V - Compensation Discussion and Analysis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55</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24">
                              <w:r>
                                <w:rPr>
                                  <w:rStyle w:val="InternetLink"/>
                                  <w:rFonts w:ascii="arial" w:hAnsi="arial"/>
                                  <w:sz w:val="18"/>
                                </w:rPr>
                                <w:t>Executive Summary</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56</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25">
                              <w:r>
                                <w:rPr>
                                  <w:rStyle w:val="InternetLink"/>
                                  <w:rFonts w:ascii="arial" w:hAnsi="arial"/>
                                  <w:sz w:val="18"/>
                                </w:rPr>
                                <w:t>Our Compensation Principles and Objectives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64</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26">
                              <w:r>
                                <w:rPr>
                                  <w:rStyle w:val="InternetLink"/>
                                  <w:rFonts w:ascii="arial" w:hAnsi="arial"/>
                                  <w:sz w:val="18"/>
                                </w:rPr>
                                <w:t>Our Compensation Governance Cycle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66</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27">
                              <w:r>
                                <w:rPr>
                                  <w:rStyle w:val="InternetLink"/>
                                  <w:rFonts w:ascii="arial" w:hAnsi="arial"/>
                                  <w:sz w:val="18"/>
                                </w:rPr>
                                <w:t>Chief Executive Officer Compensation</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67</w:t>
                            </w:r>
                          </w:p>
                        </w:tc>
                      </w:tr>
                      <w:tr>
                        <w:trPr/>
                        <w:tc>
                          <w:tcPr>
                            <w:tcW w:w="965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650" w:type="dxa"/>
                            <w:tcBorders/>
                            <w:vAlign w:val="center"/>
                          </w:tcPr>
                          <w:p>
                            <w:pPr>
                              <w:pStyle w:val="TableContents"/>
                              <w:bidi w:val="0"/>
                              <w:spacing w:before="0" w:after="0"/>
                              <w:jc w:val="left"/>
                              <w:rPr/>
                            </w:pPr>
                            <w:hyperlink w:anchor="txa845790_28">
                              <w:r>
                                <w:rPr>
                                  <w:rStyle w:val="InternetLink"/>
                                  <w:rFonts w:ascii="arial" w:hAnsi="arial"/>
                                  <w:sz w:val="18"/>
                                </w:rPr>
                                <w:t>NEO Compensation</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81</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3175000" cy="9972040"/>
                <wp:effectExtent l="0" t="0" r="0" b="0"/>
                <wp:wrapSquare wrapText="right"/>
                <wp:docPr id="11"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4475"/>
                              <w:gridCol w:w="60"/>
                              <w:gridCol w:w="395"/>
                            </w:tblGrid>
                            <w:tr>
                              <w:trPr/>
                              <w:tc>
                                <w:tcPr>
                                  <w:tcW w:w="4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29">
                                    <w:r>
                                      <w:rPr>
                                        <w:rStyle w:val="InternetLink"/>
                                        <w:rFonts w:ascii="arial" w:hAnsi="arial"/>
                                        <w:sz w:val="18"/>
                                      </w:rPr>
                                      <w:t>Additional Performance Conditions and Recovery</w:t>
                                      <w:br/>
                                      <w:t> Provisions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87</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30">
                                    <w:r>
                                      <w:rPr>
                                        <w:rStyle w:val="InternetLink"/>
                                        <w:rFonts w:ascii="arial" w:hAnsi="arial"/>
                                        <w:sz w:val="18"/>
                                      </w:rPr>
                                      <w:t>Process and Criteria for Compensation Decisions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89</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31">
                                    <w:r>
                                      <w:rPr>
                                        <w:rStyle w:val="InternetLink"/>
                                        <w:rFonts w:ascii="arial" w:hAnsi="arial"/>
                                        <w:sz w:val="18"/>
                                      </w:rPr>
                                      <w:t>Other Compensation Arrangements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91</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32">
                                    <w:r>
                                      <w:rPr>
                                        <w:rStyle w:val="InternetLink"/>
                                        <w:rFonts w:ascii="arial" w:hAnsi="arial"/>
                                        <w:sz w:val="18"/>
                                      </w:rPr>
                                      <w:t>Other Aspects of Executive Compensation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93</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33">
                                    <w:r>
                                      <w:rPr>
                                        <w:rStyle w:val="InternetLink"/>
                                        <w:rFonts w:ascii="arial" w:hAnsi="arial"/>
                                        <w:b/>
                                        <w:color w:val="003A5D"/>
                                        <w:sz w:val="18"/>
                                      </w:rPr>
                                      <w:t>Section VI - Named Executive Officer Compensation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96</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34">
                                    <w:r>
                                      <w:rPr>
                                        <w:rStyle w:val="InternetLink"/>
                                        <w:rFonts w:ascii="arial" w:hAnsi="arial"/>
                                        <w:sz w:val="18"/>
                                      </w:rPr>
                                      <w:t>2024 Summary Compensation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96</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35">
                                    <w:r>
                                      <w:rPr>
                                        <w:rStyle w:val="InternetLink"/>
                                        <w:rFonts w:ascii="arial" w:hAnsi="arial"/>
                                        <w:sz w:val="18"/>
                                      </w:rPr>
                                      <w:t>2024 Grants of Plan-Based Awards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98</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36">
                                    <w:r>
                                      <w:rPr>
                                        <w:rStyle w:val="InternetLink"/>
                                        <w:rFonts w:ascii="arial" w:hAnsi="arial"/>
                                        <w:sz w:val="18"/>
                                      </w:rPr>
                                      <w:t>2024 Grants of Plan-Based Awards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100</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37">
                                    <w:r>
                                      <w:rPr>
                                        <w:rStyle w:val="InternetLink"/>
                                        <w:rFonts w:ascii="arial" w:hAnsi="arial"/>
                                        <w:sz w:val="18"/>
                                      </w:rPr>
                                      <w:t>2024 Option Exercises and Stock Vested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101</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38">
                                    <w:r>
                                      <w:rPr>
                                        <w:rStyle w:val="InternetLink"/>
                                        <w:rFonts w:ascii="arial" w:hAnsi="arial"/>
                                        <w:sz w:val="18"/>
                                      </w:rPr>
                                      <w:t>2024 Outstanding Equity Awards at Fiscal Year-End</w:t>
                                      <w:br/>
                                      <w:t>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102</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39">
                                    <w:r>
                                      <w:rPr>
                                        <w:rStyle w:val="InternetLink"/>
                                        <w:rFonts w:ascii="arial" w:hAnsi="arial"/>
                                        <w:sz w:val="18"/>
                                      </w:rPr>
                                      <w:t>Pension Benefits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103</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40">
                                    <w:r>
                                      <w:rPr>
                                        <w:rStyle w:val="InternetLink"/>
                                        <w:rFonts w:ascii="arial" w:hAnsi="arial"/>
                                        <w:sz w:val="18"/>
                                      </w:rPr>
                                      <w:t>2024 Pension Benefits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104</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41">
                                    <w:r>
                                      <w:rPr>
                                        <w:rStyle w:val="InternetLink"/>
                                        <w:rFonts w:ascii="arial" w:hAnsi="arial"/>
                                        <w:sz w:val="18"/>
                                      </w:rPr>
                                      <w:t>Capital One’s Voluntary Non-Qualified Deferred</w:t>
                                      <w:br/>
                                      <w:t> Compensation Programs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104</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42">
                                    <w:r>
                                      <w:rPr>
                                        <w:rStyle w:val="InternetLink"/>
                                        <w:rFonts w:ascii="arial" w:hAnsi="arial"/>
                                        <w:sz w:val="18"/>
                                      </w:rPr>
                                      <w:t>2024 Non-Qualified Deferred Compensation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105</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43">
                                    <w:r>
                                      <w:rPr>
                                        <w:rStyle w:val="InternetLink"/>
                                        <w:rFonts w:ascii="arial" w:hAnsi="arial"/>
                                        <w:sz w:val="18"/>
                                      </w:rPr>
                                      <w:t>Potential Payments Upon Termination or Change of</w:t>
                                      <w:br/>
                                      <w:t> Control</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105</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44">
                                    <w:r>
                                      <w:rPr>
                                        <w:rStyle w:val="InternetLink"/>
                                        <w:rFonts w:ascii="arial" w:hAnsi="arial"/>
                                        <w:sz w:val="18"/>
                                      </w:rPr>
                                      <w:t>2024 Potential Payments and Benefits Upon</w:t>
                                      <w:br/>
                                      <w:t> Termination or Change of Control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110</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45">
                                    <w:r>
                                      <w:rPr>
                                        <w:rStyle w:val="InternetLink"/>
                                        <w:rFonts w:ascii="arial" w:hAnsi="arial"/>
                                        <w:sz w:val="18"/>
                                      </w:rPr>
                                      <w:t>Estimated Ratio of CEO Compensation to Median</w:t>
                                      <w:br/>
                                      <w:t> Employee Compensation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112</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46">
                                    <w:r>
                                      <w:rPr>
                                        <w:rStyle w:val="InternetLink"/>
                                        <w:rFonts w:ascii="arial" w:hAnsi="arial"/>
                                        <w:sz w:val="18"/>
                                      </w:rPr>
                                      <w:t>Pay versus Performance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113</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47">
                                    <w:r>
                                      <w:rPr>
                                        <w:rStyle w:val="InternetLink"/>
                                        <w:rFonts w:ascii="arial" w:hAnsi="arial"/>
                                        <w:sz w:val="18"/>
                                      </w:rPr>
                                      <w:t>Pay versus Performance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113</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48">
                                    <w:r>
                                      <w:rPr>
                                        <w:rStyle w:val="InternetLink"/>
                                        <w:rFonts w:ascii="arial" w:hAnsi="arial"/>
                                        <w:b/>
                                        <w:color w:val="003A5D"/>
                                        <w:sz w:val="18"/>
                                      </w:rPr>
                                      <w:t>Section VII - Equity Compensation Plans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117</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49">
                                    <w:r>
                                      <w:rPr>
                                        <w:rStyle w:val="InternetLink"/>
                                        <w:rFonts w:ascii="arial" w:hAnsi="arial"/>
                                        <w:sz w:val="18"/>
                                      </w:rPr>
                                      <w:t>Equity Compensation Plan Information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117</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50">
                                    <w:r>
                                      <w:rPr>
                                        <w:rStyle w:val="InternetLink"/>
                                        <w:rFonts w:ascii="arial" w:hAnsi="arial"/>
                                        <w:sz w:val="18"/>
                                      </w:rPr>
                                      <w:t>1999 Directors Plan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117</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51">
                                    <w:r>
                                      <w:rPr>
                                        <w:rStyle w:val="InternetLink"/>
                                        <w:rFonts w:ascii="arial" w:hAnsi="arial"/>
                                        <w:b/>
                                        <w:color w:val="003A5D"/>
                                        <w:sz w:val="18"/>
                                      </w:rPr>
                                      <w:t>Section VIII - Security Ownership</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118</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52">
                                    <w:r>
                                      <w:rPr>
                                        <w:rStyle w:val="InternetLink"/>
                                        <w:rFonts w:ascii="arial" w:hAnsi="arial"/>
                                        <w:sz w:val="18"/>
                                      </w:rPr>
                                      <w:t>Security Ownership of Certain Beneficial Owners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118</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53">
                                    <w:r>
                                      <w:rPr>
                                        <w:rStyle w:val="InternetLink"/>
                                        <w:rFonts w:ascii="arial" w:hAnsi="arial"/>
                                        <w:sz w:val="18"/>
                                      </w:rPr>
                                      <w:t>Security Ownership of Directors and Named</w:t>
                                      <w:br/>
                                      <w:t> Executive Officers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119</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54">
                                    <w:r>
                                      <w:rPr>
                                        <w:rStyle w:val="InternetLink"/>
                                        <w:rFonts w:ascii="arial" w:hAnsi="arial"/>
                                        <w:b/>
                                        <w:color w:val="003A5D"/>
                                        <w:sz w:val="18"/>
                                      </w:rPr>
                                      <w:t>Section IX - Compensation Committee Report</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4475"/>
                        <w:gridCol w:w="60"/>
                        <w:gridCol w:w="395"/>
                      </w:tblGrid>
                      <w:tr>
                        <w:trPr/>
                        <w:tc>
                          <w:tcPr>
                            <w:tcW w:w="4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29">
                              <w:r>
                                <w:rPr>
                                  <w:rStyle w:val="InternetLink"/>
                                  <w:rFonts w:ascii="arial" w:hAnsi="arial"/>
                                  <w:sz w:val="18"/>
                                </w:rPr>
                                <w:t>Additional Performance Conditions and Recovery</w:t>
                                <w:br/>
                                <w:t> Provisions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87</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30">
                              <w:r>
                                <w:rPr>
                                  <w:rStyle w:val="InternetLink"/>
                                  <w:rFonts w:ascii="arial" w:hAnsi="arial"/>
                                  <w:sz w:val="18"/>
                                </w:rPr>
                                <w:t>Process and Criteria for Compensation Decisions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89</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31">
                              <w:r>
                                <w:rPr>
                                  <w:rStyle w:val="InternetLink"/>
                                  <w:rFonts w:ascii="arial" w:hAnsi="arial"/>
                                  <w:sz w:val="18"/>
                                </w:rPr>
                                <w:t>Other Compensation Arrangements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91</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32">
                              <w:r>
                                <w:rPr>
                                  <w:rStyle w:val="InternetLink"/>
                                  <w:rFonts w:ascii="arial" w:hAnsi="arial"/>
                                  <w:sz w:val="18"/>
                                </w:rPr>
                                <w:t>Other Aspects of Executive Compensation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93</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33">
                              <w:r>
                                <w:rPr>
                                  <w:rStyle w:val="InternetLink"/>
                                  <w:rFonts w:ascii="arial" w:hAnsi="arial"/>
                                  <w:b/>
                                  <w:color w:val="003A5D"/>
                                  <w:sz w:val="18"/>
                                </w:rPr>
                                <w:t>Section VI - Named Executive Officer Compensation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96</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34">
                              <w:r>
                                <w:rPr>
                                  <w:rStyle w:val="InternetLink"/>
                                  <w:rFonts w:ascii="arial" w:hAnsi="arial"/>
                                  <w:sz w:val="18"/>
                                </w:rPr>
                                <w:t>2024 Summary Compensation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96</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35">
                              <w:r>
                                <w:rPr>
                                  <w:rStyle w:val="InternetLink"/>
                                  <w:rFonts w:ascii="arial" w:hAnsi="arial"/>
                                  <w:sz w:val="18"/>
                                </w:rPr>
                                <w:t>2024 Grants of Plan-Based Awards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98</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36">
                              <w:r>
                                <w:rPr>
                                  <w:rStyle w:val="InternetLink"/>
                                  <w:rFonts w:ascii="arial" w:hAnsi="arial"/>
                                  <w:sz w:val="18"/>
                                </w:rPr>
                                <w:t>2024 Grants of Plan-Based Awards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100</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37">
                              <w:r>
                                <w:rPr>
                                  <w:rStyle w:val="InternetLink"/>
                                  <w:rFonts w:ascii="arial" w:hAnsi="arial"/>
                                  <w:sz w:val="18"/>
                                </w:rPr>
                                <w:t>2024 Option Exercises and Stock Vested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101</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38">
                              <w:r>
                                <w:rPr>
                                  <w:rStyle w:val="InternetLink"/>
                                  <w:rFonts w:ascii="arial" w:hAnsi="arial"/>
                                  <w:sz w:val="18"/>
                                </w:rPr>
                                <w:t>2024 Outstanding Equity Awards at Fiscal Year-End</w:t>
                                <w:br/>
                                <w:t>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102</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39">
                              <w:r>
                                <w:rPr>
                                  <w:rStyle w:val="InternetLink"/>
                                  <w:rFonts w:ascii="arial" w:hAnsi="arial"/>
                                  <w:sz w:val="18"/>
                                </w:rPr>
                                <w:t>Pension Benefits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103</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40">
                              <w:r>
                                <w:rPr>
                                  <w:rStyle w:val="InternetLink"/>
                                  <w:rFonts w:ascii="arial" w:hAnsi="arial"/>
                                  <w:sz w:val="18"/>
                                </w:rPr>
                                <w:t>2024 Pension Benefits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104</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41">
                              <w:r>
                                <w:rPr>
                                  <w:rStyle w:val="InternetLink"/>
                                  <w:rFonts w:ascii="arial" w:hAnsi="arial"/>
                                  <w:sz w:val="18"/>
                                </w:rPr>
                                <w:t>Capital One’s Voluntary Non-Qualified Deferred</w:t>
                                <w:br/>
                                <w:t> Compensation Programs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104</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42">
                              <w:r>
                                <w:rPr>
                                  <w:rStyle w:val="InternetLink"/>
                                  <w:rFonts w:ascii="arial" w:hAnsi="arial"/>
                                  <w:sz w:val="18"/>
                                </w:rPr>
                                <w:t>2024 Non-Qualified Deferred Compensation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105</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43">
                              <w:r>
                                <w:rPr>
                                  <w:rStyle w:val="InternetLink"/>
                                  <w:rFonts w:ascii="arial" w:hAnsi="arial"/>
                                  <w:sz w:val="18"/>
                                </w:rPr>
                                <w:t>Potential Payments Upon Termination or Change of</w:t>
                                <w:br/>
                                <w:t> Control</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105</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44">
                              <w:r>
                                <w:rPr>
                                  <w:rStyle w:val="InternetLink"/>
                                  <w:rFonts w:ascii="arial" w:hAnsi="arial"/>
                                  <w:sz w:val="18"/>
                                </w:rPr>
                                <w:t>2024 Potential Payments and Benefits Upon</w:t>
                                <w:br/>
                                <w:t> Termination or Change of Control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110</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45">
                              <w:r>
                                <w:rPr>
                                  <w:rStyle w:val="InternetLink"/>
                                  <w:rFonts w:ascii="arial" w:hAnsi="arial"/>
                                  <w:sz w:val="18"/>
                                </w:rPr>
                                <w:t>Estimated Ratio of CEO Compensation to Median</w:t>
                                <w:br/>
                                <w:t> Employee Compensation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112</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46">
                              <w:r>
                                <w:rPr>
                                  <w:rStyle w:val="InternetLink"/>
                                  <w:rFonts w:ascii="arial" w:hAnsi="arial"/>
                                  <w:sz w:val="18"/>
                                </w:rPr>
                                <w:t>Pay versus Performance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113</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47">
                              <w:r>
                                <w:rPr>
                                  <w:rStyle w:val="InternetLink"/>
                                  <w:rFonts w:ascii="arial" w:hAnsi="arial"/>
                                  <w:sz w:val="18"/>
                                </w:rPr>
                                <w:t>Pay versus Performance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113</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48">
                              <w:r>
                                <w:rPr>
                                  <w:rStyle w:val="InternetLink"/>
                                  <w:rFonts w:ascii="arial" w:hAnsi="arial"/>
                                  <w:b/>
                                  <w:color w:val="003A5D"/>
                                  <w:sz w:val="18"/>
                                </w:rPr>
                                <w:t>Section VII - Equity Compensation Plans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117</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49">
                              <w:r>
                                <w:rPr>
                                  <w:rStyle w:val="InternetLink"/>
                                  <w:rFonts w:ascii="arial" w:hAnsi="arial"/>
                                  <w:sz w:val="18"/>
                                </w:rPr>
                                <w:t>Equity Compensation Plan Information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117</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50">
                              <w:r>
                                <w:rPr>
                                  <w:rStyle w:val="InternetLink"/>
                                  <w:rFonts w:ascii="arial" w:hAnsi="arial"/>
                                  <w:sz w:val="18"/>
                                </w:rPr>
                                <w:t>1999 Directors Plan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117</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51">
                              <w:r>
                                <w:rPr>
                                  <w:rStyle w:val="InternetLink"/>
                                  <w:rFonts w:ascii="arial" w:hAnsi="arial"/>
                                  <w:b/>
                                  <w:color w:val="003A5D"/>
                                  <w:sz w:val="18"/>
                                </w:rPr>
                                <w:t>Section VIII - Security Ownership</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118</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52">
                              <w:r>
                                <w:rPr>
                                  <w:rStyle w:val="InternetLink"/>
                                  <w:rFonts w:ascii="arial" w:hAnsi="arial"/>
                                  <w:sz w:val="18"/>
                                </w:rPr>
                                <w:t>Security Ownership of Certain Beneficial Owners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118</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53">
                              <w:r>
                                <w:rPr>
                                  <w:rStyle w:val="InternetLink"/>
                                  <w:rFonts w:ascii="arial" w:hAnsi="arial"/>
                                  <w:sz w:val="18"/>
                                </w:rPr>
                                <w:t>Security Ownership of Directors and Named</w:t>
                                <w:br/>
                                <w:t> Executive Officers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119</w:t>
                            </w:r>
                          </w:p>
                        </w:tc>
                      </w:tr>
                      <w:tr>
                        <w:trPr/>
                        <w:tc>
                          <w:tcPr>
                            <w:tcW w:w="4475"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pPr>
                            <w:hyperlink w:anchor="txa845790_54">
                              <w:r>
                                <w:rPr>
                                  <w:rStyle w:val="InternetLink"/>
                                  <w:rFonts w:ascii="arial" w:hAnsi="arial"/>
                                  <w:b/>
                                  <w:color w:val="003A5D"/>
                                  <w:sz w:val="18"/>
                                </w:rPr>
                                <w:t>Section IX - Compensation Committee Report</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121</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3395"/>
        <w:gridCol w:w="60"/>
        <w:gridCol w:w="2255"/>
        <w:gridCol w:w="60"/>
        <w:gridCol w:w="33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jc w:val="center"/>
              <w:rPr/>
            </w:pPr>
            <w:r>
              <w:rPr/>
              <w:t> </w:t>
            </w:r>
            <w:r>
              <w:rPr>
                <w:b/>
              </w:rPr>
              <w:t>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bidi w:val="0"/>
              <w:spacing w:before="0" w:after="283"/>
              <w:jc w:val="left"/>
              <w:rPr>
                <w:b/>
                <w:color w:val="003A5D"/>
              </w:rPr>
            </w:pPr>
            <w:r>
              <w:rPr>
                <w:b/>
                <w:color w:val="003A5D"/>
              </w:rPr>
              <w:t>TABLE OF CONTENTS</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left"/>
              <w:rPr>
                <w:color w:val="003A5D"/>
              </w:rPr>
            </w:pPr>
            <w:r>
              <w:rPr>
                <w:color w:val="003A5D"/>
              </w:rPr>
              <w:t>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3110230" cy="6508115"/>
                <wp:effectExtent l="0" t="0" r="0" b="0"/>
                <wp:wrapSquare wrapText="right"/>
                <wp:docPr id="12" name="Frame3"/>
                <a:graphic xmlns:a="http://schemas.openxmlformats.org/drawingml/2006/main">
                  <a:graphicData uri="http://schemas.microsoft.com/office/word/2010/wordprocessingShape">
                    <wps:wsp>
                      <wps:cNvSpPr txBox="1"/>
                      <wps:spPr>
                        <a:xfrm>
                          <a:off x="0" y="0"/>
                          <a:ext cx="3110230" cy="650811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750"/>
                              <w:gridCol w:w="60"/>
                              <w:gridCol w:w="395"/>
                            </w:tblGrid>
                            <w:tr>
                              <w:trPr/>
                              <w:tc>
                                <w:tcPr>
                                  <w:tcW w:w="9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6" w:space="0" w:color="000000"/>
                                  </w:tcBorders>
                                  <w:tcMar>
                                    <w:bottom w:w="60" w:type="dxa"/>
                                  </w:tcMar>
                                  <w:vAlign w:val="center"/>
                                </w:tcPr>
                                <w:p>
                                  <w:pPr>
                                    <w:pStyle w:val="TableContents"/>
                                    <w:bidi w:val="0"/>
                                    <w:spacing w:before="0" w:after="0"/>
                                    <w:jc w:val="left"/>
                                    <w:rPr>
                                      <w:rFonts w:ascii="arial" w:hAnsi="arial"/>
                                      <w:b/>
                                      <w:color w:val="003A5D"/>
                                      <w:sz w:val="22"/>
                                    </w:rPr>
                                  </w:pPr>
                                  <w:r>
                                    <w:rPr>
                                      <w:rFonts w:ascii="arial" w:hAnsi="arial"/>
                                      <w:b/>
                                      <w:color w:val="003A5D"/>
                                      <w:sz w:val="22"/>
                                    </w:rPr>
                                    <w:t>AUDIT MATTERS</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845790_55">
                                    <w:r>
                                      <w:rPr>
                                        <w:rStyle w:val="InternetLink"/>
                                        <w:rFonts w:ascii="arial" w:hAnsi="arial"/>
                                        <w:b/>
                                        <w:color w:val="003A5D"/>
                                        <w:sz w:val="18"/>
                                      </w:rPr>
                                      <w:t>Section X - Ratification of the Selection of Ernst &amp; Young LLP as Our Independent Registered Public Accounting Firm for 2025 (Item 3 on Proxy Card)</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122</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845790_56">
                                    <w:r>
                                      <w:rPr>
                                        <w:rStyle w:val="InternetLink"/>
                                        <w:rFonts w:ascii="arial" w:hAnsi="arial"/>
                                        <w:b/>
                                        <w:color w:val="003A5D"/>
                                        <w:sz w:val="18"/>
                                      </w:rPr>
                                      <w:t>Section XI - Audit Committee Report</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124</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bottom w:w="60" w:type="dxa"/>
                                  </w:tcMar>
                                  <w:vAlign w:val="center"/>
                                </w:tcPr>
                                <w:p>
                                  <w:pPr>
                                    <w:pStyle w:val="TableContents"/>
                                    <w:bidi w:val="0"/>
                                    <w:spacing w:before="0" w:after="0"/>
                                    <w:jc w:val="left"/>
                                    <w:rPr>
                                      <w:rFonts w:ascii="arial" w:hAnsi="arial"/>
                                      <w:b/>
                                      <w:color w:val="003A5D"/>
                                      <w:sz w:val="22"/>
                                    </w:rPr>
                                  </w:pPr>
                                  <w:r>
                                    <w:rPr>
                                      <w:rFonts w:ascii="arial" w:hAnsi="arial"/>
                                      <w:b/>
                                      <w:color w:val="003A5D"/>
                                      <w:sz w:val="22"/>
                                    </w:rPr>
                                    <w:t>STOCKHOLDER PROPOSAL</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845790_57">
                                    <w:r>
                                      <w:rPr>
                                        <w:rStyle w:val="InternetLink"/>
                                        <w:rFonts w:ascii="arial" w:hAnsi="arial"/>
                                        <w:b/>
                                        <w:color w:val="003A5D"/>
                                        <w:sz w:val="18"/>
                                      </w:rPr>
                                      <w:t>Section XII - Stockholder Proposal (Item 4 on Proxy Card)</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125</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bottom w:w="60" w:type="dxa"/>
                                  </w:tcMar>
                                  <w:vAlign w:val="center"/>
                                </w:tcPr>
                                <w:p>
                                  <w:pPr>
                                    <w:pStyle w:val="TableContents"/>
                                    <w:bidi w:val="0"/>
                                    <w:spacing w:before="0" w:after="0"/>
                                    <w:jc w:val="left"/>
                                    <w:rPr>
                                      <w:rFonts w:ascii="arial" w:hAnsi="arial"/>
                                      <w:b/>
                                      <w:color w:val="003A5D"/>
                                      <w:sz w:val="22"/>
                                    </w:rPr>
                                  </w:pPr>
                                  <w:r>
                                    <w:rPr>
                                      <w:rFonts w:ascii="arial" w:hAnsi="arial"/>
                                      <w:b/>
                                      <w:color w:val="003A5D"/>
                                      <w:sz w:val="22"/>
                                    </w:rPr>
                                    <w:t>OTHER MATTERS</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845790_58">
                                    <w:r>
                                      <w:rPr>
                                        <w:rStyle w:val="InternetLink"/>
                                        <w:rFonts w:ascii="arial" w:hAnsi="arial"/>
                                        <w:b/>
                                        <w:color w:val="003A5D"/>
                                        <w:sz w:val="18"/>
                                      </w:rPr>
                                      <w:t>Section XIII - Other Business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129</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845790_59">
                                    <w:r>
                                      <w:rPr>
                                        <w:rStyle w:val="InternetLink"/>
                                        <w:rFonts w:ascii="arial" w:hAnsi="arial"/>
                                        <w:sz w:val="18"/>
                                      </w:rPr>
                                      <w:t>Other Business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129</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845790_60">
                                    <w:r>
                                      <w:rPr>
                                        <w:rStyle w:val="InternetLink"/>
                                        <w:rFonts w:ascii="arial" w:hAnsi="arial"/>
                                        <w:sz w:val="18"/>
                                      </w:rPr>
                                      <w:t>Annual Report to Stockholders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129</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845790_61">
                                    <w:r>
                                      <w:rPr>
                                        <w:rStyle w:val="InternetLink"/>
                                        <w:rFonts w:ascii="arial" w:hAnsi="arial"/>
                                        <w:sz w:val="18"/>
                                      </w:rPr>
                                      <w:t>Stockholder Proposals for 2026 Annual Stockholder</w:t>
                                      <w:br/>
                                      <w:t> Meeting</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129</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845790_62">
                                    <w:r>
                                      <w:rPr>
                                        <w:rStyle w:val="InternetLink"/>
                                        <w:rFonts w:ascii="arial" w:hAnsi="arial"/>
                                        <w:b/>
                                        <w:color w:val="003A5D"/>
                                        <w:sz w:val="18"/>
                                      </w:rPr>
                                      <w:t>Section XIV - Frequently Asked Questions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130</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845790_63">
                                    <w:r>
                                      <w:rPr>
                                        <w:rStyle w:val="InternetLink"/>
                                        <w:rFonts w:ascii="arial" w:hAnsi="arial"/>
                                        <w:b/>
                                        <w:color w:val="003A5D"/>
                                        <w:sz w:val="18"/>
                                      </w:rPr>
                                      <w:t>Appendix A - Information Regarding Non-GAAP Financial Measures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12.4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750"/>
                        <w:gridCol w:w="60"/>
                        <w:gridCol w:w="395"/>
                      </w:tblGrid>
                      <w:tr>
                        <w:trPr/>
                        <w:tc>
                          <w:tcPr>
                            <w:tcW w:w="9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6" w:space="0" w:color="000000"/>
                            </w:tcBorders>
                            <w:tcMar>
                              <w:bottom w:w="60" w:type="dxa"/>
                            </w:tcMar>
                            <w:vAlign w:val="center"/>
                          </w:tcPr>
                          <w:p>
                            <w:pPr>
                              <w:pStyle w:val="TableContents"/>
                              <w:bidi w:val="0"/>
                              <w:spacing w:before="0" w:after="0"/>
                              <w:jc w:val="left"/>
                              <w:rPr>
                                <w:rFonts w:ascii="arial" w:hAnsi="arial"/>
                                <w:b/>
                                <w:color w:val="003A5D"/>
                                <w:sz w:val="22"/>
                              </w:rPr>
                            </w:pPr>
                            <w:r>
                              <w:rPr>
                                <w:rFonts w:ascii="arial" w:hAnsi="arial"/>
                                <w:b/>
                                <w:color w:val="003A5D"/>
                                <w:sz w:val="22"/>
                              </w:rPr>
                              <w:t>AUDIT MATTERS</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845790_55">
                              <w:r>
                                <w:rPr>
                                  <w:rStyle w:val="InternetLink"/>
                                  <w:rFonts w:ascii="arial" w:hAnsi="arial"/>
                                  <w:b/>
                                  <w:color w:val="003A5D"/>
                                  <w:sz w:val="18"/>
                                </w:rPr>
                                <w:t>Section X - Ratification of the Selection of Ernst &amp; Young LLP as Our Independent Registered Public Accounting Firm for 2025 (Item 3 on Proxy Card)</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122</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845790_56">
                              <w:r>
                                <w:rPr>
                                  <w:rStyle w:val="InternetLink"/>
                                  <w:rFonts w:ascii="arial" w:hAnsi="arial"/>
                                  <w:b/>
                                  <w:color w:val="003A5D"/>
                                  <w:sz w:val="18"/>
                                </w:rPr>
                                <w:t>Section XI - Audit Committee Report</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124</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bottom w:w="60" w:type="dxa"/>
                            </w:tcMar>
                            <w:vAlign w:val="center"/>
                          </w:tcPr>
                          <w:p>
                            <w:pPr>
                              <w:pStyle w:val="TableContents"/>
                              <w:bidi w:val="0"/>
                              <w:spacing w:before="0" w:after="0"/>
                              <w:jc w:val="left"/>
                              <w:rPr>
                                <w:rFonts w:ascii="arial" w:hAnsi="arial"/>
                                <w:b/>
                                <w:color w:val="003A5D"/>
                                <w:sz w:val="22"/>
                              </w:rPr>
                            </w:pPr>
                            <w:r>
                              <w:rPr>
                                <w:rFonts w:ascii="arial" w:hAnsi="arial"/>
                                <w:b/>
                                <w:color w:val="003A5D"/>
                                <w:sz w:val="22"/>
                              </w:rPr>
                              <w:t>STOCKHOLDER PROPOSAL</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845790_57">
                              <w:r>
                                <w:rPr>
                                  <w:rStyle w:val="InternetLink"/>
                                  <w:rFonts w:ascii="arial" w:hAnsi="arial"/>
                                  <w:b/>
                                  <w:color w:val="003A5D"/>
                                  <w:sz w:val="18"/>
                                </w:rPr>
                                <w:t>Section XII - Stockholder Proposal (Item 4 on Proxy Card)</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125</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bottom w:w="60" w:type="dxa"/>
                            </w:tcMar>
                            <w:vAlign w:val="center"/>
                          </w:tcPr>
                          <w:p>
                            <w:pPr>
                              <w:pStyle w:val="TableContents"/>
                              <w:bidi w:val="0"/>
                              <w:spacing w:before="0" w:after="0"/>
                              <w:jc w:val="left"/>
                              <w:rPr>
                                <w:rFonts w:ascii="arial" w:hAnsi="arial"/>
                                <w:b/>
                                <w:color w:val="003A5D"/>
                                <w:sz w:val="22"/>
                              </w:rPr>
                            </w:pPr>
                            <w:r>
                              <w:rPr>
                                <w:rFonts w:ascii="arial" w:hAnsi="arial"/>
                                <w:b/>
                                <w:color w:val="003A5D"/>
                                <w:sz w:val="22"/>
                              </w:rPr>
                              <w:t>OTHER MATTERS</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845790_58">
                              <w:r>
                                <w:rPr>
                                  <w:rStyle w:val="InternetLink"/>
                                  <w:rFonts w:ascii="arial" w:hAnsi="arial"/>
                                  <w:b/>
                                  <w:color w:val="003A5D"/>
                                  <w:sz w:val="18"/>
                                </w:rPr>
                                <w:t>Section XIII - Other Business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129</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845790_59">
                              <w:r>
                                <w:rPr>
                                  <w:rStyle w:val="InternetLink"/>
                                  <w:rFonts w:ascii="arial" w:hAnsi="arial"/>
                                  <w:sz w:val="18"/>
                                </w:rPr>
                                <w:t>Other Business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129</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845790_60">
                              <w:r>
                                <w:rPr>
                                  <w:rStyle w:val="InternetLink"/>
                                  <w:rFonts w:ascii="arial" w:hAnsi="arial"/>
                                  <w:sz w:val="18"/>
                                </w:rPr>
                                <w:t>Annual Report to Stockholders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129</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845790_61">
                              <w:r>
                                <w:rPr>
                                  <w:rStyle w:val="InternetLink"/>
                                  <w:rFonts w:ascii="arial" w:hAnsi="arial"/>
                                  <w:sz w:val="18"/>
                                </w:rPr>
                                <w:t>Stockholder Proposals for 2026 Annual Stockholder</w:t>
                                <w:br/>
                                <w:t> Meeting</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129</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845790_62">
                              <w:r>
                                <w:rPr>
                                  <w:rStyle w:val="InternetLink"/>
                                  <w:rFonts w:ascii="arial" w:hAnsi="arial"/>
                                  <w:b/>
                                  <w:color w:val="003A5D"/>
                                  <w:sz w:val="18"/>
                                </w:rPr>
                                <w:t>Section XIV - Frequently Asked Questions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130</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845790_63">
                              <w:r>
                                <w:rPr>
                                  <w:rStyle w:val="InternetLink"/>
                                  <w:rFonts w:ascii="arial" w:hAnsi="arial"/>
                                  <w:b/>
                                  <w:color w:val="003A5D"/>
                                  <w:sz w:val="18"/>
                                </w:rPr>
                                <w:t>Appendix A - Information Regarding Non-GAAP Financial Measures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134</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3175000" cy="4481195"/>
                <wp:effectExtent l="0" t="0" r="0" b="0"/>
                <wp:wrapSquare wrapText="right"/>
                <wp:docPr id="13" name="Frame4"/>
                <a:graphic xmlns:a="http://schemas.openxmlformats.org/drawingml/2006/main">
                  <a:graphicData uri="http://schemas.microsoft.com/office/word/2010/wordprocessingShape">
                    <wps:wsp>
                      <wps:cNvSpPr txBox="1"/>
                      <wps:spPr>
                        <a:xfrm>
                          <a:off x="0" y="0"/>
                          <a:ext cx="3175000" cy="4481195"/>
                        </a:xfrm>
                        <a:prstGeom prst="rect"/>
                        <a:solidFill>
                          <a:srgbClr val="FFFFFF"/>
                        </a:solidFill>
                      </wps:spPr>
                      <wps:txbx>
                        <w:txbxContent>
                          <w:p>
                            <w:pPr>
                              <w:pStyle w:val="TextBody"/>
                              <w:bidi w:val="0"/>
                              <w:spacing w:before="0" w:after="0"/>
                              <w:jc w:val="left"/>
                              <w:rPr>
                                <w:rFonts w:ascii="arial" w:hAnsi="arial"/>
                                <w:b/>
                                <w:i/>
                                <w:color w:val="003A5D"/>
                                <w:sz w:val="18"/>
                              </w:rPr>
                            </w:pPr>
                            <w:r>
                              <w:rPr>
                                <w:rFonts w:ascii="arial" w:hAnsi="arial"/>
                                <w:b/>
                                <w:i/>
                                <w:color w:val="003A5D"/>
                                <w:sz w:val="18"/>
                              </w:rPr>
                              <w:t xml:space="preserve">Cautionary Note Regarding Forward-Looking Statements </w:t>
                            </w:r>
                          </w:p>
                          <w:p>
                            <w:pPr>
                              <w:pStyle w:val="TextBody"/>
                              <w:bidi w:val="0"/>
                              <w:spacing w:before="160" w:after="0"/>
                              <w:jc w:val="both"/>
                              <w:rPr>
                                <w:rFonts w:ascii="arial" w:hAnsi="arial"/>
                                <w:sz w:val="20"/>
                              </w:rPr>
                            </w:pPr>
                            <w:r>
                              <w:rPr>
                                <w:rFonts w:ascii="arial" w:hAnsi="arial"/>
                                <w:sz w:val="20"/>
                              </w:rPr>
                              <w:t xml:space="preserve">Certain statements in this proxy statement may constitute forward-looking statements, which involve a number of risks and uncertainties. Capital One cautions readers that any forward-looking information is not a guarantee of future performance and that actual results could differ materially from those contained in the forward-looking information due to a number of factors, including those listed from time to time in reports that Capital One files with the Securities and Exchange Commission, including, but not limited to, the Annual Report on the Form 10-K for the year ended December 31, 2024 (“Form 10-K”). The forward-looking statements in this proxy statement are made as of the date of this proxy statement, unless otherwise indicated, and Capital One undertakes no obligation to revise or update any forward-looking statements, except to the extent required by applicable law or regulation. </w:t>
                            </w:r>
                          </w:p>
                          <w:p>
                            <w:pPr>
                              <w:pStyle w:val="TextBody"/>
                              <w:bidi w:val="0"/>
                              <w:spacing w:before="240" w:after="0"/>
                              <w:jc w:val="both"/>
                              <w:rPr>
                                <w:rFonts w:ascii="arial" w:hAnsi="arial"/>
                                <w:sz w:val="20"/>
                              </w:rPr>
                            </w:pPr>
                            <w:r>
                              <w:rPr>
                                <w:rFonts w:ascii="arial" w:hAnsi="arial"/>
                                <w:sz w:val="20"/>
                              </w:rPr>
                              <w:t xml:space="preserve">This proxy statement also contains statements regarding ESG commitments, goals, and metrics. Such statements are not guarantees or promises that such metrics, goals, or commitments will be met and are based on current strategy, assumptions, estimates, methodologies, standards, and currently available data, which continue to evolve and develop. </w:t>
                            </w:r>
                          </w:p>
                          <w:p>
                            <w:pPr>
                              <w:pStyle w:val="TextBody"/>
                              <w:bidi w:val="0"/>
                              <w:spacing w:before="240" w:after="0"/>
                              <w:jc w:val="both"/>
                              <w:rPr>
                                <w:rFonts w:ascii="arial" w:hAnsi="arial"/>
                                <w:sz w:val="20"/>
                              </w:rPr>
                            </w:pPr>
                            <w:r>
                              <w:rPr>
                                <w:rFonts w:ascii="arial" w:hAnsi="arial"/>
                                <w:sz w:val="20"/>
                              </w:rPr>
                              <w:t xml:space="preserve">No reports, documents, or websites that are cited or referred to in this proxy statement shall be deemed to be incorporated by reference into this document.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52.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i/>
                          <w:color w:val="003A5D"/>
                          <w:sz w:val="18"/>
                        </w:rPr>
                      </w:pPr>
                      <w:r>
                        <w:rPr>
                          <w:rFonts w:ascii="arial" w:hAnsi="arial"/>
                          <w:b/>
                          <w:i/>
                          <w:color w:val="003A5D"/>
                          <w:sz w:val="18"/>
                        </w:rPr>
                        <w:t xml:space="preserve">Cautionary Note Regarding Forward-Looking Statements </w:t>
                      </w:r>
                    </w:p>
                    <w:p>
                      <w:pPr>
                        <w:pStyle w:val="TextBody"/>
                        <w:bidi w:val="0"/>
                        <w:spacing w:before="160" w:after="0"/>
                        <w:jc w:val="both"/>
                        <w:rPr>
                          <w:rFonts w:ascii="arial" w:hAnsi="arial"/>
                          <w:sz w:val="20"/>
                        </w:rPr>
                      </w:pPr>
                      <w:r>
                        <w:rPr>
                          <w:rFonts w:ascii="arial" w:hAnsi="arial"/>
                          <w:sz w:val="20"/>
                        </w:rPr>
                        <w:t xml:space="preserve">Certain statements in this proxy statement may constitute forward-looking statements, which involve a number of risks and uncertainties. Capital One cautions readers that any forward-looking information is not a guarantee of future performance and that actual results could differ materially from those contained in the forward-looking information due to a number of factors, including those listed from time to time in reports that Capital One files with the Securities and Exchange Commission, including, but not limited to, the Annual Report on the Form 10-K for the year ended December 31, 2024 (“Form 10-K”). The forward-looking statements in this proxy statement are made as of the date of this proxy statement, unless otherwise indicated, and Capital One undertakes no obligation to revise or update any forward-looking statements, except to the extent required by applicable law or regulation. </w:t>
                      </w:r>
                    </w:p>
                    <w:p>
                      <w:pPr>
                        <w:pStyle w:val="TextBody"/>
                        <w:bidi w:val="0"/>
                        <w:spacing w:before="240" w:after="0"/>
                        <w:jc w:val="both"/>
                        <w:rPr>
                          <w:rFonts w:ascii="arial" w:hAnsi="arial"/>
                          <w:sz w:val="20"/>
                        </w:rPr>
                      </w:pPr>
                      <w:r>
                        <w:rPr>
                          <w:rFonts w:ascii="arial" w:hAnsi="arial"/>
                          <w:sz w:val="20"/>
                        </w:rPr>
                        <w:t xml:space="preserve">This proxy statement also contains statements regarding ESG commitments, goals, and metrics. Such statements are not guarantees or promises that such metrics, goals, or commitments will be met and are based on current strategy, assumptions, estimates, methodologies, standards, and currently available data, which continue to evolve and develop. </w:t>
                      </w:r>
                    </w:p>
                    <w:p>
                      <w:pPr>
                        <w:pStyle w:val="TextBody"/>
                        <w:bidi w:val="0"/>
                        <w:spacing w:before="240" w:after="0"/>
                        <w:jc w:val="both"/>
                        <w:rPr>
                          <w:rFonts w:ascii="arial" w:hAnsi="arial"/>
                          <w:sz w:val="20"/>
                        </w:rPr>
                      </w:pPr>
                      <w:r>
                        <w:rPr>
                          <w:rFonts w:ascii="arial" w:hAnsi="arial"/>
                          <w:sz w:val="20"/>
                        </w:rPr>
                        <w:t xml:space="preserve">No reports, documents, or websites that are cited or referred to in this proxy statement shall be deemed to be incorporated by reference into this document. </w:t>
                      </w:r>
                    </w:p>
                  </w:txbxContent>
                </v:textbox>
                <w10:wrap type="square" side="right"/>
              </v:rect>
            </w:pict>
          </mc:Fallback>
        </mc:AlternateConten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10 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righ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6" w:name="txa845790_1"/>
      <w:bookmarkEnd w:id="6"/>
      <w:r>
        <w:rPr>
          <w:rFonts w:ascii="arial" w:hAnsi="arial"/>
          <w:b/>
          <w:sz w:val="36"/>
        </w:rPr>
        <w:t xml:space="preserve">Section I - Election of Directors (Item 1 on Proxy Card) </w:t>
      </w:r>
    </w:p>
    <w:p>
      <w:pPr>
        <w:pStyle w:val="TextBody"/>
        <w:pBdr>
          <w:bottom w:val="single" w:sz="8" w:space="1" w:color="000000"/>
        </w:pBdr>
        <w:bidi w:val="0"/>
        <w:spacing w:lineRule="atLeast" w:line="142" w:before="0" w:after="40"/>
        <w:jc w:val="left"/>
        <w:rPr/>
      </w:pPr>
      <w:r>
        <w:rPr/>
        <w:t> </w:t>
      </w:r>
    </w:p>
    <w:p>
      <w:pPr>
        <w:pStyle w:val="TextBody"/>
        <w:bidi w:val="0"/>
        <w:spacing w:before="160" w:after="0"/>
        <w:jc w:val="both"/>
        <w:rPr>
          <w:rFonts w:ascii="arial" w:hAnsi="arial"/>
          <w:sz w:val="20"/>
        </w:rPr>
      </w:pPr>
      <w:r>
        <w:rPr>
          <w:rFonts w:ascii="arial" w:hAnsi="arial"/>
          <w:sz w:val="20"/>
        </w:rPr>
        <w:t xml:space="preserve">All of Capital One’s directors are elected for one-year terms at each annual stockholder meeting and hold office until their successors are duly elected and qualified. Our Board is presenting the following twelve nominees for election as directors at the 2025 Annual Stockholder Meeting. Each nominee is a current Board member who was elected by stockholders at the 2024 Annual Stockholder Meeting. Each nominee has consented to serve a one-year term. Information about the nominees for election as directors is set forth under “Our Director Nominees” beginning on page 12. </w:t>
      </w:r>
    </w:p>
    <w:p>
      <w:pPr>
        <w:pStyle w:val="TextBody"/>
        <w:bidi w:val="0"/>
        <w:spacing w:before="240" w:after="0"/>
        <w:jc w:val="both"/>
        <w:rPr>
          <w:rFonts w:ascii="arial" w:hAnsi="arial"/>
          <w:sz w:val="20"/>
        </w:rPr>
      </w:pPr>
      <w:r>
        <w:rPr>
          <w:rFonts w:ascii="arial" w:hAnsi="arial"/>
          <w:sz w:val="20"/>
        </w:rPr>
        <w:t xml:space="preserve">In the event a nominee becomes unable to serve, or for good cause, will not serve as a director, the Board may designate a substitute nominee or reduce the size of the Board. If the Board designates a substitute nominee, proxies will be voted for the election of such substitute. As of the date of this proxy statement, the Board has no reason to believe that any of the nominees will be unable or unwilling to serve as a director. </w:t>
      </w:r>
    </w:p>
    <w:p>
      <w:pPr>
        <w:pStyle w:val="TextBody"/>
        <w:bidi w:val="0"/>
        <w:spacing w:before="240" w:after="0"/>
        <w:jc w:val="both"/>
        <w:rPr>
          <w:rFonts w:ascii="arial" w:hAnsi="arial"/>
          <w:sz w:val="20"/>
        </w:rPr>
      </w:pPr>
      <w:r>
        <w:rPr>
          <w:rFonts w:ascii="arial" w:hAnsi="arial"/>
          <w:sz w:val="20"/>
        </w:rPr>
        <w:t xml:space="preserve">The nominees for election as directors at the 2025 Annual Stockholder Meeting 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98"/>
        <w:gridCol w:w="60"/>
        <w:gridCol w:w="60"/>
        <w:gridCol w:w="60"/>
        <w:gridCol w:w="563"/>
        <w:gridCol w:w="60"/>
        <w:gridCol w:w="60"/>
        <w:gridCol w:w="60"/>
        <w:gridCol w:w="3024"/>
        <w:gridCol w:w="60"/>
        <w:gridCol w:w="60"/>
        <w:gridCol w:w="60"/>
        <w:gridCol w:w="1064"/>
        <w:gridCol w:w="60"/>
        <w:gridCol w:w="60"/>
        <w:gridCol w:w="60"/>
        <w:gridCol w:w="1448"/>
        <w:gridCol w:w="120"/>
        <w:gridCol w:w="60"/>
        <w:gridCol w:w="60"/>
        <w:gridCol w:w="1148"/>
      </w:tblGrid>
      <w:tr>
        <w:trPr/>
        <w:tc>
          <w:tcPr>
            <w:tcW w:w="1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r>
      <w:tr>
        <w:trPr/>
        <w:tc>
          <w:tcPr>
            <w:tcW w:w="1998" w:type="dxa"/>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623" w:type="dxa"/>
            <w:gridSpan w:val="2"/>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3084" w:type="dxa"/>
            <w:gridSpan w:val="2"/>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24" w:type="dxa"/>
            <w:gridSpan w:val="2"/>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508" w:type="dxa"/>
            <w:gridSpan w:val="2"/>
            <w:tcBorders/>
            <w:shd w:fill="003A5D" w:val="clear"/>
            <w:vAlign w:val="center"/>
          </w:tcPr>
          <w:p>
            <w:pPr>
              <w:pStyle w:val="TableContents"/>
              <w:bidi w:val="0"/>
              <w:spacing w:before="0" w:after="283"/>
              <w:jc w:val="left"/>
              <w:rPr>
                <w:sz w:val="4"/>
                <w:szCs w:val="4"/>
              </w:rPr>
            </w:pPr>
            <w:r>
              <w:rPr>
                <w:sz w:val="4"/>
                <w:szCs w:val="4"/>
              </w:rPr>
            </w:r>
          </w:p>
        </w:tc>
        <w:tc>
          <w:tcPr>
            <w:tcW w:w="180" w:type="dxa"/>
            <w:gridSpan w:val="2"/>
            <w:tcBorders/>
            <w:shd w:fill="FFFFFF" w:val="clear"/>
            <w:vAlign w:val="center"/>
          </w:tcPr>
          <w:p>
            <w:pPr>
              <w:pStyle w:val="TableContents"/>
              <w:bidi w:val="0"/>
              <w:spacing w:before="0" w:after="283"/>
              <w:jc w:val="left"/>
              <w:rPr>
                <w:sz w:val="4"/>
                <w:szCs w:val="4"/>
              </w:rPr>
            </w:pPr>
            <w:r>
              <w:rPr>
                <w:sz w:val="4"/>
                <w:szCs w:val="4"/>
              </w:rPr>
            </w:r>
          </w:p>
        </w:tc>
        <w:tc>
          <w:tcPr>
            <w:tcW w:w="1208"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1998" w:type="dxa"/>
            <w:tcBorders/>
            <w:shd w:fill="003A5D" w:val="clear"/>
            <w:vAlign w:val="center"/>
          </w:tcPr>
          <w:p>
            <w:pPr>
              <w:pStyle w:val="TableContents"/>
              <w:bidi w:val="0"/>
              <w:spacing w:before="0" w:after="283"/>
              <w:jc w:val="left"/>
              <w:rPr>
                <w:color w:val="FFFFFF"/>
              </w:rPr>
            </w:pPr>
            <w:r>
              <w:rPr>
                <w:color w:val="FFFFFF"/>
              </w:rPr>
              <w:t> </w:t>
            </w:r>
            <w:r>
              <w:rPr>
                <w:b/>
                <w:color w:val="FFFFFF"/>
              </w:rPr>
              <w:t>Name(1)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563" w:type="dxa"/>
            <w:tcBorders/>
            <w:shd w:fill="003A5D" w:val="clear"/>
            <w:vAlign w:val="center"/>
          </w:tcPr>
          <w:p>
            <w:pPr>
              <w:pStyle w:val="TableContents"/>
              <w:bidi w:val="0"/>
              <w:spacing w:before="0" w:after="283"/>
              <w:jc w:val="center"/>
              <w:rPr>
                <w:color w:val="FFFFFF"/>
              </w:rPr>
            </w:pPr>
            <w:r>
              <w:rPr>
                <w:color w:val="FFFFFF"/>
              </w:rPr>
              <w:t> </w:t>
            </w:r>
            <w:r>
              <w:rPr>
                <w:b/>
                <w:color w:val="FFFFFF"/>
              </w:rPr>
              <w:t>Age 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3024" w:type="dxa"/>
            <w:tcBorders/>
            <w:shd w:fill="003A5D" w:val="clear"/>
            <w:vAlign w:val="center"/>
          </w:tcPr>
          <w:p>
            <w:pPr>
              <w:pStyle w:val="TableContents"/>
              <w:bidi w:val="0"/>
              <w:spacing w:before="0" w:after="283"/>
              <w:jc w:val="left"/>
              <w:rPr>
                <w:b/>
                <w:color w:val="FFFFFF"/>
              </w:rPr>
            </w:pPr>
            <w:r>
              <w:rPr>
                <w:b/>
                <w:color w:val="FFFFFF"/>
              </w:rPr>
              <w:t>Occupation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064" w:type="dxa"/>
            <w:tcBorders/>
            <w:shd w:fill="003A5D" w:val="clear"/>
            <w:vAlign w:val="center"/>
          </w:tcPr>
          <w:p>
            <w:pPr>
              <w:pStyle w:val="TableContents"/>
              <w:bidi w:val="0"/>
              <w:spacing w:before="0" w:after="283"/>
              <w:jc w:val="center"/>
              <w:rPr>
                <w:color w:val="FFFFFF"/>
              </w:rPr>
            </w:pPr>
            <w:r>
              <w:rPr>
                <w:color w:val="FFFFFF"/>
              </w:rPr>
              <w:t> </w:t>
            </w:r>
            <w:r>
              <w:rPr>
                <w:b/>
                <w:color w:val="FFFFFF"/>
              </w:rPr>
              <w:t>Director </w:t>
              <w:br/>
              <w:t>Since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448" w:type="dxa"/>
            <w:tcBorders/>
            <w:shd w:fill="003A5D" w:val="clear"/>
            <w:vAlign w:val="center"/>
          </w:tcPr>
          <w:p>
            <w:pPr>
              <w:pStyle w:val="TableContents"/>
              <w:bidi w:val="0"/>
              <w:spacing w:before="0" w:after="283"/>
              <w:jc w:val="center"/>
              <w:rPr>
                <w:color w:val="FFFFFF"/>
              </w:rPr>
            </w:pPr>
            <w:r>
              <w:rPr>
                <w:color w:val="FFFFFF"/>
              </w:rPr>
              <w:t> </w:t>
            </w:r>
            <w:r>
              <w:rPr>
                <w:b/>
                <w:color w:val="FFFFFF"/>
              </w:rPr>
              <w:t>Independent </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148" w:type="dxa"/>
            <w:tcBorders/>
            <w:shd w:fill="003A5D" w:val="clear"/>
            <w:vAlign w:val="center"/>
          </w:tcPr>
          <w:p>
            <w:pPr>
              <w:pStyle w:val="TableContents"/>
              <w:bidi w:val="0"/>
              <w:spacing w:before="0" w:after="283"/>
              <w:jc w:val="center"/>
              <w:rPr>
                <w:b/>
                <w:color w:val="FFFFFF"/>
              </w:rPr>
            </w:pPr>
            <w:r>
              <w:rPr>
                <w:b/>
                <w:color w:val="FFFFFF"/>
              </w:rPr>
              <w:t>Other</w:t>
              <w:br/>
              <w:t>Public</w:t>
              <w:br/>
              <w:t> Boards(2) </w:t>
            </w:r>
          </w:p>
        </w:tc>
      </w:tr>
      <w:tr>
        <w:trPr/>
        <w:tc>
          <w:tcPr>
            <w:tcW w:w="1998" w:type="dxa"/>
            <w:tcBorders>
              <w:top w:val="single" w:sz="8" w:space="0" w:color="FFFFFF"/>
            </w:tcBorders>
            <w:shd w:fill="E5EBEE" w:val="clear"/>
            <w:tcMar>
              <w:top w:w="28" w:type="dxa"/>
            </w:tcMar>
            <w:vAlign w:val="center"/>
          </w:tcPr>
          <w:p>
            <w:pPr>
              <w:pStyle w:val="TableContents"/>
              <w:bidi w:val="0"/>
              <w:spacing w:before="0" w:after="283"/>
              <w:jc w:val="left"/>
              <w:rPr/>
            </w:pPr>
            <w:r>
              <w:rPr/>
              <w:t> </w:t>
            </w:r>
          </w:p>
        </w:tc>
        <w:tc>
          <w:tcPr>
            <w:tcW w:w="120" w:type="dxa"/>
            <w:gridSpan w:val="2"/>
            <w:tcBorders>
              <w:top w:val="single" w:sz="8" w:space="0" w:color="FFFFFF"/>
            </w:tcBorders>
            <w:shd w:fill="FFFFFF" w:val="clear"/>
            <w:tcMar>
              <w:top w:w="28" w:type="dxa"/>
            </w:tcMar>
            <w:vAlign w:val="center"/>
          </w:tcPr>
          <w:p>
            <w:pPr>
              <w:pStyle w:val="TableContents"/>
              <w:bidi w:val="0"/>
              <w:spacing w:before="0" w:after="283"/>
              <w:jc w:val="left"/>
              <w:rPr/>
            </w:pPr>
            <w:r>
              <w:rPr/>
              <w:t> </w:t>
            </w:r>
          </w:p>
        </w:tc>
        <w:tc>
          <w:tcPr>
            <w:tcW w:w="623"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c>
          <w:tcPr>
            <w:tcW w:w="120" w:type="dxa"/>
            <w:gridSpan w:val="2"/>
            <w:tcBorders>
              <w:top w:val="single" w:sz="8" w:space="0" w:color="FFFFFF"/>
            </w:tcBorders>
            <w:shd w:fill="FFFFFF" w:val="clear"/>
            <w:tcMar>
              <w:top w:w="28" w:type="dxa"/>
            </w:tcMar>
            <w:vAlign w:val="center"/>
          </w:tcPr>
          <w:p>
            <w:pPr>
              <w:pStyle w:val="TableContents"/>
              <w:bidi w:val="0"/>
              <w:spacing w:before="0" w:after="283"/>
              <w:jc w:val="left"/>
              <w:rPr/>
            </w:pPr>
            <w:r>
              <w:rPr/>
              <w:t> </w:t>
            </w:r>
          </w:p>
        </w:tc>
        <w:tc>
          <w:tcPr>
            <w:tcW w:w="3084"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c>
          <w:tcPr>
            <w:tcW w:w="120" w:type="dxa"/>
            <w:gridSpan w:val="2"/>
            <w:tcBorders>
              <w:top w:val="single" w:sz="8" w:space="0" w:color="FFFFFF"/>
            </w:tcBorders>
            <w:shd w:fill="FFFFFF" w:val="clear"/>
            <w:tcMar>
              <w:top w:w="28" w:type="dxa"/>
            </w:tcMar>
            <w:vAlign w:val="center"/>
          </w:tcPr>
          <w:p>
            <w:pPr>
              <w:pStyle w:val="TableContents"/>
              <w:bidi w:val="0"/>
              <w:spacing w:before="0" w:after="283"/>
              <w:jc w:val="left"/>
              <w:rPr/>
            </w:pPr>
            <w:r>
              <w:rPr/>
              <w:t> </w:t>
            </w:r>
          </w:p>
        </w:tc>
        <w:tc>
          <w:tcPr>
            <w:tcW w:w="1124"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c>
          <w:tcPr>
            <w:tcW w:w="120" w:type="dxa"/>
            <w:gridSpan w:val="2"/>
            <w:tcBorders>
              <w:top w:val="single" w:sz="8" w:space="0" w:color="FFFFFF"/>
            </w:tcBorders>
            <w:shd w:fill="FFFFFF" w:val="clear"/>
            <w:tcMar>
              <w:top w:w="28" w:type="dxa"/>
            </w:tcMar>
            <w:vAlign w:val="center"/>
          </w:tcPr>
          <w:p>
            <w:pPr>
              <w:pStyle w:val="TableContents"/>
              <w:bidi w:val="0"/>
              <w:spacing w:before="0" w:after="283"/>
              <w:jc w:val="left"/>
              <w:rPr/>
            </w:pPr>
            <w:r>
              <w:rPr/>
              <w:t> </w:t>
            </w:r>
          </w:p>
        </w:tc>
        <w:tc>
          <w:tcPr>
            <w:tcW w:w="1508"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c>
          <w:tcPr>
            <w:tcW w:w="180" w:type="dxa"/>
            <w:gridSpan w:val="2"/>
            <w:tcBorders>
              <w:top w:val="single" w:sz="8" w:space="0" w:color="FFFFFF"/>
            </w:tcBorders>
            <w:shd w:fill="FFFFFF" w:val="clear"/>
            <w:tcMar>
              <w:top w:w="28" w:type="dxa"/>
            </w:tcMar>
            <w:vAlign w:val="center"/>
          </w:tcPr>
          <w:p>
            <w:pPr>
              <w:pStyle w:val="TableContents"/>
              <w:bidi w:val="0"/>
              <w:spacing w:before="0" w:after="283"/>
              <w:jc w:val="left"/>
              <w:rPr/>
            </w:pPr>
            <w:r>
              <w:rPr/>
              <w:t> </w:t>
            </w:r>
          </w:p>
        </w:tc>
        <w:tc>
          <w:tcPr>
            <w:tcW w:w="1208"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r>
      <w:tr>
        <w:trPr/>
        <w:tc>
          <w:tcPr>
            <w:tcW w:w="1998" w:type="dxa"/>
            <w:tcBorders>
              <w:bottom w:val="single" w:sz="8" w:space="0" w:color="003A5D"/>
            </w:tcBorders>
            <w:shd w:fill="E5EBEE" w:val="clear"/>
            <w:tcMar>
              <w:bottom w:w="40" w:type="dxa"/>
            </w:tcMar>
            <w:vAlign w:val="center"/>
          </w:tcPr>
          <w:p>
            <w:pPr>
              <w:pStyle w:val="TableContents"/>
              <w:bidi w:val="0"/>
              <w:spacing w:before="0" w:after="0"/>
              <w:jc w:val="left"/>
              <w:rPr/>
            </w:pPr>
            <w:r>
              <w:rPr/>
              <w:t> </w:t>
            </w:r>
            <w:r>
              <w:rPr>
                <w:rFonts w:ascii="arial" w:hAnsi="arial"/>
                <w:sz w:val="18"/>
              </w:rPr>
              <w:t>Richard D. Fairbank    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563" w:type="dxa"/>
            <w:tcBorders>
              <w:bottom w:val="single" w:sz="8" w:space="0" w:color="003A5D"/>
            </w:tcBorders>
            <w:shd w:fill="E5EBEE" w:val="clear"/>
            <w:tcMar>
              <w:bottom w:w="40" w:type="dxa"/>
            </w:tcMar>
            <w:vAlign w:val="center"/>
          </w:tcPr>
          <w:p>
            <w:pPr>
              <w:pStyle w:val="TableContents"/>
              <w:bidi w:val="0"/>
              <w:spacing w:before="0" w:after="283"/>
              <w:jc w:val="center"/>
              <w:rPr/>
            </w:pPr>
            <w:r>
              <w:rPr/>
              <w:t>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3024" w:type="dxa"/>
            <w:tcBorders>
              <w:bottom w:val="single" w:sz="8" w:space="0" w:color="003A5D"/>
            </w:tcBorders>
            <w:shd w:fill="E5EBEE" w:val="clear"/>
            <w:tcMar>
              <w:bottom w:w="40" w:type="dxa"/>
            </w:tcMar>
            <w:vAlign w:val="center"/>
          </w:tcPr>
          <w:p>
            <w:pPr>
              <w:pStyle w:val="TableContents"/>
              <w:bidi w:val="0"/>
              <w:spacing w:before="0" w:after="283"/>
              <w:jc w:val="left"/>
              <w:rPr/>
            </w:pPr>
            <w:r>
              <w:rPr/>
              <w:t>Chairman and Chief Executive Officer,</w:t>
              <w:br/>
              <w:t>Capital One Financial Corporation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64" w:type="dxa"/>
            <w:tcBorders>
              <w:bottom w:val="single" w:sz="8" w:space="0" w:color="003A5D"/>
            </w:tcBorders>
            <w:shd w:fill="E5EBEE" w:val="clear"/>
            <w:tcMar>
              <w:bottom w:w="40" w:type="dxa"/>
            </w:tcMar>
            <w:vAlign w:val="center"/>
          </w:tcPr>
          <w:p>
            <w:pPr>
              <w:pStyle w:val="TableContents"/>
              <w:bidi w:val="0"/>
              <w:spacing w:before="0" w:after="283"/>
              <w:jc w:val="center"/>
              <w:rPr/>
            </w:pPr>
            <w:r>
              <w:rPr/>
              <w:t>1994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448" w:type="dxa"/>
            <w:tcBorders>
              <w:bottom w:val="single" w:sz="8" w:space="0" w:color="003A5D"/>
            </w:tcBorders>
            <w:shd w:fill="E5EBEE" w:val="clear"/>
            <w:tcMar>
              <w:bottom w:w="40" w:type="dxa"/>
            </w:tcMar>
            <w:vAlign w:val="center"/>
          </w:tcPr>
          <w:p>
            <w:pPr>
              <w:pStyle w:val="TableContents"/>
              <w:bidi w:val="0"/>
              <w:spacing w:before="0" w:after="283"/>
              <w:jc w:val="center"/>
              <w:rPr/>
            </w:pPr>
            <w:r>
              <w:rPr/>
              <w:t>No</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48" w:type="dxa"/>
            <w:tcBorders>
              <w:bottom w:val="single" w:sz="8" w:space="0" w:color="003A5D"/>
            </w:tcBorders>
            <w:shd w:fill="E5EBEE" w:val="clear"/>
            <w:tcMar>
              <w:bottom w:w="40" w:type="dxa"/>
            </w:tcMar>
            <w:vAlign w:val="center"/>
          </w:tcPr>
          <w:p>
            <w:pPr>
              <w:pStyle w:val="TableContents"/>
              <w:bidi w:val="0"/>
              <w:spacing w:before="0" w:after="283"/>
              <w:jc w:val="center"/>
              <w:rPr/>
            </w:pPr>
            <w:r>
              <w:rPr/>
              <w:t>0</w:t>
            </w:r>
          </w:p>
        </w:tc>
      </w:tr>
      <w:tr>
        <w:trPr/>
        <w:tc>
          <w:tcPr>
            <w:tcW w:w="1998" w:type="dxa"/>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623"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3084"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24"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508"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shd w:fill="FFFFFF" w:val="clear"/>
            <w:vAlign w:val="center"/>
          </w:tcPr>
          <w:p>
            <w:pPr>
              <w:pStyle w:val="TableContents"/>
              <w:bidi w:val="0"/>
              <w:spacing w:before="0" w:after="283"/>
              <w:jc w:val="left"/>
              <w:rPr>
                <w:sz w:val="4"/>
                <w:szCs w:val="4"/>
              </w:rPr>
            </w:pPr>
            <w:r>
              <w:rPr>
                <w:sz w:val="4"/>
                <w:szCs w:val="4"/>
              </w:rPr>
            </w:r>
          </w:p>
        </w:tc>
        <w:tc>
          <w:tcPr>
            <w:tcW w:w="1208" w:type="dxa"/>
            <w:gridSpan w:val="2"/>
            <w:tcBorders/>
            <w:vAlign w:val="center"/>
          </w:tcPr>
          <w:p>
            <w:pPr>
              <w:pStyle w:val="TableContents"/>
              <w:bidi w:val="0"/>
              <w:spacing w:before="0" w:after="283"/>
              <w:jc w:val="left"/>
              <w:rPr>
                <w:sz w:val="4"/>
                <w:szCs w:val="4"/>
              </w:rPr>
            </w:pPr>
            <w:r>
              <w:rPr>
                <w:sz w:val="4"/>
                <w:szCs w:val="4"/>
              </w:rPr>
            </w:r>
          </w:p>
        </w:tc>
      </w:tr>
      <w:tr>
        <w:trPr/>
        <w:tc>
          <w:tcPr>
            <w:tcW w:w="1998" w:type="dxa"/>
            <w:tcBorders>
              <w:bottom w:val="single" w:sz="8" w:space="0" w:color="003A5D"/>
            </w:tcBorders>
            <w:tcMar>
              <w:bottom w:w="40" w:type="dxa"/>
            </w:tcMar>
            <w:vAlign w:val="center"/>
          </w:tcPr>
          <w:p>
            <w:pPr>
              <w:pStyle w:val="TableContents"/>
              <w:bidi w:val="0"/>
              <w:spacing w:before="0" w:after="0"/>
              <w:jc w:val="left"/>
              <w:rPr/>
            </w:pPr>
            <w:r>
              <w:rPr/>
              <w:t> </w:t>
            </w:r>
            <w:r>
              <w:rPr>
                <w:rFonts w:ascii="arial" w:hAnsi="arial"/>
                <w:sz w:val="18"/>
              </w:rPr>
              <w:t>Ime Archibong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563" w:type="dxa"/>
            <w:tcBorders>
              <w:bottom w:val="single" w:sz="8" w:space="0" w:color="003A5D"/>
            </w:tcBorders>
            <w:tcMar>
              <w:bottom w:w="40" w:type="dxa"/>
            </w:tcMar>
            <w:vAlign w:val="center"/>
          </w:tcPr>
          <w:p>
            <w:pPr>
              <w:pStyle w:val="TableContents"/>
              <w:bidi w:val="0"/>
              <w:spacing w:before="0" w:after="283"/>
              <w:jc w:val="center"/>
              <w:rPr/>
            </w:pPr>
            <w:r>
              <w:rPr/>
              <w:t>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3024" w:type="dxa"/>
            <w:tcBorders>
              <w:bottom w:val="single" w:sz="8" w:space="0" w:color="003A5D"/>
            </w:tcBorders>
            <w:tcMar>
              <w:bottom w:w="40" w:type="dxa"/>
            </w:tcMar>
            <w:vAlign w:val="center"/>
          </w:tcPr>
          <w:p>
            <w:pPr>
              <w:pStyle w:val="TableContents"/>
              <w:bidi w:val="0"/>
              <w:spacing w:before="0" w:after="283"/>
              <w:jc w:val="left"/>
              <w:rPr/>
            </w:pPr>
            <w:r>
              <w:rPr/>
              <w:t>Vice President, Product Management and</w:t>
              <w:br/>
              <w:t>Head of Product at Messenger, Meta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064" w:type="dxa"/>
            <w:tcBorders>
              <w:bottom w:val="single" w:sz="8" w:space="0" w:color="003A5D"/>
            </w:tcBorders>
            <w:tcMar>
              <w:bottom w:w="40" w:type="dxa"/>
            </w:tcMar>
            <w:vAlign w:val="center"/>
          </w:tcPr>
          <w:p>
            <w:pPr>
              <w:pStyle w:val="TableContents"/>
              <w:bidi w:val="0"/>
              <w:spacing w:before="0" w:after="283"/>
              <w:jc w:val="center"/>
              <w:rPr/>
            </w:pPr>
            <w:r>
              <w:rPr/>
              <w:t>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448" w:type="dxa"/>
            <w:tcBorders>
              <w:bottom w:val="single" w:sz="8" w:space="0" w:color="003A5D"/>
            </w:tcBorders>
            <w:tcMar>
              <w:bottom w:w="40" w:type="dxa"/>
            </w:tcMar>
            <w:vAlign w:val="center"/>
          </w:tcPr>
          <w:p>
            <w:pPr>
              <w:pStyle w:val="TableContents"/>
              <w:bidi w:val="0"/>
              <w:spacing w:before="0" w:after="283"/>
              <w:jc w:val="center"/>
              <w:rPr/>
            </w:pPr>
            <w:r>
              <w:rPr/>
              <w:t>Yes</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48" w:type="dxa"/>
            <w:tcBorders>
              <w:bottom w:val="single" w:sz="8" w:space="0" w:color="003A5D"/>
            </w:tcBorders>
            <w:tcMar>
              <w:bottom w:w="40" w:type="dxa"/>
            </w:tcMar>
            <w:vAlign w:val="center"/>
          </w:tcPr>
          <w:p>
            <w:pPr>
              <w:pStyle w:val="TableContents"/>
              <w:bidi w:val="0"/>
              <w:spacing w:before="0" w:after="283"/>
              <w:jc w:val="center"/>
              <w:rPr/>
            </w:pPr>
            <w:r>
              <w:rPr/>
              <w:t>0</w:t>
            </w:r>
          </w:p>
        </w:tc>
      </w:tr>
      <w:tr>
        <w:trPr/>
        <w:tc>
          <w:tcPr>
            <w:tcW w:w="1998" w:type="dxa"/>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623"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3084"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24"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508" w:type="dxa"/>
            <w:gridSpan w:val="2"/>
            <w:tcBorders/>
            <w:shd w:fill="E5EBEE" w:val="clear"/>
            <w:vAlign w:val="center"/>
          </w:tcPr>
          <w:p>
            <w:pPr>
              <w:pStyle w:val="TableContents"/>
              <w:bidi w:val="0"/>
              <w:spacing w:before="0" w:after="283"/>
              <w:jc w:val="left"/>
              <w:rPr>
                <w:sz w:val="4"/>
                <w:szCs w:val="4"/>
              </w:rPr>
            </w:pPr>
            <w:r>
              <w:rPr>
                <w:sz w:val="4"/>
                <w:szCs w:val="4"/>
              </w:rPr>
            </w:r>
          </w:p>
        </w:tc>
        <w:tc>
          <w:tcPr>
            <w:tcW w:w="180" w:type="dxa"/>
            <w:gridSpan w:val="2"/>
            <w:tcBorders/>
            <w:shd w:fill="FFFFFF" w:val="clear"/>
            <w:vAlign w:val="center"/>
          </w:tcPr>
          <w:p>
            <w:pPr>
              <w:pStyle w:val="TableContents"/>
              <w:bidi w:val="0"/>
              <w:spacing w:before="0" w:after="283"/>
              <w:jc w:val="left"/>
              <w:rPr>
                <w:sz w:val="4"/>
                <w:szCs w:val="4"/>
              </w:rPr>
            </w:pPr>
            <w:r>
              <w:rPr>
                <w:sz w:val="4"/>
                <w:szCs w:val="4"/>
              </w:rPr>
            </w:r>
          </w:p>
        </w:tc>
        <w:tc>
          <w:tcPr>
            <w:tcW w:w="1208"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1998" w:type="dxa"/>
            <w:tcBorders>
              <w:bottom w:val="single" w:sz="8" w:space="0" w:color="003A5D"/>
            </w:tcBorders>
            <w:shd w:fill="E5EBEE" w:val="clear"/>
            <w:tcMar>
              <w:bottom w:w="40" w:type="dxa"/>
            </w:tcMar>
            <w:vAlign w:val="center"/>
          </w:tcPr>
          <w:p>
            <w:pPr>
              <w:pStyle w:val="TableContents"/>
              <w:bidi w:val="0"/>
              <w:spacing w:before="0" w:after="0"/>
              <w:jc w:val="left"/>
              <w:rPr/>
            </w:pPr>
            <w:r>
              <w:rPr/>
              <w:t> </w:t>
            </w:r>
            <w:r>
              <w:rPr>
                <w:rFonts w:ascii="arial" w:hAnsi="arial"/>
                <w:sz w:val="18"/>
              </w:rPr>
              <w:t>Christine Detrick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563" w:type="dxa"/>
            <w:tcBorders>
              <w:bottom w:val="single" w:sz="8" w:space="0" w:color="003A5D"/>
            </w:tcBorders>
            <w:shd w:fill="E5EBEE" w:val="clear"/>
            <w:tcMar>
              <w:bottom w:w="40" w:type="dxa"/>
            </w:tcMar>
            <w:vAlign w:val="center"/>
          </w:tcPr>
          <w:p>
            <w:pPr>
              <w:pStyle w:val="TableContents"/>
              <w:bidi w:val="0"/>
              <w:spacing w:before="0" w:after="283"/>
              <w:jc w:val="center"/>
              <w:rPr/>
            </w:pPr>
            <w:r>
              <w:rPr/>
              <w:t>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3024" w:type="dxa"/>
            <w:tcBorders>
              <w:bottom w:val="single" w:sz="8" w:space="0" w:color="003A5D"/>
            </w:tcBorders>
            <w:shd w:fill="E5EBEE" w:val="clear"/>
            <w:tcMar>
              <w:bottom w:w="40" w:type="dxa"/>
            </w:tcMar>
            <w:vAlign w:val="center"/>
          </w:tcPr>
          <w:p>
            <w:pPr>
              <w:pStyle w:val="TableContents"/>
              <w:bidi w:val="0"/>
              <w:spacing w:before="0" w:after="283"/>
              <w:jc w:val="left"/>
              <w:rPr/>
            </w:pPr>
            <w:r>
              <w:rPr/>
              <w:t>Former Director, Head of the Americas</w:t>
              <w:br/>
              <w:t>Financial Services Practice; Former Senior</w:t>
              <w:br/>
              <w:t>Advisor, Bain &amp;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64" w:type="dxa"/>
            <w:tcBorders>
              <w:bottom w:val="single" w:sz="8" w:space="0" w:color="003A5D"/>
            </w:tcBorders>
            <w:shd w:fill="E5EBEE" w:val="clear"/>
            <w:tcMar>
              <w:bottom w:w="40" w:type="dxa"/>
            </w:tcMar>
            <w:vAlign w:val="center"/>
          </w:tcPr>
          <w:p>
            <w:pPr>
              <w:pStyle w:val="TableContents"/>
              <w:bidi w:val="0"/>
              <w:spacing w:before="0" w:after="283"/>
              <w:jc w:val="center"/>
              <w:rPr/>
            </w:pPr>
            <w:r>
              <w:rPr/>
              <w:t>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448" w:type="dxa"/>
            <w:tcBorders>
              <w:bottom w:val="single" w:sz="8" w:space="0" w:color="003A5D"/>
            </w:tcBorders>
            <w:shd w:fill="E5EBEE" w:val="clear"/>
            <w:tcMar>
              <w:bottom w:w="40" w:type="dxa"/>
            </w:tcMar>
            <w:vAlign w:val="center"/>
          </w:tcPr>
          <w:p>
            <w:pPr>
              <w:pStyle w:val="TableContents"/>
              <w:bidi w:val="0"/>
              <w:spacing w:before="0" w:after="283"/>
              <w:jc w:val="center"/>
              <w:rPr/>
            </w:pPr>
            <w:r>
              <w:rPr/>
              <w:t>Yes</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48" w:type="dxa"/>
            <w:tcBorders>
              <w:bottom w:val="single" w:sz="8" w:space="0" w:color="003A5D"/>
            </w:tcBorders>
            <w:shd w:fill="E5EBEE" w:val="clear"/>
            <w:tcMar>
              <w:bottom w:w="40" w:type="dxa"/>
            </w:tcMar>
            <w:vAlign w:val="center"/>
          </w:tcPr>
          <w:p>
            <w:pPr>
              <w:pStyle w:val="TableContents"/>
              <w:bidi w:val="0"/>
              <w:spacing w:before="0" w:after="283"/>
              <w:jc w:val="center"/>
              <w:rPr/>
            </w:pPr>
            <w:r>
              <w:rPr/>
              <w:t>2</w:t>
            </w:r>
          </w:p>
        </w:tc>
      </w:tr>
      <w:tr>
        <w:trPr/>
        <w:tc>
          <w:tcPr>
            <w:tcW w:w="1998" w:type="dxa"/>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623"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3084"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24"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508"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shd w:fill="FFFFFF" w:val="clear"/>
            <w:vAlign w:val="center"/>
          </w:tcPr>
          <w:p>
            <w:pPr>
              <w:pStyle w:val="TableContents"/>
              <w:bidi w:val="0"/>
              <w:spacing w:before="0" w:after="283"/>
              <w:jc w:val="left"/>
              <w:rPr>
                <w:sz w:val="4"/>
                <w:szCs w:val="4"/>
              </w:rPr>
            </w:pPr>
            <w:r>
              <w:rPr>
                <w:sz w:val="4"/>
                <w:szCs w:val="4"/>
              </w:rPr>
            </w:r>
          </w:p>
        </w:tc>
        <w:tc>
          <w:tcPr>
            <w:tcW w:w="1208" w:type="dxa"/>
            <w:gridSpan w:val="2"/>
            <w:tcBorders/>
            <w:vAlign w:val="center"/>
          </w:tcPr>
          <w:p>
            <w:pPr>
              <w:pStyle w:val="TableContents"/>
              <w:bidi w:val="0"/>
              <w:spacing w:before="0" w:after="283"/>
              <w:jc w:val="left"/>
              <w:rPr>
                <w:sz w:val="4"/>
                <w:szCs w:val="4"/>
              </w:rPr>
            </w:pPr>
            <w:r>
              <w:rPr>
                <w:sz w:val="4"/>
                <w:szCs w:val="4"/>
              </w:rPr>
            </w:r>
          </w:p>
        </w:tc>
      </w:tr>
      <w:tr>
        <w:trPr/>
        <w:tc>
          <w:tcPr>
            <w:tcW w:w="1998" w:type="dxa"/>
            <w:tcBorders>
              <w:bottom w:val="single" w:sz="8" w:space="0" w:color="003A5D"/>
            </w:tcBorders>
            <w:tcMar>
              <w:bottom w:w="40" w:type="dxa"/>
            </w:tcMar>
            <w:vAlign w:val="center"/>
          </w:tcPr>
          <w:p>
            <w:pPr>
              <w:pStyle w:val="TableContents"/>
              <w:bidi w:val="0"/>
              <w:spacing w:before="0" w:after="0"/>
              <w:jc w:val="left"/>
              <w:rPr/>
            </w:pPr>
            <w:r>
              <w:rPr/>
              <w:t> </w:t>
            </w:r>
            <w:r>
              <w:rPr>
                <w:rFonts w:ascii="arial" w:hAnsi="arial"/>
                <w:sz w:val="18"/>
              </w:rPr>
              <w:t>Ann Fritz Hackett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563" w:type="dxa"/>
            <w:tcBorders>
              <w:bottom w:val="single" w:sz="8" w:space="0" w:color="003A5D"/>
            </w:tcBorders>
            <w:tcMar>
              <w:bottom w:w="40" w:type="dxa"/>
            </w:tcMar>
            <w:vAlign w:val="center"/>
          </w:tcPr>
          <w:p>
            <w:pPr>
              <w:pStyle w:val="TableContents"/>
              <w:bidi w:val="0"/>
              <w:spacing w:before="0" w:after="283"/>
              <w:jc w:val="center"/>
              <w:rPr/>
            </w:pPr>
            <w:r>
              <w:rPr/>
              <w:t>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3024" w:type="dxa"/>
            <w:tcBorders>
              <w:bottom w:val="single" w:sz="8" w:space="0" w:color="003A5D"/>
            </w:tcBorders>
            <w:tcMar>
              <w:bottom w:w="40" w:type="dxa"/>
            </w:tcMar>
            <w:vAlign w:val="center"/>
          </w:tcPr>
          <w:p>
            <w:pPr>
              <w:pStyle w:val="TableContents"/>
              <w:bidi w:val="0"/>
              <w:spacing w:before="0" w:after="283"/>
              <w:jc w:val="left"/>
              <w:rPr/>
            </w:pPr>
            <w:r>
              <w:rPr/>
              <w:t>Former Strategy Consulting Partner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064" w:type="dxa"/>
            <w:tcBorders>
              <w:bottom w:val="single" w:sz="8" w:space="0" w:color="003A5D"/>
            </w:tcBorders>
            <w:tcMar>
              <w:bottom w:w="40" w:type="dxa"/>
            </w:tcMar>
            <w:vAlign w:val="center"/>
          </w:tcPr>
          <w:p>
            <w:pPr>
              <w:pStyle w:val="TableContents"/>
              <w:bidi w:val="0"/>
              <w:spacing w:before="0" w:after="283"/>
              <w:jc w:val="center"/>
              <w:rPr/>
            </w:pPr>
            <w:r>
              <w:rPr/>
              <w:t>2004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448" w:type="dxa"/>
            <w:tcBorders>
              <w:bottom w:val="single" w:sz="8" w:space="0" w:color="003A5D"/>
            </w:tcBorders>
            <w:tcMar>
              <w:bottom w:w="40" w:type="dxa"/>
            </w:tcMar>
            <w:vAlign w:val="center"/>
          </w:tcPr>
          <w:p>
            <w:pPr>
              <w:pStyle w:val="TableContents"/>
              <w:bidi w:val="0"/>
              <w:spacing w:before="0" w:after="283"/>
              <w:jc w:val="center"/>
              <w:rPr/>
            </w:pPr>
            <w:r>
              <w:rPr/>
              <w:t>Yes</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48" w:type="dxa"/>
            <w:tcBorders>
              <w:bottom w:val="single" w:sz="8" w:space="0" w:color="003A5D"/>
            </w:tcBorders>
            <w:tcMar>
              <w:bottom w:w="40" w:type="dxa"/>
            </w:tcMar>
            <w:vAlign w:val="center"/>
          </w:tcPr>
          <w:p>
            <w:pPr>
              <w:pStyle w:val="TableContents"/>
              <w:bidi w:val="0"/>
              <w:spacing w:before="0" w:after="283"/>
              <w:jc w:val="center"/>
              <w:rPr/>
            </w:pPr>
            <w:r>
              <w:rPr/>
              <w:t>2</w:t>
            </w:r>
          </w:p>
        </w:tc>
      </w:tr>
      <w:tr>
        <w:trPr/>
        <w:tc>
          <w:tcPr>
            <w:tcW w:w="1998" w:type="dxa"/>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623"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3084"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24"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508" w:type="dxa"/>
            <w:gridSpan w:val="2"/>
            <w:tcBorders/>
            <w:shd w:fill="E5EBEE" w:val="clear"/>
            <w:vAlign w:val="center"/>
          </w:tcPr>
          <w:p>
            <w:pPr>
              <w:pStyle w:val="TableContents"/>
              <w:bidi w:val="0"/>
              <w:spacing w:before="0" w:after="283"/>
              <w:jc w:val="left"/>
              <w:rPr>
                <w:sz w:val="4"/>
                <w:szCs w:val="4"/>
              </w:rPr>
            </w:pPr>
            <w:r>
              <w:rPr>
                <w:sz w:val="4"/>
                <w:szCs w:val="4"/>
              </w:rPr>
            </w:r>
          </w:p>
        </w:tc>
        <w:tc>
          <w:tcPr>
            <w:tcW w:w="180" w:type="dxa"/>
            <w:gridSpan w:val="2"/>
            <w:tcBorders/>
            <w:shd w:fill="FFFFFF" w:val="clear"/>
            <w:vAlign w:val="center"/>
          </w:tcPr>
          <w:p>
            <w:pPr>
              <w:pStyle w:val="TableContents"/>
              <w:bidi w:val="0"/>
              <w:spacing w:before="0" w:after="283"/>
              <w:jc w:val="left"/>
              <w:rPr>
                <w:sz w:val="4"/>
                <w:szCs w:val="4"/>
              </w:rPr>
            </w:pPr>
            <w:r>
              <w:rPr>
                <w:sz w:val="4"/>
                <w:szCs w:val="4"/>
              </w:rPr>
            </w:r>
          </w:p>
        </w:tc>
        <w:tc>
          <w:tcPr>
            <w:tcW w:w="1208"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1998" w:type="dxa"/>
            <w:tcBorders>
              <w:bottom w:val="single" w:sz="8" w:space="0" w:color="003A5D"/>
            </w:tcBorders>
            <w:shd w:fill="E5EBEE" w:val="clear"/>
            <w:tcMar>
              <w:bottom w:w="40" w:type="dxa"/>
            </w:tcMar>
            <w:vAlign w:val="center"/>
          </w:tcPr>
          <w:p>
            <w:pPr>
              <w:pStyle w:val="TableContents"/>
              <w:bidi w:val="0"/>
              <w:spacing w:before="0" w:after="0"/>
              <w:jc w:val="left"/>
              <w:rPr/>
            </w:pPr>
            <w:r>
              <w:rPr/>
              <w:t> </w:t>
            </w:r>
            <w:r>
              <w:rPr>
                <w:rFonts w:ascii="arial" w:hAnsi="arial"/>
                <w:sz w:val="18"/>
              </w:rPr>
              <w:t>Suni P. Harford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563" w:type="dxa"/>
            <w:tcBorders>
              <w:bottom w:val="single" w:sz="8" w:space="0" w:color="003A5D"/>
            </w:tcBorders>
            <w:shd w:fill="E5EBEE" w:val="clear"/>
            <w:tcMar>
              <w:bottom w:w="40" w:type="dxa"/>
            </w:tcMar>
            <w:vAlign w:val="center"/>
          </w:tcPr>
          <w:p>
            <w:pPr>
              <w:pStyle w:val="TableContents"/>
              <w:bidi w:val="0"/>
              <w:spacing w:before="0" w:after="283"/>
              <w:jc w:val="center"/>
              <w:rPr/>
            </w:pPr>
            <w:r>
              <w:rPr/>
              <w:t>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3024" w:type="dxa"/>
            <w:tcBorders>
              <w:bottom w:val="single" w:sz="8" w:space="0" w:color="003A5D"/>
            </w:tcBorders>
            <w:shd w:fill="E5EBEE" w:val="clear"/>
            <w:tcMar>
              <w:bottom w:w="40" w:type="dxa"/>
            </w:tcMar>
            <w:vAlign w:val="center"/>
          </w:tcPr>
          <w:p>
            <w:pPr>
              <w:pStyle w:val="TableContents"/>
              <w:bidi w:val="0"/>
              <w:spacing w:before="0" w:after="283"/>
              <w:jc w:val="left"/>
              <w:rPr/>
            </w:pPr>
            <w:r>
              <w:rPr/>
              <w:t>Former President, UBS Asset Management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64" w:type="dxa"/>
            <w:tcBorders>
              <w:bottom w:val="single" w:sz="8" w:space="0" w:color="003A5D"/>
            </w:tcBorders>
            <w:shd w:fill="E5EBEE" w:val="clear"/>
            <w:tcMar>
              <w:bottom w:w="40" w:type="dxa"/>
            </w:tcMar>
            <w:vAlign w:val="center"/>
          </w:tcPr>
          <w:p>
            <w:pPr>
              <w:pStyle w:val="TableContents"/>
              <w:bidi w:val="0"/>
              <w:spacing w:before="0" w:after="283"/>
              <w:jc w:val="center"/>
              <w:rPr/>
            </w:pPr>
            <w:r>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448" w:type="dxa"/>
            <w:tcBorders>
              <w:bottom w:val="single" w:sz="8" w:space="0" w:color="003A5D"/>
            </w:tcBorders>
            <w:shd w:fill="E5EBEE" w:val="clear"/>
            <w:tcMar>
              <w:bottom w:w="40" w:type="dxa"/>
            </w:tcMar>
            <w:vAlign w:val="center"/>
          </w:tcPr>
          <w:p>
            <w:pPr>
              <w:pStyle w:val="TableContents"/>
              <w:bidi w:val="0"/>
              <w:spacing w:before="0" w:after="283"/>
              <w:jc w:val="center"/>
              <w:rPr/>
            </w:pPr>
            <w:r>
              <w:rPr/>
              <w:t>Yes</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48" w:type="dxa"/>
            <w:tcBorders>
              <w:bottom w:val="single" w:sz="8" w:space="0" w:color="003A5D"/>
            </w:tcBorders>
            <w:shd w:fill="E5EBEE" w:val="clear"/>
            <w:tcMar>
              <w:bottom w:w="40" w:type="dxa"/>
            </w:tcMar>
            <w:vAlign w:val="center"/>
          </w:tcPr>
          <w:p>
            <w:pPr>
              <w:pStyle w:val="TableContents"/>
              <w:bidi w:val="0"/>
              <w:spacing w:before="0" w:after="283"/>
              <w:jc w:val="center"/>
              <w:rPr/>
            </w:pPr>
            <w:r>
              <w:rPr/>
              <w:t>0</w:t>
            </w:r>
          </w:p>
        </w:tc>
      </w:tr>
      <w:tr>
        <w:trPr/>
        <w:tc>
          <w:tcPr>
            <w:tcW w:w="1998" w:type="dxa"/>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623"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3084"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24"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508"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shd w:fill="FFFFFF" w:val="clear"/>
            <w:vAlign w:val="center"/>
          </w:tcPr>
          <w:p>
            <w:pPr>
              <w:pStyle w:val="TableContents"/>
              <w:bidi w:val="0"/>
              <w:spacing w:before="0" w:after="283"/>
              <w:jc w:val="left"/>
              <w:rPr>
                <w:sz w:val="4"/>
                <w:szCs w:val="4"/>
              </w:rPr>
            </w:pPr>
            <w:r>
              <w:rPr>
                <w:sz w:val="4"/>
                <w:szCs w:val="4"/>
              </w:rPr>
            </w:r>
          </w:p>
        </w:tc>
        <w:tc>
          <w:tcPr>
            <w:tcW w:w="1208" w:type="dxa"/>
            <w:gridSpan w:val="2"/>
            <w:tcBorders/>
            <w:vAlign w:val="center"/>
          </w:tcPr>
          <w:p>
            <w:pPr>
              <w:pStyle w:val="TableContents"/>
              <w:bidi w:val="0"/>
              <w:spacing w:before="0" w:after="283"/>
              <w:jc w:val="left"/>
              <w:rPr>
                <w:sz w:val="4"/>
                <w:szCs w:val="4"/>
              </w:rPr>
            </w:pPr>
            <w:r>
              <w:rPr>
                <w:sz w:val="4"/>
                <w:szCs w:val="4"/>
              </w:rPr>
            </w:r>
          </w:p>
        </w:tc>
      </w:tr>
      <w:tr>
        <w:trPr/>
        <w:tc>
          <w:tcPr>
            <w:tcW w:w="1998" w:type="dxa"/>
            <w:tcBorders>
              <w:bottom w:val="single" w:sz="8" w:space="0" w:color="003A5D"/>
            </w:tcBorders>
            <w:tcMar>
              <w:bottom w:w="40" w:type="dxa"/>
            </w:tcMar>
            <w:vAlign w:val="center"/>
          </w:tcPr>
          <w:p>
            <w:pPr>
              <w:pStyle w:val="TableContents"/>
              <w:bidi w:val="0"/>
              <w:spacing w:before="0" w:after="0"/>
              <w:jc w:val="left"/>
              <w:rPr/>
            </w:pPr>
            <w:r>
              <w:rPr/>
              <w:t> </w:t>
            </w:r>
            <w:r>
              <w:rPr>
                <w:rFonts w:ascii="arial" w:hAnsi="arial"/>
                <w:sz w:val="18"/>
              </w:rPr>
              <w:t>Peter Thomas Killalea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563" w:type="dxa"/>
            <w:tcBorders>
              <w:bottom w:val="single" w:sz="8" w:space="0" w:color="003A5D"/>
            </w:tcBorders>
            <w:tcMar>
              <w:bottom w:w="40" w:type="dxa"/>
            </w:tcMar>
            <w:vAlign w:val="center"/>
          </w:tcPr>
          <w:p>
            <w:pPr>
              <w:pStyle w:val="TableContents"/>
              <w:bidi w:val="0"/>
              <w:spacing w:before="0" w:after="283"/>
              <w:jc w:val="center"/>
              <w:rPr/>
            </w:pPr>
            <w:r>
              <w:rPr/>
              <w:t>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3024" w:type="dxa"/>
            <w:tcBorders>
              <w:bottom w:val="single" w:sz="8" w:space="0" w:color="003A5D"/>
            </w:tcBorders>
            <w:tcMar>
              <w:bottom w:w="40" w:type="dxa"/>
            </w:tcMar>
            <w:vAlign w:val="center"/>
          </w:tcPr>
          <w:p>
            <w:pPr>
              <w:pStyle w:val="TableContents"/>
              <w:bidi w:val="0"/>
              <w:spacing w:before="0" w:after="283"/>
              <w:jc w:val="left"/>
              <w:rPr/>
            </w:pPr>
            <w:r>
              <w:rPr/>
              <w:t>Former Vice President of Technology,</w:t>
              <w:br/>
              <w:t>Amazon.com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064" w:type="dxa"/>
            <w:tcBorders>
              <w:bottom w:val="single" w:sz="8" w:space="0" w:color="003A5D"/>
            </w:tcBorders>
            <w:tcMar>
              <w:bottom w:w="40" w:type="dxa"/>
            </w:tcMar>
            <w:vAlign w:val="center"/>
          </w:tcPr>
          <w:p>
            <w:pPr>
              <w:pStyle w:val="TableContents"/>
              <w:bidi w:val="0"/>
              <w:spacing w:before="0" w:after="283"/>
              <w:jc w:val="center"/>
              <w:rPr/>
            </w:pPr>
            <w:r>
              <w:rPr/>
              <w:t>2016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448" w:type="dxa"/>
            <w:tcBorders>
              <w:bottom w:val="single" w:sz="8" w:space="0" w:color="003A5D"/>
            </w:tcBorders>
            <w:tcMar>
              <w:bottom w:w="40" w:type="dxa"/>
            </w:tcMar>
            <w:vAlign w:val="center"/>
          </w:tcPr>
          <w:p>
            <w:pPr>
              <w:pStyle w:val="TableContents"/>
              <w:bidi w:val="0"/>
              <w:spacing w:before="0" w:after="283"/>
              <w:jc w:val="center"/>
              <w:rPr/>
            </w:pPr>
            <w:r>
              <w:rPr/>
              <w:t>Yes</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48" w:type="dxa"/>
            <w:tcBorders>
              <w:bottom w:val="single" w:sz="8" w:space="0" w:color="003A5D"/>
            </w:tcBorders>
            <w:tcMar>
              <w:bottom w:w="40" w:type="dxa"/>
            </w:tcMar>
            <w:vAlign w:val="center"/>
          </w:tcPr>
          <w:p>
            <w:pPr>
              <w:pStyle w:val="TableContents"/>
              <w:bidi w:val="0"/>
              <w:spacing w:before="0" w:after="283"/>
              <w:jc w:val="center"/>
              <w:rPr/>
            </w:pPr>
            <w:r>
              <w:rPr/>
              <w:t>3</w:t>
            </w:r>
          </w:p>
        </w:tc>
      </w:tr>
      <w:tr>
        <w:trPr/>
        <w:tc>
          <w:tcPr>
            <w:tcW w:w="1998" w:type="dxa"/>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623"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3084"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24"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508" w:type="dxa"/>
            <w:gridSpan w:val="2"/>
            <w:tcBorders/>
            <w:shd w:fill="E5EBEE" w:val="clear"/>
            <w:vAlign w:val="center"/>
          </w:tcPr>
          <w:p>
            <w:pPr>
              <w:pStyle w:val="TableContents"/>
              <w:bidi w:val="0"/>
              <w:spacing w:before="0" w:after="283"/>
              <w:jc w:val="left"/>
              <w:rPr>
                <w:sz w:val="4"/>
                <w:szCs w:val="4"/>
              </w:rPr>
            </w:pPr>
            <w:r>
              <w:rPr>
                <w:sz w:val="4"/>
                <w:szCs w:val="4"/>
              </w:rPr>
            </w:r>
          </w:p>
        </w:tc>
        <w:tc>
          <w:tcPr>
            <w:tcW w:w="180" w:type="dxa"/>
            <w:gridSpan w:val="2"/>
            <w:tcBorders/>
            <w:shd w:fill="FFFFFF" w:val="clear"/>
            <w:vAlign w:val="center"/>
          </w:tcPr>
          <w:p>
            <w:pPr>
              <w:pStyle w:val="TableContents"/>
              <w:bidi w:val="0"/>
              <w:spacing w:before="0" w:after="283"/>
              <w:jc w:val="left"/>
              <w:rPr>
                <w:sz w:val="4"/>
                <w:szCs w:val="4"/>
              </w:rPr>
            </w:pPr>
            <w:r>
              <w:rPr>
                <w:sz w:val="4"/>
                <w:szCs w:val="4"/>
              </w:rPr>
            </w:r>
          </w:p>
        </w:tc>
        <w:tc>
          <w:tcPr>
            <w:tcW w:w="1208"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1998" w:type="dxa"/>
            <w:tcBorders>
              <w:bottom w:val="single" w:sz="8" w:space="0" w:color="003A5D"/>
            </w:tcBorders>
            <w:shd w:fill="E5EBEE" w:val="clear"/>
            <w:tcMar>
              <w:bottom w:w="40" w:type="dxa"/>
            </w:tcMar>
            <w:vAlign w:val="center"/>
          </w:tcPr>
          <w:p>
            <w:pPr>
              <w:pStyle w:val="TableContents"/>
              <w:bidi w:val="0"/>
              <w:spacing w:before="0" w:after="0"/>
              <w:jc w:val="left"/>
              <w:rPr/>
            </w:pPr>
            <w:r>
              <w:rPr/>
              <w:t> </w:t>
            </w:r>
            <w:r>
              <w:rPr>
                <w:rFonts w:ascii="arial" w:hAnsi="arial"/>
                <w:sz w:val="18"/>
              </w:rPr>
              <w:t>Eli Leenaars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563" w:type="dxa"/>
            <w:tcBorders>
              <w:bottom w:val="single" w:sz="8" w:space="0" w:color="003A5D"/>
            </w:tcBorders>
            <w:shd w:fill="E5EBEE" w:val="clear"/>
            <w:tcMar>
              <w:bottom w:w="40" w:type="dxa"/>
            </w:tcMar>
            <w:vAlign w:val="center"/>
          </w:tcPr>
          <w:p>
            <w:pPr>
              <w:pStyle w:val="TableContents"/>
              <w:bidi w:val="0"/>
              <w:spacing w:before="0" w:after="283"/>
              <w:jc w:val="center"/>
              <w:rPr/>
            </w:pPr>
            <w:r>
              <w:rPr/>
              <w:t>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3024" w:type="dxa"/>
            <w:tcBorders>
              <w:bottom w:val="single" w:sz="8" w:space="0" w:color="003A5D"/>
            </w:tcBorders>
            <w:shd w:fill="E5EBEE" w:val="clear"/>
            <w:tcMar>
              <w:bottom w:w="40" w:type="dxa"/>
            </w:tcMar>
            <w:vAlign w:val="center"/>
          </w:tcPr>
          <w:p>
            <w:pPr>
              <w:pStyle w:val="TableContents"/>
              <w:bidi w:val="0"/>
              <w:spacing w:before="0" w:after="283"/>
              <w:jc w:val="left"/>
              <w:rPr/>
            </w:pPr>
            <w:r>
              <w:rPr/>
              <w:t>Former Group Chief Operating Officer,</w:t>
              <w:br/>
              <w:t>Quintet Private Bank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64" w:type="dxa"/>
            <w:tcBorders>
              <w:bottom w:val="single" w:sz="8" w:space="0" w:color="003A5D"/>
            </w:tcBorders>
            <w:shd w:fill="E5EBEE" w:val="clear"/>
            <w:tcMar>
              <w:bottom w:w="40" w:type="dxa"/>
            </w:tcMar>
            <w:vAlign w:val="center"/>
          </w:tcPr>
          <w:p>
            <w:pPr>
              <w:pStyle w:val="TableContents"/>
              <w:bidi w:val="0"/>
              <w:spacing w:before="0" w:after="283"/>
              <w:jc w:val="center"/>
              <w:rPr/>
            </w:pPr>
            <w:r>
              <w:rPr/>
              <w:t>2019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448" w:type="dxa"/>
            <w:tcBorders>
              <w:bottom w:val="single" w:sz="8" w:space="0" w:color="003A5D"/>
            </w:tcBorders>
            <w:shd w:fill="E5EBEE" w:val="clear"/>
            <w:tcMar>
              <w:bottom w:w="40" w:type="dxa"/>
            </w:tcMar>
            <w:vAlign w:val="center"/>
          </w:tcPr>
          <w:p>
            <w:pPr>
              <w:pStyle w:val="TableContents"/>
              <w:bidi w:val="0"/>
              <w:spacing w:before="0" w:after="283"/>
              <w:jc w:val="center"/>
              <w:rPr/>
            </w:pPr>
            <w:r>
              <w:rPr/>
              <w:t>Yes</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48" w:type="dxa"/>
            <w:tcBorders>
              <w:bottom w:val="single" w:sz="8" w:space="0" w:color="003A5D"/>
            </w:tcBorders>
            <w:shd w:fill="E5EBEE" w:val="clear"/>
            <w:tcMar>
              <w:bottom w:w="40" w:type="dxa"/>
            </w:tcMar>
            <w:vAlign w:val="center"/>
          </w:tcPr>
          <w:p>
            <w:pPr>
              <w:pStyle w:val="TableContents"/>
              <w:bidi w:val="0"/>
              <w:spacing w:before="0" w:after="283"/>
              <w:jc w:val="center"/>
              <w:rPr/>
            </w:pPr>
            <w:r>
              <w:rPr/>
              <w:t>0</w:t>
            </w:r>
          </w:p>
        </w:tc>
      </w:tr>
      <w:tr>
        <w:trPr/>
        <w:tc>
          <w:tcPr>
            <w:tcW w:w="1998" w:type="dxa"/>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623"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3084"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24"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508"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shd w:fill="FFFFFF" w:val="clear"/>
            <w:vAlign w:val="center"/>
          </w:tcPr>
          <w:p>
            <w:pPr>
              <w:pStyle w:val="TableContents"/>
              <w:bidi w:val="0"/>
              <w:spacing w:before="0" w:after="283"/>
              <w:jc w:val="left"/>
              <w:rPr>
                <w:sz w:val="4"/>
                <w:szCs w:val="4"/>
              </w:rPr>
            </w:pPr>
            <w:r>
              <w:rPr>
                <w:sz w:val="4"/>
                <w:szCs w:val="4"/>
              </w:rPr>
            </w:r>
          </w:p>
        </w:tc>
        <w:tc>
          <w:tcPr>
            <w:tcW w:w="1208" w:type="dxa"/>
            <w:gridSpan w:val="2"/>
            <w:tcBorders/>
            <w:vAlign w:val="center"/>
          </w:tcPr>
          <w:p>
            <w:pPr>
              <w:pStyle w:val="TableContents"/>
              <w:bidi w:val="0"/>
              <w:spacing w:before="0" w:after="283"/>
              <w:jc w:val="left"/>
              <w:rPr>
                <w:sz w:val="4"/>
                <w:szCs w:val="4"/>
              </w:rPr>
            </w:pPr>
            <w:r>
              <w:rPr>
                <w:sz w:val="4"/>
                <w:szCs w:val="4"/>
              </w:rPr>
            </w:r>
          </w:p>
        </w:tc>
      </w:tr>
      <w:tr>
        <w:trPr/>
        <w:tc>
          <w:tcPr>
            <w:tcW w:w="1998" w:type="dxa"/>
            <w:tcBorders>
              <w:bottom w:val="single" w:sz="8" w:space="0" w:color="003A5D"/>
            </w:tcBorders>
            <w:tcMar>
              <w:bottom w:w="40" w:type="dxa"/>
            </w:tcMar>
            <w:vAlign w:val="center"/>
          </w:tcPr>
          <w:p>
            <w:pPr>
              <w:pStyle w:val="TableContents"/>
              <w:bidi w:val="0"/>
              <w:spacing w:before="0" w:after="0"/>
              <w:jc w:val="left"/>
              <w:rPr/>
            </w:pPr>
            <w:r>
              <w:rPr/>
              <w:t> </w:t>
            </w:r>
            <w:r>
              <w:rPr>
                <w:rFonts w:ascii="arial" w:hAnsi="arial"/>
                <w:sz w:val="18"/>
              </w:rPr>
              <w:t>François Locoh-Donou</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563" w:type="dxa"/>
            <w:tcBorders>
              <w:bottom w:val="single" w:sz="8" w:space="0" w:color="003A5D"/>
            </w:tcBorders>
            <w:tcMar>
              <w:bottom w:w="40" w:type="dxa"/>
            </w:tcMar>
            <w:vAlign w:val="center"/>
          </w:tcPr>
          <w:p>
            <w:pPr>
              <w:pStyle w:val="TableContents"/>
              <w:bidi w:val="0"/>
              <w:spacing w:before="0" w:after="283"/>
              <w:jc w:val="center"/>
              <w:rPr/>
            </w:pPr>
            <w:r>
              <w:rPr/>
              <w:t>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3024" w:type="dxa"/>
            <w:tcBorders>
              <w:bottom w:val="single" w:sz="8" w:space="0" w:color="003A5D"/>
            </w:tcBorders>
            <w:tcMar>
              <w:bottom w:w="40" w:type="dxa"/>
            </w:tcMar>
            <w:vAlign w:val="center"/>
          </w:tcPr>
          <w:p>
            <w:pPr>
              <w:pStyle w:val="TableContents"/>
              <w:bidi w:val="0"/>
              <w:spacing w:before="0" w:after="283"/>
              <w:jc w:val="left"/>
              <w:rPr/>
            </w:pPr>
            <w:r>
              <w:rPr/>
              <w:t>President, Chief Executive Officer, and</w:t>
              <w:br/>
              <w:t>Director, F5 Networks, Inc.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064" w:type="dxa"/>
            <w:tcBorders>
              <w:bottom w:val="single" w:sz="8" w:space="0" w:color="003A5D"/>
            </w:tcBorders>
            <w:tcMar>
              <w:bottom w:w="40" w:type="dxa"/>
            </w:tcMar>
            <w:vAlign w:val="center"/>
          </w:tcPr>
          <w:p>
            <w:pPr>
              <w:pStyle w:val="TableContents"/>
              <w:bidi w:val="0"/>
              <w:spacing w:before="0" w:after="283"/>
              <w:jc w:val="center"/>
              <w:rPr/>
            </w:pPr>
            <w:r>
              <w:rPr/>
              <w:t>2019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448" w:type="dxa"/>
            <w:tcBorders>
              <w:bottom w:val="single" w:sz="8" w:space="0" w:color="003A5D"/>
            </w:tcBorders>
            <w:tcMar>
              <w:bottom w:w="40" w:type="dxa"/>
            </w:tcMar>
            <w:vAlign w:val="center"/>
          </w:tcPr>
          <w:p>
            <w:pPr>
              <w:pStyle w:val="TableContents"/>
              <w:bidi w:val="0"/>
              <w:spacing w:before="0" w:after="283"/>
              <w:jc w:val="center"/>
              <w:rPr/>
            </w:pPr>
            <w:r>
              <w:rPr/>
              <w:t>Yes</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48" w:type="dxa"/>
            <w:tcBorders>
              <w:bottom w:val="single" w:sz="8" w:space="0" w:color="003A5D"/>
            </w:tcBorders>
            <w:tcMar>
              <w:bottom w:w="40" w:type="dxa"/>
            </w:tcMar>
            <w:vAlign w:val="center"/>
          </w:tcPr>
          <w:p>
            <w:pPr>
              <w:pStyle w:val="TableContents"/>
              <w:bidi w:val="0"/>
              <w:spacing w:before="0" w:after="283"/>
              <w:jc w:val="center"/>
              <w:rPr/>
            </w:pPr>
            <w:r>
              <w:rPr/>
              <w:t>1</w:t>
            </w:r>
          </w:p>
        </w:tc>
      </w:tr>
      <w:tr>
        <w:trPr/>
        <w:tc>
          <w:tcPr>
            <w:tcW w:w="1998" w:type="dxa"/>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623"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3084"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24"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508" w:type="dxa"/>
            <w:gridSpan w:val="2"/>
            <w:tcBorders/>
            <w:shd w:fill="E5EBEE" w:val="clear"/>
            <w:vAlign w:val="center"/>
          </w:tcPr>
          <w:p>
            <w:pPr>
              <w:pStyle w:val="TableContents"/>
              <w:bidi w:val="0"/>
              <w:spacing w:before="0" w:after="283"/>
              <w:jc w:val="left"/>
              <w:rPr>
                <w:sz w:val="4"/>
                <w:szCs w:val="4"/>
              </w:rPr>
            </w:pPr>
            <w:r>
              <w:rPr>
                <w:sz w:val="4"/>
                <w:szCs w:val="4"/>
              </w:rPr>
            </w:r>
          </w:p>
        </w:tc>
        <w:tc>
          <w:tcPr>
            <w:tcW w:w="180" w:type="dxa"/>
            <w:gridSpan w:val="2"/>
            <w:tcBorders/>
            <w:shd w:fill="FFFFFF" w:val="clear"/>
            <w:vAlign w:val="center"/>
          </w:tcPr>
          <w:p>
            <w:pPr>
              <w:pStyle w:val="TableContents"/>
              <w:bidi w:val="0"/>
              <w:spacing w:before="0" w:after="283"/>
              <w:jc w:val="left"/>
              <w:rPr>
                <w:sz w:val="4"/>
                <w:szCs w:val="4"/>
              </w:rPr>
            </w:pPr>
            <w:r>
              <w:rPr>
                <w:sz w:val="4"/>
                <w:szCs w:val="4"/>
              </w:rPr>
            </w:r>
          </w:p>
        </w:tc>
        <w:tc>
          <w:tcPr>
            <w:tcW w:w="1208"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1998" w:type="dxa"/>
            <w:tcBorders>
              <w:bottom w:val="single" w:sz="8" w:space="0" w:color="003A5D"/>
            </w:tcBorders>
            <w:shd w:fill="E5EBEE" w:val="clear"/>
            <w:tcMar>
              <w:bottom w:w="40" w:type="dxa"/>
            </w:tcMar>
            <w:vAlign w:val="center"/>
          </w:tcPr>
          <w:p>
            <w:pPr>
              <w:pStyle w:val="TableContents"/>
              <w:bidi w:val="0"/>
              <w:spacing w:before="0" w:after="0"/>
              <w:jc w:val="left"/>
              <w:rPr/>
            </w:pPr>
            <w:r>
              <w:rPr/>
              <w:t> </w:t>
            </w:r>
            <w:r>
              <w:rPr>
                <w:rFonts w:ascii="arial" w:hAnsi="arial"/>
                <w:sz w:val="18"/>
              </w:rPr>
              <w:t>Peter E. Raskind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563" w:type="dxa"/>
            <w:tcBorders>
              <w:bottom w:val="single" w:sz="8" w:space="0" w:color="003A5D"/>
            </w:tcBorders>
            <w:shd w:fill="E5EBEE" w:val="clear"/>
            <w:tcMar>
              <w:bottom w:w="40" w:type="dxa"/>
            </w:tcMar>
            <w:vAlign w:val="center"/>
          </w:tcPr>
          <w:p>
            <w:pPr>
              <w:pStyle w:val="TableContents"/>
              <w:bidi w:val="0"/>
              <w:spacing w:before="0" w:after="283"/>
              <w:jc w:val="center"/>
              <w:rPr/>
            </w:pPr>
            <w:r>
              <w:rPr/>
              <w:t>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3024" w:type="dxa"/>
            <w:tcBorders>
              <w:bottom w:val="single" w:sz="8" w:space="0" w:color="003A5D"/>
            </w:tcBorders>
            <w:shd w:fill="E5EBEE" w:val="clear"/>
            <w:tcMar>
              <w:bottom w:w="40" w:type="dxa"/>
            </w:tcMar>
            <w:vAlign w:val="center"/>
          </w:tcPr>
          <w:p>
            <w:pPr>
              <w:pStyle w:val="TableContents"/>
              <w:bidi w:val="0"/>
              <w:spacing w:before="0" w:after="283"/>
              <w:jc w:val="left"/>
              <w:rPr/>
            </w:pPr>
            <w:r>
              <w:rPr/>
              <w:t>Former Chairman, President and Chief</w:t>
              <w:br/>
              <w:t>Executive Officer, National City Corporation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64" w:type="dxa"/>
            <w:tcBorders>
              <w:bottom w:val="single" w:sz="8" w:space="0" w:color="003A5D"/>
            </w:tcBorders>
            <w:shd w:fill="E5EBEE" w:val="clear"/>
            <w:tcMar>
              <w:bottom w:w="40" w:type="dxa"/>
            </w:tcMar>
            <w:vAlign w:val="center"/>
          </w:tcPr>
          <w:p>
            <w:pPr>
              <w:pStyle w:val="TableContents"/>
              <w:bidi w:val="0"/>
              <w:spacing w:before="0" w:after="283"/>
              <w:jc w:val="center"/>
              <w:rPr/>
            </w:pPr>
            <w:r>
              <w:rPr/>
              <w:t>2012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448" w:type="dxa"/>
            <w:tcBorders>
              <w:bottom w:val="single" w:sz="8" w:space="0" w:color="003A5D"/>
            </w:tcBorders>
            <w:shd w:fill="E5EBEE" w:val="clear"/>
            <w:tcMar>
              <w:bottom w:w="40" w:type="dxa"/>
            </w:tcMar>
            <w:vAlign w:val="center"/>
          </w:tcPr>
          <w:p>
            <w:pPr>
              <w:pStyle w:val="TableContents"/>
              <w:bidi w:val="0"/>
              <w:spacing w:before="0" w:after="283"/>
              <w:jc w:val="center"/>
              <w:rPr/>
            </w:pPr>
            <w:r>
              <w:rPr/>
              <w:t>Yes</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48" w:type="dxa"/>
            <w:tcBorders>
              <w:bottom w:val="single" w:sz="8" w:space="0" w:color="003A5D"/>
            </w:tcBorders>
            <w:shd w:fill="E5EBEE" w:val="clear"/>
            <w:tcMar>
              <w:bottom w:w="40" w:type="dxa"/>
            </w:tcMar>
            <w:vAlign w:val="center"/>
          </w:tcPr>
          <w:p>
            <w:pPr>
              <w:pStyle w:val="TableContents"/>
              <w:bidi w:val="0"/>
              <w:spacing w:before="0" w:after="283"/>
              <w:jc w:val="center"/>
              <w:rPr/>
            </w:pPr>
            <w:r>
              <w:rPr/>
              <w:t>0</w:t>
            </w:r>
          </w:p>
        </w:tc>
      </w:tr>
      <w:tr>
        <w:trPr/>
        <w:tc>
          <w:tcPr>
            <w:tcW w:w="1998" w:type="dxa"/>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623"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3084"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24"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508"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shd w:fill="FFFFFF" w:val="clear"/>
            <w:vAlign w:val="center"/>
          </w:tcPr>
          <w:p>
            <w:pPr>
              <w:pStyle w:val="TableContents"/>
              <w:bidi w:val="0"/>
              <w:spacing w:before="0" w:after="283"/>
              <w:jc w:val="left"/>
              <w:rPr>
                <w:sz w:val="4"/>
                <w:szCs w:val="4"/>
              </w:rPr>
            </w:pPr>
            <w:r>
              <w:rPr>
                <w:sz w:val="4"/>
                <w:szCs w:val="4"/>
              </w:rPr>
            </w:r>
          </w:p>
        </w:tc>
        <w:tc>
          <w:tcPr>
            <w:tcW w:w="1208" w:type="dxa"/>
            <w:gridSpan w:val="2"/>
            <w:tcBorders/>
            <w:vAlign w:val="center"/>
          </w:tcPr>
          <w:p>
            <w:pPr>
              <w:pStyle w:val="TableContents"/>
              <w:bidi w:val="0"/>
              <w:spacing w:before="0" w:after="283"/>
              <w:jc w:val="left"/>
              <w:rPr>
                <w:sz w:val="4"/>
                <w:szCs w:val="4"/>
              </w:rPr>
            </w:pPr>
            <w:r>
              <w:rPr>
                <w:sz w:val="4"/>
                <w:szCs w:val="4"/>
              </w:rPr>
            </w:r>
          </w:p>
        </w:tc>
      </w:tr>
      <w:tr>
        <w:trPr/>
        <w:tc>
          <w:tcPr>
            <w:tcW w:w="1998" w:type="dxa"/>
            <w:tcBorders>
              <w:bottom w:val="single" w:sz="8" w:space="0" w:color="003A5D"/>
            </w:tcBorders>
            <w:tcMar>
              <w:bottom w:w="40" w:type="dxa"/>
            </w:tcMar>
            <w:vAlign w:val="center"/>
          </w:tcPr>
          <w:p>
            <w:pPr>
              <w:pStyle w:val="TableContents"/>
              <w:bidi w:val="0"/>
              <w:spacing w:before="0" w:after="0"/>
              <w:jc w:val="left"/>
              <w:rPr/>
            </w:pPr>
            <w:r>
              <w:rPr/>
              <w:t> </w:t>
            </w:r>
            <w:r>
              <w:rPr>
                <w:rFonts w:ascii="arial" w:hAnsi="arial"/>
                <w:sz w:val="18"/>
              </w:rPr>
              <w:t>Eileen Serra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563" w:type="dxa"/>
            <w:tcBorders>
              <w:bottom w:val="single" w:sz="8" w:space="0" w:color="003A5D"/>
            </w:tcBorders>
            <w:tcMar>
              <w:bottom w:w="40" w:type="dxa"/>
            </w:tcMar>
            <w:vAlign w:val="center"/>
          </w:tcPr>
          <w:p>
            <w:pPr>
              <w:pStyle w:val="TableContents"/>
              <w:bidi w:val="0"/>
              <w:spacing w:before="0" w:after="283"/>
              <w:jc w:val="center"/>
              <w:rPr/>
            </w:pPr>
            <w:r>
              <w:rPr/>
              <w:t>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3024" w:type="dxa"/>
            <w:tcBorders>
              <w:bottom w:val="single" w:sz="8" w:space="0" w:color="003A5D"/>
            </w:tcBorders>
            <w:tcMar>
              <w:bottom w:w="40" w:type="dxa"/>
            </w:tcMar>
            <w:vAlign w:val="center"/>
          </w:tcPr>
          <w:p>
            <w:pPr>
              <w:pStyle w:val="TableContents"/>
              <w:bidi w:val="0"/>
              <w:spacing w:before="0" w:after="283"/>
              <w:jc w:val="left"/>
              <w:rPr/>
            </w:pPr>
            <w:r>
              <w:rPr/>
              <w:t>Former Senior Advisor, JP Morgan Chase &amp;</w:t>
              <w:br/>
              <w:t>Co.; Former Chief Executive Officer, Chase</w:t>
              <w:br/>
              <w:t>Card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064" w:type="dxa"/>
            <w:tcBorders>
              <w:bottom w:val="single" w:sz="8" w:space="0" w:color="003A5D"/>
            </w:tcBorders>
            <w:tcMar>
              <w:bottom w:w="40" w:type="dxa"/>
            </w:tcMar>
            <w:vAlign w:val="center"/>
          </w:tcPr>
          <w:p>
            <w:pPr>
              <w:pStyle w:val="TableContents"/>
              <w:bidi w:val="0"/>
              <w:spacing w:before="0" w:after="283"/>
              <w:jc w:val="center"/>
              <w:rPr/>
            </w:pPr>
            <w:r>
              <w:rPr/>
              <w:t>2020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448" w:type="dxa"/>
            <w:tcBorders>
              <w:bottom w:val="single" w:sz="8" w:space="0" w:color="003A5D"/>
            </w:tcBorders>
            <w:tcMar>
              <w:bottom w:w="40" w:type="dxa"/>
            </w:tcMar>
            <w:vAlign w:val="center"/>
          </w:tcPr>
          <w:p>
            <w:pPr>
              <w:pStyle w:val="TableContents"/>
              <w:bidi w:val="0"/>
              <w:spacing w:before="0" w:after="283"/>
              <w:jc w:val="center"/>
              <w:rPr/>
            </w:pPr>
            <w:r>
              <w:rPr/>
              <w:t>Yes</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48" w:type="dxa"/>
            <w:tcBorders>
              <w:bottom w:val="single" w:sz="8" w:space="0" w:color="003A5D"/>
            </w:tcBorders>
            <w:tcMar>
              <w:bottom w:w="40" w:type="dxa"/>
            </w:tcMar>
            <w:vAlign w:val="center"/>
          </w:tcPr>
          <w:p>
            <w:pPr>
              <w:pStyle w:val="TableContents"/>
              <w:bidi w:val="0"/>
              <w:spacing w:before="0" w:after="283"/>
              <w:jc w:val="center"/>
              <w:rPr/>
            </w:pPr>
            <w:r>
              <w:rPr/>
              <w:t>1</w:t>
            </w:r>
          </w:p>
        </w:tc>
      </w:tr>
      <w:tr>
        <w:trPr/>
        <w:tc>
          <w:tcPr>
            <w:tcW w:w="1998" w:type="dxa"/>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623"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3084"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24"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508" w:type="dxa"/>
            <w:gridSpan w:val="2"/>
            <w:tcBorders/>
            <w:shd w:fill="E5EBEE" w:val="clear"/>
            <w:vAlign w:val="center"/>
          </w:tcPr>
          <w:p>
            <w:pPr>
              <w:pStyle w:val="TableContents"/>
              <w:bidi w:val="0"/>
              <w:spacing w:before="0" w:after="283"/>
              <w:jc w:val="left"/>
              <w:rPr>
                <w:sz w:val="4"/>
                <w:szCs w:val="4"/>
              </w:rPr>
            </w:pPr>
            <w:r>
              <w:rPr>
                <w:sz w:val="4"/>
                <w:szCs w:val="4"/>
              </w:rPr>
            </w:r>
          </w:p>
        </w:tc>
        <w:tc>
          <w:tcPr>
            <w:tcW w:w="180" w:type="dxa"/>
            <w:gridSpan w:val="2"/>
            <w:tcBorders/>
            <w:shd w:fill="FFFFFF" w:val="clear"/>
            <w:vAlign w:val="center"/>
          </w:tcPr>
          <w:p>
            <w:pPr>
              <w:pStyle w:val="TableContents"/>
              <w:bidi w:val="0"/>
              <w:spacing w:before="0" w:after="283"/>
              <w:jc w:val="left"/>
              <w:rPr>
                <w:sz w:val="4"/>
                <w:szCs w:val="4"/>
              </w:rPr>
            </w:pPr>
            <w:r>
              <w:rPr>
                <w:sz w:val="4"/>
                <w:szCs w:val="4"/>
              </w:rPr>
            </w:r>
          </w:p>
        </w:tc>
        <w:tc>
          <w:tcPr>
            <w:tcW w:w="1208"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1998" w:type="dxa"/>
            <w:tcBorders>
              <w:bottom w:val="single" w:sz="8" w:space="0" w:color="003A5D"/>
            </w:tcBorders>
            <w:shd w:fill="E5EBEE" w:val="clear"/>
            <w:tcMar>
              <w:bottom w:w="40" w:type="dxa"/>
            </w:tcMar>
            <w:vAlign w:val="center"/>
          </w:tcPr>
          <w:p>
            <w:pPr>
              <w:pStyle w:val="TableContents"/>
              <w:bidi w:val="0"/>
              <w:spacing w:before="0" w:after="0"/>
              <w:jc w:val="left"/>
              <w:rPr/>
            </w:pPr>
            <w:r>
              <w:rPr/>
              <w:t> </w:t>
            </w:r>
            <w:r>
              <w:rPr>
                <w:rFonts w:ascii="arial" w:hAnsi="arial"/>
                <w:sz w:val="18"/>
              </w:rPr>
              <w:t>Mayo A. Shattuck III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563" w:type="dxa"/>
            <w:tcBorders>
              <w:bottom w:val="single" w:sz="8" w:space="0" w:color="003A5D"/>
            </w:tcBorders>
            <w:shd w:fill="E5EBEE" w:val="clear"/>
            <w:tcMar>
              <w:bottom w:w="40" w:type="dxa"/>
            </w:tcMar>
            <w:vAlign w:val="center"/>
          </w:tcPr>
          <w:p>
            <w:pPr>
              <w:pStyle w:val="TableContents"/>
              <w:bidi w:val="0"/>
              <w:spacing w:before="0" w:after="283"/>
              <w:jc w:val="center"/>
              <w:rPr/>
            </w:pPr>
            <w:r>
              <w:rPr/>
              <w:t>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3024" w:type="dxa"/>
            <w:tcBorders>
              <w:bottom w:val="single" w:sz="8" w:space="0" w:color="003A5D"/>
            </w:tcBorders>
            <w:shd w:fill="E5EBEE" w:val="clear"/>
            <w:tcMar>
              <w:bottom w:w="40" w:type="dxa"/>
            </w:tcMar>
            <w:vAlign w:val="center"/>
          </w:tcPr>
          <w:p>
            <w:pPr>
              <w:pStyle w:val="TableContents"/>
              <w:bidi w:val="0"/>
              <w:spacing w:before="0" w:after="0"/>
              <w:jc w:val="left"/>
              <w:rPr>
                <w:rFonts w:ascii="arial" w:hAnsi="arial"/>
                <w:sz w:val="18"/>
              </w:rPr>
            </w:pPr>
            <w:r>
              <w:rPr>
                <w:rFonts w:ascii="arial" w:hAnsi="arial"/>
                <w:sz w:val="18"/>
              </w:rPr>
              <w:t>Former Chairman, Exelon Corporation;</w:t>
            </w:r>
          </w:p>
          <w:p>
            <w:pPr>
              <w:pStyle w:val="TableContents"/>
              <w:bidi w:val="0"/>
              <w:spacing w:before="0" w:after="20"/>
              <w:jc w:val="left"/>
              <w:rPr>
                <w:rFonts w:ascii="arial" w:hAnsi="arial"/>
                <w:sz w:val="18"/>
              </w:rPr>
            </w:pPr>
            <w:r>
              <w:rPr>
                <w:rFonts w:ascii="arial" w:hAnsi="arial"/>
                <w:sz w:val="18"/>
              </w:rPr>
              <w:t>Former Chairman, President and Chief</w:t>
              <w:br/>
              <w:t>Executive Officer, Constellation Energy</w:t>
              <w:br/>
              <w:t>Group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64" w:type="dxa"/>
            <w:tcBorders>
              <w:bottom w:val="single" w:sz="8" w:space="0" w:color="003A5D"/>
            </w:tcBorders>
            <w:shd w:fill="E5EBEE" w:val="clear"/>
            <w:tcMar>
              <w:bottom w:w="40" w:type="dxa"/>
            </w:tcMar>
            <w:vAlign w:val="center"/>
          </w:tcPr>
          <w:p>
            <w:pPr>
              <w:pStyle w:val="TableContents"/>
              <w:bidi w:val="0"/>
              <w:spacing w:before="0" w:after="283"/>
              <w:jc w:val="center"/>
              <w:rPr/>
            </w:pPr>
            <w:r>
              <w:rPr/>
              <w:t>2003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448" w:type="dxa"/>
            <w:tcBorders>
              <w:bottom w:val="single" w:sz="8" w:space="0" w:color="003A5D"/>
            </w:tcBorders>
            <w:shd w:fill="E5EBEE" w:val="clear"/>
            <w:tcMar>
              <w:bottom w:w="40" w:type="dxa"/>
            </w:tcMar>
            <w:vAlign w:val="center"/>
          </w:tcPr>
          <w:p>
            <w:pPr>
              <w:pStyle w:val="TableContents"/>
              <w:bidi w:val="0"/>
              <w:spacing w:before="0" w:after="283"/>
              <w:jc w:val="center"/>
              <w:rPr/>
            </w:pPr>
            <w:r>
              <w:rPr/>
              <w:t>Yes</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48" w:type="dxa"/>
            <w:tcBorders>
              <w:bottom w:val="single" w:sz="8" w:space="0" w:color="003A5D"/>
            </w:tcBorders>
            <w:shd w:fill="E5EBEE" w:val="clear"/>
            <w:tcMar>
              <w:bottom w:w="40" w:type="dxa"/>
            </w:tcMar>
            <w:vAlign w:val="center"/>
          </w:tcPr>
          <w:p>
            <w:pPr>
              <w:pStyle w:val="TableContents"/>
              <w:bidi w:val="0"/>
              <w:spacing w:before="0" w:after="283"/>
              <w:jc w:val="center"/>
              <w:rPr/>
            </w:pPr>
            <w:r>
              <w:rPr/>
              <w:t>2</w:t>
            </w:r>
          </w:p>
        </w:tc>
      </w:tr>
      <w:tr>
        <w:trPr/>
        <w:tc>
          <w:tcPr>
            <w:tcW w:w="1998" w:type="dxa"/>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623"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3084"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24"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508"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shd w:fill="FFFFFF" w:val="clear"/>
            <w:vAlign w:val="center"/>
          </w:tcPr>
          <w:p>
            <w:pPr>
              <w:pStyle w:val="TableContents"/>
              <w:bidi w:val="0"/>
              <w:spacing w:before="0" w:after="283"/>
              <w:jc w:val="left"/>
              <w:rPr>
                <w:sz w:val="4"/>
                <w:szCs w:val="4"/>
              </w:rPr>
            </w:pPr>
            <w:r>
              <w:rPr>
                <w:sz w:val="4"/>
                <w:szCs w:val="4"/>
              </w:rPr>
            </w:r>
          </w:p>
        </w:tc>
        <w:tc>
          <w:tcPr>
            <w:tcW w:w="1208" w:type="dxa"/>
            <w:gridSpan w:val="2"/>
            <w:tcBorders/>
            <w:vAlign w:val="center"/>
          </w:tcPr>
          <w:p>
            <w:pPr>
              <w:pStyle w:val="TableContents"/>
              <w:bidi w:val="0"/>
              <w:spacing w:before="0" w:after="283"/>
              <w:jc w:val="left"/>
              <w:rPr>
                <w:sz w:val="4"/>
                <w:szCs w:val="4"/>
              </w:rPr>
            </w:pPr>
            <w:r>
              <w:rPr>
                <w:sz w:val="4"/>
                <w:szCs w:val="4"/>
              </w:rPr>
            </w:r>
          </w:p>
        </w:tc>
      </w:tr>
      <w:tr>
        <w:trPr/>
        <w:tc>
          <w:tcPr>
            <w:tcW w:w="1998" w:type="dxa"/>
            <w:tcBorders>
              <w:bottom w:val="single" w:sz="8" w:space="0" w:color="003A5D"/>
            </w:tcBorders>
            <w:tcMar>
              <w:bottom w:w="28" w:type="dxa"/>
            </w:tcMar>
            <w:vAlign w:val="center"/>
          </w:tcPr>
          <w:p>
            <w:pPr>
              <w:pStyle w:val="TableContents"/>
              <w:bidi w:val="0"/>
              <w:spacing w:before="0" w:after="0"/>
              <w:jc w:val="left"/>
              <w:rPr/>
            </w:pPr>
            <w:r>
              <w:rPr/>
              <w:t> </w:t>
            </w:r>
            <w:r>
              <w:rPr>
                <w:rFonts w:ascii="arial" w:hAnsi="arial"/>
                <w:sz w:val="18"/>
              </w:rPr>
              <w:t>Craig Anthony Williams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563" w:type="dxa"/>
            <w:tcBorders>
              <w:bottom w:val="single" w:sz="8" w:space="0" w:color="003A5D"/>
            </w:tcBorders>
            <w:tcMar>
              <w:bottom w:w="28" w:type="dxa"/>
            </w:tcMar>
            <w:vAlign w:val="center"/>
          </w:tcPr>
          <w:p>
            <w:pPr>
              <w:pStyle w:val="TableContents"/>
              <w:bidi w:val="0"/>
              <w:spacing w:before="0" w:after="283"/>
              <w:jc w:val="center"/>
              <w:rPr/>
            </w:pPr>
            <w:r>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3024" w:type="dxa"/>
            <w:tcBorders>
              <w:bottom w:val="single" w:sz="8" w:space="0" w:color="003A5D"/>
            </w:tcBorders>
            <w:tcMar>
              <w:bottom w:w="28" w:type="dxa"/>
            </w:tcMar>
            <w:vAlign w:val="center"/>
          </w:tcPr>
          <w:p>
            <w:pPr>
              <w:pStyle w:val="TableContents"/>
              <w:bidi w:val="0"/>
              <w:spacing w:before="0" w:after="283"/>
              <w:jc w:val="left"/>
              <w:rPr/>
            </w:pPr>
            <w:r>
              <w:rPr/>
              <w:t>President, Geographies and Marketplace at</w:t>
              <w:br/>
              <w:t>NIKE, Inc.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064" w:type="dxa"/>
            <w:tcBorders>
              <w:bottom w:val="single" w:sz="8" w:space="0" w:color="003A5D"/>
            </w:tcBorders>
            <w:tcMar>
              <w:bottom w:w="28" w:type="dxa"/>
            </w:tcMar>
            <w:vAlign w:val="center"/>
          </w:tcPr>
          <w:p>
            <w:pPr>
              <w:pStyle w:val="TableContents"/>
              <w:bidi w:val="0"/>
              <w:spacing w:before="0" w:after="283"/>
              <w:jc w:val="center"/>
              <w:rPr/>
            </w:pPr>
            <w:r>
              <w:rPr/>
              <w:t>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448" w:type="dxa"/>
            <w:tcBorders>
              <w:bottom w:val="single" w:sz="8" w:space="0" w:color="003A5D"/>
            </w:tcBorders>
            <w:tcMar>
              <w:bottom w:w="28" w:type="dxa"/>
            </w:tcMar>
            <w:vAlign w:val="center"/>
          </w:tcPr>
          <w:p>
            <w:pPr>
              <w:pStyle w:val="TableContents"/>
              <w:bidi w:val="0"/>
              <w:spacing w:before="0" w:after="283"/>
              <w:jc w:val="center"/>
              <w:rPr/>
            </w:pPr>
            <w:r>
              <w:rPr/>
              <w:t>Yes</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48" w:type="dxa"/>
            <w:tcBorders>
              <w:bottom w:val="single" w:sz="8" w:space="0" w:color="003A5D"/>
            </w:tcBorders>
            <w:tcMar>
              <w:bottom w:w="28" w:type="dxa"/>
            </w:tcMar>
            <w:vAlign w:val="center"/>
          </w:tcPr>
          <w:p>
            <w:pPr>
              <w:pStyle w:val="TableContents"/>
              <w:bidi w:val="0"/>
              <w:spacing w:before="0" w:after="283"/>
              <w:jc w:val="center"/>
              <w:rPr/>
            </w:pPr>
            <w:r>
              <w:rPr/>
              <w:t>0</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(1)</w:t>
            </w:r>
          </w:p>
        </w:tc>
        <w:tc>
          <w:tcPr>
            <w:tcW w:w="9930" w:type="dxa"/>
            <w:tcBorders/>
            <w:vAlign w:val="center"/>
          </w:tcPr>
          <w:p>
            <w:pPr>
              <w:pStyle w:val="TableContents"/>
              <w:bidi w:val="0"/>
              <w:spacing w:before="0" w:after="0"/>
              <w:jc w:val="both"/>
              <w:rPr>
                <w:rFonts w:ascii="arial" w:hAnsi="arial"/>
                <w:sz w:val="16"/>
              </w:rPr>
            </w:pPr>
            <w:r>
              <w:rPr>
                <w:rFonts w:ascii="arial" w:hAnsi="arial"/>
                <w:sz w:val="16"/>
              </w:rPr>
              <w:t xml:space="preserve">Each nominee also serves on the Board of Directors of Capital One, National Association, our principal operating subsidiary. Mr. Fairbank serves as Chair of the Board of Directors of Capital One, National Association.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0"/>
              <w:jc w:val="both"/>
              <w:rPr>
                <w:rFonts w:ascii="arial" w:hAnsi="arial"/>
                <w:sz w:val="16"/>
              </w:rPr>
            </w:pPr>
            <w:r>
              <w:rPr>
                <w:rFonts w:ascii="arial" w:hAnsi="arial"/>
                <w:sz w:val="16"/>
              </w:rPr>
              <w:t xml:space="preserve">Capital One’s Corporate Governance Guidelines limit the number of public company boards on which our directors may serve to four boards (including the Capital One Board) for non-executive directors, and two boards (including the Capital One Board) for executive officer directors.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 </w:t>
      </w:r>
    </w:p>
    <w:p>
      <w:pPr>
        <w:pStyle w:val="TextBody"/>
        <w:bidi w:val="0"/>
        <w:spacing w:before="120" w:after="0"/>
        <w:jc w:val="center"/>
        <w:rPr>
          <w:rFonts w:ascii="arial" w:hAnsi="arial"/>
          <w:b/>
          <w:sz w:val="20"/>
        </w:rPr>
      </w:pPr>
      <w:r>
        <w:rPr>
          <w:rFonts w:ascii="arial" w:hAnsi="arial"/>
          <w:b/>
          <w:sz w:val="20"/>
        </w:rPr>
        <w:t xml:space="preserve">The Board unanimously recommends that you vote “FOR” each of these director nominees.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11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660" w:type="dxa"/>
        <w:jc w:val="left"/>
        <w:tblInd w:w="0" w:type="dxa"/>
        <w:tblLayout w:type="fixed"/>
        <w:tblCellMar>
          <w:top w:w="0" w:type="dxa"/>
          <w:left w:w="0" w:type="dxa"/>
          <w:bottom w:w="0" w:type="dxa"/>
          <w:right w:w="0" w:type="dxa"/>
        </w:tblCellMar>
      </w:tblPr>
      <w:tblGrid>
        <w:gridCol w:w="5660"/>
      </w:tblGrid>
      <w:tr>
        <w:trPr/>
        <w:tc>
          <w:tcPr>
            <w:tcW w:w="5660" w:type="dxa"/>
            <w:tcBorders/>
            <w:vAlign w:val="center"/>
          </w:tcPr>
          <w:p>
            <w:pPr>
              <w:pStyle w:val="TableContents"/>
              <w:bidi w:val="0"/>
              <w:spacing w:before="0" w:after="283"/>
              <w:jc w:val="left"/>
              <w:rPr>
                <w:sz w:val="4"/>
                <w:szCs w:val="4"/>
              </w:rPr>
            </w:pPr>
            <w:r>
              <w:rPr>
                <w:sz w:val="4"/>
                <w:szCs w:val="4"/>
              </w:rPr>
            </w:r>
          </w:p>
        </w:tc>
      </w:tr>
      <w:tr>
        <w:trPr/>
        <w:tc>
          <w:tcPr>
            <w:tcW w:w="5660" w:type="dxa"/>
            <w:tcBorders/>
            <w:vAlign w:val="center"/>
          </w:tcPr>
          <w:p>
            <w:pPr>
              <w:pStyle w:val="TableContents"/>
              <w:bidi w:val="0"/>
              <w:spacing w:before="0" w:after="283"/>
              <w:jc w:val="left"/>
              <w:rPr>
                <w:b/>
                <w:color w:val="003A5D"/>
              </w:rPr>
            </w:pPr>
            <w:r>
              <w:rPr>
                <w:b/>
                <w:color w:val="003A5D"/>
              </w:rPr>
              <w:t>Section I - Election of Directors (Item 1 on Proxy Card)</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7" w:name="txa845790_2a"/>
      <w:bookmarkStart w:id="8" w:name="txa845790_a101"/>
      <w:bookmarkEnd w:id="7"/>
      <w:bookmarkEnd w:id="8"/>
      <w:r>
        <w:rPr>
          <w:rFonts w:ascii="arial" w:hAnsi="arial"/>
          <w:b/>
          <w:color w:val="003A5D"/>
          <w:sz w:val="32"/>
        </w:rPr>
        <w:t xml:space="preserve">Our Director Nominees </w:t>
      </w:r>
    </w:p>
    <w:p>
      <w:pPr>
        <w:pStyle w:val="TextBody"/>
        <w:bidi w:val="0"/>
        <w:spacing w:before="240" w:after="0"/>
        <w:jc w:val="left"/>
        <w:rPr>
          <w:rFonts w:ascii="arial" w:hAnsi="arial"/>
          <w:b/>
          <w:i/>
          <w:color w:val="003A5D"/>
          <w:sz w:val="24"/>
        </w:rPr>
      </w:pPr>
      <w:r>
        <w:rPr>
          <w:rFonts w:ascii="arial" w:hAnsi="arial"/>
          <w:b/>
          <w:i/>
          <w:color w:val="003A5D"/>
          <w:sz w:val="24"/>
        </w:rPr>
        <w:t xml:space="preserve">Biographies of Director Nominees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8"/>
        <w:gridCol w:w="120"/>
        <w:gridCol w:w="7527"/>
      </w:tblGrid>
      <w:tr>
        <w:trPr/>
        <w:tc>
          <w:tcPr>
            <w:tcW w:w="25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27" w:type="dxa"/>
            <w:tcBorders/>
            <w:vAlign w:val="center"/>
          </w:tcPr>
          <w:p>
            <w:pPr>
              <w:pStyle w:val="TableContents"/>
              <w:bidi w:val="0"/>
              <w:spacing w:before="0" w:after="283"/>
              <w:jc w:val="left"/>
              <w:rPr>
                <w:sz w:val="4"/>
                <w:szCs w:val="4"/>
              </w:rPr>
            </w:pPr>
            <w:r>
              <w:rPr>
                <w:sz w:val="4"/>
                <w:szCs w:val="4"/>
              </w:rPr>
            </w:r>
          </w:p>
        </w:tc>
      </w:tr>
      <w:tr>
        <w:trPr/>
        <w:tc>
          <w:tcPr>
            <w:tcW w:w="2558"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600200" cy="183515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600200" cy="18351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Since: </w:t>
            </w:r>
            <w:r>
              <w:rPr>
                <w:rFonts w:ascii="arial" w:hAnsi="arial"/>
                <w:sz w:val="18"/>
              </w:rPr>
              <w:t>1994</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Age: </w:t>
            </w:r>
            <w:r>
              <w:rPr>
                <w:rFonts w:ascii="arial" w:hAnsi="arial"/>
                <w:sz w:val="18"/>
              </w:rPr>
              <w:t>74</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Committees:   </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None</w:t>
            </w:r>
          </w:p>
          <w:p>
            <w:pPr>
              <w:pStyle w:val="TableContents"/>
              <w:bidi w:val="0"/>
              <w:spacing w:before="0" w:after="20"/>
              <w:jc w:val="left"/>
              <w:rPr/>
            </w:pPr>
            <w:r>
              <w:rPr/>
              <w:t> </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7527"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Richard D. Fairbank</w:t>
            </w:r>
          </w:p>
          <w:p>
            <w:pPr>
              <w:pStyle w:val="TableContents"/>
              <w:bidi w:val="0"/>
              <w:spacing w:before="0" w:after="0"/>
              <w:jc w:val="left"/>
              <w:rPr>
                <w:rFonts w:ascii="arial" w:hAnsi="arial"/>
                <w:b/>
                <w:i/>
                <w:sz w:val="18"/>
              </w:rPr>
            </w:pPr>
            <w:r>
              <w:rPr>
                <w:rFonts w:ascii="arial" w:hAnsi="arial"/>
                <w:b/>
                <w:i/>
                <w:sz w:val="18"/>
              </w:rPr>
              <w:t>Chairman and Chief Executive Officer, Capital One Financial Corporation</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Fairbank is the founder, CEO and Chairman of Capital One and one of just a few founder-CEOs among America’s largest public companies. In 1987, Mr. Fairbank founded Capital One on the belief that data and technology could change how banking works. He has been the CEO since the Company’s initial public offering in November 1994, and has served as the Chairman since February 1995.</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Fairbank’s vision and leadership have positioned Capital One as a leader in technology, data, and cloud capabilities and the Company has been recognized as one of the most innovative financial services providers in the world. Today, Capital One serves over 100 million customers and has reimagined the banking experience, built an iconic and respected brand, and been consistently recognized as one of the best companies to work for.</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Prior to Capital One, Mr. Fairbank earned his BA and MBA from Stanford University. He became a strategy consultant, advising leading companies on long-term business strategy and growth opportunities. Mr. Fairbank has over three decades of experience in banking and financial services and is deeply knowledgeable about all aspects of the Company’s businesses, strategies, capabilities and culture. His qualifications as a Director also include his broad range of skills in the areas of strategy, technology, risk management, customer experience, talent, and public company leadership and governance.</w:t>
            </w:r>
          </w:p>
          <w:p>
            <w:pPr>
              <w:pStyle w:val="TableContents"/>
              <w:bidi w:val="0"/>
              <w:spacing w:before="0" w:after="0"/>
              <w:jc w:val="left"/>
              <w:rPr/>
            </w:pPr>
            <w:r>
              <w:rPr/>
              <w:t> </w:t>
            </w:r>
          </w:p>
          <w:p>
            <w:pPr>
              <w:pStyle w:val="TableContents"/>
              <w:bidi w:val="0"/>
              <w:spacing w:before="0" w:after="0"/>
              <w:jc w:val="left"/>
              <w:rPr>
                <w:rFonts w:ascii="arial" w:hAnsi="arial"/>
                <w:b/>
                <w:color w:val="003A5D"/>
                <w:sz w:val="18"/>
              </w:rPr>
            </w:pPr>
            <w:r>
              <w:rPr>
                <w:rFonts w:ascii="arial" w:hAnsi="arial"/>
                <w:b/>
                <w:color w:val="003A5D"/>
                <w:sz w:val="18"/>
              </w:rPr>
              <w:t>Additional Public Directorships: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None</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2"/>
        <w:gridCol w:w="120"/>
        <w:gridCol w:w="7523"/>
      </w:tblGrid>
      <w:tr>
        <w:trPr/>
        <w:tc>
          <w:tcPr>
            <w:tcW w:w="25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23" w:type="dxa"/>
            <w:tcBorders/>
            <w:vAlign w:val="center"/>
          </w:tcPr>
          <w:p>
            <w:pPr>
              <w:pStyle w:val="TableContents"/>
              <w:bidi w:val="0"/>
              <w:spacing w:before="0" w:after="283"/>
              <w:jc w:val="left"/>
              <w:rPr>
                <w:sz w:val="4"/>
                <w:szCs w:val="4"/>
              </w:rPr>
            </w:pPr>
            <w:r>
              <w:rPr>
                <w:sz w:val="4"/>
                <w:szCs w:val="4"/>
              </w:rPr>
            </w:r>
          </w:p>
        </w:tc>
      </w:tr>
      <w:tr>
        <w:trPr/>
        <w:tc>
          <w:tcPr>
            <w:tcW w:w="2562"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600200" cy="182880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600200" cy="18288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Since: </w:t>
            </w:r>
            <w:r>
              <w:rPr>
                <w:rFonts w:ascii="arial" w:hAnsi="arial"/>
                <w:sz w:val="18"/>
              </w:rPr>
              <w:t>2021</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Age: </w:t>
            </w:r>
            <w:r>
              <w:rPr>
                <w:rFonts w:ascii="arial" w:hAnsi="arial"/>
                <w:sz w:val="18"/>
              </w:rPr>
              <w:t>43</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Committees:   </w:t>
            </w:r>
          </w:p>
          <w:p>
            <w:pPr>
              <w:pStyle w:val="TableContents"/>
              <w:bidi w:val="0"/>
              <w:spacing w:before="0" w:after="0"/>
              <w:jc w:val="left"/>
              <w:rPr/>
            </w:pPr>
            <w:r>
              <w:rPr/>
              <w:t> </w:t>
            </w:r>
          </w:p>
          <w:p>
            <w:pPr>
              <w:pStyle w:val="TableContents"/>
              <w:bidi w:val="0"/>
              <w:spacing w:before="0" w:after="0"/>
              <w:jc w:val="both"/>
              <w:rPr/>
            </w:pPr>
            <w:r>
              <w:rPr/>
              <w:t>  </w:t>
            </w:r>
            <w:r>
              <w:rPr>
                <w:color w:val="003A5D"/>
              </w:rPr>
              <w:t>∎</w:t>
            </w:r>
            <w:r>
              <w:rPr/>
              <w:t>   </w:t>
            </w:r>
            <w:r>
              <w:rPr>
                <w:rFonts w:ascii="arial" w:hAnsi="arial"/>
                <w:sz w:val="18"/>
              </w:rPr>
              <w:t>Compensation Committee</w:t>
            </w:r>
          </w:p>
          <w:p>
            <w:pPr>
              <w:pStyle w:val="TableContents"/>
              <w:bidi w:val="0"/>
              <w:spacing w:before="0" w:after="20"/>
              <w:jc w:val="left"/>
              <w:rPr/>
            </w:pPr>
            <w:r>
              <w:rPr/>
              <w:t> </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7523"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Ime Archibong</w:t>
            </w:r>
          </w:p>
          <w:p>
            <w:pPr>
              <w:pStyle w:val="TableContents"/>
              <w:bidi w:val="0"/>
              <w:spacing w:before="0" w:after="0"/>
              <w:jc w:val="left"/>
              <w:rPr>
                <w:rFonts w:ascii="arial" w:hAnsi="arial"/>
                <w:b/>
                <w:i/>
                <w:sz w:val="18"/>
              </w:rPr>
            </w:pPr>
            <w:r>
              <w:rPr>
                <w:rFonts w:ascii="arial" w:hAnsi="arial"/>
                <w:b/>
                <w:i/>
                <w:sz w:val="18"/>
              </w:rPr>
              <w:t>Vice President, Product Management and Head of Product at Messenger, Meta</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Archibong is a seasoned product and business development technology executive. He has served as Vice President, Product Management and Head of Product at Messenger at Meta Platforms, Inc. (formerly known as Facebook, Inc.) since March 2023. From August 2019 until March 2023, Mr. Archibong served as Meta’s Head of New Product Experimentation, where he led a multi-disciplinary group focused on product research and development. Prior to that role, Mr. Archibong served as Meta’s Vice President, Product Partnerships from November 2010 to June 2020.</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Prior to joining Meta, from February 2004 to October 2010, Mr. Archibong held roles of increasing responsibility at International Business Machines (IBM), including serving on the Advanced Technology Professional Business Development team focused on the future of storage, the Corporate Strategy team laying the foundation for IBM’s Smarter Cities initiative, and as a software engineer in the Systems and Technology Group.</w:t>
            </w:r>
          </w:p>
          <w:p>
            <w:pPr>
              <w:pStyle w:val="TableContents"/>
              <w:bidi w:val="0"/>
              <w:spacing w:before="0" w:after="0"/>
              <w:jc w:val="left"/>
              <w:rPr/>
            </w:pPr>
            <w:r>
              <w:rPr/>
              <w:t> </w:t>
            </w:r>
          </w:p>
          <w:p>
            <w:pPr>
              <w:pStyle w:val="TableContents"/>
              <w:bidi w:val="0"/>
              <w:spacing w:before="0" w:after="0"/>
              <w:jc w:val="left"/>
              <w:rPr>
                <w:rFonts w:ascii="arial" w:hAnsi="arial"/>
                <w:b/>
                <w:color w:val="003A5D"/>
                <w:sz w:val="18"/>
              </w:rPr>
            </w:pPr>
            <w:r>
              <w:rPr>
                <w:rFonts w:ascii="arial" w:hAnsi="arial"/>
                <w:b/>
                <w:color w:val="003A5D"/>
                <w:sz w:val="18"/>
              </w:rPr>
              <w:t>Additional Public Directorships: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None</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12 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660" w:type="dxa"/>
        <w:jc w:val="left"/>
        <w:tblInd w:w="0" w:type="dxa"/>
        <w:tblLayout w:type="fixed"/>
        <w:tblCellMar>
          <w:top w:w="0" w:type="dxa"/>
          <w:left w:w="0" w:type="dxa"/>
          <w:bottom w:w="0" w:type="dxa"/>
          <w:right w:w="0" w:type="dxa"/>
        </w:tblCellMar>
      </w:tblPr>
      <w:tblGrid>
        <w:gridCol w:w="5660"/>
      </w:tblGrid>
      <w:tr>
        <w:trPr/>
        <w:tc>
          <w:tcPr>
            <w:tcW w:w="5660" w:type="dxa"/>
            <w:tcBorders/>
            <w:vAlign w:val="center"/>
          </w:tcPr>
          <w:p>
            <w:pPr>
              <w:pStyle w:val="TableContents"/>
              <w:bidi w:val="0"/>
              <w:spacing w:before="0" w:after="283"/>
              <w:jc w:val="left"/>
              <w:rPr>
                <w:sz w:val="4"/>
                <w:szCs w:val="4"/>
              </w:rPr>
            </w:pPr>
            <w:r>
              <w:rPr>
                <w:sz w:val="4"/>
                <w:szCs w:val="4"/>
              </w:rPr>
            </w:r>
          </w:p>
        </w:tc>
      </w:tr>
      <w:tr>
        <w:trPr/>
        <w:tc>
          <w:tcPr>
            <w:tcW w:w="5660" w:type="dxa"/>
            <w:tcBorders/>
            <w:vAlign w:val="center"/>
          </w:tcPr>
          <w:p>
            <w:pPr>
              <w:pStyle w:val="TableContents"/>
              <w:bidi w:val="0"/>
              <w:spacing w:before="0" w:after="283"/>
              <w:jc w:val="right"/>
              <w:rPr>
                <w:b/>
                <w:color w:val="003A5D"/>
              </w:rPr>
            </w:pPr>
            <w:r>
              <w:rPr>
                <w:b/>
                <w:color w:val="003A5D"/>
              </w:rPr>
              <w:t>Section I - Election of Directors (Item 1 on Proxy Card)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3"/>
        <w:gridCol w:w="120"/>
        <w:gridCol w:w="7572"/>
      </w:tblGrid>
      <w:tr>
        <w:trPr/>
        <w:tc>
          <w:tcPr>
            <w:tcW w:w="25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72" w:type="dxa"/>
            <w:tcBorders/>
            <w:vAlign w:val="center"/>
          </w:tcPr>
          <w:p>
            <w:pPr>
              <w:pStyle w:val="TableContents"/>
              <w:bidi w:val="0"/>
              <w:spacing w:before="0" w:after="283"/>
              <w:jc w:val="left"/>
              <w:rPr>
                <w:sz w:val="4"/>
                <w:szCs w:val="4"/>
              </w:rPr>
            </w:pPr>
            <w:r>
              <w:rPr>
                <w:sz w:val="4"/>
                <w:szCs w:val="4"/>
              </w:rPr>
            </w:r>
          </w:p>
        </w:tc>
      </w:tr>
      <w:tr>
        <w:trPr/>
        <w:tc>
          <w:tcPr>
            <w:tcW w:w="2513"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1573530" cy="182499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573530" cy="182499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Since: </w:t>
            </w:r>
            <w:r>
              <w:rPr>
                <w:rFonts w:ascii="arial" w:hAnsi="arial"/>
                <w:sz w:val="18"/>
              </w:rPr>
              <w:t>2021</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Age: </w:t>
            </w:r>
            <w:r>
              <w:rPr>
                <w:rFonts w:ascii="arial" w:hAnsi="arial"/>
                <w:sz w:val="18"/>
              </w:rPr>
              <w:t>66</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Committees:   </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Audit Committee</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Risk Committee</w:t>
            </w:r>
          </w:p>
          <w:p>
            <w:pPr>
              <w:pStyle w:val="TableContents"/>
              <w:bidi w:val="0"/>
              <w:spacing w:before="0" w:after="20"/>
              <w:jc w:val="left"/>
              <w:rPr/>
            </w:pPr>
            <w:r>
              <w:rPr/>
              <w:t> </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7572"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Christine Detrick</w:t>
            </w:r>
          </w:p>
          <w:p>
            <w:pPr>
              <w:pStyle w:val="TableContents"/>
              <w:bidi w:val="0"/>
              <w:spacing w:before="0" w:after="0"/>
              <w:jc w:val="left"/>
              <w:rPr>
                <w:rFonts w:ascii="arial" w:hAnsi="arial"/>
                <w:b/>
                <w:i/>
                <w:sz w:val="18"/>
              </w:rPr>
            </w:pPr>
            <w:r>
              <w:rPr>
                <w:rFonts w:ascii="arial" w:hAnsi="arial"/>
                <w:b/>
                <w:i/>
                <w:sz w:val="18"/>
              </w:rPr>
              <w:t>Former Director, Head of the Americas Financial Services Practice; Former Senior Advisor, Bain &amp; Company</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Ms. Detrick is a financial services industry veteran with more than 35 years of senior operating and executive leadership experience. She has deep expertise in the banking and insurance industries across a wide array of sectors, including asset management, credit cards, property and casualty, and life insurance, payments, and other consumer finance segments. From 2002 until 2012, Ms. Detrick was a Senior Partner, Leader of the Financial Services Practice, and a Senior Advisor at Bain &amp; Company, a management consulting firm. Before joining Bain, she served for ten years at A.T. Kearney, Inc., a management consulting firm, including as Leader of the Global Financial Institutions group and a member of the firm’s Board of Management and Board of Directors. At Bain and A.T. Kearney, Ms. Detrick served banks on issues of strategy, operational transformation, risk management, and technology.</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Prior to those roles, she was a founding member of a venture capital firm specializing in savings and loan institution turnarounds and served as the Chief Executive Officer of St. Louis Bank for Savings. She was also a consultant at McKinsey and Company earlier in her career. Ms. Detrick also serves on the board of Hartford Mutual Funds, a mutual fund company, as chairman of the board. She previously served on the board of directors of Forest City Realty Trust, a public real estate investment trust, as chair of the Compensation Committee, and Reinsurance Group of America, a public reinsurance company, as chair of the Nominating and Governance Committee.</w:t>
            </w:r>
          </w:p>
          <w:p>
            <w:pPr>
              <w:pStyle w:val="TableContents"/>
              <w:bidi w:val="0"/>
              <w:spacing w:before="0" w:after="0"/>
              <w:jc w:val="left"/>
              <w:rPr/>
            </w:pPr>
            <w:r>
              <w:rPr/>
              <w:t> </w:t>
            </w:r>
          </w:p>
          <w:p>
            <w:pPr>
              <w:pStyle w:val="TableContents"/>
              <w:bidi w:val="0"/>
              <w:spacing w:before="0" w:after="0"/>
              <w:jc w:val="left"/>
              <w:rPr>
                <w:rFonts w:ascii="arial" w:hAnsi="arial"/>
                <w:b/>
                <w:color w:val="003A5D"/>
                <w:sz w:val="18"/>
              </w:rPr>
            </w:pPr>
            <w:r>
              <w:rPr>
                <w:rFonts w:ascii="arial" w:hAnsi="arial"/>
                <w:b/>
                <w:color w:val="003A5D"/>
                <w:sz w:val="18"/>
              </w:rPr>
              <w:t>Additional Public Directorships: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Altus Power America, Inc.</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CRA International, Inc.</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1"/>
        <w:gridCol w:w="120"/>
        <w:gridCol w:w="7524"/>
      </w:tblGrid>
      <w:tr>
        <w:trPr/>
        <w:tc>
          <w:tcPr>
            <w:tcW w:w="25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24" w:type="dxa"/>
            <w:tcBorders/>
            <w:vAlign w:val="center"/>
          </w:tcPr>
          <w:p>
            <w:pPr>
              <w:pStyle w:val="TableContents"/>
              <w:bidi w:val="0"/>
              <w:spacing w:before="0" w:after="283"/>
              <w:jc w:val="left"/>
              <w:rPr>
                <w:sz w:val="4"/>
                <w:szCs w:val="4"/>
              </w:rPr>
            </w:pPr>
            <w:r>
              <w:rPr>
                <w:sz w:val="4"/>
                <w:szCs w:val="4"/>
              </w:rPr>
            </w:r>
          </w:p>
        </w:tc>
      </w:tr>
      <w:tr>
        <w:trPr/>
        <w:tc>
          <w:tcPr>
            <w:tcW w:w="2561"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1600200" cy="182880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600200" cy="18288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i/>
                <w:color w:val="003A5D"/>
                <w:sz w:val="18"/>
              </w:rPr>
              <w:t>Lead Independent Director</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Since: </w:t>
            </w:r>
            <w:r>
              <w:rPr>
                <w:rFonts w:ascii="arial" w:hAnsi="arial"/>
                <w:sz w:val="18"/>
              </w:rPr>
              <w:t>2004</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Age: </w:t>
            </w:r>
            <w:r>
              <w:rPr>
                <w:rFonts w:ascii="arial" w:hAnsi="arial"/>
                <w:sz w:val="18"/>
              </w:rPr>
              <w:t>71</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Committees:   </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Compensation Committee</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Governance and Nominating</w:t>
            </w:r>
          </w:p>
          <w:p>
            <w:pPr>
              <w:pStyle w:val="TableContents"/>
              <w:bidi w:val="0"/>
              <w:spacing w:before="0" w:after="0"/>
              <w:jc w:val="left"/>
              <w:rPr/>
            </w:pPr>
            <w:r>
              <w:rPr/>
              <w:t>     </w:t>
            </w:r>
            <w:r>
              <w:rPr>
                <w:rFonts w:ascii="arial" w:hAnsi="arial"/>
                <w:sz w:val="18"/>
              </w:rPr>
              <w:t>Committee (Chair)</w:t>
            </w:r>
          </w:p>
          <w:p>
            <w:pPr>
              <w:pStyle w:val="TableContents"/>
              <w:bidi w:val="0"/>
              <w:spacing w:before="0" w:after="0"/>
              <w:jc w:val="left"/>
              <w:rPr/>
            </w:pPr>
            <w:r>
              <w:rPr/>
              <w:t> </w:t>
            </w:r>
          </w:p>
          <w:p>
            <w:pPr>
              <w:pStyle w:val="TableContents"/>
              <w:bidi w:val="0"/>
              <w:spacing w:before="0" w:after="0"/>
              <w:jc w:val="both"/>
              <w:rPr/>
            </w:pPr>
            <w:r>
              <w:rPr/>
              <w:t>  </w:t>
            </w:r>
            <w:r>
              <w:rPr>
                <w:color w:val="003A5D"/>
              </w:rPr>
              <w:t>∎</w:t>
            </w:r>
            <w:r>
              <w:rPr/>
              <w:t>   </w:t>
            </w:r>
            <w:r>
              <w:rPr>
                <w:rFonts w:ascii="arial" w:hAnsi="arial"/>
                <w:sz w:val="18"/>
              </w:rPr>
              <w:t>Risk Committee</w:t>
            </w:r>
          </w:p>
          <w:p>
            <w:pPr>
              <w:pStyle w:val="TableContents"/>
              <w:bidi w:val="0"/>
              <w:spacing w:before="0" w:after="20"/>
              <w:jc w:val="left"/>
              <w:rPr/>
            </w:pPr>
            <w:r>
              <w:rPr/>
              <w:t> </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7524"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Ann Fritz Hackett</w:t>
            </w:r>
          </w:p>
          <w:p>
            <w:pPr>
              <w:pStyle w:val="TableContents"/>
              <w:bidi w:val="0"/>
              <w:spacing w:before="0" w:after="0"/>
              <w:jc w:val="left"/>
              <w:rPr>
                <w:rFonts w:ascii="arial" w:hAnsi="arial"/>
                <w:b/>
                <w:i/>
                <w:sz w:val="18"/>
              </w:rPr>
            </w:pPr>
            <w:r>
              <w:rPr>
                <w:rFonts w:ascii="arial" w:hAnsi="arial"/>
                <w:b/>
                <w:i/>
                <w:sz w:val="18"/>
              </w:rPr>
              <w:t>Former Strategy Consulting Partner</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Ms. Hackett has extensive experience in leading companies that provide strategy and human capital consulting services to boards of directors and senior management teams. She has experience developing corporate and business strategy, leading change initiatives, risk management, talent management and succession planning, and creating performance-based compensation programs, as well as significant international and technology experience. Ms. Hackett also has extensive board experience.</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Ms. Hackett is a former Strategy Consulting Partner. From 2015 through January 2020 she was a Partner and Co-founder of Personal Pathways, LLC, a technology company providing a web-based enterprise collaboration insights platform to advance high performance professional relationships required in today’s distributed workplace. Prior to her role at Personal Pathways, she was President of Horizon Consulting Group, LLC, a firm founded by Ms. Hackett in 1996, providing global consumer product and service companies with innovative strategy and human capital initiatives. Prior to launching Horizon Consulting, Ms. Hackett spent 11 years at a leading national strategy consulting firm where she served as Vice President and Partner in the strategy practice, served on the Management Committee, and led Human Resources. She also previously served as a director of Beam, Inc. (predecessor to Suntory Global Spirits) from December 2007 until April 2014.</w:t>
            </w:r>
          </w:p>
          <w:p>
            <w:pPr>
              <w:pStyle w:val="TableContents"/>
              <w:bidi w:val="0"/>
              <w:spacing w:before="0" w:after="0"/>
              <w:jc w:val="left"/>
              <w:rPr/>
            </w:pPr>
            <w:r>
              <w:rPr/>
              <w:t> </w:t>
            </w:r>
          </w:p>
          <w:p>
            <w:pPr>
              <w:pStyle w:val="TableContents"/>
              <w:bidi w:val="0"/>
              <w:spacing w:before="0" w:after="0"/>
              <w:jc w:val="left"/>
              <w:rPr>
                <w:rFonts w:ascii="arial" w:hAnsi="arial"/>
                <w:b/>
                <w:color w:val="003A5D"/>
                <w:sz w:val="18"/>
              </w:rPr>
            </w:pPr>
            <w:r>
              <w:rPr>
                <w:rFonts w:ascii="arial" w:hAnsi="arial"/>
                <w:b/>
                <w:color w:val="003A5D"/>
                <w:sz w:val="18"/>
              </w:rPr>
              <w:t>Additional Public Directorships: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Fortune Brands Innovations, Inc.</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MasterBrand, Inc.</w:t>
            </w:r>
          </w:p>
          <w:p>
            <w:pPr>
              <w:pStyle w:val="TableContents"/>
              <w:bidi w:val="0"/>
              <w:spacing w:before="0" w:after="20"/>
              <w:jc w:val="left"/>
              <w:rPr/>
            </w:pPr>
            <w:r>
              <w:rPr/>
              <w:t>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13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660" w:type="dxa"/>
        <w:jc w:val="left"/>
        <w:tblInd w:w="0" w:type="dxa"/>
        <w:tblLayout w:type="fixed"/>
        <w:tblCellMar>
          <w:top w:w="0" w:type="dxa"/>
          <w:left w:w="0" w:type="dxa"/>
          <w:bottom w:w="0" w:type="dxa"/>
          <w:right w:w="0" w:type="dxa"/>
        </w:tblCellMar>
      </w:tblPr>
      <w:tblGrid>
        <w:gridCol w:w="5660"/>
      </w:tblGrid>
      <w:tr>
        <w:trPr/>
        <w:tc>
          <w:tcPr>
            <w:tcW w:w="5660" w:type="dxa"/>
            <w:tcBorders/>
            <w:vAlign w:val="center"/>
          </w:tcPr>
          <w:p>
            <w:pPr>
              <w:pStyle w:val="TableContents"/>
              <w:bidi w:val="0"/>
              <w:spacing w:before="0" w:after="283"/>
              <w:jc w:val="left"/>
              <w:rPr>
                <w:sz w:val="4"/>
                <w:szCs w:val="4"/>
              </w:rPr>
            </w:pPr>
            <w:r>
              <w:rPr>
                <w:sz w:val="4"/>
                <w:szCs w:val="4"/>
              </w:rPr>
            </w:r>
          </w:p>
        </w:tc>
      </w:tr>
      <w:tr>
        <w:trPr/>
        <w:tc>
          <w:tcPr>
            <w:tcW w:w="5660" w:type="dxa"/>
            <w:tcBorders/>
            <w:vAlign w:val="center"/>
          </w:tcPr>
          <w:p>
            <w:pPr>
              <w:pStyle w:val="TableContents"/>
              <w:bidi w:val="0"/>
              <w:spacing w:before="0" w:after="283"/>
              <w:jc w:val="left"/>
              <w:rPr>
                <w:b/>
                <w:color w:val="003A5D"/>
              </w:rPr>
            </w:pPr>
            <w:r>
              <w:rPr>
                <w:b/>
                <w:color w:val="003A5D"/>
              </w:rPr>
              <w:t>Section I - Election of Directors (Item 1 on Proxy Card)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1"/>
        <w:gridCol w:w="120"/>
        <w:gridCol w:w="7534"/>
      </w:tblGrid>
      <w:tr>
        <w:trPr/>
        <w:tc>
          <w:tcPr>
            <w:tcW w:w="25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34" w:type="dxa"/>
            <w:tcBorders/>
            <w:vAlign w:val="center"/>
          </w:tcPr>
          <w:p>
            <w:pPr>
              <w:pStyle w:val="TableContents"/>
              <w:bidi w:val="0"/>
              <w:spacing w:before="0" w:after="283"/>
              <w:jc w:val="left"/>
              <w:rPr>
                <w:sz w:val="4"/>
                <w:szCs w:val="4"/>
              </w:rPr>
            </w:pPr>
            <w:r>
              <w:rPr>
                <w:sz w:val="4"/>
                <w:szCs w:val="4"/>
              </w:rPr>
            </w:r>
          </w:p>
        </w:tc>
      </w:tr>
      <w:tr>
        <w:trPr/>
        <w:tc>
          <w:tcPr>
            <w:tcW w:w="2551"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600200" cy="182880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600200" cy="18288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Since: </w:t>
            </w:r>
            <w:r>
              <w:rPr>
                <w:rFonts w:ascii="arial" w:hAnsi="arial"/>
                <w:sz w:val="18"/>
              </w:rPr>
              <w:t>2024</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Age: </w:t>
            </w:r>
            <w:r>
              <w:rPr>
                <w:rFonts w:ascii="arial" w:hAnsi="arial"/>
                <w:sz w:val="18"/>
              </w:rPr>
              <w:t>62</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Committees:   </w:t>
            </w:r>
          </w:p>
          <w:p>
            <w:pPr>
              <w:pStyle w:val="TableContents"/>
              <w:bidi w:val="0"/>
              <w:spacing w:before="0" w:after="0"/>
              <w:jc w:val="left"/>
              <w:rPr/>
            </w:pPr>
            <w:r>
              <w:rPr/>
              <w:t> </w:t>
            </w:r>
          </w:p>
          <w:p>
            <w:pPr>
              <w:pStyle w:val="TableContents"/>
              <w:bidi w:val="0"/>
              <w:spacing w:before="0" w:after="0"/>
              <w:jc w:val="both"/>
              <w:rPr/>
            </w:pPr>
            <w:r>
              <w:rPr/>
              <w:t>  </w:t>
            </w:r>
            <w:r>
              <w:rPr>
                <w:color w:val="003A5D"/>
              </w:rPr>
              <w:t>∎</w:t>
            </w:r>
            <w:r>
              <w:rPr/>
              <w:t>   </w:t>
            </w:r>
            <w:r>
              <w:rPr>
                <w:rFonts w:ascii="arial" w:hAnsi="arial"/>
                <w:sz w:val="18"/>
              </w:rPr>
              <w:t>Audit Committee</w:t>
            </w:r>
          </w:p>
          <w:p>
            <w:pPr>
              <w:pStyle w:val="TableContents"/>
              <w:bidi w:val="0"/>
              <w:spacing w:before="0" w:after="0"/>
              <w:jc w:val="left"/>
              <w:rPr/>
            </w:pPr>
            <w:r>
              <w:rPr/>
              <w:t> </w:t>
            </w:r>
          </w:p>
          <w:p>
            <w:pPr>
              <w:pStyle w:val="TableContents"/>
              <w:bidi w:val="0"/>
              <w:spacing w:before="0" w:after="20"/>
              <w:jc w:val="both"/>
              <w:rPr/>
            </w:pPr>
            <w:r>
              <w:rPr/>
              <w:t>  </w:t>
            </w:r>
            <w:r>
              <w:rPr>
                <w:color w:val="003A5D"/>
              </w:rPr>
              <w:t>∎</w:t>
            </w:r>
            <w:r>
              <w:rPr/>
              <w:t>   </w:t>
            </w:r>
            <w:r>
              <w:rPr>
                <w:rFonts w:ascii="arial" w:hAnsi="arial"/>
                <w:sz w:val="18"/>
              </w:rPr>
              <w:t>Risk Committee</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7534"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Suni P. Harford</w:t>
            </w:r>
          </w:p>
          <w:p>
            <w:pPr>
              <w:pStyle w:val="TableContents"/>
              <w:bidi w:val="0"/>
              <w:spacing w:before="0" w:after="0"/>
              <w:jc w:val="left"/>
              <w:rPr>
                <w:rFonts w:ascii="arial" w:hAnsi="arial"/>
                <w:b/>
                <w:i/>
                <w:sz w:val="18"/>
              </w:rPr>
            </w:pPr>
            <w:r>
              <w:rPr>
                <w:rFonts w:ascii="arial" w:hAnsi="arial"/>
                <w:b/>
                <w:i/>
                <w:sz w:val="18"/>
              </w:rPr>
              <w:t>Former President, UBS Asset Management</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Ms. Harford is a seasoned financial services industry executive with over 30 years of risk management, compliance and banking experience. Ms. Harford served as the President of UBS Asset Management as well as Chair of UBS Asset Management’s Executive Committee and Risk Committee from October 2019 until her retirement in February 2024. From April 2021 until February 2024, Ms. Harford also served as the UBS Group Executive Board Lead for the firm’s sustainability and impact efforts. As head of UBS Group’s Sustainability and Impact organization, Ms. Harford had oversight of the Chief Sustainability Office, responsible for sustainability strategy, external engagement and corporate responsibility across UBS. Ms. Harford joined UBS as the Head of Investments in July 2017, where she was responsible for the investment teams for traditional asset classes and UBS O’Connor, a multi-strategy hedge fund, until September 2019.</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Prior to joining UBS, Ms. Harford worked at Citigroup, Inc., an investment bank and financial services corporation, for almost 25 years, most recently as the Regional Head of Markets for North America. Ms. Harford was also a member of Citibank’s Pension Plan Investment Committee and a director on the board of Citibank Canada.</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Ms. Harford served as a co-chair of the World Economic Forum Global Future Council on Investing and has held seats on the board of several industry associations, including the Depository Trust and Clearing Corporation and the Securities Industry Financial Management Association.</w:t>
            </w:r>
          </w:p>
          <w:p>
            <w:pPr>
              <w:pStyle w:val="TableContents"/>
              <w:bidi w:val="0"/>
              <w:spacing w:before="0" w:after="0"/>
              <w:jc w:val="left"/>
              <w:rPr/>
            </w:pPr>
            <w:r>
              <w:rPr/>
              <w:t> </w:t>
            </w:r>
          </w:p>
          <w:p>
            <w:pPr>
              <w:pStyle w:val="TableContents"/>
              <w:bidi w:val="0"/>
              <w:spacing w:before="0" w:after="0"/>
              <w:jc w:val="left"/>
              <w:rPr>
                <w:rFonts w:ascii="arial" w:hAnsi="arial"/>
                <w:b/>
                <w:color w:val="003A5D"/>
                <w:sz w:val="18"/>
              </w:rPr>
            </w:pPr>
            <w:r>
              <w:rPr>
                <w:rFonts w:ascii="arial" w:hAnsi="arial"/>
                <w:b/>
                <w:color w:val="003A5D"/>
                <w:sz w:val="18"/>
              </w:rPr>
              <w:t>Additional Public Directorships: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None</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9"/>
        <w:gridCol w:w="120"/>
        <w:gridCol w:w="7536"/>
      </w:tblGrid>
      <w:tr>
        <w:trPr/>
        <w:tc>
          <w:tcPr>
            <w:tcW w:w="25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36" w:type="dxa"/>
            <w:tcBorders/>
            <w:vAlign w:val="center"/>
          </w:tcPr>
          <w:p>
            <w:pPr>
              <w:pStyle w:val="TableContents"/>
              <w:bidi w:val="0"/>
              <w:spacing w:before="0" w:after="283"/>
              <w:jc w:val="left"/>
              <w:rPr>
                <w:sz w:val="4"/>
                <w:szCs w:val="4"/>
              </w:rPr>
            </w:pPr>
            <w:r>
              <w:rPr>
                <w:sz w:val="4"/>
                <w:szCs w:val="4"/>
              </w:rPr>
            </w:r>
          </w:p>
        </w:tc>
      </w:tr>
      <w:tr>
        <w:trPr/>
        <w:tc>
          <w:tcPr>
            <w:tcW w:w="2549"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600200" cy="182880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600200" cy="18288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Since: </w:t>
            </w:r>
            <w:r>
              <w:rPr>
                <w:rFonts w:ascii="arial" w:hAnsi="arial"/>
                <w:sz w:val="18"/>
              </w:rPr>
              <w:t>2016</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Age: </w:t>
            </w:r>
            <w:r>
              <w:rPr>
                <w:rFonts w:ascii="arial" w:hAnsi="arial"/>
                <w:sz w:val="18"/>
              </w:rPr>
              <w:t>57</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Compensation Committee</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Risk Committee</w:t>
            </w:r>
          </w:p>
          <w:p>
            <w:pPr>
              <w:pStyle w:val="TableContents"/>
              <w:bidi w:val="0"/>
              <w:spacing w:before="0" w:after="20"/>
              <w:jc w:val="left"/>
              <w:rPr/>
            </w:pPr>
            <w:r>
              <w:rPr/>
              <w:t> </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7536"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Peter Thomas Killalea</w:t>
            </w:r>
          </w:p>
          <w:p>
            <w:pPr>
              <w:pStyle w:val="TableContents"/>
              <w:bidi w:val="0"/>
              <w:spacing w:before="0" w:after="0"/>
              <w:jc w:val="left"/>
              <w:rPr/>
            </w:pPr>
            <w:r>
              <w:rPr/>
              <w:t> </w:t>
            </w:r>
          </w:p>
          <w:p>
            <w:pPr>
              <w:pStyle w:val="TableContents"/>
              <w:bidi w:val="0"/>
              <w:spacing w:before="0" w:after="0"/>
              <w:jc w:val="left"/>
              <w:rPr>
                <w:rFonts w:ascii="arial" w:hAnsi="arial"/>
                <w:b/>
                <w:i/>
                <w:sz w:val="18"/>
              </w:rPr>
            </w:pPr>
            <w:r>
              <w:rPr>
                <w:rFonts w:ascii="arial" w:hAnsi="arial"/>
                <w:b/>
                <w:i/>
                <w:sz w:val="18"/>
              </w:rPr>
              <w:t>Former Vice President of Technology, Amazon.com</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Killalea, a seasoned technology executive and advisor, has deep expertise in product development, digital innovation, customer experience, and security. From November 2014 to December 2021, Mr. Killalea served as the owner and President of Aoinle, LLC, a consulting firm. From May 1998 to November 2014, Mr. Killalea served in various senior executive leadership roles at Amazon, most recently as Vice President of Technology for the Kindle Content Ecosystem. He led Amazon’s Infrastructure and Distributed Systems team, which later became a key part of the Amazon Web Services Platform. Prior to that, he served as Amazon’s Chief Information Security Officer and Vice President of Security.</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Killalea previously served on the board of Xoom Corporation (acquired by PayPal Inc.) from March 2015 to November 2015 and Carbon Black, Inc. (acquired by VMware) from April 2017 to October 2019.</w:t>
            </w:r>
          </w:p>
          <w:p>
            <w:pPr>
              <w:pStyle w:val="TableContents"/>
              <w:bidi w:val="0"/>
              <w:spacing w:before="0" w:after="0"/>
              <w:jc w:val="left"/>
              <w:rPr/>
            </w:pPr>
            <w:r>
              <w:rPr/>
              <w:t> </w:t>
            </w:r>
          </w:p>
          <w:p>
            <w:pPr>
              <w:pStyle w:val="TableContents"/>
              <w:bidi w:val="0"/>
              <w:spacing w:before="0" w:after="0"/>
              <w:jc w:val="left"/>
              <w:rPr>
                <w:rFonts w:ascii="arial" w:hAnsi="arial"/>
                <w:b/>
                <w:color w:val="003A5D"/>
                <w:sz w:val="18"/>
              </w:rPr>
            </w:pPr>
            <w:r>
              <w:rPr>
                <w:rFonts w:ascii="arial" w:hAnsi="arial"/>
                <w:b/>
                <w:color w:val="003A5D"/>
                <w:sz w:val="18"/>
              </w:rPr>
              <w:t>Additional Public Directorships: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Akamai Technologies, Inc.</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MongoDB, Inc.</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Satellogic, Inc.</w:t>
            </w:r>
          </w:p>
          <w:p>
            <w:pPr>
              <w:pStyle w:val="TableContents"/>
              <w:bidi w:val="0"/>
              <w:spacing w:before="0" w:after="20"/>
              <w:jc w:val="left"/>
              <w:rPr/>
            </w:pPr>
            <w:r>
              <w:rPr/>
              <w:t> </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14 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660" w:type="dxa"/>
        <w:jc w:val="left"/>
        <w:tblInd w:w="0" w:type="dxa"/>
        <w:tblLayout w:type="fixed"/>
        <w:tblCellMar>
          <w:top w:w="0" w:type="dxa"/>
          <w:left w:w="0" w:type="dxa"/>
          <w:bottom w:w="0" w:type="dxa"/>
          <w:right w:w="0" w:type="dxa"/>
        </w:tblCellMar>
      </w:tblPr>
      <w:tblGrid>
        <w:gridCol w:w="5660"/>
      </w:tblGrid>
      <w:tr>
        <w:trPr/>
        <w:tc>
          <w:tcPr>
            <w:tcW w:w="5660" w:type="dxa"/>
            <w:tcBorders/>
            <w:vAlign w:val="center"/>
          </w:tcPr>
          <w:p>
            <w:pPr>
              <w:pStyle w:val="TableContents"/>
              <w:bidi w:val="0"/>
              <w:spacing w:before="0" w:after="283"/>
              <w:jc w:val="left"/>
              <w:rPr>
                <w:sz w:val="4"/>
                <w:szCs w:val="4"/>
              </w:rPr>
            </w:pPr>
            <w:r>
              <w:rPr>
                <w:sz w:val="4"/>
                <w:szCs w:val="4"/>
              </w:rPr>
            </w:r>
          </w:p>
        </w:tc>
      </w:tr>
      <w:tr>
        <w:trPr/>
        <w:tc>
          <w:tcPr>
            <w:tcW w:w="5660" w:type="dxa"/>
            <w:tcBorders/>
            <w:vAlign w:val="center"/>
          </w:tcPr>
          <w:p>
            <w:pPr>
              <w:pStyle w:val="TableContents"/>
              <w:bidi w:val="0"/>
              <w:spacing w:before="0" w:after="283"/>
              <w:jc w:val="right"/>
              <w:rPr>
                <w:b/>
                <w:color w:val="003A5D"/>
              </w:rPr>
            </w:pPr>
            <w:r>
              <w:rPr>
                <w:b/>
                <w:color w:val="003A5D"/>
              </w:rPr>
              <w:t>Section I - Election of Directors (Item 1 on Proxy Card)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3"/>
        <w:gridCol w:w="120"/>
        <w:gridCol w:w="7532"/>
      </w:tblGrid>
      <w:tr>
        <w:trPr/>
        <w:tc>
          <w:tcPr>
            <w:tcW w:w="25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32" w:type="dxa"/>
            <w:tcBorders/>
            <w:vAlign w:val="center"/>
          </w:tcPr>
          <w:p>
            <w:pPr>
              <w:pStyle w:val="TableContents"/>
              <w:bidi w:val="0"/>
              <w:spacing w:before="0" w:after="283"/>
              <w:jc w:val="left"/>
              <w:rPr>
                <w:sz w:val="4"/>
                <w:szCs w:val="4"/>
              </w:rPr>
            </w:pPr>
            <w:r>
              <w:rPr>
                <w:sz w:val="4"/>
                <w:szCs w:val="4"/>
              </w:rPr>
            </w:r>
          </w:p>
        </w:tc>
      </w:tr>
      <w:tr>
        <w:trPr/>
        <w:tc>
          <w:tcPr>
            <w:tcW w:w="2553"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600200" cy="182880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600200" cy="18288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w:t>
            </w:r>
            <w:r>
              <w:rPr>
                <w:rFonts w:ascii="arial" w:hAnsi="arial"/>
                <w:sz w:val="18"/>
              </w:rPr>
              <w:t> 2019</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Age: </w:t>
            </w:r>
            <w:r>
              <w:rPr>
                <w:rFonts w:ascii="arial" w:hAnsi="arial"/>
                <w:sz w:val="18"/>
              </w:rPr>
              <w:t>64</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Committees:   </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Audit Committee</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Compensation Committee</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Risk Committee (Chair)</w:t>
            </w:r>
          </w:p>
          <w:p>
            <w:pPr>
              <w:pStyle w:val="TableContents"/>
              <w:bidi w:val="0"/>
              <w:spacing w:before="0" w:after="20"/>
              <w:jc w:val="left"/>
              <w:rPr/>
            </w:pPr>
            <w:r>
              <w:rPr/>
              <w:t> </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7532"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Eli Leenaars</w:t>
            </w:r>
          </w:p>
          <w:p>
            <w:pPr>
              <w:pStyle w:val="TableContents"/>
              <w:bidi w:val="0"/>
              <w:spacing w:before="0" w:after="0"/>
              <w:jc w:val="left"/>
              <w:rPr>
                <w:rFonts w:ascii="arial" w:hAnsi="arial"/>
                <w:b/>
                <w:i/>
                <w:sz w:val="18"/>
              </w:rPr>
            </w:pPr>
            <w:r>
              <w:rPr>
                <w:rFonts w:ascii="arial" w:hAnsi="arial"/>
                <w:b/>
                <w:i/>
                <w:sz w:val="18"/>
              </w:rPr>
              <w:t>Former Group Chief Operating Officer, Quintet Private Bank</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Leenaars has over 30 years of experience in the financial services sector, including institutional and investment banking, asset management, corporate and retail banking, and in cultivating sophisticated client relationships. A respected expert on the future of digital banking, as well as global industry trends in finance, investment, banking, and leadership, Mr. Leenaars has experience managing businesses through a wide range of matters including mergers and acquisitions, complex corporate restructuring, strategic initiatives, and challenging financial environments.</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From June 2021 through December 2023, Mr. Leenaars served as Group Chief Operating Officer of Quintet Private Bank and was a member of its Authorized Management Committee. Prior to joining Quintet, Mr. Leenaars served as Vice Chairman of the Global Wealth Management Division at UBS Group AG, a Swiss multinational investment bank and financial services company, from April 2015 to May 2021. In this role, he engaged on senior relationship management with a focus on UBS’ largest non-U.S. clientele.</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Prior to joining UBS, Mr. Leenaars had a 24-year career at ING Group N.V., a Dutch multinational banking and financial services company, and various of its subsidiaries. From January 2010 until March 2015, he served as the CEO of ING Retail Banking Direct and International for ING, where he was responsible for Retail Banking and Private Banking worldwide. This included serving as CEO of ING Direct N.V., the parent company of ING Direct in the U.S., which pioneered the national direct deposit platform. Between 2004 and 2010, Mr. Leenaars was also a member of ING’s Executive Board with responsibility for ING’s Global Retail and Private Banking operations and Group Technology and Operations. In addition, Mr. Leenaars previously served as a member of our Board from May 2012 to September 2012 in connection with Capital One’s acquisition of ING Direct.</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Leenaars is a member of the Executive Committee of the Trilateral Commission (Paris, Tokyo, and Washington, DC).</w:t>
            </w:r>
          </w:p>
          <w:p>
            <w:pPr>
              <w:pStyle w:val="TableContents"/>
              <w:bidi w:val="0"/>
              <w:spacing w:before="0" w:after="0"/>
              <w:jc w:val="left"/>
              <w:rPr/>
            </w:pPr>
            <w:r>
              <w:rPr/>
              <w:t> </w:t>
            </w:r>
          </w:p>
          <w:p>
            <w:pPr>
              <w:pStyle w:val="TableContents"/>
              <w:bidi w:val="0"/>
              <w:spacing w:before="0" w:after="0"/>
              <w:jc w:val="left"/>
              <w:rPr>
                <w:rFonts w:ascii="arial" w:hAnsi="arial"/>
                <w:b/>
                <w:color w:val="003A5D"/>
                <w:sz w:val="18"/>
              </w:rPr>
            </w:pPr>
            <w:r>
              <w:rPr>
                <w:rFonts w:ascii="arial" w:hAnsi="arial"/>
                <w:b/>
                <w:color w:val="003A5D"/>
                <w:sz w:val="18"/>
              </w:rPr>
              <w:t>Additional Public Directorships: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None</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0"/>
        <w:gridCol w:w="120"/>
        <w:gridCol w:w="7495"/>
      </w:tblGrid>
      <w:tr>
        <w:trPr/>
        <w:tc>
          <w:tcPr>
            <w:tcW w:w="2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95" w:type="dxa"/>
            <w:tcBorders/>
            <w:vAlign w:val="center"/>
          </w:tcPr>
          <w:p>
            <w:pPr>
              <w:pStyle w:val="TableContents"/>
              <w:bidi w:val="0"/>
              <w:spacing w:before="0" w:after="283"/>
              <w:jc w:val="left"/>
              <w:rPr>
                <w:sz w:val="4"/>
                <w:szCs w:val="4"/>
              </w:rPr>
            </w:pPr>
            <w:r>
              <w:rPr>
                <w:sz w:val="4"/>
                <w:szCs w:val="4"/>
              </w:rPr>
            </w:r>
          </w:p>
        </w:tc>
      </w:tr>
      <w:tr>
        <w:trPr/>
        <w:tc>
          <w:tcPr>
            <w:tcW w:w="2590"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603375" cy="183197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603375" cy="18319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Since: </w:t>
            </w:r>
            <w:r>
              <w:rPr>
                <w:rFonts w:ascii="arial" w:hAnsi="arial"/>
                <w:sz w:val="18"/>
              </w:rPr>
              <w:t>2019</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Age: </w:t>
            </w:r>
            <w:r>
              <w:rPr>
                <w:rFonts w:ascii="arial" w:hAnsi="arial"/>
                <w:sz w:val="18"/>
              </w:rPr>
              <w:t>53</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Committees:   </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Compensation Committee</w:t>
            </w:r>
          </w:p>
          <w:p>
            <w:pPr>
              <w:pStyle w:val="TableContents"/>
              <w:bidi w:val="0"/>
              <w:spacing w:before="0" w:after="0"/>
              <w:jc w:val="left"/>
              <w:rPr/>
            </w:pPr>
            <w:r>
              <w:rPr/>
              <w:t>    </w:t>
            </w:r>
            <w:r>
              <w:rPr>
                <w:rFonts w:ascii="arial" w:hAnsi="arial"/>
                <w:sz w:val="18"/>
              </w:rPr>
              <w:t>(Chair)</w:t>
            </w:r>
          </w:p>
          <w:p>
            <w:pPr>
              <w:pStyle w:val="TableContents"/>
              <w:bidi w:val="0"/>
              <w:spacing w:before="0" w:after="0"/>
              <w:jc w:val="left"/>
              <w:rPr/>
            </w:pPr>
            <w:r>
              <w:rPr/>
              <w:t> </w:t>
            </w:r>
          </w:p>
          <w:p>
            <w:pPr>
              <w:pStyle w:val="TableContents"/>
              <w:bidi w:val="0"/>
              <w:spacing w:before="0" w:after="0"/>
              <w:jc w:val="both"/>
              <w:rPr/>
            </w:pPr>
            <w:r>
              <w:rPr/>
              <w:t>  </w:t>
            </w:r>
            <w:r>
              <w:rPr>
                <w:color w:val="003A5D"/>
              </w:rPr>
              <w:t>∎</w:t>
            </w:r>
            <w:r>
              <w:rPr/>
              <w:t>   </w:t>
            </w:r>
            <w:r>
              <w:rPr>
                <w:rFonts w:ascii="arial" w:hAnsi="arial"/>
                <w:sz w:val="18"/>
              </w:rPr>
              <w:t>Governance and Nominating</w:t>
            </w:r>
          </w:p>
          <w:p>
            <w:pPr>
              <w:pStyle w:val="TableContents"/>
              <w:bidi w:val="0"/>
              <w:spacing w:before="0" w:after="0"/>
              <w:jc w:val="both"/>
              <w:rPr/>
            </w:pPr>
            <w:r>
              <w:rPr/>
              <w:t>     </w:t>
            </w:r>
            <w:r>
              <w:rPr>
                <w:rFonts w:ascii="arial" w:hAnsi="arial"/>
                <w:sz w:val="18"/>
              </w:rPr>
              <w:t>Committee</w:t>
            </w:r>
          </w:p>
          <w:p>
            <w:pPr>
              <w:pStyle w:val="TableContents"/>
              <w:bidi w:val="0"/>
              <w:spacing w:before="0" w:after="20"/>
              <w:jc w:val="left"/>
              <w:rPr/>
            </w:pPr>
            <w:r>
              <w:rPr/>
              <w:t> </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7495"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François Locoh-Donou</w:t>
            </w:r>
          </w:p>
          <w:p>
            <w:pPr>
              <w:pStyle w:val="TableContents"/>
              <w:bidi w:val="0"/>
              <w:spacing w:before="0" w:after="0"/>
              <w:jc w:val="left"/>
              <w:rPr>
                <w:rFonts w:ascii="arial" w:hAnsi="arial"/>
                <w:b/>
                <w:i/>
                <w:sz w:val="18"/>
              </w:rPr>
            </w:pPr>
            <w:r>
              <w:rPr>
                <w:rFonts w:ascii="arial" w:hAnsi="arial"/>
                <w:b/>
                <w:i/>
                <w:sz w:val="18"/>
              </w:rPr>
              <w:t>President, Chief Executive Officer, and Director, F5, Inc.</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Locoh-Donou is President and Chief Executive Officer of F5 and a member of the company’s Board of Directors. Since joining F5 as CEO in April 2017, he has spearheaded the company’s business transformation from a networking hardware maker to a software- and SaaS-first leader in multi-cloud application security and delivery. He has also been instrumental in the company’s cultural transformation to a high-performance, human-first organization energized by F5’s purpose to bring a better digital world to life.</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Prior to joining F5, Locoh-Donou served as Chief Operating Officer at Ciena, a global networking solutions provider to the telecom industry; his leadership positions there also included executive roles in the Product, Sales, and Marketing organizations. He also held research and development roles at Photonetics, a French opto-electronics company.</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Raised in Togo and France, Locoh-Donou holds engineering degrees from École Centrale de Marseille and Télécom ParisTech in France, as well as an MBA from the Stanford Graduate School of Business. He is the co-founder and chairman of Cajou Espoir, a cashew processing business employing several hundred people, mostly women, in rural Togo.</w:t>
            </w:r>
          </w:p>
          <w:p>
            <w:pPr>
              <w:pStyle w:val="TableContents"/>
              <w:bidi w:val="0"/>
              <w:spacing w:before="0" w:after="0"/>
              <w:jc w:val="left"/>
              <w:rPr/>
            </w:pPr>
            <w:r>
              <w:rPr/>
              <w:t> </w:t>
            </w:r>
          </w:p>
          <w:p>
            <w:pPr>
              <w:pStyle w:val="TableContents"/>
              <w:bidi w:val="0"/>
              <w:spacing w:before="0" w:after="0"/>
              <w:jc w:val="left"/>
              <w:rPr>
                <w:rFonts w:ascii="arial" w:hAnsi="arial"/>
                <w:b/>
                <w:color w:val="003A5D"/>
                <w:sz w:val="18"/>
              </w:rPr>
            </w:pPr>
            <w:r>
              <w:rPr>
                <w:rFonts w:ascii="arial" w:hAnsi="arial"/>
                <w:b/>
                <w:color w:val="003A5D"/>
                <w:sz w:val="18"/>
              </w:rPr>
              <w:t>Additional Public Directorships: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F5, Inc.</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15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660" w:type="dxa"/>
        <w:jc w:val="left"/>
        <w:tblInd w:w="0" w:type="dxa"/>
        <w:tblLayout w:type="fixed"/>
        <w:tblCellMar>
          <w:top w:w="0" w:type="dxa"/>
          <w:left w:w="0" w:type="dxa"/>
          <w:bottom w:w="0" w:type="dxa"/>
          <w:right w:w="0" w:type="dxa"/>
        </w:tblCellMar>
      </w:tblPr>
      <w:tblGrid>
        <w:gridCol w:w="5660"/>
      </w:tblGrid>
      <w:tr>
        <w:trPr/>
        <w:tc>
          <w:tcPr>
            <w:tcW w:w="5660" w:type="dxa"/>
            <w:tcBorders/>
            <w:vAlign w:val="center"/>
          </w:tcPr>
          <w:p>
            <w:pPr>
              <w:pStyle w:val="TableContents"/>
              <w:bidi w:val="0"/>
              <w:spacing w:before="0" w:after="283"/>
              <w:jc w:val="left"/>
              <w:rPr>
                <w:sz w:val="4"/>
                <w:szCs w:val="4"/>
              </w:rPr>
            </w:pPr>
            <w:r>
              <w:rPr>
                <w:sz w:val="4"/>
                <w:szCs w:val="4"/>
              </w:rPr>
            </w:r>
          </w:p>
        </w:tc>
      </w:tr>
      <w:tr>
        <w:trPr/>
        <w:tc>
          <w:tcPr>
            <w:tcW w:w="5660" w:type="dxa"/>
            <w:tcBorders/>
            <w:vAlign w:val="center"/>
          </w:tcPr>
          <w:p>
            <w:pPr>
              <w:pStyle w:val="TableContents"/>
              <w:bidi w:val="0"/>
              <w:spacing w:before="0" w:after="283"/>
              <w:jc w:val="left"/>
              <w:rPr>
                <w:b/>
                <w:color w:val="003A5D"/>
              </w:rPr>
            </w:pPr>
            <w:r>
              <w:rPr>
                <w:b/>
                <w:color w:val="003A5D"/>
              </w:rPr>
              <w:t>Section I - Election of Directors (Item 1 on Proxy Card)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0"/>
        <w:gridCol w:w="120"/>
        <w:gridCol w:w="7525"/>
      </w:tblGrid>
      <w:tr>
        <w:trPr/>
        <w:tc>
          <w:tcPr>
            <w:tcW w:w="2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25" w:type="dxa"/>
            <w:tcBorders/>
            <w:vAlign w:val="center"/>
          </w:tcPr>
          <w:p>
            <w:pPr>
              <w:pStyle w:val="TableContents"/>
              <w:bidi w:val="0"/>
              <w:spacing w:before="0" w:after="283"/>
              <w:jc w:val="left"/>
              <w:rPr>
                <w:sz w:val="4"/>
                <w:szCs w:val="4"/>
              </w:rPr>
            </w:pPr>
            <w:r>
              <w:rPr>
                <w:sz w:val="4"/>
                <w:szCs w:val="4"/>
              </w:rPr>
            </w:r>
          </w:p>
        </w:tc>
      </w:tr>
      <w:tr>
        <w:trPr/>
        <w:tc>
          <w:tcPr>
            <w:tcW w:w="2560"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600200" cy="182880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600200" cy="18288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Since: </w:t>
            </w:r>
            <w:r>
              <w:rPr>
                <w:rFonts w:ascii="arial" w:hAnsi="arial"/>
                <w:sz w:val="18"/>
              </w:rPr>
              <w:t>2012</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Age: </w:t>
            </w:r>
            <w:r>
              <w:rPr>
                <w:rFonts w:ascii="arial" w:hAnsi="arial"/>
                <w:sz w:val="18"/>
              </w:rPr>
              <w:t>68</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Committees:   </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Governance and Nominating</w:t>
            </w:r>
          </w:p>
          <w:p>
            <w:pPr>
              <w:pStyle w:val="TableContents"/>
              <w:bidi w:val="0"/>
              <w:spacing w:before="0" w:after="0"/>
              <w:jc w:val="left"/>
              <w:rPr/>
            </w:pPr>
            <w:r>
              <w:rPr/>
              <w:t>     </w:t>
            </w:r>
            <w:r>
              <w:rPr>
                <w:rFonts w:ascii="arial" w:hAnsi="arial"/>
                <w:sz w:val="18"/>
              </w:rPr>
              <w:t>Committee</w:t>
            </w:r>
          </w:p>
          <w:p>
            <w:pPr>
              <w:pStyle w:val="TableContents"/>
              <w:bidi w:val="0"/>
              <w:spacing w:before="0" w:after="0"/>
              <w:jc w:val="left"/>
              <w:rPr/>
            </w:pPr>
            <w:r>
              <w:rPr/>
              <w:t> </w:t>
            </w:r>
          </w:p>
          <w:p>
            <w:pPr>
              <w:pStyle w:val="TableContents"/>
              <w:bidi w:val="0"/>
              <w:spacing w:before="0" w:after="20"/>
              <w:jc w:val="left"/>
              <w:rPr/>
            </w:pPr>
            <w:r>
              <w:rPr/>
              <w:t>  </w:t>
            </w:r>
            <w:r>
              <w:rPr>
                <w:color w:val="003A5D"/>
              </w:rPr>
              <w:t>∎</w:t>
            </w:r>
            <w:r>
              <w:rPr/>
              <w:t>   </w:t>
            </w:r>
            <w:r>
              <w:rPr>
                <w:rFonts w:ascii="arial" w:hAnsi="arial"/>
                <w:sz w:val="18"/>
              </w:rPr>
              <w:t>Risk Committee</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7525"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Peter E. Raskind</w:t>
            </w:r>
          </w:p>
          <w:p>
            <w:pPr>
              <w:pStyle w:val="TableContents"/>
              <w:bidi w:val="0"/>
              <w:spacing w:before="0" w:after="0"/>
              <w:jc w:val="left"/>
              <w:rPr>
                <w:rFonts w:ascii="arial" w:hAnsi="arial"/>
                <w:b/>
                <w:i/>
                <w:sz w:val="18"/>
              </w:rPr>
            </w:pPr>
            <w:r>
              <w:rPr>
                <w:rFonts w:ascii="arial" w:hAnsi="arial"/>
                <w:b/>
                <w:i/>
                <w:sz w:val="18"/>
              </w:rPr>
              <w:t>Former Chairman, President, and Chief Executive Officer, National City Corporation</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Raskind has more than 45 years of banking experience, including in corporate banking, retail banking, wealth management/trust, mortgage, operations, technology, strategy, product management, asset/liability management, risk management and acquisition integration. Through his extensive banking career, he has served in a number of senior executive leadership roles and held positions of successively greater responsibility in a broad range of consumer and commercial banking disciplines, including cash management services, corporate finance, international banking, wealth management and corporate trust, retail and small business banking, operations and strategic planning.</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Most recently, Mr. Raskind was a consultant to banks and equity bank investors as the owner of JMB Consulting, LLC, which he established in February 2009 and managed through 2017. Prior to founding JMB Consulting, Mr. Raskind served as Chairman, President and Chief Executive Officer of National City Corporation, one of the largest banks in the United States, until its merger with PNC Financial Services Group in December 2008. Mr. Raskind has served as a director of United Community Banks, Inc. and Visa USA and Visa International. He also served on the board of directors of the Consumer Bankers Association, was a member of the Financial Services Roundtable, and on the executive committee of the National Automated Clearing House Association. In addition, Mr. Raskind served as Interim Chief Executive Officer of the Cleveland Metropolitan School District in 2011, and in 2010, he served as Interim Chief Executive Officer of the Cleveland-Cuyahoga County Port Authority.</w:t>
            </w:r>
          </w:p>
          <w:p>
            <w:pPr>
              <w:pStyle w:val="TableContents"/>
              <w:bidi w:val="0"/>
              <w:spacing w:before="0" w:after="0"/>
              <w:jc w:val="left"/>
              <w:rPr/>
            </w:pPr>
            <w:r>
              <w:rPr/>
              <w:t> </w:t>
            </w:r>
          </w:p>
          <w:p>
            <w:pPr>
              <w:pStyle w:val="TableContents"/>
              <w:bidi w:val="0"/>
              <w:spacing w:before="0" w:after="0"/>
              <w:jc w:val="left"/>
              <w:rPr>
                <w:rFonts w:ascii="arial" w:hAnsi="arial"/>
                <w:b/>
                <w:color w:val="003A5D"/>
                <w:sz w:val="18"/>
              </w:rPr>
            </w:pPr>
            <w:r>
              <w:rPr>
                <w:rFonts w:ascii="arial" w:hAnsi="arial"/>
                <w:b/>
                <w:color w:val="003A5D"/>
                <w:sz w:val="18"/>
              </w:rPr>
              <w:t>Additional Public Directorships: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None</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2"/>
        <w:gridCol w:w="120"/>
        <w:gridCol w:w="7523"/>
      </w:tblGrid>
      <w:tr>
        <w:trPr/>
        <w:tc>
          <w:tcPr>
            <w:tcW w:w="25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23" w:type="dxa"/>
            <w:tcBorders/>
            <w:vAlign w:val="center"/>
          </w:tcPr>
          <w:p>
            <w:pPr>
              <w:pStyle w:val="TableContents"/>
              <w:bidi w:val="0"/>
              <w:spacing w:before="0" w:after="283"/>
              <w:jc w:val="left"/>
              <w:rPr>
                <w:sz w:val="4"/>
                <w:szCs w:val="4"/>
              </w:rPr>
            </w:pPr>
            <w:r>
              <w:rPr>
                <w:sz w:val="4"/>
                <w:szCs w:val="4"/>
              </w:rPr>
            </w:r>
          </w:p>
        </w:tc>
      </w:tr>
      <w:tr>
        <w:trPr/>
        <w:tc>
          <w:tcPr>
            <w:tcW w:w="2562"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600200" cy="182880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600200" cy="18288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Since: </w:t>
            </w:r>
            <w:r>
              <w:rPr>
                <w:rFonts w:ascii="arial" w:hAnsi="arial"/>
                <w:sz w:val="18"/>
              </w:rPr>
              <w:t>2020</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Age: </w:t>
            </w:r>
            <w:r>
              <w:rPr>
                <w:rFonts w:ascii="arial" w:hAnsi="arial"/>
                <w:sz w:val="18"/>
              </w:rPr>
              <w:t>70</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Committees:   </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Audit Committee (Chair)</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Risk Committee</w:t>
            </w:r>
          </w:p>
          <w:p>
            <w:pPr>
              <w:pStyle w:val="TableContents"/>
              <w:bidi w:val="0"/>
              <w:spacing w:before="0" w:after="20"/>
              <w:jc w:val="left"/>
              <w:rPr/>
            </w:pPr>
            <w:r>
              <w:rPr/>
              <w:t> </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7523"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Eileen Serra</w:t>
            </w:r>
          </w:p>
          <w:p>
            <w:pPr>
              <w:pStyle w:val="TableContents"/>
              <w:bidi w:val="0"/>
              <w:spacing w:before="0" w:after="0"/>
              <w:jc w:val="left"/>
              <w:rPr>
                <w:rFonts w:ascii="arial" w:hAnsi="arial"/>
                <w:b/>
                <w:i/>
                <w:sz w:val="18"/>
              </w:rPr>
            </w:pPr>
            <w:r>
              <w:rPr>
                <w:rFonts w:ascii="arial" w:hAnsi="arial"/>
                <w:b/>
                <w:i/>
                <w:sz w:val="18"/>
              </w:rPr>
              <w:t>Former Senior Advisor, JPMorgan Chase &amp; Co.; Former Chief Executive Officer, Chase Card Services</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Ms. Serra served in various leadership roles over the course of her more than 20 years in the financial services industry, which included responsibility for operations, product development, customer engagement, digital transformation, strategic and growth initiatives, and talent management. Prior to her financial services experience, Ms. Serra was a partner in a strategy consulting firm.</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A seasoned credit card industry executive, Ms. Serra served in a variety of executive positions at JPMorgan Chase &amp; Co., including as Chief Executive Officer of Chase Card Services from 2012 to 2016 and most recently as Senior Advisor focusing on strategic growth initiatives from 2016 until her retirement in February 2018. While at JPMorgan Chase, Ms. Serra established and developed successful consumer credit card products and brands, loyalty programs, partner relationships, and digital mobile payment solutions.</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Prior to joining JPMorgan Chase in 2006, Ms. Serra was a Managing Director and Head of Private Client Banking Solutions at Merrill Lynch. She also served as Senior Vice President at American Express where, among other responsibilities, she led the Small Business Credit Card and Lending businesses. Prior to American Express, she was a partner at McKinsey &amp; Company. Ms. Serra previously served as a director and member of the audit committee of Boxed, Inc.</w:t>
            </w:r>
          </w:p>
          <w:p>
            <w:pPr>
              <w:pStyle w:val="TableContents"/>
              <w:bidi w:val="0"/>
              <w:spacing w:before="0" w:after="0"/>
              <w:jc w:val="left"/>
              <w:rPr/>
            </w:pPr>
            <w:r>
              <w:rPr/>
              <w:t> </w:t>
            </w:r>
          </w:p>
          <w:p>
            <w:pPr>
              <w:pStyle w:val="TableContents"/>
              <w:bidi w:val="0"/>
              <w:spacing w:before="0" w:after="0"/>
              <w:jc w:val="left"/>
              <w:rPr>
                <w:rFonts w:ascii="arial" w:hAnsi="arial"/>
                <w:color w:val="003A5D"/>
                <w:sz w:val="18"/>
              </w:rPr>
            </w:pPr>
            <w:r>
              <w:rPr>
                <w:rFonts w:ascii="arial" w:hAnsi="arial"/>
                <w:b/>
                <w:color w:val="003A5D"/>
                <w:sz w:val="18"/>
              </w:rPr>
              <w:t>Additional Public Directorships:</w:t>
            </w:r>
            <w:r>
              <w:rPr>
                <w:rFonts w:ascii="arial" w:hAnsi="arial"/>
                <w:color w:val="003A5D"/>
                <w:sz w:val="18"/>
              </w:rPr>
              <w:t xml:space="preserve"> </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Gartner, Inc.</w:t>
            </w:r>
          </w:p>
          <w:p>
            <w:pPr>
              <w:pStyle w:val="TableContents"/>
              <w:bidi w:val="0"/>
              <w:spacing w:before="0" w:after="20"/>
              <w:jc w:val="left"/>
              <w:rPr/>
            </w:pPr>
            <w:r>
              <w:rPr/>
              <w:t> </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16 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660" w:type="dxa"/>
        <w:jc w:val="left"/>
        <w:tblInd w:w="0" w:type="dxa"/>
        <w:tblLayout w:type="fixed"/>
        <w:tblCellMar>
          <w:top w:w="0" w:type="dxa"/>
          <w:left w:w="0" w:type="dxa"/>
          <w:bottom w:w="0" w:type="dxa"/>
          <w:right w:w="0" w:type="dxa"/>
        </w:tblCellMar>
      </w:tblPr>
      <w:tblGrid>
        <w:gridCol w:w="5660"/>
      </w:tblGrid>
      <w:tr>
        <w:trPr/>
        <w:tc>
          <w:tcPr>
            <w:tcW w:w="5660" w:type="dxa"/>
            <w:tcBorders/>
            <w:vAlign w:val="center"/>
          </w:tcPr>
          <w:p>
            <w:pPr>
              <w:pStyle w:val="TableContents"/>
              <w:bidi w:val="0"/>
              <w:spacing w:before="0" w:after="283"/>
              <w:jc w:val="left"/>
              <w:rPr>
                <w:sz w:val="4"/>
                <w:szCs w:val="4"/>
              </w:rPr>
            </w:pPr>
            <w:r>
              <w:rPr>
                <w:sz w:val="4"/>
                <w:szCs w:val="4"/>
              </w:rPr>
            </w:r>
          </w:p>
        </w:tc>
      </w:tr>
      <w:tr>
        <w:trPr/>
        <w:tc>
          <w:tcPr>
            <w:tcW w:w="5660" w:type="dxa"/>
            <w:tcBorders/>
            <w:vAlign w:val="center"/>
          </w:tcPr>
          <w:p>
            <w:pPr>
              <w:pStyle w:val="TableContents"/>
              <w:bidi w:val="0"/>
              <w:spacing w:before="0" w:after="283"/>
              <w:jc w:val="right"/>
              <w:rPr>
                <w:b/>
                <w:color w:val="003A5D"/>
              </w:rPr>
            </w:pPr>
            <w:r>
              <w:rPr>
                <w:b/>
                <w:color w:val="003A5D"/>
              </w:rPr>
              <w:t>Section I - Election of Directors (Item 1 on Proxy Card)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7"/>
        <w:gridCol w:w="120"/>
        <w:gridCol w:w="7508"/>
      </w:tblGrid>
      <w:tr>
        <w:trPr/>
        <w:tc>
          <w:tcPr>
            <w:tcW w:w="25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08" w:type="dxa"/>
            <w:tcBorders/>
            <w:vAlign w:val="center"/>
          </w:tcPr>
          <w:p>
            <w:pPr>
              <w:pStyle w:val="TableContents"/>
              <w:bidi w:val="0"/>
              <w:spacing w:before="0" w:after="283"/>
              <w:jc w:val="left"/>
              <w:rPr>
                <w:sz w:val="4"/>
                <w:szCs w:val="4"/>
              </w:rPr>
            </w:pPr>
            <w:r>
              <w:rPr>
                <w:sz w:val="4"/>
                <w:szCs w:val="4"/>
              </w:rPr>
            </w:r>
          </w:p>
        </w:tc>
      </w:tr>
      <w:tr>
        <w:trPr/>
        <w:tc>
          <w:tcPr>
            <w:tcW w:w="2577"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600200" cy="182880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600200" cy="18288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Since: </w:t>
            </w:r>
            <w:r>
              <w:rPr>
                <w:rFonts w:ascii="arial" w:hAnsi="arial"/>
                <w:sz w:val="18"/>
              </w:rPr>
              <w:t>2003</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Age: </w:t>
            </w:r>
            <w:r>
              <w:rPr>
                <w:rFonts w:ascii="arial" w:hAnsi="arial"/>
                <w:sz w:val="18"/>
              </w:rPr>
              <w:t>70</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Committees:   </w:t>
            </w:r>
          </w:p>
          <w:p>
            <w:pPr>
              <w:pStyle w:val="TableContents"/>
              <w:bidi w:val="0"/>
              <w:spacing w:before="0" w:after="0"/>
              <w:jc w:val="left"/>
              <w:rPr/>
            </w:pPr>
            <w:r>
              <w:rPr/>
              <w:t> </w:t>
            </w:r>
          </w:p>
          <w:p>
            <w:pPr>
              <w:pStyle w:val="TableContents"/>
              <w:bidi w:val="0"/>
              <w:spacing w:before="0" w:after="0"/>
              <w:jc w:val="both"/>
              <w:rPr/>
            </w:pPr>
            <w:r>
              <w:rPr/>
              <w:t>  </w:t>
            </w:r>
            <w:r>
              <w:rPr>
                <w:color w:val="003A5D"/>
              </w:rPr>
              <w:t>∎</w:t>
            </w:r>
            <w:r>
              <w:rPr/>
              <w:t>   </w:t>
            </w:r>
            <w:r>
              <w:rPr>
                <w:rFonts w:ascii="arial" w:hAnsi="arial"/>
                <w:sz w:val="18"/>
              </w:rPr>
              <w:t>Compensation Committee</w:t>
            </w:r>
          </w:p>
          <w:p>
            <w:pPr>
              <w:pStyle w:val="TableContents"/>
              <w:bidi w:val="0"/>
              <w:spacing w:before="0" w:after="0"/>
              <w:jc w:val="left"/>
              <w:rPr/>
            </w:pPr>
            <w:r>
              <w:rPr/>
              <w:t> </w:t>
            </w:r>
          </w:p>
          <w:p>
            <w:pPr>
              <w:pStyle w:val="TableContents"/>
              <w:bidi w:val="0"/>
              <w:spacing w:before="0" w:after="0"/>
              <w:jc w:val="both"/>
              <w:rPr/>
            </w:pPr>
            <w:r>
              <w:rPr/>
              <w:t>  </w:t>
            </w:r>
            <w:r>
              <w:rPr>
                <w:color w:val="003A5D"/>
              </w:rPr>
              <w:t>∎</w:t>
            </w:r>
            <w:r>
              <w:rPr/>
              <w:t>   </w:t>
            </w:r>
            <w:r>
              <w:rPr>
                <w:rFonts w:ascii="arial" w:hAnsi="arial"/>
                <w:sz w:val="18"/>
              </w:rPr>
              <w:t>Governance and Nominating</w:t>
            </w:r>
          </w:p>
          <w:p>
            <w:pPr>
              <w:pStyle w:val="TableContents"/>
              <w:bidi w:val="0"/>
              <w:spacing w:before="0" w:after="0"/>
              <w:jc w:val="both"/>
              <w:rPr/>
            </w:pPr>
            <w:r>
              <w:rPr/>
              <w:t>     </w:t>
            </w:r>
            <w:r>
              <w:rPr>
                <w:rFonts w:ascii="arial" w:hAnsi="arial"/>
                <w:sz w:val="18"/>
              </w:rPr>
              <w:t>Committee</w:t>
            </w:r>
          </w:p>
          <w:p>
            <w:pPr>
              <w:pStyle w:val="TableContents"/>
              <w:bidi w:val="0"/>
              <w:spacing w:before="0" w:after="20"/>
              <w:jc w:val="left"/>
              <w:rPr/>
            </w:pPr>
            <w:r>
              <w:rPr/>
              <w:t> </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7508"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Mayo A. Shattuck III</w:t>
            </w:r>
          </w:p>
          <w:p>
            <w:pPr>
              <w:pStyle w:val="TableContents"/>
              <w:bidi w:val="0"/>
              <w:spacing w:before="0" w:after="0"/>
              <w:jc w:val="left"/>
              <w:rPr>
                <w:rFonts w:ascii="arial" w:hAnsi="arial"/>
                <w:b/>
                <w:i/>
                <w:sz w:val="18"/>
              </w:rPr>
            </w:pPr>
            <w:r>
              <w:rPr>
                <w:rFonts w:ascii="arial" w:hAnsi="arial"/>
                <w:b/>
                <w:i/>
                <w:sz w:val="18"/>
              </w:rPr>
              <w:t>Former Chairman, Exelon Corporation; Former Chairman, President, and Chief Executive Officer, Constellation Energy Group</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Shattuck has decades of experience in global corporate finance and lending, corporate strategy, capital markets, risk management, executive compensation, and private banking. He has led two large, publicly held companies and has served on other public company boards.</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From 2013 to April 2022, Mr. Shattuck served as Chairman of the Board of Chicago-based Exelon Corporation, a Fortune 100 company that owns six utilities and is the nation’s largest competitive energy provider and commercial nuclear plant operator. Previously, Mr. Shattuck was Chairman, President, and Chief Executive Officer of Constellation Energy Group, a position he held from 2001 to 2012.</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Shattuck has extensive experience in the financial services industry. He was previously at Deutsche Bank, where he served as Global Head of Investment Banking, Global Head of Private Banking and Chairman of Deutsche Bank Alex. Brown. From 1997 to 1999, Mr. Shattuck served as Vice Chairman of Bankers Trust Corporation, which merged with Deutsche Bank in 1999. In addition, from 1991 to 1997, Mr. Shattuck was President, Chief Operating Officer and a director of Alex. Brown &amp; Sons, an investment bank, which merged with Bankers Trust in 1997. Mr. Shattuck is the former Chairman of the Institute of Nuclear Power Operations.</w:t>
            </w:r>
          </w:p>
          <w:p>
            <w:pPr>
              <w:pStyle w:val="TableContents"/>
              <w:bidi w:val="0"/>
              <w:spacing w:before="0" w:after="0"/>
              <w:jc w:val="left"/>
              <w:rPr/>
            </w:pPr>
            <w:r>
              <w:rPr/>
              <w:t> </w:t>
            </w:r>
          </w:p>
          <w:p>
            <w:pPr>
              <w:pStyle w:val="TableContents"/>
              <w:bidi w:val="0"/>
              <w:spacing w:before="0" w:after="0"/>
              <w:jc w:val="left"/>
              <w:rPr>
                <w:rFonts w:ascii="arial" w:hAnsi="arial"/>
                <w:b/>
                <w:color w:val="003A5D"/>
                <w:sz w:val="18"/>
              </w:rPr>
            </w:pPr>
            <w:r>
              <w:rPr>
                <w:rFonts w:ascii="arial" w:hAnsi="arial"/>
                <w:b/>
                <w:color w:val="003A5D"/>
                <w:sz w:val="18"/>
              </w:rPr>
              <w:t>Additional Public Directorships: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Gap, Inc.</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Hut 8 Corp.</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4"/>
        <w:gridCol w:w="120"/>
        <w:gridCol w:w="7531"/>
      </w:tblGrid>
      <w:tr>
        <w:trPr/>
        <w:tc>
          <w:tcPr>
            <w:tcW w:w="25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31" w:type="dxa"/>
            <w:tcBorders/>
            <w:vAlign w:val="center"/>
          </w:tcPr>
          <w:p>
            <w:pPr>
              <w:pStyle w:val="TableContents"/>
              <w:bidi w:val="0"/>
              <w:spacing w:before="0" w:after="283"/>
              <w:jc w:val="left"/>
              <w:rPr>
                <w:sz w:val="4"/>
                <w:szCs w:val="4"/>
              </w:rPr>
            </w:pPr>
            <w:r>
              <w:rPr>
                <w:sz w:val="4"/>
                <w:szCs w:val="4"/>
              </w:rPr>
            </w:r>
          </w:p>
        </w:tc>
      </w:tr>
      <w:tr>
        <w:trPr/>
        <w:tc>
          <w:tcPr>
            <w:tcW w:w="2554"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600200" cy="182880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1600200" cy="18288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Since: </w:t>
            </w:r>
            <w:r>
              <w:rPr>
                <w:rFonts w:ascii="arial" w:hAnsi="arial"/>
                <w:sz w:val="18"/>
              </w:rPr>
              <w:t>2021</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w:t>
            </w:r>
            <w:r>
              <w:rPr>
                <w:rFonts w:ascii="arial" w:hAnsi="arial"/>
                <w:sz w:val="18"/>
              </w:rPr>
              <w:t> 55</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Committees:   </w:t>
            </w:r>
          </w:p>
          <w:p>
            <w:pPr>
              <w:pStyle w:val="TableContents"/>
              <w:bidi w:val="0"/>
              <w:spacing w:before="0" w:after="0"/>
              <w:jc w:val="left"/>
              <w:rPr/>
            </w:pPr>
            <w:r>
              <w:rPr/>
              <w:t> </w:t>
            </w:r>
          </w:p>
          <w:p>
            <w:pPr>
              <w:pStyle w:val="TableContents"/>
              <w:bidi w:val="0"/>
              <w:spacing w:before="0" w:after="0"/>
              <w:jc w:val="both"/>
              <w:rPr/>
            </w:pPr>
            <w:r>
              <w:rPr/>
              <w:t>  </w:t>
            </w:r>
            <w:r>
              <w:rPr>
                <w:color w:val="003A5D"/>
              </w:rPr>
              <w:t>∎</w:t>
            </w:r>
            <w:r>
              <w:rPr/>
              <w:t>   </w:t>
            </w:r>
            <w:r>
              <w:rPr>
                <w:rFonts w:ascii="arial" w:hAnsi="arial"/>
                <w:sz w:val="18"/>
              </w:rPr>
              <w:t>Audit Committee</w:t>
            </w:r>
          </w:p>
          <w:p>
            <w:pPr>
              <w:pStyle w:val="TableContents"/>
              <w:bidi w:val="0"/>
              <w:spacing w:before="0" w:after="0"/>
              <w:jc w:val="left"/>
              <w:rPr/>
            </w:pPr>
            <w:r>
              <w:rPr/>
              <w:t> </w:t>
            </w:r>
          </w:p>
          <w:p>
            <w:pPr>
              <w:pStyle w:val="TableContents"/>
              <w:bidi w:val="0"/>
              <w:spacing w:before="0" w:after="0"/>
              <w:jc w:val="both"/>
              <w:rPr/>
            </w:pPr>
            <w:r>
              <w:rPr/>
              <w:t>  </w:t>
            </w:r>
            <w:r>
              <w:rPr>
                <w:color w:val="003A5D"/>
              </w:rPr>
              <w:t>∎</w:t>
            </w:r>
            <w:r>
              <w:rPr/>
              <w:t>   </w:t>
            </w:r>
            <w:r>
              <w:rPr>
                <w:rFonts w:ascii="arial" w:hAnsi="arial"/>
                <w:sz w:val="18"/>
              </w:rPr>
              <w:t>Compensation Committee</w:t>
            </w:r>
          </w:p>
          <w:p>
            <w:pPr>
              <w:pStyle w:val="TableContents"/>
              <w:bidi w:val="0"/>
              <w:spacing w:before="0" w:after="20"/>
              <w:jc w:val="left"/>
              <w:rPr/>
            </w:pPr>
            <w:r>
              <w:rPr/>
              <w:t> </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7531"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Craig Anthony Williams</w:t>
            </w:r>
          </w:p>
          <w:p>
            <w:pPr>
              <w:pStyle w:val="TableContents"/>
              <w:bidi w:val="0"/>
              <w:spacing w:before="0" w:after="0"/>
              <w:jc w:val="left"/>
              <w:rPr>
                <w:rFonts w:ascii="arial" w:hAnsi="arial"/>
                <w:b/>
                <w:i/>
                <w:sz w:val="18"/>
              </w:rPr>
            </w:pPr>
            <w:r>
              <w:rPr>
                <w:rFonts w:ascii="arial" w:hAnsi="arial"/>
                <w:b/>
                <w:i/>
                <w:sz w:val="18"/>
              </w:rPr>
              <w:t>President, Geographies and Marketplace, NIKE, Inc.</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Williams, a seasoned business executive, has extensive experience in general management, marketing, product development, cross-functional team leadership and driving global strategy and operations. He has served as President, Geographies and Marketplace at NIKE, Inc. since May 2023, where he leads NIKE’s four geographies and marketplace across its direct and wholesale business in addition to leading NIKE’s supply chain and logistics. From January 2019 until May 2023, he served as President of Jordan Brand at NIKE, Inc., where he led a cross-functional team focused on the brand’s vision, strategy and global revenue growth.</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Prior to joining NIKE, Inc., Mr. Williams was the Senior Vice President, The Coca-Cola Co. and President of The Global McDonald’s Division (TMD) from January 2016 to January 2019, where he was responsible for brand and category growth. During his time at The Coca-Cola Co., Mr. Williams held a variety of executive roles within TMD Worldwide, including Senior Vice President and Chief Operating Officer, Vice President U.S., Assistant Vice President of U.S. Marketing and Group Director of U.S. Marketing. Prior to joining The Coca-Cola Co. in June 2005, Mr. Williams was a Global Marketing Director at CIBA Vision Corporation, a contact lenses and lens care product manufacturer, a brand management executive at Kraft Foods Inc., and served as a Naval Nuclear Power Officer in the U.S. Navy.</w:t>
            </w:r>
          </w:p>
          <w:p>
            <w:pPr>
              <w:pStyle w:val="TableContents"/>
              <w:bidi w:val="0"/>
              <w:spacing w:before="0" w:after="0"/>
              <w:jc w:val="left"/>
              <w:rPr/>
            </w:pPr>
            <w:r>
              <w:rPr/>
              <w:t> </w:t>
            </w:r>
          </w:p>
          <w:p>
            <w:pPr>
              <w:pStyle w:val="TableContents"/>
              <w:bidi w:val="0"/>
              <w:spacing w:before="0" w:after="0"/>
              <w:jc w:val="left"/>
              <w:rPr>
                <w:rFonts w:ascii="arial" w:hAnsi="arial"/>
                <w:b/>
                <w:color w:val="003A5D"/>
                <w:sz w:val="18"/>
              </w:rPr>
            </w:pPr>
            <w:r>
              <w:rPr>
                <w:rFonts w:ascii="arial" w:hAnsi="arial"/>
                <w:b/>
                <w:color w:val="003A5D"/>
                <w:sz w:val="18"/>
              </w:rPr>
              <w:t>Additional Public Directorships: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None</w:t>
            </w:r>
          </w:p>
          <w:p>
            <w:pPr>
              <w:pStyle w:val="TableContents"/>
              <w:bidi w:val="0"/>
              <w:spacing w:before="0" w:after="20"/>
              <w:jc w:val="left"/>
              <w:rPr/>
            </w:pPr>
            <w:r>
              <w:rPr/>
              <w:t>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17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660" w:type="dxa"/>
        <w:jc w:val="left"/>
        <w:tblInd w:w="0" w:type="dxa"/>
        <w:tblLayout w:type="fixed"/>
        <w:tblCellMar>
          <w:top w:w="0" w:type="dxa"/>
          <w:left w:w="0" w:type="dxa"/>
          <w:bottom w:w="0" w:type="dxa"/>
          <w:right w:w="0" w:type="dxa"/>
        </w:tblCellMar>
      </w:tblPr>
      <w:tblGrid>
        <w:gridCol w:w="5660"/>
      </w:tblGrid>
      <w:tr>
        <w:trPr/>
        <w:tc>
          <w:tcPr>
            <w:tcW w:w="5660" w:type="dxa"/>
            <w:tcBorders/>
            <w:vAlign w:val="center"/>
          </w:tcPr>
          <w:p>
            <w:pPr>
              <w:pStyle w:val="TableContents"/>
              <w:bidi w:val="0"/>
              <w:spacing w:before="0" w:after="283"/>
              <w:jc w:val="left"/>
              <w:rPr>
                <w:sz w:val="4"/>
                <w:szCs w:val="4"/>
              </w:rPr>
            </w:pPr>
            <w:r>
              <w:rPr>
                <w:sz w:val="4"/>
                <w:szCs w:val="4"/>
              </w:rPr>
            </w:r>
          </w:p>
        </w:tc>
      </w:tr>
      <w:tr>
        <w:trPr/>
        <w:tc>
          <w:tcPr>
            <w:tcW w:w="5660" w:type="dxa"/>
            <w:tcBorders/>
            <w:vAlign w:val="center"/>
          </w:tcPr>
          <w:p>
            <w:pPr>
              <w:pStyle w:val="TableContents"/>
              <w:bidi w:val="0"/>
              <w:spacing w:before="0" w:after="283"/>
              <w:jc w:val="left"/>
              <w:rPr>
                <w:b/>
                <w:color w:val="003A5D"/>
              </w:rPr>
            </w:pPr>
            <w:r>
              <w:rPr>
                <w:b/>
                <w:color w:val="003A5D"/>
              </w:rPr>
              <w:t>Section I - Election of Directors (Item 1 on Proxy Card)</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4"/>
        </w:rPr>
      </w:pPr>
      <w:r>
        <w:rPr>
          <w:rFonts w:ascii="arial" w:hAnsi="arial"/>
          <w:b/>
          <w:i/>
          <w:color w:val="003A5D"/>
          <w:sz w:val="24"/>
        </w:rPr>
        <w:t xml:space="preserve">Director Nominee Highlights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230370" cy="277050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4230370" cy="2770505"/>
                    </a:xfrm>
                    <a:prstGeom prst="rect">
                      <a:avLst/>
                    </a:prstGeom>
                  </pic:spPr>
                </pic:pic>
              </a:graphicData>
            </a:graphic>
          </wp:inline>
        </w:drawing>
      </w:r>
      <w:r>
        <w:rPr/>
        <w:t xml:space="preserve"> </w:t>
      </w:r>
    </w:p>
    <w:p>
      <w:pPr>
        <w:pStyle w:val="TextBody"/>
        <w:bidi w:val="0"/>
        <w:spacing w:before="240" w:after="0"/>
        <w:jc w:val="left"/>
        <w:rPr>
          <w:rFonts w:ascii="arial" w:hAnsi="arial"/>
          <w:b/>
          <w:i/>
          <w:color w:val="003A5D"/>
          <w:sz w:val="24"/>
        </w:rPr>
      </w:pPr>
      <w:bookmarkStart w:id="9" w:name="txa845790_1we"/>
      <w:bookmarkEnd w:id="9"/>
      <w:r>
        <w:rPr>
          <w:rFonts w:ascii="arial" w:hAnsi="arial"/>
          <w:b/>
          <w:i/>
          <w:color w:val="003A5D"/>
          <w:sz w:val="24"/>
        </w:rPr>
        <w:t xml:space="preserve">What We Look for in Individual Director Nominees </w:t>
      </w:r>
    </w:p>
    <w:p>
      <w:pPr>
        <w:pStyle w:val="TextBody"/>
        <w:bidi w:val="0"/>
        <w:spacing w:before="240" w:after="0"/>
        <w:jc w:val="both"/>
        <w:rPr>
          <w:rFonts w:ascii="arial" w:hAnsi="arial"/>
          <w:sz w:val="20"/>
        </w:rPr>
      </w:pPr>
      <w:r>
        <w:rPr>
          <w:rFonts w:ascii="arial" w:hAnsi="arial"/>
          <w:sz w:val="20"/>
        </w:rPr>
        <w:t xml:space="preserve">The evaluation and selection of director nominees is a key aspect of the Governance and Nominating Committee’s regular evaluation of the composition of, and criteria for membership on, the Board and its commitment to ongoing Board refreshment. When considering director nominees, including incumbent directors standing for re-election, nominees to fill vacancies on the Board, and nominees recommended by stockholders, the Governance and Nominating Committee focuses on certain criteria when developing and evaluating the Board’s composition. Among the criteria considered, the Governance and Nominating Committee considers each director nominee’s relevant skills and experience, commitment to the Company, diversity of experience and background, and relevant personal characteristics. For more information regarding our Governance and Nominating Committee’s and our Board’s perspectives on Board composition, recruitment priorities, and refreshment, see “Corporate Governance at Capital One—Key Board Governance Practices—Our Perspectives on Overall Board Composition and Refreshment” beginning on page 24. </w:t>
      </w:r>
    </w:p>
    <w:p>
      <w:pPr>
        <w:pStyle w:val="TextBody"/>
        <w:bidi w:val="0"/>
        <w:spacing w:before="240" w:after="0"/>
        <w:jc w:val="left"/>
        <w:rPr>
          <w:rFonts w:ascii="arial" w:hAnsi="arial"/>
          <w:b/>
          <w:color w:val="003A5D"/>
          <w:sz w:val="20"/>
        </w:rPr>
      </w:pPr>
      <w:r>
        <w:rPr>
          <w:rFonts w:ascii="arial" w:hAnsi="arial"/>
          <w:b/>
          <w:color w:val="003A5D"/>
          <w:sz w:val="20"/>
        </w:rPr>
        <w:t xml:space="preserve">Other Considerations </w:t>
      </w:r>
    </w:p>
    <w:p>
      <w:pPr>
        <w:pStyle w:val="TextBody"/>
        <w:bidi w:val="0"/>
        <w:spacing w:before="240" w:after="0"/>
        <w:jc w:val="both"/>
        <w:rPr>
          <w:rFonts w:ascii="arial" w:hAnsi="arial"/>
          <w:sz w:val="20"/>
        </w:rPr>
      </w:pPr>
      <w:r>
        <w:rPr>
          <w:rFonts w:ascii="arial" w:hAnsi="arial"/>
          <w:sz w:val="20"/>
        </w:rPr>
        <w:t xml:space="preserve">For new candidates, the Governance and Nominating Committee also considers the results of the candidate’s interviews with directors and/or members of senior management and any background checks the Governance and Nominating Committee deems appropriate. In 2024, Capital One continued its engagement with Spencer Stuart, a third-party director search firm, to identify and evaluate potential director candidates based on the criteria and principles described above. </w:t>
      </w:r>
    </w:p>
    <w:p>
      <w:pPr>
        <w:pStyle w:val="TextBody"/>
        <w:bidi w:val="0"/>
        <w:spacing w:before="240" w:after="0"/>
        <w:jc w:val="both"/>
        <w:rPr>
          <w:rFonts w:ascii="arial" w:hAnsi="arial"/>
          <w:sz w:val="20"/>
        </w:rPr>
      </w:pPr>
      <w:r>
        <w:rPr>
          <w:rFonts w:ascii="arial" w:hAnsi="arial"/>
          <w:sz w:val="20"/>
        </w:rPr>
        <w:t xml:space="preserve">When evaluating incumbent directors, the Governance and Nominating Committee also considers each director’s performance throughout the year, including the director’s attendance, preparation for, and participation in Board and committee meetings, the director’s annual evaluation, including feedback received from fellow Board members, the director’s outside commitments, and the director’s willingness to serve for an additional term, as further described in the section “Annual Assessment of Individual Director Nominees” on page 29.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18 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660" w:type="dxa"/>
        <w:jc w:val="left"/>
        <w:tblInd w:w="0" w:type="dxa"/>
        <w:tblLayout w:type="fixed"/>
        <w:tblCellMar>
          <w:top w:w="0" w:type="dxa"/>
          <w:left w:w="0" w:type="dxa"/>
          <w:bottom w:w="0" w:type="dxa"/>
          <w:right w:w="0" w:type="dxa"/>
        </w:tblCellMar>
      </w:tblPr>
      <w:tblGrid>
        <w:gridCol w:w="5660"/>
      </w:tblGrid>
      <w:tr>
        <w:trPr/>
        <w:tc>
          <w:tcPr>
            <w:tcW w:w="5660" w:type="dxa"/>
            <w:tcBorders/>
            <w:vAlign w:val="center"/>
          </w:tcPr>
          <w:p>
            <w:pPr>
              <w:pStyle w:val="TableContents"/>
              <w:bidi w:val="0"/>
              <w:spacing w:before="0" w:after="283"/>
              <w:jc w:val="left"/>
              <w:rPr>
                <w:sz w:val="4"/>
                <w:szCs w:val="4"/>
              </w:rPr>
            </w:pPr>
            <w:r>
              <w:rPr>
                <w:sz w:val="4"/>
                <w:szCs w:val="4"/>
              </w:rPr>
            </w:r>
          </w:p>
        </w:tc>
      </w:tr>
      <w:tr>
        <w:trPr/>
        <w:tc>
          <w:tcPr>
            <w:tcW w:w="5660" w:type="dxa"/>
            <w:tcBorders/>
            <w:vAlign w:val="center"/>
          </w:tcPr>
          <w:p>
            <w:pPr>
              <w:pStyle w:val="TableContents"/>
              <w:bidi w:val="0"/>
              <w:spacing w:before="0" w:after="283"/>
              <w:jc w:val="right"/>
              <w:rPr>
                <w:b/>
                <w:color w:val="003A5D"/>
              </w:rPr>
            </w:pPr>
            <w:r>
              <w:rPr>
                <w:b/>
                <w:color w:val="003A5D"/>
              </w:rPr>
              <w:t>Section I - Election of Directors (Item 1 on Proxy Card)</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10" w:name="txa845790_3"/>
      <w:bookmarkEnd w:id="10"/>
      <w:r>
        <w:rPr>
          <w:rFonts w:ascii="arial" w:hAnsi="arial"/>
          <w:b/>
          <w:color w:val="003A5D"/>
          <w:sz w:val="32"/>
        </w:rPr>
        <w:t>Skills and Experience of Our Director Nominees</w:t>
      </w:r>
    </w:p>
    <w:p>
      <w:pPr>
        <w:pStyle w:val="TextBody"/>
        <w:bidi w:val="0"/>
        <w:spacing w:before="240" w:after="0"/>
        <w:jc w:val="both"/>
        <w:rPr>
          <w:rFonts w:ascii="arial" w:hAnsi="arial"/>
          <w:sz w:val="20"/>
        </w:rPr>
      </w:pPr>
      <w:r>
        <w:rPr>
          <w:rFonts w:ascii="arial" w:hAnsi="arial"/>
          <w:sz w:val="20"/>
        </w:rPr>
        <w:t xml:space="preserve">The Governance and Nominating Committee and the Board regularly review the Board’s membership in light of Capital One’s business model and strategic goals and objectives, the regulatory environment, and financial market conditions. In its review, the Governance and Nominating Committee considers whether the Board continues to possess the appropriate mix of skills and experience to oversee the Company in achieving these goals, and may seek additional directors as a result of this review. Our director nominees have the requisite experiences that, in the aggregate, meet an articulated set of director skills established by the Governance and Nominating Committee. These skills collectively allow our director nominees to effectively oversee the Company and create an engaged, effective, and strategically oriented board. For more information on our Board’s skills, experience, tenure, and independence, please see the detailed director skills matrix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6981825"/>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7810500" cy="6981825"/>
                    </a:xfrm>
                    <a:prstGeom prst="rect">
                      <a:avLst/>
                    </a:prstGeom>
                  </pic:spPr>
                </pic:pic>
              </a:graphicData>
            </a:graphic>
          </wp:inline>
        </w:drawing>
      </w:r>
      <w:r>
        <w:rPr/>
        <w:t xml:space="preserve"> </w:t>
      </w:r>
    </w:p>
    <w:p>
      <w:pPr>
        <w:pStyle w:val="TextBody"/>
        <w:bidi w:val="0"/>
        <w:jc w:val="center"/>
        <w:rPr>
          <w:rFonts w:ascii="arial" w:hAnsi="arial"/>
          <w:color w:val="FFFFFF"/>
          <w:sz w:val="2"/>
        </w:rPr>
      </w:pPr>
      <w:r>
        <w:rPr>
          <w:rFonts w:ascii="arial" w:hAnsi="arial"/>
          <w:color w:val="FFFFFF"/>
          <w:sz w:val="2"/>
        </w:rPr>
        <w:t xml:space="preserve">Director Nominees: Fairbank Archibong Detrick Hackett Harford Killalea Leenaars Locoh-Donou Raskind Serra Shattuck Williams Skills and Experience Total Number of Directors Strategic Planning and Transformation Banking and Financial Services Consumer Lending, Retail Banking and/or Commercial Banking Executive Digital and Technology Cybersecurity Technology Executive Risk Management and Compliance Public Company Senior Executive Management Public Accounting and Financial Reporting Talent Management, Compensation and Succession Planning Public Company Governance Regulated Industries and Regulatory Issues Marketing Demographic Information Gender Diverse Racially/Ethnically Diverse Age Tenure Director Since "Independence / Number of Other Public Boards" Independent "Number of Other Public Boards" Total Number of Directors 12 8 6 10 5 4 9 103 12 9 10 10 4 3 63 (average) - Total 11 - 74 43 66 71 62 57 64 53 68 70 70 55 1994 2021 2021 2004 2024 2016 2019 2019 2012 2020 2003 2021 0 0 2 2 0 3 0 1 0 1 2 0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19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660" w:type="dxa"/>
        <w:jc w:val="left"/>
        <w:tblInd w:w="0" w:type="dxa"/>
        <w:tblLayout w:type="fixed"/>
        <w:tblCellMar>
          <w:top w:w="0" w:type="dxa"/>
          <w:left w:w="0" w:type="dxa"/>
          <w:bottom w:w="0" w:type="dxa"/>
          <w:right w:w="0" w:type="dxa"/>
        </w:tblCellMar>
      </w:tblPr>
      <w:tblGrid>
        <w:gridCol w:w="5660"/>
      </w:tblGrid>
      <w:tr>
        <w:trPr/>
        <w:tc>
          <w:tcPr>
            <w:tcW w:w="5660" w:type="dxa"/>
            <w:tcBorders/>
            <w:vAlign w:val="center"/>
          </w:tcPr>
          <w:p>
            <w:pPr>
              <w:pStyle w:val="TableContents"/>
              <w:bidi w:val="0"/>
              <w:spacing w:before="0" w:after="283"/>
              <w:jc w:val="left"/>
              <w:rPr>
                <w:sz w:val="4"/>
                <w:szCs w:val="4"/>
              </w:rPr>
            </w:pPr>
            <w:r>
              <w:rPr>
                <w:sz w:val="4"/>
                <w:szCs w:val="4"/>
              </w:rPr>
            </w:r>
          </w:p>
        </w:tc>
      </w:tr>
      <w:tr>
        <w:trPr/>
        <w:tc>
          <w:tcPr>
            <w:tcW w:w="5660" w:type="dxa"/>
            <w:tcBorders/>
            <w:vAlign w:val="center"/>
          </w:tcPr>
          <w:p>
            <w:pPr>
              <w:pStyle w:val="TableContents"/>
              <w:bidi w:val="0"/>
              <w:spacing w:before="0" w:after="283"/>
              <w:jc w:val="left"/>
              <w:rPr>
                <w:b/>
                <w:color w:val="003A5D"/>
              </w:rPr>
            </w:pPr>
            <w:r>
              <w:rPr>
                <w:b/>
                <w:color w:val="003A5D"/>
              </w:rPr>
              <w:t>Section I - Election of Directors (Item 1 on Proxy Card)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34"/>
        <w:gridCol w:w="60"/>
        <w:gridCol w:w="5811"/>
      </w:tblGrid>
      <w:tr>
        <w:trPr/>
        <w:tc>
          <w:tcPr>
            <w:tcW w:w="43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11" w:type="dxa"/>
            <w:tcBorders/>
            <w:vAlign w:val="center"/>
          </w:tcPr>
          <w:p>
            <w:pPr>
              <w:pStyle w:val="TableContents"/>
              <w:bidi w:val="0"/>
              <w:spacing w:before="0" w:after="283"/>
              <w:jc w:val="left"/>
              <w:rPr>
                <w:sz w:val="4"/>
                <w:szCs w:val="4"/>
              </w:rPr>
            </w:pPr>
            <w:r>
              <w:rPr>
                <w:sz w:val="4"/>
                <w:szCs w:val="4"/>
              </w:rPr>
            </w:r>
          </w:p>
        </w:tc>
      </w:tr>
      <w:tr>
        <w:trPr/>
        <w:tc>
          <w:tcPr>
            <w:tcW w:w="4334" w:type="dxa"/>
            <w:tcBorders/>
            <w:shd w:fill="003A5D" w:val="clear"/>
            <w:vAlign w:val="center"/>
          </w:tcPr>
          <w:p>
            <w:pPr>
              <w:pStyle w:val="TableContents"/>
              <w:bidi w:val="0"/>
              <w:spacing w:before="0" w:after="283"/>
              <w:jc w:val="left"/>
              <w:rPr>
                <w:sz w:val="4"/>
                <w:szCs w:val="4"/>
              </w:rPr>
            </w:pPr>
            <w:r>
              <w:rPr>
                <w:sz w:val="4"/>
                <w:szCs w:val="4"/>
              </w:rPr>
            </w:r>
          </w:p>
        </w:tc>
        <w:tc>
          <w:tcPr>
            <w:tcW w:w="5871"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4334" w:type="dxa"/>
            <w:tcBorders>
              <w:bottom w:val="single" w:sz="8" w:space="0" w:color="FFFFFF"/>
            </w:tcBorders>
            <w:shd w:fill="003A5D" w:val="clear"/>
            <w:tcMar>
              <w:bottom w:w="80" w:type="dxa"/>
            </w:tcMar>
            <w:vAlign w:val="center"/>
          </w:tcPr>
          <w:p>
            <w:pPr>
              <w:pStyle w:val="TableContents"/>
              <w:bidi w:val="0"/>
              <w:spacing w:before="0" w:after="283"/>
              <w:jc w:val="center"/>
              <w:rPr>
                <w:b/>
                <w:color w:val="FFFFFF"/>
              </w:rPr>
            </w:pPr>
            <w:r>
              <w:rPr>
                <w:b/>
                <w:color w:val="FFFFFF"/>
              </w:rPr>
              <w:t>Strategic Planning and Transformation</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5811" w:type="dxa"/>
            <w:tcBorders/>
            <w:shd w:fill="E5EBEE" w:val="clear"/>
            <w:vAlign w:val="center"/>
          </w:tcPr>
          <w:p>
            <w:pPr>
              <w:pStyle w:val="TableContents"/>
              <w:bidi w:val="0"/>
              <w:spacing w:before="0" w:after="0"/>
              <w:jc w:val="both"/>
              <w:rPr>
                <w:rFonts w:ascii="arial" w:hAnsi="arial"/>
                <w:sz w:val="20"/>
              </w:rPr>
            </w:pPr>
            <w:r>
              <w:rPr>
                <w:rFonts w:ascii="arial" w:hAnsi="arial"/>
                <w:sz w:val="20"/>
              </w:rPr>
              <w:t>Experience setting a long-term corporate vision or direction, developing desirable products and customer segments, assessing geographies in which to operate, and evaluating competitive positioning</w:t>
            </w:r>
          </w:p>
        </w:tc>
      </w:tr>
      <w:tr>
        <w:trPr/>
        <w:tc>
          <w:tcPr>
            <w:tcW w:w="4334" w:type="dxa"/>
            <w:tcBorders/>
            <w:shd w:fill="003A5D" w:val="clear"/>
            <w:vAlign w:val="center"/>
          </w:tcPr>
          <w:p>
            <w:pPr>
              <w:pStyle w:val="TableContents"/>
              <w:bidi w:val="0"/>
              <w:spacing w:before="0" w:after="283"/>
              <w:jc w:val="left"/>
              <w:rPr>
                <w:sz w:val="4"/>
                <w:szCs w:val="4"/>
              </w:rPr>
            </w:pPr>
            <w:r>
              <w:rPr>
                <w:sz w:val="4"/>
                <w:szCs w:val="4"/>
              </w:rPr>
            </w:r>
          </w:p>
        </w:tc>
        <w:tc>
          <w:tcPr>
            <w:tcW w:w="5871"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4334" w:type="dxa"/>
            <w:tcBorders>
              <w:bottom w:val="single" w:sz="8" w:space="0" w:color="FFFFFF"/>
            </w:tcBorders>
            <w:shd w:fill="003A5D" w:val="clear"/>
            <w:tcMar>
              <w:bottom w:w="80" w:type="dxa"/>
            </w:tcMar>
            <w:vAlign w:val="center"/>
          </w:tcPr>
          <w:p>
            <w:pPr>
              <w:pStyle w:val="TableContents"/>
              <w:bidi w:val="0"/>
              <w:spacing w:before="0" w:after="0"/>
              <w:jc w:val="center"/>
              <w:rPr>
                <w:rFonts w:ascii="arial" w:hAnsi="arial"/>
                <w:b/>
                <w:color w:val="FFFFFF"/>
                <w:sz w:val="20"/>
              </w:rPr>
            </w:pPr>
            <w:r>
              <w:rPr>
                <w:rFonts w:ascii="arial" w:hAnsi="arial"/>
                <w:b/>
                <w:color w:val="FFFFFF"/>
                <w:sz w:val="20"/>
              </w:rPr>
              <w:t>Banking and Financial</w:t>
            </w:r>
          </w:p>
          <w:p>
            <w:pPr>
              <w:pStyle w:val="TableContents"/>
              <w:bidi w:val="0"/>
              <w:spacing w:before="0" w:after="20"/>
              <w:jc w:val="center"/>
              <w:rPr>
                <w:rFonts w:ascii="arial" w:hAnsi="arial"/>
                <w:b/>
                <w:color w:val="FFFFFF"/>
                <w:sz w:val="20"/>
              </w:rPr>
            </w:pPr>
            <w:r>
              <w:rPr>
                <w:rFonts w:ascii="arial" w:hAnsi="arial"/>
                <w:b/>
                <w:color w:val="FFFFFF"/>
                <w:sz w:val="20"/>
              </w:rPr>
              <w:t>Services</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5811" w:type="dxa"/>
            <w:tcBorders/>
            <w:vAlign w:val="center"/>
          </w:tcPr>
          <w:p>
            <w:pPr>
              <w:pStyle w:val="TableContents"/>
              <w:bidi w:val="0"/>
              <w:spacing w:before="0" w:after="0"/>
              <w:jc w:val="both"/>
              <w:rPr>
                <w:rFonts w:ascii="arial" w:hAnsi="arial"/>
                <w:sz w:val="20"/>
              </w:rPr>
            </w:pPr>
            <w:r>
              <w:rPr>
                <w:rFonts w:ascii="arial" w:hAnsi="arial"/>
                <w:sz w:val="20"/>
              </w:rPr>
              <w:t>Extended board experience or management experience in Retail Banking, Commercial Banking, Consumer Lending, Small Business Banking, Investment Banking, and/or other financial services</w:t>
            </w:r>
          </w:p>
        </w:tc>
      </w:tr>
      <w:tr>
        <w:trPr/>
        <w:tc>
          <w:tcPr>
            <w:tcW w:w="4334" w:type="dxa"/>
            <w:tcBorders/>
            <w:shd w:fill="003A5D" w:val="clear"/>
            <w:vAlign w:val="center"/>
          </w:tcPr>
          <w:p>
            <w:pPr>
              <w:pStyle w:val="TableContents"/>
              <w:bidi w:val="0"/>
              <w:spacing w:before="0" w:after="283"/>
              <w:jc w:val="left"/>
              <w:rPr>
                <w:sz w:val="4"/>
                <w:szCs w:val="4"/>
              </w:rPr>
            </w:pPr>
            <w:r>
              <w:rPr>
                <w:sz w:val="4"/>
                <w:szCs w:val="4"/>
              </w:rPr>
            </w:r>
          </w:p>
        </w:tc>
        <w:tc>
          <w:tcPr>
            <w:tcW w:w="5871"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4334" w:type="dxa"/>
            <w:tcBorders>
              <w:bottom w:val="single" w:sz="8" w:space="0" w:color="FFFFFF"/>
            </w:tcBorders>
            <w:shd w:fill="003A5D" w:val="clear"/>
            <w:tcMar>
              <w:bottom w:w="80" w:type="dxa"/>
            </w:tcMar>
            <w:vAlign w:val="center"/>
          </w:tcPr>
          <w:p>
            <w:pPr>
              <w:pStyle w:val="TableContents"/>
              <w:bidi w:val="0"/>
              <w:spacing w:before="0" w:after="283"/>
              <w:jc w:val="center"/>
              <w:rPr>
                <w:b/>
                <w:color w:val="FFFFFF"/>
              </w:rPr>
            </w:pPr>
            <w:r>
              <w:rPr>
                <w:b/>
                <w:color w:val="FFFFFF"/>
              </w:rPr>
              <w:t>Consumer Lending, Retail Banking and/or Commercial Banking Executive</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5811" w:type="dxa"/>
            <w:tcBorders/>
            <w:shd w:fill="E5EBEE" w:val="clear"/>
            <w:vAlign w:val="center"/>
          </w:tcPr>
          <w:p>
            <w:pPr>
              <w:pStyle w:val="TableContents"/>
              <w:bidi w:val="0"/>
              <w:spacing w:before="0" w:after="0"/>
              <w:jc w:val="both"/>
              <w:rPr>
                <w:rFonts w:ascii="arial" w:hAnsi="arial"/>
                <w:sz w:val="20"/>
              </w:rPr>
            </w:pPr>
            <w:r>
              <w:rPr>
                <w:rFonts w:ascii="arial" w:hAnsi="arial"/>
                <w:sz w:val="20"/>
              </w:rPr>
              <w:t>Executive level experience and oversight of Retail Banking, Consumer Lending, and/or Commercial Banking</w:t>
            </w:r>
          </w:p>
        </w:tc>
      </w:tr>
      <w:tr>
        <w:trPr/>
        <w:tc>
          <w:tcPr>
            <w:tcW w:w="4334" w:type="dxa"/>
            <w:tcBorders/>
            <w:shd w:fill="003A5D" w:val="clear"/>
            <w:vAlign w:val="center"/>
          </w:tcPr>
          <w:p>
            <w:pPr>
              <w:pStyle w:val="TableContents"/>
              <w:bidi w:val="0"/>
              <w:spacing w:before="0" w:after="283"/>
              <w:jc w:val="left"/>
              <w:rPr>
                <w:sz w:val="4"/>
                <w:szCs w:val="4"/>
              </w:rPr>
            </w:pPr>
            <w:r>
              <w:rPr>
                <w:sz w:val="4"/>
                <w:szCs w:val="4"/>
              </w:rPr>
            </w:r>
          </w:p>
        </w:tc>
        <w:tc>
          <w:tcPr>
            <w:tcW w:w="5871"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4334" w:type="dxa"/>
            <w:tcBorders>
              <w:bottom w:val="single" w:sz="8" w:space="0" w:color="FFFFFF"/>
            </w:tcBorders>
            <w:shd w:fill="003A5D" w:val="clear"/>
            <w:tcMar>
              <w:bottom w:w="80" w:type="dxa"/>
            </w:tcMar>
            <w:vAlign w:val="center"/>
          </w:tcPr>
          <w:p>
            <w:pPr>
              <w:pStyle w:val="TableContents"/>
              <w:bidi w:val="0"/>
              <w:spacing w:before="0" w:after="283"/>
              <w:jc w:val="center"/>
              <w:rPr>
                <w:b/>
                <w:color w:val="FFFFFF"/>
              </w:rPr>
            </w:pPr>
            <w:r>
              <w:rPr>
                <w:b/>
                <w:color w:val="FFFFFF"/>
              </w:rPr>
              <w:t>Digital and Technology</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5811" w:type="dxa"/>
            <w:tcBorders/>
            <w:vAlign w:val="center"/>
          </w:tcPr>
          <w:p>
            <w:pPr>
              <w:pStyle w:val="TableContents"/>
              <w:bidi w:val="0"/>
              <w:spacing w:before="0" w:after="0"/>
              <w:jc w:val="both"/>
              <w:rPr>
                <w:rFonts w:ascii="arial" w:hAnsi="arial"/>
                <w:sz w:val="20"/>
              </w:rPr>
            </w:pPr>
            <w:r>
              <w:rPr>
                <w:rFonts w:ascii="arial" w:hAnsi="arial"/>
                <w:sz w:val="20"/>
              </w:rPr>
              <w:t>Leadership and understanding of technology and digital platforms</w:t>
            </w:r>
          </w:p>
        </w:tc>
      </w:tr>
      <w:tr>
        <w:trPr/>
        <w:tc>
          <w:tcPr>
            <w:tcW w:w="4334" w:type="dxa"/>
            <w:tcBorders/>
            <w:shd w:fill="003A5D" w:val="clear"/>
            <w:vAlign w:val="center"/>
          </w:tcPr>
          <w:p>
            <w:pPr>
              <w:pStyle w:val="TableContents"/>
              <w:bidi w:val="0"/>
              <w:spacing w:before="0" w:after="283"/>
              <w:jc w:val="left"/>
              <w:rPr>
                <w:sz w:val="4"/>
                <w:szCs w:val="4"/>
              </w:rPr>
            </w:pPr>
            <w:r>
              <w:rPr>
                <w:sz w:val="4"/>
                <w:szCs w:val="4"/>
              </w:rPr>
            </w:r>
          </w:p>
        </w:tc>
        <w:tc>
          <w:tcPr>
            <w:tcW w:w="5871"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4334" w:type="dxa"/>
            <w:tcBorders>
              <w:bottom w:val="single" w:sz="8" w:space="0" w:color="FFFFFF"/>
            </w:tcBorders>
            <w:shd w:fill="003A5D" w:val="clear"/>
            <w:tcMar>
              <w:bottom w:w="80" w:type="dxa"/>
            </w:tcMar>
            <w:vAlign w:val="center"/>
          </w:tcPr>
          <w:p>
            <w:pPr>
              <w:pStyle w:val="TableContents"/>
              <w:bidi w:val="0"/>
              <w:spacing w:before="0" w:after="283"/>
              <w:jc w:val="center"/>
              <w:rPr>
                <w:b/>
                <w:color w:val="FFFFFF"/>
              </w:rPr>
            </w:pPr>
            <w:r>
              <w:rPr>
                <w:b/>
                <w:color w:val="FFFFFF"/>
              </w:rPr>
              <w:t>Cybersecurity</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5811" w:type="dxa"/>
            <w:tcBorders/>
            <w:shd w:fill="E5EBEE" w:val="clear"/>
            <w:vAlign w:val="center"/>
          </w:tcPr>
          <w:p>
            <w:pPr>
              <w:pStyle w:val="TableContents"/>
              <w:bidi w:val="0"/>
              <w:spacing w:before="0" w:after="0"/>
              <w:jc w:val="both"/>
              <w:rPr>
                <w:rFonts w:ascii="arial" w:hAnsi="arial"/>
                <w:sz w:val="20"/>
              </w:rPr>
            </w:pPr>
            <w:r>
              <w:rPr>
                <w:rFonts w:ascii="arial" w:hAnsi="arial"/>
                <w:sz w:val="20"/>
              </w:rPr>
              <w:t>Experience with or oversight of cybersecurity (e.g., prior work experience, possession of a cybersecurity certification or degree or other knowledge, skills or background in cybersecurity)</w:t>
            </w:r>
          </w:p>
        </w:tc>
      </w:tr>
      <w:tr>
        <w:trPr/>
        <w:tc>
          <w:tcPr>
            <w:tcW w:w="4334" w:type="dxa"/>
            <w:tcBorders/>
            <w:shd w:fill="003A5D" w:val="clear"/>
            <w:vAlign w:val="center"/>
          </w:tcPr>
          <w:p>
            <w:pPr>
              <w:pStyle w:val="TableContents"/>
              <w:bidi w:val="0"/>
              <w:spacing w:before="0" w:after="283"/>
              <w:jc w:val="left"/>
              <w:rPr>
                <w:sz w:val="4"/>
                <w:szCs w:val="4"/>
              </w:rPr>
            </w:pPr>
            <w:r>
              <w:rPr>
                <w:sz w:val="4"/>
                <w:szCs w:val="4"/>
              </w:rPr>
            </w:r>
          </w:p>
        </w:tc>
        <w:tc>
          <w:tcPr>
            <w:tcW w:w="5871"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4334" w:type="dxa"/>
            <w:tcBorders>
              <w:bottom w:val="single" w:sz="8" w:space="0" w:color="FFFFFF"/>
            </w:tcBorders>
            <w:shd w:fill="003A5D" w:val="clear"/>
            <w:tcMar>
              <w:bottom w:w="80" w:type="dxa"/>
            </w:tcMar>
            <w:vAlign w:val="center"/>
          </w:tcPr>
          <w:p>
            <w:pPr>
              <w:pStyle w:val="TableContents"/>
              <w:bidi w:val="0"/>
              <w:spacing w:before="0" w:after="283"/>
              <w:jc w:val="center"/>
              <w:rPr>
                <w:b/>
                <w:color w:val="FFFFFF"/>
              </w:rPr>
            </w:pPr>
            <w:r>
              <w:rPr>
                <w:b/>
                <w:color w:val="FFFFFF"/>
              </w:rPr>
              <w:t>Technology Executive</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5811" w:type="dxa"/>
            <w:tcBorders/>
            <w:vAlign w:val="center"/>
          </w:tcPr>
          <w:p>
            <w:pPr>
              <w:pStyle w:val="TableContents"/>
              <w:bidi w:val="0"/>
              <w:spacing w:before="0" w:after="0"/>
              <w:jc w:val="both"/>
              <w:rPr>
                <w:rFonts w:ascii="arial" w:hAnsi="arial"/>
                <w:sz w:val="20"/>
              </w:rPr>
            </w:pPr>
            <w:r>
              <w:rPr>
                <w:rFonts w:ascii="arial" w:hAnsi="arial"/>
                <w:sz w:val="20"/>
              </w:rPr>
              <w:t>Executive-level experience with direct oversight and expertise in technology, digital platforms, and cybersecurity risk</w:t>
            </w:r>
          </w:p>
        </w:tc>
      </w:tr>
      <w:tr>
        <w:trPr/>
        <w:tc>
          <w:tcPr>
            <w:tcW w:w="4334" w:type="dxa"/>
            <w:tcBorders/>
            <w:shd w:fill="003A5D" w:val="clear"/>
            <w:vAlign w:val="center"/>
          </w:tcPr>
          <w:p>
            <w:pPr>
              <w:pStyle w:val="TableContents"/>
              <w:bidi w:val="0"/>
              <w:spacing w:before="0" w:after="283"/>
              <w:jc w:val="left"/>
              <w:rPr>
                <w:sz w:val="4"/>
                <w:szCs w:val="4"/>
              </w:rPr>
            </w:pPr>
            <w:r>
              <w:rPr>
                <w:sz w:val="4"/>
                <w:szCs w:val="4"/>
              </w:rPr>
            </w:r>
          </w:p>
        </w:tc>
        <w:tc>
          <w:tcPr>
            <w:tcW w:w="5871"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4334" w:type="dxa"/>
            <w:tcBorders>
              <w:bottom w:val="single" w:sz="8" w:space="0" w:color="FFFFFF"/>
            </w:tcBorders>
            <w:shd w:fill="003A5D" w:val="clear"/>
            <w:tcMar>
              <w:bottom w:w="80" w:type="dxa"/>
            </w:tcMar>
            <w:vAlign w:val="center"/>
          </w:tcPr>
          <w:p>
            <w:pPr>
              <w:pStyle w:val="TableContents"/>
              <w:bidi w:val="0"/>
              <w:spacing w:before="0" w:after="283"/>
              <w:jc w:val="center"/>
              <w:rPr>
                <w:b/>
                <w:color w:val="FFFFFF"/>
              </w:rPr>
            </w:pPr>
            <w:r>
              <w:rPr>
                <w:b/>
                <w:color w:val="FFFFFF"/>
              </w:rPr>
              <w:t>Risk Management and Compliance</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5811" w:type="dxa"/>
            <w:tcBorders/>
            <w:shd w:fill="E5EBEE" w:val="clear"/>
            <w:vAlign w:val="center"/>
          </w:tcPr>
          <w:p>
            <w:pPr>
              <w:pStyle w:val="TableContents"/>
              <w:bidi w:val="0"/>
              <w:spacing w:before="0" w:after="0"/>
              <w:jc w:val="both"/>
              <w:rPr>
                <w:rFonts w:ascii="arial" w:hAnsi="arial"/>
                <w:sz w:val="20"/>
              </w:rPr>
            </w:pPr>
            <w:r>
              <w:rPr>
                <w:rFonts w:ascii="arial" w:hAnsi="arial"/>
                <w:sz w:val="20"/>
              </w:rPr>
              <w:t>Significant understanding with respect to the identification, assessment, and oversight of risk management programs and practices</w:t>
            </w:r>
          </w:p>
        </w:tc>
      </w:tr>
      <w:tr>
        <w:trPr/>
        <w:tc>
          <w:tcPr>
            <w:tcW w:w="4334" w:type="dxa"/>
            <w:tcBorders/>
            <w:shd w:fill="003A5D" w:val="clear"/>
            <w:vAlign w:val="center"/>
          </w:tcPr>
          <w:p>
            <w:pPr>
              <w:pStyle w:val="TableContents"/>
              <w:bidi w:val="0"/>
              <w:spacing w:before="0" w:after="283"/>
              <w:jc w:val="left"/>
              <w:rPr>
                <w:sz w:val="4"/>
                <w:szCs w:val="4"/>
              </w:rPr>
            </w:pPr>
            <w:r>
              <w:rPr>
                <w:sz w:val="4"/>
                <w:szCs w:val="4"/>
              </w:rPr>
            </w:r>
          </w:p>
        </w:tc>
        <w:tc>
          <w:tcPr>
            <w:tcW w:w="5871"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4334" w:type="dxa"/>
            <w:tcBorders>
              <w:bottom w:val="single" w:sz="8" w:space="0" w:color="FFFFFF"/>
            </w:tcBorders>
            <w:shd w:fill="003A5D" w:val="clear"/>
            <w:tcMar>
              <w:bottom w:w="80" w:type="dxa"/>
            </w:tcMar>
            <w:vAlign w:val="center"/>
          </w:tcPr>
          <w:p>
            <w:pPr>
              <w:pStyle w:val="TableContents"/>
              <w:bidi w:val="0"/>
              <w:spacing w:before="0" w:after="283"/>
              <w:jc w:val="center"/>
              <w:rPr>
                <w:b/>
                <w:color w:val="FFFFFF"/>
              </w:rPr>
            </w:pPr>
            <w:r>
              <w:rPr>
                <w:b/>
                <w:color w:val="FFFFFF"/>
              </w:rPr>
              <w:t>Public Company Senior Executive Management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5811" w:type="dxa"/>
            <w:tcBorders/>
            <w:vAlign w:val="center"/>
          </w:tcPr>
          <w:p>
            <w:pPr>
              <w:pStyle w:val="TableContents"/>
              <w:bidi w:val="0"/>
              <w:spacing w:before="0" w:after="0"/>
              <w:jc w:val="both"/>
              <w:rPr>
                <w:rFonts w:ascii="arial" w:hAnsi="arial"/>
                <w:sz w:val="20"/>
              </w:rPr>
            </w:pPr>
            <w:r>
              <w:rPr>
                <w:rFonts w:ascii="arial" w:hAnsi="arial"/>
                <w:sz w:val="20"/>
              </w:rPr>
              <w:t>Experience as a CEO or other senior executive at a public company</w:t>
            </w:r>
          </w:p>
        </w:tc>
      </w:tr>
      <w:tr>
        <w:trPr/>
        <w:tc>
          <w:tcPr>
            <w:tcW w:w="4334" w:type="dxa"/>
            <w:tcBorders/>
            <w:shd w:fill="003A5D" w:val="clear"/>
            <w:vAlign w:val="center"/>
          </w:tcPr>
          <w:p>
            <w:pPr>
              <w:pStyle w:val="TableContents"/>
              <w:bidi w:val="0"/>
              <w:spacing w:before="0" w:after="283"/>
              <w:jc w:val="left"/>
              <w:rPr>
                <w:sz w:val="4"/>
                <w:szCs w:val="4"/>
              </w:rPr>
            </w:pPr>
            <w:r>
              <w:rPr>
                <w:sz w:val="4"/>
                <w:szCs w:val="4"/>
              </w:rPr>
            </w:r>
          </w:p>
        </w:tc>
        <w:tc>
          <w:tcPr>
            <w:tcW w:w="5871"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4334" w:type="dxa"/>
            <w:tcBorders>
              <w:bottom w:val="single" w:sz="8" w:space="0" w:color="FFFFFF"/>
            </w:tcBorders>
            <w:shd w:fill="003A5D" w:val="clear"/>
            <w:tcMar>
              <w:bottom w:w="80" w:type="dxa"/>
            </w:tcMar>
            <w:vAlign w:val="center"/>
          </w:tcPr>
          <w:p>
            <w:pPr>
              <w:pStyle w:val="TableContents"/>
              <w:bidi w:val="0"/>
              <w:spacing w:before="0" w:after="0"/>
              <w:jc w:val="center"/>
              <w:rPr>
                <w:rFonts w:ascii="arial" w:hAnsi="arial"/>
                <w:b/>
                <w:color w:val="FFFFFF"/>
                <w:sz w:val="20"/>
              </w:rPr>
            </w:pPr>
            <w:r>
              <w:rPr>
                <w:rFonts w:ascii="arial" w:hAnsi="arial"/>
                <w:b/>
                <w:color w:val="FFFFFF"/>
                <w:sz w:val="20"/>
              </w:rPr>
              <w:t>Public Accounting and</w:t>
            </w:r>
          </w:p>
          <w:p>
            <w:pPr>
              <w:pStyle w:val="TableContents"/>
              <w:bidi w:val="0"/>
              <w:spacing w:before="0" w:after="20"/>
              <w:jc w:val="center"/>
              <w:rPr>
                <w:rFonts w:ascii="arial" w:hAnsi="arial"/>
                <w:b/>
                <w:color w:val="FFFFFF"/>
                <w:sz w:val="20"/>
              </w:rPr>
            </w:pPr>
            <w:r>
              <w:rPr>
                <w:rFonts w:ascii="arial" w:hAnsi="arial"/>
                <w:b/>
                <w:color w:val="FFFFFF"/>
                <w:sz w:val="20"/>
              </w:rPr>
              <w:t>Financial Reporting</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5811" w:type="dxa"/>
            <w:tcBorders/>
            <w:shd w:fill="E5EBEE" w:val="clear"/>
            <w:vAlign w:val="center"/>
          </w:tcPr>
          <w:p>
            <w:pPr>
              <w:pStyle w:val="TableContents"/>
              <w:bidi w:val="0"/>
              <w:spacing w:before="0" w:after="0"/>
              <w:jc w:val="both"/>
              <w:rPr>
                <w:rFonts w:ascii="arial" w:hAnsi="arial"/>
                <w:sz w:val="20"/>
              </w:rPr>
            </w:pPr>
            <w:r>
              <w:rPr>
                <w:rFonts w:ascii="arial" w:hAnsi="arial"/>
                <w:sz w:val="20"/>
              </w:rPr>
              <w:t>Experience overseeing or assessing the performance of companies or public accountants with respect to the preparation, auditing, or evaluation of financial statements</w:t>
            </w:r>
          </w:p>
        </w:tc>
      </w:tr>
      <w:tr>
        <w:trPr/>
        <w:tc>
          <w:tcPr>
            <w:tcW w:w="4334" w:type="dxa"/>
            <w:tcBorders/>
            <w:shd w:fill="003A5D" w:val="clear"/>
            <w:vAlign w:val="center"/>
          </w:tcPr>
          <w:p>
            <w:pPr>
              <w:pStyle w:val="TableContents"/>
              <w:bidi w:val="0"/>
              <w:spacing w:before="0" w:after="283"/>
              <w:jc w:val="left"/>
              <w:rPr>
                <w:sz w:val="4"/>
                <w:szCs w:val="4"/>
              </w:rPr>
            </w:pPr>
            <w:r>
              <w:rPr>
                <w:sz w:val="4"/>
                <w:szCs w:val="4"/>
              </w:rPr>
            </w:r>
          </w:p>
        </w:tc>
        <w:tc>
          <w:tcPr>
            <w:tcW w:w="5871"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4334" w:type="dxa"/>
            <w:tcBorders>
              <w:bottom w:val="single" w:sz="8" w:space="0" w:color="FFFFFF"/>
            </w:tcBorders>
            <w:shd w:fill="003A5D" w:val="clear"/>
            <w:tcMar>
              <w:bottom w:w="80" w:type="dxa"/>
            </w:tcMar>
            <w:vAlign w:val="center"/>
          </w:tcPr>
          <w:p>
            <w:pPr>
              <w:pStyle w:val="TableContents"/>
              <w:bidi w:val="0"/>
              <w:spacing w:before="0" w:after="0"/>
              <w:jc w:val="center"/>
              <w:rPr>
                <w:rFonts w:ascii="arial" w:hAnsi="arial"/>
                <w:b/>
                <w:color w:val="FFFFFF"/>
                <w:sz w:val="20"/>
              </w:rPr>
            </w:pPr>
            <w:r>
              <w:rPr>
                <w:rFonts w:ascii="arial" w:hAnsi="arial"/>
                <w:b/>
                <w:color w:val="FFFFFF"/>
                <w:sz w:val="20"/>
              </w:rPr>
              <w:t>Talent Management,</w:t>
            </w:r>
          </w:p>
          <w:p>
            <w:pPr>
              <w:pStyle w:val="TableContents"/>
              <w:bidi w:val="0"/>
              <w:spacing w:before="0" w:after="0"/>
              <w:jc w:val="center"/>
              <w:rPr>
                <w:rFonts w:ascii="arial" w:hAnsi="arial"/>
                <w:b/>
                <w:color w:val="FFFFFF"/>
                <w:sz w:val="20"/>
              </w:rPr>
            </w:pPr>
            <w:r>
              <w:rPr>
                <w:rFonts w:ascii="arial" w:hAnsi="arial"/>
                <w:b/>
                <w:color w:val="FFFFFF"/>
                <w:sz w:val="20"/>
              </w:rPr>
              <w:t>Compensation, and</w:t>
            </w:r>
          </w:p>
          <w:p>
            <w:pPr>
              <w:pStyle w:val="TableContents"/>
              <w:bidi w:val="0"/>
              <w:spacing w:before="0" w:after="20"/>
              <w:jc w:val="center"/>
              <w:rPr>
                <w:rFonts w:ascii="arial" w:hAnsi="arial"/>
                <w:b/>
                <w:color w:val="FFFFFF"/>
                <w:sz w:val="20"/>
              </w:rPr>
            </w:pPr>
            <w:r>
              <w:rPr>
                <w:rFonts w:ascii="arial" w:hAnsi="arial"/>
                <w:b/>
                <w:color w:val="FFFFFF"/>
                <w:sz w:val="20"/>
              </w:rPr>
              <w:t>Succession Planning</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5811" w:type="dxa"/>
            <w:tcBorders/>
            <w:vAlign w:val="center"/>
          </w:tcPr>
          <w:p>
            <w:pPr>
              <w:pStyle w:val="TableContents"/>
              <w:bidi w:val="0"/>
              <w:spacing w:before="0" w:after="0"/>
              <w:jc w:val="both"/>
              <w:rPr>
                <w:rFonts w:ascii="arial" w:hAnsi="arial"/>
                <w:sz w:val="20"/>
              </w:rPr>
            </w:pPr>
            <w:r>
              <w:rPr>
                <w:rFonts w:ascii="arial" w:hAnsi="arial"/>
                <w:sz w:val="20"/>
              </w:rPr>
              <w:t>Understanding of the issues involved with executive compensation, succession planning, human capital management, and talent management and development</w:t>
            </w:r>
          </w:p>
        </w:tc>
      </w:tr>
      <w:tr>
        <w:trPr/>
        <w:tc>
          <w:tcPr>
            <w:tcW w:w="4334" w:type="dxa"/>
            <w:tcBorders/>
            <w:shd w:fill="003A5D" w:val="clear"/>
            <w:vAlign w:val="center"/>
          </w:tcPr>
          <w:p>
            <w:pPr>
              <w:pStyle w:val="TableContents"/>
              <w:bidi w:val="0"/>
              <w:spacing w:before="0" w:after="283"/>
              <w:jc w:val="left"/>
              <w:rPr>
                <w:sz w:val="4"/>
                <w:szCs w:val="4"/>
              </w:rPr>
            </w:pPr>
            <w:r>
              <w:rPr>
                <w:sz w:val="4"/>
                <w:szCs w:val="4"/>
              </w:rPr>
            </w:r>
          </w:p>
        </w:tc>
        <w:tc>
          <w:tcPr>
            <w:tcW w:w="5871"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4334" w:type="dxa"/>
            <w:tcBorders>
              <w:bottom w:val="single" w:sz="8" w:space="0" w:color="FFFFFF"/>
            </w:tcBorders>
            <w:shd w:fill="003A5D" w:val="clear"/>
            <w:tcMar>
              <w:bottom w:w="80" w:type="dxa"/>
            </w:tcMar>
            <w:vAlign w:val="center"/>
          </w:tcPr>
          <w:p>
            <w:pPr>
              <w:pStyle w:val="TableContents"/>
              <w:bidi w:val="0"/>
              <w:spacing w:before="0" w:after="283"/>
              <w:jc w:val="center"/>
              <w:rPr>
                <w:b/>
                <w:color w:val="FFFFFF"/>
              </w:rPr>
            </w:pPr>
            <w:r>
              <w:rPr>
                <w:b/>
                <w:color w:val="FFFFFF"/>
              </w:rPr>
              <w:t>Public Company Governance</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5811" w:type="dxa"/>
            <w:tcBorders/>
            <w:shd w:fill="E5EBEE" w:val="clear"/>
            <w:vAlign w:val="center"/>
          </w:tcPr>
          <w:p>
            <w:pPr>
              <w:pStyle w:val="TableContents"/>
              <w:bidi w:val="0"/>
              <w:spacing w:before="0" w:after="0"/>
              <w:jc w:val="both"/>
              <w:rPr>
                <w:rFonts w:ascii="arial" w:hAnsi="arial"/>
                <w:sz w:val="20"/>
              </w:rPr>
            </w:pPr>
            <w:r>
              <w:rPr>
                <w:rFonts w:ascii="arial" w:hAnsi="arial"/>
                <w:sz w:val="20"/>
              </w:rPr>
              <w:t>Extended experience serving as a director on a large public company board and/or experience with public company governance issues and policies, including governance best practices</w:t>
            </w:r>
          </w:p>
        </w:tc>
      </w:tr>
      <w:tr>
        <w:trPr/>
        <w:tc>
          <w:tcPr>
            <w:tcW w:w="4334" w:type="dxa"/>
            <w:tcBorders/>
            <w:shd w:fill="003A5D" w:val="clear"/>
            <w:vAlign w:val="center"/>
          </w:tcPr>
          <w:p>
            <w:pPr>
              <w:pStyle w:val="TableContents"/>
              <w:bidi w:val="0"/>
              <w:spacing w:before="0" w:after="283"/>
              <w:jc w:val="left"/>
              <w:rPr>
                <w:sz w:val="4"/>
                <w:szCs w:val="4"/>
              </w:rPr>
            </w:pPr>
            <w:r>
              <w:rPr>
                <w:sz w:val="4"/>
                <w:szCs w:val="4"/>
              </w:rPr>
            </w:r>
          </w:p>
        </w:tc>
        <w:tc>
          <w:tcPr>
            <w:tcW w:w="5871"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4334" w:type="dxa"/>
            <w:tcBorders>
              <w:bottom w:val="single" w:sz="8" w:space="0" w:color="FFFFFF"/>
            </w:tcBorders>
            <w:shd w:fill="003A5D" w:val="clear"/>
            <w:tcMar>
              <w:bottom w:w="80" w:type="dxa"/>
            </w:tcMar>
            <w:vAlign w:val="center"/>
          </w:tcPr>
          <w:p>
            <w:pPr>
              <w:pStyle w:val="TableContents"/>
              <w:bidi w:val="0"/>
              <w:spacing w:before="0" w:after="283"/>
              <w:jc w:val="center"/>
              <w:rPr>
                <w:b/>
                <w:color w:val="FFFFFF"/>
              </w:rPr>
            </w:pPr>
            <w:r>
              <w:rPr>
                <w:b/>
                <w:color w:val="FFFFFF"/>
              </w:rPr>
              <w:t>Regulated Industries and Regulatory Issues</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5811" w:type="dxa"/>
            <w:tcBorders/>
            <w:vAlign w:val="center"/>
          </w:tcPr>
          <w:p>
            <w:pPr>
              <w:pStyle w:val="TableContents"/>
              <w:bidi w:val="0"/>
              <w:spacing w:before="0" w:after="0"/>
              <w:jc w:val="both"/>
              <w:rPr>
                <w:rFonts w:ascii="arial" w:hAnsi="arial"/>
                <w:sz w:val="20"/>
              </w:rPr>
            </w:pPr>
            <w:r>
              <w:rPr>
                <w:rFonts w:ascii="arial" w:hAnsi="arial"/>
                <w:sz w:val="20"/>
              </w:rPr>
              <w:t>Experience with regulated businesses, regulatory requirements, and relationships with state and federal agencies</w:t>
            </w:r>
          </w:p>
        </w:tc>
      </w:tr>
      <w:tr>
        <w:trPr/>
        <w:tc>
          <w:tcPr>
            <w:tcW w:w="4334" w:type="dxa"/>
            <w:tcBorders/>
            <w:shd w:fill="003A5D" w:val="clear"/>
            <w:vAlign w:val="center"/>
          </w:tcPr>
          <w:p>
            <w:pPr>
              <w:pStyle w:val="TableContents"/>
              <w:bidi w:val="0"/>
              <w:spacing w:before="0" w:after="283"/>
              <w:jc w:val="left"/>
              <w:rPr>
                <w:sz w:val="4"/>
                <w:szCs w:val="4"/>
              </w:rPr>
            </w:pPr>
            <w:r>
              <w:rPr>
                <w:sz w:val="4"/>
                <w:szCs w:val="4"/>
              </w:rPr>
            </w:r>
          </w:p>
        </w:tc>
        <w:tc>
          <w:tcPr>
            <w:tcW w:w="5871"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4334" w:type="dxa"/>
            <w:tcBorders>
              <w:bottom w:val="single" w:sz="8" w:space="0" w:color="E5EBEE"/>
            </w:tcBorders>
            <w:shd w:fill="003A5D" w:val="clear"/>
            <w:tcMar>
              <w:bottom w:w="80" w:type="dxa"/>
            </w:tcMar>
            <w:vAlign w:val="center"/>
          </w:tcPr>
          <w:p>
            <w:pPr>
              <w:pStyle w:val="TableContents"/>
              <w:bidi w:val="0"/>
              <w:spacing w:before="0" w:after="283"/>
              <w:jc w:val="center"/>
              <w:rPr>
                <w:b/>
                <w:color w:val="FFFFFF"/>
              </w:rPr>
            </w:pPr>
            <w:r>
              <w:rPr>
                <w:b/>
                <w:color w:val="FFFFFF"/>
              </w:rPr>
              <w:t>Marketing</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5811" w:type="dxa"/>
            <w:tcBorders/>
            <w:shd w:fill="E5EBEE" w:val="clear"/>
            <w:vAlign w:val="center"/>
          </w:tcPr>
          <w:p>
            <w:pPr>
              <w:pStyle w:val="TableContents"/>
              <w:bidi w:val="0"/>
              <w:spacing w:before="0" w:after="0"/>
              <w:jc w:val="both"/>
              <w:rPr>
                <w:rFonts w:ascii="arial" w:hAnsi="arial"/>
                <w:sz w:val="20"/>
              </w:rPr>
            </w:pPr>
            <w:r>
              <w:rPr>
                <w:rFonts w:ascii="arial" w:hAnsi="arial"/>
                <w:sz w:val="20"/>
              </w:rPr>
              <w:t>Experience with or oversight of marketing strategy and brand management</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20 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righ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11" w:name="txa845790_4"/>
      <w:bookmarkEnd w:id="11"/>
      <w:r>
        <w:rPr>
          <w:rFonts w:ascii="arial" w:hAnsi="arial"/>
          <w:b/>
          <w:sz w:val="36"/>
        </w:rPr>
        <w:t xml:space="preserve">Section II - Corporate Governance at Capital One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left"/>
        <w:rPr/>
      </w:pPr>
      <w:r>
        <w:rPr/>
        <w:t> </w:t>
      </w:r>
    </w:p>
    <w:p>
      <w:pPr>
        <w:pStyle w:val="TextBody"/>
        <w:bidi w:val="0"/>
        <w:spacing w:before="160" w:after="0"/>
        <w:jc w:val="left"/>
        <w:rPr>
          <w:rFonts w:ascii="arial" w:hAnsi="arial"/>
          <w:b/>
          <w:color w:val="003A5D"/>
          <w:sz w:val="32"/>
        </w:rPr>
      </w:pPr>
      <w:bookmarkStart w:id="12" w:name="txa845790_5"/>
      <w:bookmarkEnd w:id="12"/>
      <w:r>
        <w:rPr>
          <w:rFonts w:ascii="arial" w:hAnsi="arial"/>
          <w:b/>
          <w:color w:val="003A5D"/>
          <w:sz w:val="32"/>
        </w:rPr>
        <w:t xml:space="preserve">Overview of Corporate Governance at Capital One </w:t>
      </w:r>
    </w:p>
    <w:p>
      <w:pPr>
        <w:pStyle w:val="TextBody"/>
        <w:bidi w:val="0"/>
        <w:spacing w:before="240" w:after="0"/>
        <w:jc w:val="both"/>
        <w:rPr>
          <w:rFonts w:ascii="arial" w:hAnsi="arial"/>
          <w:sz w:val="20"/>
        </w:rPr>
      </w:pPr>
      <w:r>
        <w:rPr>
          <w:rFonts w:ascii="arial" w:hAnsi="arial"/>
          <w:sz w:val="20"/>
        </w:rPr>
        <w:t xml:space="preserve">Capital One is dedicated to strong and effective corporate governance that is designed to provide the appropriate framework for the Board to engage with and oversee the management of the Company. Robust and dynamic corporate governance policies and practices are the foundation of an effective and well-functioning board and are vital to preserving the trust of our stakeholders, including customers, stockholders, regulators, suppliers, associates, our communities, and the general public. </w:t>
      </w:r>
    </w:p>
    <w:p>
      <w:pPr>
        <w:pStyle w:val="TextBody"/>
        <w:bidi w:val="0"/>
        <w:spacing w:before="240" w:after="0"/>
        <w:jc w:val="left"/>
        <w:rPr>
          <w:rFonts w:ascii="arial" w:hAnsi="arial"/>
          <w:b/>
          <w:i/>
          <w:color w:val="003A5D"/>
          <w:sz w:val="24"/>
        </w:rPr>
      </w:pPr>
      <w:r>
        <w:rPr>
          <w:rFonts w:ascii="arial" w:hAnsi="arial"/>
          <w:b/>
          <w:i/>
          <w:color w:val="003A5D"/>
          <w:sz w:val="24"/>
        </w:rPr>
        <w:t xml:space="preserve">Information About Our Corporate Governance Policies and Guidelines </w:t>
      </w:r>
    </w:p>
    <w:p>
      <w:pPr>
        <w:pStyle w:val="TextBody"/>
        <w:bidi w:val="0"/>
        <w:spacing w:before="240" w:after="0"/>
        <w:jc w:val="both"/>
        <w:rPr>
          <w:rFonts w:ascii="arial" w:hAnsi="arial"/>
          <w:sz w:val="20"/>
        </w:rPr>
      </w:pPr>
      <w:r>
        <w:rPr>
          <w:rFonts w:ascii="arial" w:hAnsi="arial"/>
          <w:sz w:val="20"/>
        </w:rPr>
        <w:t xml:space="preserve">The Board has adopted Corporate Governance Guidelines to formalize its governance practices and provide its view of effective governance. Our Corporate Governance Guidelines embody many of our long-standing practices, policies, and procedures, which collectively form a corporate governance framework that promotes the long-term interests of our stockholders, promotes responsible decision-making and accountability, and fosters a culture that allows our Board and management to pursue Capital One’s strategic objectives. </w:t>
      </w:r>
    </w:p>
    <w:p>
      <w:pPr>
        <w:pStyle w:val="TextBody"/>
        <w:bidi w:val="0"/>
        <w:spacing w:before="240" w:after="0"/>
        <w:jc w:val="both"/>
        <w:rPr>
          <w:rFonts w:ascii="arial" w:hAnsi="arial"/>
          <w:sz w:val="20"/>
        </w:rPr>
      </w:pPr>
      <w:r>
        <w:rPr>
          <w:rFonts w:ascii="arial" w:hAnsi="arial"/>
          <w:sz w:val="20"/>
        </w:rPr>
        <w:t xml:space="preserve">To maintain and enhance independent oversight, our Board regularly reviews and refreshes its governance policies and practices in connection with changes in corporate strategy, the regulatory environment, financial market conditions, industry best practices, or other significant events, as well as in response to investor and other stakeholder feedback and engagement. </w:t>
      </w:r>
    </w:p>
    <w:p>
      <w:pPr>
        <w:pStyle w:val="TextBody"/>
        <w:bidi w:val="0"/>
        <w:spacing w:before="240" w:after="0"/>
        <w:jc w:val="both"/>
        <w:rPr>
          <w:rFonts w:ascii="arial" w:hAnsi="arial"/>
          <w:sz w:val="20"/>
        </w:rPr>
      </w:pPr>
      <w:r>
        <w:rPr>
          <w:rFonts w:ascii="arial" w:hAnsi="arial"/>
          <w:sz w:val="20"/>
        </w:rPr>
        <w:t xml:space="preserve">The Board has also adopted Capital One’s Code of Conduct, which applies to Capital One’s directors, executives, and associates, including Capital One’s CEO, CFO, Principal Accounting Officer, Chief Risk Officers, and other associates performing similar functions. The Code of Conduct reflects Capital One’s commitment to honesty, fair dealing, and integrity, and guides the ethical actions and working relationships of Capital One’s directors, executives, and associates. </w:t>
      </w:r>
    </w:p>
    <w:p>
      <w:pPr>
        <w:pStyle w:val="TextBody"/>
        <w:bidi w:val="0"/>
        <w:spacing w:before="240" w:after="0"/>
        <w:jc w:val="both"/>
        <w:rPr>
          <w:rFonts w:ascii="arial" w:hAnsi="arial"/>
          <w:sz w:val="20"/>
        </w:rPr>
      </w:pPr>
      <w:r>
        <w:rPr>
          <w:rFonts w:ascii="arial" w:hAnsi="arial"/>
          <w:sz w:val="20"/>
        </w:rPr>
        <w:t xml:space="preserve">For a description of the key governance practices of our Board, see “Key Board Governance Practices” beginning on page 24. </w:t>
      </w:r>
    </w:p>
    <w:p>
      <w:pPr>
        <w:pStyle w:val="TextBody"/>
        <w:bidi w:val="0"/>
        <w:spacing w:before="240" w:after="0"/>
        <w:jc w:val="both"/>
        <w:rPr>
          <w:rFonts w:ascii="arial" w:hAnsi="arial"/>
          <w:sz w:val="20"/>
        </w:rPr>
      </w:pPr>
      <w:r>
        <w:rPr>
          <w:rFonts w:ascii="arial" w:hAnsi="arial"/>
          <w:sz w:val="20"/>
        </w:rPr>
        <w:t xml:space="preserve">The following corporate governance documents are available at www.capitalone.com under “Investors,” then “Governance &amp; Leadership,” then “Board of Directors and Committee Documents” or “Organizational and Governance Documents,” as applicable.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3110230" cy="1590675"/>
                <wp:effectExtent l="0" t="0" r="0" b="0"/>
                <wp:wrapSquare wrapText="right"/>
                <wp:docPr id="28" name="Frame5"/>
                <a:graphic xmlns:a="http://schemas.openxmlformats.org/drawingml/2006/main">
                  <a:graphicData uri="http://schemas.microsoft.com/office/word/2010/wordprocessingShape">
                    <wps:wsp>
                      <wps:cNvSpPr txBox="1"/>
                      <wps:spPr>
                        <a:xfrm>
                          <a:off x="0" y="0"/>
                          <a:ext cx="3110230" cy="1590675"/>
                        </a:xfrm>
                        <a:prstGeom prst="rect"/>
                        <a:solidFill>
                          <a:srgbClr val="FFFFFF"/>
                        </a:solidFill>
                      </wps:spPr>
                      <wps:txbx>
                        <w:txbxContent>
                          <w:tbl>
                            <w:tblPr>
                              <w:tblW w:w="3175" w:type="dxa"/>
                              <w:jc w:val="left"/>
                              <w:tblInd w:w="0" w:type="dxa"/>
                              <w:tblLayout w:type="fixed"/>
                              <w:tblCellMar>
                                <w:top w:w="0" w:type="dxa"/>
                                <w:left w:w="0" w:type="dxa"/>
                                <w:bottom w:w="0" w:type="dxa"/>
                                <w:right w:w="0" w:type="dxa"/>
                              </w:tblCellMar>
                            </w:tblPr>
                            <w:tblGrid>
                              <w:gridCol w:w="75"/>
                              <w:gridCol w:w="215"/>
                              <w:gridCol w:w="60"/>
                              <w:gridCol w:w="282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jc w:val="both"/>
                                    <w:rPr>
                                      <w:rFonts w:ascii="arial" w:hAnsi="arial"/>
                                      <w:sz w:val="20"/>
                                    </w:rPr>
                                  </w:pPr>
                                  <w:r>
                                    <w:rPr>
                                      <w:rFonts w:ascii="arial" w:hAnsi="arial"/>
                                      <w:sz w:val="20"/>
                                    </w:rPr>
                                    <w:t xml:space="preserve">Amended and Restated Bylaws </w:t>
                                  </w:r>
                                </w:p>
                              </w:tc>
                            </w:tr>
                          </w:tbl>
                          <w:p>
                            <w:pPr>
                              <w:pStyle w:val="TextBody"/>
                              <w:bidi w:val="0"/>
                              <w:spacing w:before="0" w:after="0"/>
                              <w:jc w:val="left"/>
                              <w:rPr/>
                            </w:pPr>
                            <w:r>
                              <w:rPr/>
                              <w:t> </w:t>
                            </w:r>
                          </w:p>
                          <w:tbl>
                            <w:tblPr>
                              <w:tblW w:w="3370" w:type="dxa"/>
                              <w:jc w:val="left"/>
                              <w:tblInd w:w="0" w:type="dxa"/>
                              <w:tblLayout w:type="fixed"/>
                              <w:tblCellMar>
                                <w:top w:w="0" w:type="dxa"/>
                                <w:left w:w="0" w:type="dxa"/>
                                <w:bottom w:w="0" w:type="dxa"/>
                                <w:right w:w="0" w:type="dxa"/>
                              </w:tblCellMar>
                            </w:tblPr>
                            <w:tblGrid>
                              <w:gridCol w:w="75"/>
                              <w:gridCol w:w="215"/>
                              <w:gridCol w:w="60"/>
                              <w:gridCol w:w="302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both"/>
                                    <w:rPr>
                                      <w:rFonts w:ascii="arial" w:hAnsi="arial"/>
                                      <w:sz w:val="20"/>
                                    </w:rPr>
                                  </w:pPr>
                                  <w:r>
                                    <w:rPr>
                                      <w:rFonts w:ascii="arial" w:hAnsi="arial"/>
                                      <w:sz w:val="20"/>
                                    </w:rPr>
                                    <w:t xml:space="preserve">Corporate Governance Guidelines </w:t>
                                  </w:r>
                                </w:p>
                              </w:tc>
                            </w:tr>
                          </w:tbl>
                          <w:p>
                            <w:pPr>
                              <w:pStyle w:val="TextBody"/>
                              <w:bidi w:val="0"/>
                              <w:spacing w:before="0" w:after="0"/>
                              <w:jc w:val="left"/>
                              <w:rPr/>
                            </w:pPr>
                            <w:r>
                              <w:rPr/>
                              <w:t> </w:t>
                            </w:r>
                          </w:p>
                          <w:tbl>
                            <w:tblPr>
                              <w:tblW w:w="2755" w:type="dxa"/>
                              <w:jc w:val="left"/>
                              <w:tblInd w:w="0" w:type="dxa"/>
                              <w:tblLayout w:type="fixed"/>
                              <w:tblCellMar>
                                <w:top w:w="0" w:type="dxa"/>
                                <w:left w:w="0" w:type="dxa"/>
                                <w:bottom w:w="0" w:type="dxa"/>
                                <w:right w:w="0" w:type="dxa"/>
                              </w:tblCellMar>
                            </w:tblPr>
                            <w:tblGrid>
                              <w:gridCol w:w="75"/>
                              <w:gridCol w:w="215"/>
                              <w:gridCol w:w="60"/>
                              <w:gridCol w:w="240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jc w:val="both"/>
                                    <w:rPr>
                                      <w:rFonts w:ascii="arial" w:hAnsi="arial"/>
                                      <w:sz w:val="20"/>
                                    </w:rPr>
                                  </w:pPr>
                                  <w:r>
                                    <w:rPr>
                                      <w:rFonts w:ascii="arial" w:hAnsi="arial"/>
                                      <w:sz w:val="20"/>
                                    </w:rPr>
                                    <w:t xml:space="preserve">Board Committee Charters </w:t>
                                  </w:r>
                                </w:p>
                              </w:tc>
                            </w:tr>
                          </w:tbl>
                          <w:p>
                            <w:pPr>
                              <w:pStyle w:val="TextBody"/>
                              <w:bidi w:val="0"/>
                              <w:spacing w:before="0" w:after="0"/>
                              <w:jc w:val="left"/>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25.2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3175" w:type="dxa"/>
                        <w:jc w:val="left"/>
                        <w:tblInd w:w="0" w:type="dxa"/>
                        <w:tblLayout w:type="fixed"/>
                        <w:tblCellMar>
                          <w:top w:w="0" w:type="dxa"/>
                          <w:left w:w="0" w:type="dxa"/>
                          <w:bottom w:w="0" w:type="dxa"/>
                          <w:right w:w="0" w:type="dxa"/>
                        </w:tblCellMar>
                      </w:tblPr>
                      <w:tblGrid>
                        <w:gridCol w:w="75"/>
                        <w:gridCol w:w="215"/>
                        <w:gridCol w:w="60"/>
                        <w:gridCol w:w="282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jc w:val="both"/>
                              <w:rPr>
                                <w:rFonts w:ascii="arial" w:hAnsi="arial"/>
                                <w:sz w:val="20"/>
                              </w:rPr>
                            </w:pPr>
                            <w:r>
                              <w:rPr>
                                <w:rFonts w:ascii="arial" w:hAnsi="arial"/>
                                <w:sz w:val="20"/>
                              </w:rPr>
                              <w:t xml:space="preserve">Amended and Restated Bylaws </w:t>
                            </w:r>
                          </w:p>
                        </w:tc>
                      </w:tr>
                    </w:tbl>
                    <w:p>
                      <w:pPr>
                        <w:pStyle w:val="TextBody"/>
                        <w:bidi w:val="0"/>
                        <w:spacing w:before="0" w:after="0"/>
                        <w:jc w:val="left"/>
                        <w:rPr/>
                      </w:pPr>
                      <w:r>
                        <w:rPr/>
                        <w:t> </w:t>
                      </w:r>
                    </w:p>
                    <w:tbl>
                      <w:tblPr>
                        <w:tblW w:w="3370" w:type="dxa"/>
                        <w:jc w:val="left"/>
                        <w:tblInd w:w="0" w:type="dxa"/>
                        <w:tblLayout w:type="fixed"/>
                        <w:tblCellMar>
                          <w:top w:w="0" w:type="dxa"/>
                          <w:left w:w="0" w:type="dxa"/>
                          <w:bottom w:w="0" w:type="dxa"/>
                          <w:right w:w="0" w:type="dxa"/>
                        </w:tblCellMar>
                      </w:tblPr>
                      <w:tblGrid>
                        <w:gridCol w:w="75"/>
                        <w:gridCol w:w="215"/>
                        <w:gridCol w:w="60"/>
                        <w:gridCol w:w="302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both"/>
                              <w:rPr>
                                <w:rFonts w:ascii="arial" w:hAnsi="arial"/>
                                <w:sz w:val="20"/>
                              </w:rPr>
                            </w:pPr>
                            <w:r>
                              <w:rPr>
                                <w:rFonts w:ascii="arial" w:hAnsi="arial"/>
                                <w:sz w:val="20"/>
                              </w:rPr>
                              <w:t xml:space="preserve">Corporate Governance Guidelines </w:t>
                            </w:r>
                          </w:p>
                        </w:tc>
                      </w:tr>
                    </w:tbl>
                    <w:p>
                      <w:pPr>
                        <w:pStyle w:val="TextBody"/>
                        <w:bidi w:val="0"/>
                        <w:spacing w:before="0" w:after="0"/>
                        <w:jc w:val="left"/>
                        <w:rPr/>
                      </w:pPr>
                      <w:r>
                        <w:rPr/>
                        <w:t> </w:t>
                      </w:r>
                    </w:p>
                    <w:tbl>
                      <w:tblPr>
                        <w:tblW w:w="2755" w:type="dxa"/>
                        <w:jc w:val="left"/>
                        <w:tblInd w:w="0" w:type="dxa"/>
                        <w:tblLayout w:type="fixed"/>
                        <w:tblCellMar>
                          <w:top w:w="0" w:type="dxa"/>
                          <w:left w:w="0" w:type="dxa"/>
                          <w:bottom w:w="0" w:type="dxa"/>
                          <w:right w:w="0" w:type="dxa"/>
                        </w:tblCellMar>
                      </w:tblPr>
                      <w:tblGrid>
                        <w:gridCol w:w="75"/>
                        <w:gridCol w:w="215"/>
                        <w:gridCol w:w="60"/>
                        <w:gridCol w:w="240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jc w:val="both"/>
                              <w:rPr>
                                <w:rFonts w:ascii="arial" w:hAnsi="arial"/>
                                <w:sz w:val="20"/>
                              </w:rPr>
                            </w:pPr>
                            <w:r>
                              <w:rPr>
                                <w:rFonts w:ascii="arial" w:hAnsi="arial"/>
                                <w:sz w:val="20"/>
                              </w:rPr>
                              <w:t xml:space="preserve">Board Committee Charters </w:t>
                            </w:r>
                          </w:p>
                        </w:tc>
                      </w:tr>
                    </w:tbl>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3175000" cy="1060450"/>
                <wp:effectExtent l="0" t="0" r="0" b="0"/>
                <wp:wrapSquare wrapText="right"/>
                <wp:docPr id="29" name="Frame6"/>
                <a:graphic xmlns:a="http://schemas.openxmlformats.org/drawingml/2006/main">
                  <a:graphicData uri="http://schemas.microsoft.com/office/word/2010/wordprocessingShape">
                    <wps:wsp>
                      <wps:cNvSpPr txBox="1"/>
                      <wps:spPr>
                        <a:xfrm>
                          <a:off x="0" y="0"/>
                          <a:ext cx="3175000" cy="1060450"/>
                        </a:xfrm>
                        <a:prstGeom prst="rect"/>
                        <a:solidFill>
                          <a:srgbClr val="FFFFFF"/>
                        </a:solidFill>
                      </wps:spPr>
                      <wps:txbx>
                        <w:txbxContent>
                          <w:tbl>
                            <w:tblPr>
                              <w:tblW w:w="3580" w:type="dxa"/>
                              <w:jc w:val="left"/>
                              <w:tblInd w:w="0" w:type="dxa"/>
                              <w:tblLayout w:type="fixed"/>
                              <w:tblCellMar>
                                <w:top w:w="0" w:type="dxa"/>
                                <w:left w:w="0" w:type="dxa"/>
                                <w:bottom w:w="0" w:type="dxa"/>
                                <w:right w:w="0" w:type="dxa"/>
                              </w:tblCellMar>
                            </w:tblPr>
                            <w:tblGrid>
                              <w:gridCol w:w="75"/>
                              <w:gridCol w:w="215"/>
                              <w:gridCol w:w="60"/>
                              <w:gridCol w:w="323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0"/>
                                    <w:jc w:val="both"/>
                                    <w:rPr>
                                      <w:rFonts w:ascii="arial" w:hAnsi="arial"/>
                                      <w:sz w:val="20"/>
                                    </w:rPr>
                                  </w:pPr>
                                  <w:r>
                                    <w:rPr>
                                      <w:rFonts w:ascii="arial" w:hAnsi="arial"/>
                                      <w:sz w:val="20"/>
                                    </w:rPr>
                                    <w:t xml:space="preserve">Restated Certificate of Incorporation </w:t>
                                  </w:r>
                                </w:p>
                              </w:tc>
                            </w:tr>
                          </w:tbl>
                          <w:p>
                            <w:pPr>
                              <w:pStyle w:val="TextBody"/>
                              <w:bidi w:val="0"/>
                              <w:spacing w:before="0" w:after="0"/>
                              <w:jc w:val="left"/>
                              <w:rPr/>
                            </w:pPr>
                            <w:r>
                              <w:rPr/>
                              <w:t> </w:t>
                            </w:r>
                          </w:p>
                          <w:tbl>
                            <w:tblPr>
                              <w:tblW w:w="1900" w:type="dxa"/>
                              <w:jc w:val="left"/>
                              <w:tblInd w:w="0" w:type="dxa"/>
                              <w:tblLayout w:type="fixed"/>
                              <w:tblCellMar>
                                <w:top w:w="0" w:type="dxa"/>
                                <w:left w:w="0" w:type="dxa"/>
                                <w:bottom w:w="0" w:type="dxa"/>
                                <w:right w:w="0" w:type="dxa"/>
                              </w:tblCellMar>
                            </w:tblPr>
                            <w:tblGrid>
                              <w:gridCol w:w="75"/>
                              <w:gridCol w:w="215"/>
                              <w:gridCol w:w="60"/>
                              <w:gridCol w:w="155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both"/>
                                    <w:rPr>
                                      <w:rFonts w:ascii="arial" w:hAnsi="arial"/>
                                      <w:sz w:val="20"/>
                                    </w:rPr>
                                  </w:pPr>
                                  <w:r>
                                    <w:rPr>
                                      <w:rFonts w:ascii="arial" w:hAnsi="arial"/>
                                      <w:sz w:val="20"/>
                                    </w:rPr>
                                    <w:t xml:space="preserve">Code of Conduct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83.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3580" w:type="dxa"/>
                        <w:jc w:val="left"/>
                        <w:tblInd w:w="0" w:type="dxa"/>
                        <w:tblLayout w:type="fixed"/>
                        <w:tblCellMar>
                          <w:top w:w="0" w:type="dxa"/>
                          <w:left w:w="0" w:type="dxa"/>
                          <w:bottom w:w="0" w:type="dxa"/>
                          <w:right w:w="0" w:type="dxa"/>
                        </w:tblCellMar>
                      </w:tblPr>
                      <w:tblGrid>
                        <w:gridCol w:w="75"/>
                        <w:gridCol w:w="215"/>
                        <w:gridCol w:w="60"/>
                        <w:gridCol w:w="323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0"/>
                              <w:jc w:val="both"/>
                              <w:rPr>
                                <w:rFonts w:ascii="arial" w:hAnsi="arial"/>
                                <w:sz w:val="20"/>
                              </w:rPr>
                            </w:pPr>
                            <w:r>
                              <w:rPr>
                                <w:rFonts w:ascii="arial" w:hAnsi="arial"/>
                                <w:sz w:val="20"/>
                              </w:rPr>
                              <w:t xml:space="preserve">Restated Certificate of Incorporation </w:t>
                            </w:r>
                          </w:p>
                        </w:tc>
                      </w:tr>
                    </w:tbl>
                    <w:p>
                      <w:pPr>
                        <w:pStyle w:val="TextBody"/>
                        <w:bidi w:val="0"/>
                        <w:spacing w:before="0" w:after="0"/>
                        <w:jc w:val="left"/>
                        <w:rPr/>
                      </w:pPr>
                      <w:r>
                        <w:rPr/>
                        <w:t> </w:t>
                      </w:r>
                    </w:p>
                    <w:tbl>
                      <w:tblPr>
                        <w:tblW w:w="1900" w:type="dxa"/>
                        <w:jc w:val="left"/>
                        <w:tblInd w:w="0" w:type="dxa"/>
                        <w:tblLayout w:type="fixed"/>
                        <w:tblCellMar>
                          <w:top w:w="0" w:type="dxa"/>
                          <w:left w:w="0" w:type="dxa"/>
                          <w:bottom w:w="0" w:type="dxa"/>
                          <w:right w:w="0" w:type="dxa"/>
                        </w:tblCellMar>
                      </w:tblPr>
                      <w:tblGrid>
                        <w:gridCol w:w="75"/>
                        <w:gridCol w:w="215"/>
                        <w:gridCol w:w="60"/>
                        <w:gridCol w:w="155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both"/>
                              <w:rPr>
                                <w:rFonts w:ascii="arial" w:hAnsi="arial"/>
                                <w:sz w:val="20"/>
                              </w:rPr>
                            </w:pPr>
                            <w:r>
                              <w:rPr>
                                <w:rFonts w:ascii="arial" w:hAnsi="arial"/>
                                <w:sz w:val="20"/>
                              </w:rPr>
                              <w:t xml:space="preserve">Code of Conduct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13" w:name="txa845790_6"/>
      <w:bookmarkEnd w:id="13"/>
      <w:r>
        <w:rPr>
          <w:rFonts w:ascii="arial" w:hAnsi="arial"/>
          <w:b/>
          <w:color w:val="003A5D"/>
          <w:sz w:val="32"/>
        </w:rPr>
        <w:t xml:space="preserve">Board Leadership Structure </w:t>
      </w:r>
    </w:p>
    <w:p>
      <w:pPr>
        <w:pStyle w:val="TextBody"/>
        <w:bidi w:val="0"/>
        <w:spacing w:before="240" w:after="0"/>
        <w:jc w:val="both"/>
        <w:rPr>
          <w:rFonts w:ascii="arial" w:hAnsi="arial"/>
          <w:sz w:val="20"/>
        </w:rPr>
      </w:pPr>
      <w:r>
        <w:rPr>
          <w:rFonts w:ascii="arial" w:hAnsi="arial"/>
          <w:sz w:val="20"/>
        </w:rPr>
        <w:t xml:space="preserve">The Independent Directors annually evaluate the continued effectiveness of the Board’s leadership structure, including the effectiveness of the combined Chairman/CEO and Lead Independent Director leadership structure, in the context of Capital One’s specific circumstances, culture, strategic objectives, and challenges. The Board currently believes that it is in the best interests of the Company and its stockholders that the Chairman and CEO roles should be held by the same person. </w:t>
      </w:r>
    </w:p>
    <w:p>
      <w:pPr>
        <w:pStyle w:val="TextBody"/>
        <w:bidi w:val="0"/>
        <w:spacing w:before="240" w:after="0"/>
        <w:jc w:val="both"/>
        <w:rPr>
          <w:rFonts w:ascii="arial" w:hAnsi="arial"/>
          <w:sz w:val="20"/>
        </w:rPr>
      </w:pPr>
      <w:r>
        <w:rPr>
          <w:rFonts w:ascii="arial" w:hAnsi="arial"/>
          <w:sz w:val="20"/>
        </w:rPr>
        <w:t xml:space="preserve">We believe that our existing Board leadership structure of a combined Chairman/CEO and a Lead Independent Director provides the most effective governance framework and allows our Company to benefit from Mr. Fairbank’s talent, knowledge, and leadership as the founder of Capital One and allows him to use the in-depth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21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focus and perspective gained in operating the Company’s day-to-day operations, strategic planning, and risk management to effectively and efficiently lead our Board. Recognizing the importance of independent perspectives on the Board, Capital One appropriately maintains a strong counterbalance and effective oversight of our business and affairs through our Lead Independent Director and our Independent Directors; fully independent Board committees with independent chairs who oversee the Company’s operations, risks, performance, and business strategy; experienced and committed directors; and regular executive sessions. </w:t>
      </w:r>
    </w:p>
    <w:p>
      <w:pPr>
        <w:pStyle w:val="TextBody"/>
        <w:bidi w:val="0"/>
        <w:spacing w:before="240" w:after="0"/>
        <w:jc w:val="left"/>
        <w:rPr>
          <w:rFonts w:ascii="arial" w:hAnsi="arial"/>
          <w:b/>
          <w:i/>
          <w:color w:val="003A5D"/>
          <w:sz w:val="24"/>
        </w:rPr>
      </w:pPr>
      <w:r>
        <w:rPr>
          <w:rFonts w:ascii="arial" w:hAnsi="arial"/>
          <w:b/>
          <w:i/>
          <w:color w:val="003A5D"/>
          <w:sz w:val="24"/>
        </w:rPr>
        <w:t xml:space="preserve">Lead Independent Director </w:t>
      </w:r>
    </w:p>
    <w:p>
      <w:pPr>
        <w:pStyle w:val="TextBody"/>
        <w:bidi w:val="0"/>
        <w:spacing w:before="240" w:after="0"/>
        <w:jc w:val="both"/>
        <w:rPr>
          <w:rFonts w:ascii="arial" w:hAnsi="arial"/>
          <w:sz w:val="20"/>
        </w:rPr>
      </w:pPr>
      <w:r>
        <w:rPr>
          <w:rFonts w:ascii="arial" w:hAnsi="arial"/>
          <w:sz w:val="20"/>
        </w:rPr>
        <w:t xml:space="preserve">Our Board believes that an active and empowered Lead Independent Director is key to providing strong, independent leadership for the Board. The Lead Independent Director position, elected annually by the other Independent Directors upon the recommendation of the Governance and Nominating Committee, is a critical aspect of our corporate governance framework. The Board believes that Ms. Hackett’s experience enables her to provide valuable and independent views to the boardroom and ensure active communication between management and our Independent Directors to support their oversight responsibilities, including with respect to management of risks and opportunities presented by the markets in which Capital One competes.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22 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In accordance with our Corporate Governance Guidelines, the Lead Independent Director’s responsibilities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24"/>
              </w:rPr>
            </w:pPr>
            <w:r>
              <w:rPr>
                <w:rFonts w:ascii="arial" w:hAnsi="arial"/>
                <w:b/>
                <w:color w:val="FFFFFF"/>
                <w:sz w:val="24"/>
              </w:rPr>
              <w:t>Board Leadership</w:t>
            </w:r>
          </w:p>
        </w:tc>
      </w:tr>
      <w:tr>
        <w:trPr/>
        <w:tc>
          <w:tcPr>
            <w:tcW w:w="10205"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Organizing, setting agendas for, and leading executive sessions of the Board</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Having authority to call meetings of the Independent Directors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Soliciting feedback for and engaging the CEO on executive sessions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Advising the Governance and Nominating Committee and the Chairman of the Board on the membership of Board committees and the selection of committee chairs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Acting as a key advisor to the CEO and Chairman of the Board on a wide variety of Company matters, including the retention of advisors and consultants who report directly to the Board</w:t>
            </w:r>
          </w:p>
          <w:p>
            <w:pPr>
              <w:pStyle w:val="TableContents"/>
              <w:bidi w:val="0"/>
              <w:spacing w:before="0" w:after="20"/>
              <w:jc w:val="left"/>
              <w:rPr/>
            </w:pPr>
            <w:r>
              <w:rPr/>
              <w:t> </w:t>
            </w:r>
          </w:p>
        </w:tc>
      </w:tr>
      <w:tr>
        <w:trPr/>
        <w:tc>
          <w:tcPr>
            <w:tcW w:w="10205"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24"/>
              </w:rPr>
            </w:pPr>
            <w:r>
              <w:rPr>
                <w:rFonts w:ascii="arial" w:hAnsi="arial"/>
                <w:b/>
                <w:color w:val="FFFFFF"/>
                <w:sz w:val="24"/>
              </w:rPr>
              <w:t>Board Culture</w:t>
            </w:r>
          </w:p>
        </w:tc>
      </w:tr>
      <w:tr>
        <w:trPr/>
        <w:tc>
          <w:tcPr>
            <w:tcW w:w="10205"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Serving as liaison between the Chairman of the Board and the Independent Directors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Fostering an environment that facilitates engagement and discussion, teamwork, and communication among the Independent Directors on key issues and concerns, including risk management</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Ensuring Board discussions demonstrate appropriate effective challenge of management, including risk management</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In a crisis, calling together the Independent Directors to establish appropriate Board leadership responsibility</w:t>
            </w:r>
          </w:p>
          <w:p>
            <w:pPr>
              <w:pStyle w:val="TableContents"/>
              <w:bidi w:val="0"/>
              <w:spacing w:before="0" w:after="20"/>
              <w:jc w:val="left"/>
              <w:rPr/>
            </w:pPr>
            <w:r>
              <w:rPr/>
              <w:t> </w:t>
            </w:r>
          </w:p>
        </w:tc>
      </w:tr>
      <w:tr>
        <w:trPr/>
        <w:tc>
          <w:tcPr>
            <w:tcW w:w="10205" w:type="dxa"/>
            <w:tcBorders/>
            <w:shd w:fill="003A5D" w:val="clear"/>
            <w:vAlign w:val="center"/>
          </w:tcPr>
          <w:p>
            <w:pPr>
              <w:pStyle w:val="TableContents"/>
              <w:bidi w:val="0"/>
              <w:spacing w:before="0" w:after="283"/>
              <w:jc w:val="left"/>
              <w:rPr>
                <w:sz w:val="4"/>
                <w:szCs w:val="4"/>
              </w:rPr>
            </w:pPr>
            <w:r>
              <w:rPr>
                <w:sz w:val="4"/>
                <w:szCs w:val="4"/>
              </w:rPr>
            </w:r>
          </w:p>
        </w:tc>
      </w:tr>
      <w:tr>
        <w:trPr/>
        <w:tc>
          <w:tcPr>
            <w:tcW w:w="10205"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24"/>
              </w:rPr>
            </w:pPr>
            <w:r>
              <w:rPr>
                <w:rFonts w:ascii="arial" w:hAnsi="arial"/>
                <w:b/>
                <w:color w:val="FFFFFF"/>
                <w:sz w:val="24"/>
              </w:rPr>
              <w:t>Board Meetings</w:t>
            </w:r>
          </w:p>
        </w:tc>
      </w:tr>
      <w:tr>
        <w:trPr/>
        <w:tc>
          <w:tcPr>
            <w:tcW w:w="10205"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Approving meeting agendas for the Board, including addition or removal of items, as appropriate</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Advising on the type of information to be provided to the Board</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Approving Board meeting schedules and working with the Chairman of the Board and committee chairs to ensure there is sufficient time for discussion of all agenda items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Presiding at all meetings of the Board at which the Chairman of the Board is not present</w:t>
            </w:r>
          </w:p>
          <w:p>
            <w:pPr>
              <w:pStyle w:val="TableContents"/>
              <w:bidi w:val="0"/>
              <w:spacing w:before="0" w:after="20"/>
              <w:jc w:val="left"/>
              <w:rPr/>
            </w:pPr>
            <w:r>
              <w:rPr/>
              <w:t> </w:t>
            </w:r>
          </w:p>
        </w:tc>
      </w:tr>
      <w:tr>
        <w:trPr/>
        <w:tc>
          <w:tcPr>
            <w:tcW w:w="10205" w:type="dxa"/>
            <w:tcBorders/>
            <w:shd w:fill="003A5D" w:val="clear"/>
            <w:vAlign w:val="center"/>
          </w:tcPr>
          <w:p>
            <w:pPr>
              <w:pStyle w:val="TableContents"/>
              <w:bidi w:val="0"/>
              <w:spacing w:before="0" w:after="283"/>
              <w:jc w:val="left"/>
              <w:rPr>
                <w:sz w:val="4"/>
                <w:szCs w:val="4"/>
              </w:rPr>
            </w:pPr>
            <w:r>
              <w:rPr>
                <w:sz w:val="4"/>
                <w:szCs w:val="4"/>
              </w:rPr>
            </w:r>
          </w:p>
        </w:tc>
      </w:tr>
      <w:tr>
        <w:trPr/>
        <w:tc>
          <w:tcPr>
            <w:tcW w:w="10205"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24"/>
              </w:rPr>
            </w:pPr>
            <w:r>
              <w:rPr>
                <w:rFonts w:ascii="arial" w:hAnsi="arial"/>
                <w:b/>
                <w:color w:val="FFFFFF"/>
                <w:sz w:val="24"/>
              </w:rPr>
              <w:t>Performance and Development</w:t>
            </w:r>
          </w:p>
        </w:tc>
      </w:tr>
      <w:tr>
        <w:trPr/>
        <w:tc>
          <w:tcPr>
            <w:tcW w:w="10205"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Leading the annual performance assessment of the CEO</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Facilitating the Board’s engagement with the CEO with respect to the CEO’s performance assessment and CEO succession planning</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Leading the Board’s annual self-assessment and providing recommendations for improvement, if any</w:t>
            </w:r>
          </w:p>
          <w:p>
            <w:pPr>
              <w:pStyle w:val="TableContents"/>
              <w:bidi w:val="0"/>
              <w:spacing w:before="0" w:after="20"/>
              <w:jc w:val="left"/>
              <w:rPr/>
            </w:pPr>
            <w:r>
              <w:rPr/>
              <w:t> </w:t>
            </w:r>
          </w:p>
        </w:tc>
      </w:tr>
      <w:tr>
        <w:trPr/>
        <w:tc>
          <w:tcPr>
            <w:tcW w:w="10205" w:type="dxa"/>
            <w:tcBorders/>
            <w:shd w:fill="003A5D" w:val="clear"/>
            <w:vAlign w:val="center"/>
          </w:tcPr>
          <w:p>
            <w:pPr>
              <w:pStyle w:val="TableContents"/>
              <w:bidi w:val="0"/>
              <w:spacing w:before="0" w:after="283"/>
              <w:jc w:val="left"/>
              <w:rPr>
                <w:sz w:val="4"/>
                <w:szCs w:val="4"/>
              </w:rPr>
            </w:pPr>
            <w:r>
              <w:rPr>
                <w:sz w:val="4"/>
                <w:szCs w:val="4"/>
              </w:rPr>
            </w:r>
          </w:p>
        </w:tc>
      </w:tr>
      <w:tr>
        <w:trPr/>
        <w:tc>
          <w:tcPr>
            <w:tcW w:w="10205"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24"/>
              </w:rPr>
            </w:pPr>
            <w:r>
              <w:rPr>
                <w:rFonts w:ascii="arial" w:hAnsi="arial"/>
                <w:b/>
                <w:color w:val="FFFFFF"/>
                <w:sz w:val="24"/>
              </w:rPr>
              <w:t>Stockholder Engagement</w:t>
            </w:r>
          </w:p>
        </w:tc>
      </w:tr>
      <w:tr>
        <w:trPr/>
        <w:tc>
          <w:tcPr>
            <w:tcW w:w="10205"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Ensuring that the Lead Independent Director is available for consultation and direct communication with stockholders and stakeholders, upon request</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Reviewing stockholder communications addressed to the full Board, to the Lead Independent Director, or the Independent Directors, as appropriate</w:t>
            </w:r>
          </w:p>
        </w:tc>
      </w:tr>
    </w:tbl>
    <w:p>
      <w:pPr>
        <w:pStyle w:val="TextBody"/>
        <w:bidi w:val="0"/>
        <w:spacing w:before="240" w:after="0"/>
        <w:jc w:val="both"/>
        <w:rPr>
          <w:rFonts w:ascii="arial" w:hAnsi="arial"/>
          <w:sz w:val="20"/>
        </w:rPr>
      </w:pPr>
      <w:r>
        <w:rPr>
          <w:rFonts w:ascii="arial" w:hAnsi="arial"/>
          <w:sz w:val="20"/>
        </w:rPr>
        <w:t xml:space="preserve">In evaluating candidates for Lead Independent Director, the Independent Directors consider several factors, including each candidate’s corporate governance experience, Board service and tenure, Board leadership roles, and ability to meet the necessary time commitment. For an incumbent Lead Independent Director, the Independent Directors also consider the results of the candidate’s annual Lead Independent Director assessment. For a description of the Lead Independent Director annual assessment process, see “Annual Assessment of the Lead Independent Director” beginning on page 29.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23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14" w:name="txa845790_7"/>
      <w:bookmarkEnd w:id="14"/>
      <w:r>
        <w:rPr>
          <w:rFonts w:ascii="arial" w:hAnsi="arial"/>
          <w:b/>
          <w:color w:val="003A5D"/>
          <w:sz w:val="32"/>
        </w:rPr>
        <w:t xml:space="preserve">Key Board Governance Practices </w:t>
      </w:r>
    </w:p>
    <w:p>
      <w:pPr>
        <w:pStyle w:val="TextBody"/>
        <w:bidi w:val="0"/>
        <w:spacing w:before="240" w:after="0"/>
        <w:jc w:val="left"/>
        <w:rPr>
          <w:rFonts w:ascii="arial" w:hAnsi="arial"/>
          <w:b/>
          <w:i/>
          <w:color w:val="003A5D"/>
          <w:sz w:val="24"/>
        </w:rPr>
      </w:pPr>
      <w:r>
        <w:rPr>
          <w:rFonts w:ascii="arial" w:hAnsi="arial"/>
          <w:b/>
          <w:i/>
          <w:color w:val="003A5D"/>
          <w:sz w:val="24"/>
        </w:rPr>
        <w:t xml:space="preserve">2024 Board Meetings and Attendance </w:t>
      </w:r>
    </w:p>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215"/>
        <w:gridCol w:w="60"/>
        <w:gridCol w:w="762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both"/>
              <w:rPr>
                <w:rFonts w:ascii="arial" w:hAnsi="arial"/>
                <w:sz w:val="20"/>
              </w:rPr>
            </w:pPr>
            <w:r>
              <w:rPr>
                <w:rFonts w:ascii="arial" w:hAnsi="arial"/>
                <w:sz w:val="20"/>
              </w:rPr>
              <w:t xml:space="preserve">The Board held 14 meetings and the Board’s committees collectively held 32 meetings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In carrying out its responsibilities, the Audit Committee met a total of 11 times, the Risk Committee met a total of seven times, the Governance and Nominating Committee met a total of eight times, and the Compensation Committee met a total of six times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All directors then serving attended the 2024 Annual Stockholder Meeting, and Capital One expects all director nominees to attend the 2025 Annual Stockholder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Each of our current directors attended at least 75% of the aggregate number of the meetings of the Board and the committees on which they served during the period the director was on the Board or committee, other than Mr. Williams. Mr. Williams’s attendance was approximately 74.2% and was impacted by an unexpected family emergency. Mr. Williams has consistently maintained greater than 75% attendance during his tenure on the Board, and the Board believes he has sufficient time to serve on the Board. </w:t>
            </w:r>
          </w:p>
        </w:tc>
      </w:tr>
    </w:tbl>
    <w:p>
      <w:pPr>
        <w:pStyle w:val="TextBody"/>
        <w:bidi w:val="0"/>
        <w:spacing w:before="240" w:after="0"/>
        <w:jc w:val="left"/>
        <w:rPr>
          <w:rFonts w:ascii="arial" w:hAnsi="arial"/>
          <w:b/>
          <w:i/>
          <w:color w:val="003A5D"/>
          <w:sz w:val="24"/>
        </w:rPr>
      </w:pPr>
      <w:bookmarkStart w:id="15" w:name="txa845790_our"/>
      <w:bookmarkEnd w:id="15"/>
      <w:r>
        <w:rPr>
          <w:rFonts w:ascii="arial" w:hAnsi="arial"/>
          <w:b/>
          <w:i/>
          <w:color w:val="003A5D"/>
          <w:sz w:val="24"/>
        </w:rPr>
        <w:t xml:space="preserve">Our Perspectives on Overall Board Composition and Refreshment </w:t>
      </w:r>
    </w:p>
    <w:p>
      <w:pPr>
        <w:pStyle w:val="TextBody"/>
        <w:bidi w:val="0"/>
        <w:spacing w:before="240" w:after="0"/>
        <w:jc w:val="both"/>
        <w:rPr>
          <w:rFonts w:ascii="arial" w:hAnsi="arial"/>
          <w:sz w:val="20"/>
        </w:rPr>
      </w:pPr>
      <w:r>
        <w:rPr>
          <w:rFonts w:ascii="arial" w:hAnsi="arial"/>
          <w:sz w:val="20"/>
        </w:rPr>
        <w:t xml:space="preserve">In recent years, investors have become increasingly focused on the composition of corporate boards and policies and practices that encourage board refreshment. At Capital One, we appreciate that our investors share our passion for cultivating a board that encompasses the optimal mix of diverse backgrounds, experiences, skills, expertise, qualifications, and an unwavering commitment to integrity and good judgment, all in order to thoughtfully oversee, advise, and guide management as they work to achieve our long-term strategic objectives. </w:t>
      </w:r>
    </w:p>
    <w:p>
      <w:pPr>
        <w:pStyle w:val="TextBody"/>
        <w:bidi w:val="0"/>
        <w:spacing w:before="240" w:after="0"/>
        <w:jc w:val="both"/>
        <w:rPr>
          <w:rFonts w:ascii="arial" w:hAnsi="arial"/>
          <w:sz w:val="20"/>
        </w:rPr>
      </w:pPr>
      <w:r>
        <w:rPr>
          <w:rFonts w:ascii="arial" w:hAnsi="arial"/>
          <w:sz w:val="20"/>
        </w:rPr>
        <w:t xml:space="preserve">The Governance and Nominating Committee takes a long-term view and continuously assesses the composition and resiliency of the Board over the next ten to 15 years in alignment with the Company’s strategic direction to determine what actions may be desirable to best position the Board and the Company for success. In assessing Board resiliency, the Governance and Nominating Committee considers a variety of factors and has articulated a set of principles on board composition,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42"/>
        <w:gridCol w:w="60"/>
        <w:gridCol w:w="8903"/>
      </w:tblGrid>
      <w:tr>
        <w:trPr/>
        <w:tc>
          <w:tcPr>
            <w:tcW w:w="12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3" w:type="dxa"/>
            <w:tcBorders/>
            <w:vAlign w:val="center"/>
          </w:tcPr>
          <w:p>
            <w:pPr>
              <w:pStyle w:val="TableContents"/>
              <w:bidi w:val="0"/>
              <w:spacing w:before="0" w:after="283"/>
              <w:jc w:val="left"/>
              <w:rPr>
                <w:sz w:val="4"/>
                <w:szCs w:val="4"/>
              </w:rPr>
            </w:pPr>
            <w:r>
              <w:rPr>
                <w:sz w:val="4"/>
                <w:szCs w:val="4"/>
              </w:rPr>
            </w:r>
          </w:p>
        </w:tc>
      </w:tr>
      <w:tr>
        <w:trPr/>
        <w:tc>
          <w:tcPr>
            <w:tcW w:w="1242"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both"/>
              <w:rPr/>
            </w:pPr>
            <w:r>
              <w:rPr/>
              <w:t> </w:t>
            </w:r>
            <w:r>
              <w:rPr>
                <w:rFonts w:ascii="arial" w:hAnsi="arial"/>
                <w:b/>
                <w:sz w:val="20"/>
              </w:rPr>
              <w:t>Board Skills</w:t>
            </w:r>
          </w:p>
        </w:tc>
        <w:tc>
          <w:tcPr>
            <w:tcW w:w="60"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283"/>
              <w:jc w:val="left"/>
              <w:rPr/>
            </w:pPr>
            <w:r>
              <w:rPr/>
              <w:t> </w:t>
            </w:r>
          </w:p>
        </w:tc>
        <w:tc>
          <w:tcPr>
            <w:tcW w:w="8903"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Consider the collective set of skills that allows the Board to act independently and provide an effective challenge to management, especially in the areas of business strategy, financial performance, enterprise risk management, cybersecurity risk, technology innovation, and executive talent and leadership</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Ensure collective Board skill sets evolve with our long-term strategic objectives</w:t>
            </w:r>
          </w:p>
        </w:tc>
      </w:tr>
      <w:tr>
        <w:trPr/>
        <w:tc>
          <w:tcPr>
            <w:tcW w:w="1242" w:type="dxa"/>
            <w:tcBorders/>
            <w:vAlign w:val="center"/>
          </w:tcPr>
          <w:p>
            <w:pPr>
              <w:pStyle w:val="TableContents"/>
              <w:bidi w:val="0"/>
              <w:spacing w:before="0" w:after="0"/>
              <w:jc w:val="both"/>
              <w:rPr/>
            </w:pPr>
            <w:r>
              <w:rPr/>
              <w:t> </w:t>
            </w:r>
            <w:r>
              <w:rPr>
                <w:rFonts w:ascii="arial" w:hAnsi="arial"/>
                <w:b/>
                <w:sz w:val="20"/>
              </w:rPr>
              <w:t>Industry</w:t>
            </w:r>
          </w:p>
          <w:p>
            <w:pPr>
              <w:pStyle w:val="TableContents"/>
              <w:bidi w:val="0"/>
              <w:spacing w:before="0" w:after="0"/>
              <w:jc w:val="left"/>
              <w:rPr/>
            </w:pPr>
            <w:r>
              <w:rPr/>
              <w:t> </w:t>
            </w:r>
          </w:p>
          <w:p>
            <w:pPr>
              <w:pStyle w:val="TableContents"/>
              <w:bidi w:val="0"/>
              <w:spacing w:before="0" w:after="20"/>
              <w:jc w:val="both"/>
              <w:rPr/>
            </w:pPr>
            <w:r>
              <w:rPr/>
              <w:t> </w:t>
            </w:r>
            <w:r>
              <w:rPr>
                <w:rFonts w:ascii="arial" w:hAnsi="arial"/>
                <w:b/>
                <w:sz w:val="20"/>
              </w:rPr>
              <w:t>Experience</w:t>
            </w:r>
          </w:p>
        </w:tc>
        <w:tc>
          <w:tcPr>
            <w:tcW w:w="60"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Seek and retain Board members with industry experience, both in banking and technology, that align with our long-term strategy</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Recognize that the financial services industry is complex and understand the importance of having directors who have witnessed banking business and credit cycles over time and can share the wisdom of those experiences</w:t>
            </w:r>
          </w:p>
        </w:tc>
      </w:tr>
      <w:tr>
        <w:trPr/>
        <w:tc>
          <w:tcPr>
            <w:tcW w:w="1242"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both"/>
              <w:rPr/>
            </w:pPr>
            <w:r>
              <w:rPr/>
              <w:t> </w:t>
            </w:r>
            <w:r>
              <w:rPr>
                <w:rFonts w:ascii="arial" w:hAnsi="arial"/>
                <w:b/>
                <w:sz w:val="20"/>
              </w:rPr>
              <w:t>Diversity</w:t>
            </w:r>
          </w:p>
        </w:tc>
        <w:tc>
          <w:tcPr>
            <w:tcW w:w="60"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283"/>
              <w:jc w:val="left"/>
              <w:rPr/>
            </w:pPr>
            <w:r>
              <w:rPr/>
              <w:t> </w:t>
            </w:r>
          </w:p>
        </w:tc>
        <w:tc>
          <w:tcPr>
            <w:tcW w:w="8903"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Believe having a Board with members who demonstrate a diversity of thought, perspectives, skills, backgrounds, and personal and professional experiences is important to building an effective and resilient board, and as a result, have a goal of identifying candidates that can contribute to that diversity in a variety of ways</w:t>
            </w:r>
          </w:p>
        </w:tc>
      </w:tr>
      <w:tr>
        <w:trPr/>
        <w:tc>
          <w:tcPr>
            <w:tcW w:w="1242" w:type="dxa"/>
            <w:tcBorders>
              <w:bottom w:val="single" w:sz="6" w:space="0" w:color="003A5D"/>
            </w:tcBorders>
            <w:tcMar>
              <w:bottom w:w="28" w:type="dxa"/>
            </w:tcMar>
            <w:vAlign w:val="center"/>
          </w:tcPr>
          <w:p>
            <w:pPr>
              <w:pStyle w:val="TableContents"/>
              <w:bidi w:val="0"/>
              <w:spacing w:before="0" w:after="0"/>
              <w:jc w:val="both"/>
              <w:rPr/>
            </w:pPr>
            <w:r>
              <w:rPr/>
              <w:t> </w:t>
            </w:r>
            <w:r>
              <w:rPr>
                <w:rFonts w:ascii="arial" w:hAnsi="arial"/>
                <w:b/>
                <w:sz w:val="20"/>
              </w:rPr>
              <w:t>Board Size</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903"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Consider the appropriate size of the Board in relation to promoting active engagement and open discussion</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Continuously assess the depth of successors available to assume Board leadership positions for both expected and unexpected departures</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24 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2"/>
        <w:gridCol w:w="60"/>
        <w:gridCol w:w="8893"/>
      </w:tblGrid>
      <w:tr>
        <w:trPr/>
        <w:tc>
          <w:tcPr>
            <w:tcW w:w="12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93" w:type="dxa"/>
            <w:tcBorders/>
            <w:vAlign w:val="center"/>
          </w:tcPr>
          <w:p>
            <w:pPr>
              <w:pStyle w:val="TableContents"/>
              <w:bidi w:val="0"/>
              <w:spacing w:before="0" w:after="283"/>
              <w:jc w:val="left"/>
              <w:rPr>
                <w:sz w:val="4"/>
                <w:szCs w:val="4"/>
              </w:rPr>
            </w:pPr>
            <w:r>
              <w:rPr>
                <w:sz w:val="4"/>
                <w:szCs w:val="4"/>
              </w:rPr>
            </w:r>
          </w:p>
        </w:tc>
      </w:tr>
      <w:tr>
        <w:trPr/>
        <w:tc>
          <w:tcPr>
            <w:tcW w:w="1252"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both"/>
              <w:rPr/>
            </w:pPr>
            <w:r>
              <w:rPr/>
              <w:t> </w:t>
            </w:r>
            <w:r>
              <w:rPr>
                <w:rFonts w:ascii="arial" w:hAnsi="arial"/>
                <w:b/>
                <w:sz w:val="20"/>
              </w:rPr>
              <w:t>Tenure</w:t>
            </w:r>
          </w:p>
        </w:tc>
        <w:tc>
          <w:tcPr>
            <w:tcW w:w="60"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283"/>
              <w:jc w:val="left"/>
              <w:rPr/>
            </w:pPr>
            <w:r>
              <w:rPr/>
              <w:t> </w:t>
            </w:r>
          </w:p>
        </w:tc>
        <w:tc>
          <w:tcPr>
            <w:tcW w:w="8893"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Believe that it is critical to have members across a continuum of director tenure to ensure the effective oversight of a large financial institution, which must simultaneously embrace innovation and changing market and customer expectations and prudently preserve the safety and soundness of the institution through long-term business and credit cycles</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Seek to have a mix of members at different points along the tenure continuum to cultivate Board membership that collectively represents members who have actively overseen the Company’s strategic journey through various business cycles, who have sufficient experience to assume Board leadership positions, who bring fresh ideas and perspectives, and who have a firm understanding of the cultural strengths of the Board and the Company</w:t>
            </w:r>
          </w:p>
        </w:tc>
      </w:tr>
      <w:tr>
        <w:trPr/>
        <w:tc>
          <w:tcPr>
            <w:tcW w:w="1252" w:type="dxa"/>
            <w:tcBorders>
              <w:bottom w:val="single" w:sz="8" w:space="0" w:color="003A5D"/>
            </w:tcBorders>
            <w:tcMar>
              <w:bottom w:w="28" w:type="dxa"/>
            </w:tcMar>
            <w:vAlign w:val="center"/>
          </w:tcPr>
          <w:p>
            <w:pPr>
              <w:pStyle w:val="TableContents"/>
              <w:bidi w:val="0"/>
              <w:spacing w:before="0" w:after="0"/>
              <w:jc w:val="both"/>
              <w:rPr/>
            </w:pPr>
            <w:r>
              <w:rPr/>
              <w:t> </w:t>
            </w:r>
            <w:r>
              <w:rPr>
                <w:rFonts w:ascii="arial" w:hAnsi="arial"/>
                <w:b/>
                <w:sz w:val="20"/>
              </w:rPr>
              <w:t>Evergreen</w:t>
            </w:r>
          </w:p>
          <w:p>
            <w:pPr>
              <w:pStyle w:val="TableContents"/>
              <w:bidi w:val="0"/>
              <w:spacing w:before="0" w:after="20"/>
              <w:jc w:val="both"/>
              <w:rPr/>
            </w:pPr>
            <w:r>
              <w:rPr/>
              <w:t> </w:t>
            </w:r>
            <w:r>
              <w:rPr>
                <w:rFonts w:ascii="arial" w:hAnsi="arial"/>
                <w:b/>
                <w:sz w:val="20"/>
              </w:rPr>
              <w:t>Recruiting</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893"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Engage in a continuous process of identifying and assessing potential director candidates in light of the Board’s collective set of skills and future needs</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Recognize that recruiting new directors is not one-dimensional and that effective Board members should be as described under the “What We Look for in Individual Director Nominees” section, beginning on page 18</w:t>
            </w:r>
          </w:p>
        </w:tc>
      </w:tr>
      <w:tr>
        <w:trPr/>
        <w:tc>
          <w:tcPr>
            <w:tcW w:w="1252" w:type="dxa"/>
            <w:tcBorders>
              <w:bottom w:val="single" w:sz="8" w:space="0" w:color="003A5D"/>
            </w:tcBorders>
            <w:shd w:fill="E5EBEE" w:val="clear"/>
            <w:tcMar>
              <w:bottom w:w="28" w:type="dxa"/>
            </w:tcMar>
            <w:vAlign w:val="center"/>
          </w:tcPr>
          <w:p>
            <w:pPr>
              <w:pStyle w:val="TableContents"/>
              <w:bidi w:val="0"/>
              <w:spacing w:before="0" w:after="0"/>
              <w:jc w:val="both"/>
              <w:rPr/>
            </w:pPr>
            <w:r>
              <w:rPr/>
              <w:t> </w:t>
            </w:r>
            <w:r>
              <w:rPr>
                <w:rFonts w:ascii="arial" w:hAnsi="arial"/>
                <w:b/>
                <w:sz w:val="20"/>
              </w:rPr>
              <w:t>Staged</w:t>
            </w:r>
          </w:p>
          <w:p>
            <w:pPr>
              <w:pStyle w:val="TableContents"/>
              <w:bidi w:val="0"/>
              <w:spacing w:before="0" w:after="20"/>
              <w:jc w:val="both"/>
              <w:rPr/>
            </w:pPr>
            <w:r>
              <w:rPr/>
              <w:t> </w:t>
            </w:r>
            <w:r>
              <w:rPr>
                <w:rFonts w:ascii="arial" w:hAnsi="arial"/>
                <w:b/>
                <w:sz w:val="20"/>
              </w:rPr>
              <w:t>Refreshment</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893"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Take a long-term view to enable thoughtful director refreshment that meets strategic needs while avoiding disruption</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Take a planned approach to changes in Board membership, considering the timing of new director onboarding relative to planned retirements and departures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Recognize that new directors need time to become familiar with the Company’s business model and strategy and become deeply grounded in these matters to be well-positioned to provide effective challenge to management</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Acknowledge that relationships among Board members develop organically over time and recognize the importance of protecting and nurturing the open, values-based culture that the Board enjoys to appropriately oversee and provide effective challenge to management</w:t>
            </w:r>
          </w:p>
        </w:tc>
      </w:tr>
    </w:tbl>
    <w:p>
      <w:pPr>
        <w:pStyle w:val="TextBody"/>
        <w:bidi w:val="0"/>
        <w:spacing w:before="240" w:after="0"/>
        <w:jc w:val="both"/>
        <w:rPr>
          <w:rFonts w:ascii="arial" w:hAnsi="arial"/>
          <w:sz w:val="20"/>
        </w:rPr>
      </w:pPr>
      <w:r>
        <w:rPr>
          <w:rFonts w:ascii="arial" w:hAnsi="arial"/>
          <w:sz w:val="20"/>
        </w:rPr>
        <w:t xml:space="preserve">The Board leverages several long-standing practices and processes to support Board refreshment in keeping with the principles articulated above,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Annual evaluations of the Board and its committees (see “Annual Board and Committee Evaluations” beginning on page 27 for more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Annual assessments of individual directors (see “Annual Assessment of Individual Director Nominees” on page 29 for more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Annual assessments of the Lead Independent Director (see “Annual Assessment of the Lead Independent Director” beginning on page 29 for more information). </w:t>
            </w:r>
          </w:p>
        </w:tc>
      </w:tr>
    </w:tbl>
    <w:p>
      <w:pPr>
        <w:pStyle w:val="TextBody"/>
        <w:bidi w:val="0"/>
        <w:spacing w:before="240" w:after="0"/>
        <w:jc w:val="both"/>
        <w:rPr>
          <w:rFonts w:ascii="arial" w:hAnsi="arial"/>
          <w:sz w:val="20"/>
        </w:rPr>
      </w:pPr>
      <w:r>
        <w:rPr>
          <w:rFonts w:ascii="arial" w:hAnsi="arial"/>
          <w:sz w:val="20"/>
        </w:rPr>
        <w:t xml:space="preserve">The Governance and Nominating Committee discusses director recruiting plans on a quarterly basis and provides regular updates to the Board on those plans. In support of the Board’s long-term resiliency and refreshment efforts, five new independent directors have been appointed since 2020, all of whom are current director nominees. </w:t>
      </w:r>
    </w:p>
    <w:p>
      <w:pPr>
        <w:pStyle w:val="TextBody"/>
        <w:bidi w:val="0"/>
        <w:spacing w:before="240" w:after="0"/>
        <w:jc w:val="left"/>
        <w:rPr>
          <w:rFonts w:ascii="arial" w:hAnsi="arial"/>
          <w:b/>
          <w:i/>
          <w:color w:val="003A5D"/>
          <w:sz w:val="24"/>
        </w:rPr>
      </w:pPr>
      <w:r>
        <w:rPr>
          <w:rFonts w:ascii="arial" w:hAnsi="arial"/>
          <w:b/>
          <w:i/>
          <w:color w:val="003A5D"/>
          <w:sz w:val="24"/>
        </w:rPr>
        <w:t xml:space="preserve">Process for Stockholder Recommendations of Director Candidates; Director Nominations from Stockholders </w:t>
      </w:r>
    </w:p>
    <w:p>
      <w:pPr>
        <w:pStyle w:val="TextBody"/>
        <w:bidi w:val="0"/>
        <w:spacing w:before="240" w:after="0"/>
        <w:jc w:val="both"/>
        <w:rPr>
          <w:rFonts w:ascii="arial" w:hAnsi="arial"/>
          <w:sz w:val="20"/>
        </w:rPr>
      </w:pPr>
      <w:r>
        <w:rPr>
          <w:rFonts w:ascii="arial" w:hAnsi="arial"/>
          <w:sz w:val="20"/>
        </w:rPr>
        <w:t xml:space="preserve">The Governance and Nominating Committee will consider qualified director nominees recommended by stockholders. Those recommendations should be sent to the Corporate Secretary, as well as to the Chair of the Governance and Nominating Committee at Capital One’s address set forth in the section “How to Contact Us” on page 49. The Governance and Nominating Committee will consider potential nominees recommended by stockholders on the same basis that it considers other potential nominees.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25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Stockholders may nominate directors by submitting the names and other relevant information as required by, and in compliance with, Capital One’s Bylaws to the Corporate Secretary as well as to the Chair of the Governance and Nominating Committee at Capital One’s address set forth in the section “How to Contact Us” on page 49. </w:t>
      </w:r>
    </w:p>
    <w:p>
      <w:pPr>
        <w:pStyle w:val="TextBody"/>
        <w:bidi w:val="0"/>
        <w:spacing w:before="240" w:after="0"/>
        <w:jc w:val="both"/>
        <w:rPr>
          <w:rFonts w:ascii="arial" w:hAnsi="arial"/>
          <w:sz w:val="20"/>
        </w:rPr>
      </w:pPr>
      <w:r>
        <w:rPr>
          <w:rFonts w:ascii="arial" w:hAnsi="arial"/>
          <w:sz w:val="20"/>
        </w:rPr>
        <w:t xml:space="preserve">In addition, an eligible stockholder or group of stockholders may use Capital One’s “proxy access” Bylaws to include stockholder-nominated director candidates in the Company’s proxy materials for the annual stockholder meeting. Our Bylaws permit up to 20 stockholders or beneficial owners owning 3% or more in the aggregate of the Company’s outstanding common shares of voting stock continuously for at least three years to nominate and include in the Company’s proxy materials director nominees constituting up to two individuals or 20% of the Board (whichever is greater) provided that the stockholder(s) and the nominee(s) satisfy the requirements specified in the Bylaws. </w:t>
      </w:r>
    </w:p>
    <w:p>
      <w:pPr>
        <w:pStyle w:val="TextBody"/>
        <w:bidi w:val="0"/>
        <w:spacing w:before="240" w:after="0"/>
        <w:jc w:val="both"/>
        <w:rPr>
          <w:rFonts w:ascii="arial" w:hAnsi="arial"/>
          <w:sz w:val="20"/>
        </w:rPr>
      </w:pPr>
      <w:r>
        <w:rPr>
          <w:rFonts w:ascii="arial" w:hAnsi="arial"/>
          <w:sz w:val="20"/>
        </w:rPr>
        <w:t xml:space="preserve">Written notices pursuant to the above Bylaws provisions must be submitted in accordance with the general procedures for stockholder nominations (including deadlines for notice to be received by the Corporate Secretary), which are summarized under the caption “Stockholder Proposals for 2026 Annual Stockholder Meeting” on page 129. </w:t>
      </w:r>
    </w:p>
    <w:p>
      <w:pPr>
        <w:pStyle w:val="TextBody"/>
        <w:bidi w:val="0"/>
        <w:spacing w:before="240" w:after="0"/>
        <w:jc w:val="left"/>
        <w:rPr>
          <w:rFonts w:ascii="arial" w:hAnsi="arial"/>
          <w:b/>
          <w:i/>
          <w:color w:val="003A5D"/>
          <w:sz w:val="24"/>
        </w:rPr>
      </w:pPr>
      <w:r>
        <w:rPr>
          <w:rFonts w:ascii="arial" w:hAnsi="arial"/>
          <w:b/>
          <w:i/>
          <w:color w:val="003A5D"/>
          <w:sz w:val="24"/>
        </w:rPr>
        <w:t xml:space="preserve">Director Independence </w:t>
      </w:r>
    </w:p>
    <w:p>
      <w:pPr>
        <w:pStyle w:val="TextBody"/>
        <w:bidi w:val="0"/>
        <w:spacing w:before="240" w:after="0"/>
        <w:jc w:val="both"/>
        <w:rPr>
          <w:rFonts w:ascii="arial" w:hAnsi="arial"/>
          <w:sz w:val="20"/>
        </w:rPr>
      </w:pPr>
      <w:r>
        <w:rPr>
          <w:rFonts w:ascii="arial" w:hAnsi="arial"/>
          <w:sz w:val="20"/>
        </w:rPr>
        <w:t xml:space="preserve">Except for our CEO, who is the Company’s founder, the Board has affirmatively determined that all nominees for election to our Board are independent under Capital One’s Director Independence Standards (“Independence Standards”), which have been adopted by the Board as part of Capital One’s Corporate Governance Guidelines. The Independence Standards reflect the director independence requirements set forth in the New York Stock Exchange (“NYSE”) rules and other applicable legal and regulatory rules, and also describe certain categorical relationships that the Board has determined to be immaterial for purposes of determining director independence. </w:t>
      </w:r>
    </w:p>
    <w:p>
      <w:pPr>
        <w:pStyle w:val="TextBody"/>
        <w:bidi w:val="0"/>
        <w:spacing w:before="240" w:after="0"/>
        <w:jc w:val="both"/>
        <w:rPr>
          <w:rFonts w:ascii="arial" w:hAnsi="arial"/>
          <w:sz w:val="20"/>
        </w:rPr>
      </w:pPr>
      <w:r>
        <w:rPr>
          <w:rFonts w:ascii="arial" w:hAnsi="arial"/>
          <w:sz w:val="20"/>
        </w:rPr>
        <w:t xml:space="preserve">The categorical relationships that the Board has deemed immaterial for purposes of determining director independence are: (i) relationships between Capital One and an entity where the director serves solely as a non-management director; (ii) transactions between Capital One and a director or a director’s immediate family member (or their primary business affiliations) that fall below the numerical thresholds in the NYSE rules (or do not otherwise preclude independence under those standards), and that are ordinary course, on arm’s-length market terms, and, in the case of extensions of credit, followed usual underwriting procedures, present no more than the normal collectability risk, or other unfavorable features and are in compliance with applicable legal and regulatory requirements; and (iii) discretionary contributions made by Capital One to not-for-profit organizations, foundations, or universities in which a director (or immediate family member) serves as an executive officer that in any single fiscal year within the last three years do not exceed the greater of $1 million or 2% of that entity’s consolidated gross revenues. </w:t>
      </w:r>
    </w:p>
    <w:p>
      <w:pPr>
        <w:pStyle w:val="TextBody"/>
        <w:bidi w:val="0"/>
        <w:spacing w:before="240" w:after="0"/>
        <w:jc w:val="both"/>
        <w:rPr>
          <w:rFonts w:ascii="arial" w:hAnsi="arial"/>
          <w:sz w:val="20"/>
        </w:rPr>
      </w:pPr>
      <w:r>
        <w:rPr>
          <w:rFonts w:ascii="arial" w:hAnsi="arial"/>
          <w:sz w:val="20"/>
        </w:rPr>
        <w:t xml:space="preserve">In making its independence recommendations, the Governance and Nominating Committee and the Board evaluate information regarding each director’s relationships, transactions, or arrangements with Capital One, and those of their immediate family members and primary business or charitable affiliations and other potential conflicts of interest, including information obtained from non-management directors’ annual questionnaires. In assessing the materiality of relationships with Capital One, the Board considers all relevant facts and circumstances. </w:t>
      </w:r>
    </w:p>
    <w:p>
      <w:pPr>
        <w:pStyle w:val="TextBody"/>
        <w:bidi w:val="0"/>
        <w:spacing w:before="240" w:after="0"/>
        <w:jc w:val="both"/>
        <w:rPr>
          <w:rFonts w:ascii="arial" w:hAnsi="arial"/>
          <w:sz w:val="20"/>
        </w:rPr>
      </w:pPr>
      <w:r>
        <w:rPr>
          <w:rFonts w:ascii="arial" w:hAnsi="arial"/>
          <w:sz w:val="20"/>
        </w:rPr>
        <w:t xml:space="preserve">Capital One’s Corporate Governance Guidelines, including information relating to the Independence Standards, are available at www.capitalone.com under “Investors,” then “Governance &amp; Leadership,” then “Organizational and Governance Documents.” </w:t>
      </w:r>
    </w:p>
    <w:p>
      <w:pPr>
        <w:pStyle w:val="TextBody"/>
        <w:bidi w:val="0"/>
        <w:spacing w:before="240" w:after="0"/>
        <w:jc w:val="left"/>
        <w:rPr>
          <w:rFonts w:ascii="arial" w:hAnsi="arial"/>
          <w:b/>
          <w:i/>
          <w:color w:val="003A5D"/>
          <w:sz w:val="24"/>
        </w:rPr>
      </w:pPr>
      <w:r>
        <w:rPr>
          <w:rFonts w:ascii="arial" w:hAnsi="arial"/>
          <w:b/>
          <w:i/>
          <w:color w:val="003A5D"/>
          <w:sz w:val="24"/>
        </w:rPr>
        <w:t xml:space="preserve">Director Onboarding and Education </w:t>
      </w:r>
    </w:p>
    <w:p>
      <w:pPr>
        <w:pStyle w:val="TextBody"/>
        <w:bidi w:val="0"/>
        <w:spacing w:before="240" w:after="0"/>
        <w:jc w:val="both"/>
        <w:rPr>
          <w:rFonts w:ascii="arial" w:hAnsi="arial"/>
          <w:sz w:val="20"/>
        </w:rPr>
      </w:pPr>
      <w:r>
        <w:rPr>
          <w:rFonts w:ascii="arial" w:hAnsi="arial"/>
          <w:sz w:val="20"/>
        </w:rPr>
        <w:t xml:space="preserve">The Company, in consultation with the Governance and Nominating Committee, has established director onboarding and continuing director education programs to support our directors in fulfilling their responsibilities and to assist them in keeping current on industry, corporate, regulatory, and other developments.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26 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All new directors participate in the Company’s director onboarding program, which provides training relating to the Company’s values, strategic plans, accounting policies, financial reporting, risk management, code of ethics, key regulatory issues, competition, and industry dynamics. As part of this onboarding program, over a period of approximately 18 months, new directors meet with members of senior management serving in various roles and functions, as well as Board committee chairs, the Lead Independent Director, and individual directors, to review and discuss information about the Company, the business, the boardroom, and individual director roles and responsibilities. Additionally, new directors are assigned an experienced director to serve as a mentor to facilitate their onboarding to the Board and the Company. </w:t>
      </w:r>
    </w:p>
    <w:p>
      <w:pPr>
        <w:pStyle w:val="TextBody"/>
        <w:bidi w:val="0"/>
        <w:spacing w:before="240" w:after="0"/>
        <w:jc w:val="both"/>
        <w:rPr>
          <w:rFonts w:ascii="arial" w:hAnsi="arial"/>
          <w:sz w:val="20"/>
        </w:rPr>
      </w:pPr>
      <w:r>
        <w:rPr>
          <w:rFonts w:ascii="arial" w:hAnsi="arial"/>
          <w:sz w:val="20"/>
        </w:rPr>
        <w:t xml:space="preserve">As we continue to enhance our director onboarding experience, the Company developed committee onboarding programs, which are designed to facilitate and accelerate directors’ integration and contribution to the committees on which they serve. </w:t>
      </w:r>
    </w:p>
    <w:p>
      <w:pPr>
        <w:pStyle w:val="TextBody"/>
        <w:bidi w:val="0"/>
        <w:spacing w:before="240" w:after="0"/>
        <w:jc w:val="both"/>
        <w:rPr>
          <w:rFonts w:ascii="arial" w:hAnsi="arial"/>
          <w:sz w:val="20"/>
        </w:rPr>
      </w:pPr>
      <w:r>
        <w:rPr>
          <w:rFonts w:ascii="arial" w:hAnsi="arial"/>
          <w:sz w:val="20"/>
        </w:rPr>
        <w:t xml:space="preserve">Our continuing director education program is designed to provide: (i) regular updates on external opportunities for continuing education offered by applicable regulators, professional organizations, and academic institutions; (ii) internal director education programs; (iii) various board-related publications; and (iv) access to various peer-to-peer networks. Our directors are also encouraged to pursue other educational opportunities, at the Company’s expense, to enhance directors’ ability to perform their duties. </w:t>
      </w:r>
    </w:p>
    <w:p>
      <w:pPr>
        <w:pStyle w:val="TextBody"/>
        <w:bidi w:val="0"/>
        <w:spacing w:before="240" w:after="0"/>
        <w:jc w:val="left"/>
        <w:rPr>
          <w:rFonts w:ascii="arial" w:hAnsi="arial"/>
          <w:b/>
          <w:i/>
          <w:color w:val="003A5D"/>
          <w:sz w:val="24"/>
        </w:rPr>
      </w:pPr>
      <w:r>
        <w:rPr>
          <w:rFonts w:ascii="arial" w:hAnsi="arial"/>
          <w:b/>
          <w:i/>
          <w:color w:val="003A5D"/>
          <w:sz w:val="24"/>
        </w:rPr>
        <w:t xml:space="preserve">Executive Sessions </w:t>
      </w:r>
    </w:p>
    <w:p>
      <w:pPr>
        <w:pStyle w:val="TextBody"/>
        <w:bidi w:val="0"/>
        <w:spacing w:before="240" w:after="0"/>
        <w:jc w:val="both"/>
        <w:rPr>
          <w:rFonts w:ascii="arial" w:hAnsi="arial"/>
          <w:sz w:val="20"/>
        </w:rPr>
      </w:pPr>
      <w:r>
        <w:rPr>
          <w:rFonts w:ascii="arial" w:hAnsi="arial"/>
          <w:sz w:val="20"/>
        </w:rPr>
        <w:t xml:space="preserve">Our Independent Directors regularly convene executive sessions led by the Lead Independent Director at Board and committee meetings, as needed. The executive sessions allow the Independent Directors to discuss strategy, CEO and senior management performance and compensation, succession planning, Board effectiveness, and other matters without management present. </w:t>
      </w:r>
    </w:p>
    <w:p>
      <w:pPr>
        <w:pStyle w:val="TextBody"/>
        <w:bidi w:val="0"/>
        <w:spacing w:before="240" w:after="0"/>
        <w:jc w:val="both"/>
        <w:rPr>
          <w:rFonts w:ascii="arial" w:hAnsi="arial"/>
          <w:sz w:val="20"/>
        </w:rPr>
      </w:pPr>
      <w:r>
        <w:rPr>
          <w:rFonts w:ascii="arial" w:hAnsi="arial"/>
          <w:sz w:val="20"/>
        </w:rPr>
        <w:t xml:space="preserve">During these executive sessions, the Independent Directors have access to members of senior management upon request, including, but not limited to, the CEO, CFO, General Counsel and Corporate Secretary, Chief Risk Officers, Chief Audit Officer, Chief Information Security Officer, Chief Technology Risk Officer, Chief Credit Review Officer, and Chief Compliance Officer. </w:t>
      </w:r>
    </w:p>
    <w:p>
      <w:pPr>
        <w:pStyle w:val="TextBody"/>
        <w:bidi w:val="0"/>
        <w:spacing w:before="240" w:after="0"/>
        <w:jc w:val="left"/>
        <w:rPr>
          <w:rFonts w:ascii="arial" w:hAnsi="arial"/>
          <w:b/>
          <w:i/>
          <w:color w:val="003A5D"/>
          <w:sz w:val="24"/>
        </w:rPr>
      </w:pPr>
      <w:r>
        <w:rPr>
          <w:rFonts w:ascii="arial" w:hAnsi="arial"/>
          <w:b/>
          <w:i/>
          <w:color w:val="003A5D"/>
          <w:sz w:val="24"/>
        </w:rPr>
        <w:t xml:space="preserve">Directors Are Actively Engaged Outside of Board Meetings </w:t>
      </w:r>
    </w:p>
    <w:p>
      <w:pPr>
        <w:pStyle w:val="TextBody"/>
        <w:bidi w:val="0"/>
        <w:spacing w:before="240" w:after="0"/>
        <w:jc w:val="both"/>
        <w:rPr>
          <w:rFonts w:ascii="arial" w:hAnsi="arial"/>
          <w:sz w:val="20"/>
        </w:rPr>
      </w:pPr>
      <w:r>
        <w:rPr>
          <w:rFonts w:ascii="arial" w:hAnsi="arial"/>
          <w:sz w:val="20"/>
        </w:rPr>
        <w:t xml:space="preserve">Engagement outside of Board meetings provides our directors with additional insight into our business and industry. It also provides our Board with a valuable perspective on the performance of our Company, Board, CEO, and other members of senior management.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Our committee chairs and Lead Independent Director meet and communicate regularly with each other and with both the CEO and members of our management team, as well as with our federal regulators, often independently of the CEO.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Our committee chairs and Lead Independent Director conduct pre-meeting reviews of agendas and meeting materials, and provide feedback directly to management, and conduct post-meeting debriefs with management to discuss any follow-up items.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Individual directors confer with each other, our CEO, members of our senior management team, and other key associates, as needed. </w:t>
            </w:r>
          </w:p>
        </w:tc>
      </w:tr>
    </w:tbl>
    <w:p>
      <w:pPr>
        <w:pStyle w:val="TextBody"/>
        <w:bidi w:val="0"/>
        <w:spacing w:before="240" w:after="0"/>
        <w:jc w:val="left"/>
        <w:rPr>
          <w:rFonts w:ascii="arial" w:hAnsi="arial"/>
          <w:b/>
          <w:i/>
          <w:color w:val="003A5D"/>
          <w:sz w:val="24"/>
        </w:rPr>
      </w:pPr>
      <w:bookmarkStart w:id="16" w:name="txa845790_1annual"/>
      <w:bookmarkEnd w:id="16"/>
      <w:r>
        <w:rPr>
          <w:rFonts w:ascii="arial" w:hAnsi="arial"/>
          <w:b/>
          <w:i/>
          <w:color w:val="003A5D"/>
          <w:sz w:val="24"/>
        </w:rPr>
        <w:t xml:space="preserve">Annual Board and Committee Evaluations </w:t>
      </w:r>
    </w:p>
    <w:p>
      <w:pPr>
        <w:pStyle w:val="TextBody"/>
        <w:bidi w:val="0"/>
        <w:spacing w:before="240" w:after="0"/>
        <w:jc w:val="both"/>
        <w:rPr>
          <w:rFonts w:ascii="arial" w:hAnsi="arial"/>
          <w:sz w:val="20"/>
        </w:rPr>
      </w:pPr>
      <w:r>
        <w:rPr>
          <w:rFonts w:ascii="arial" w:hAnsi="arial"/>
          <w:sz w:val="20"/>
        </w:rPr>
        <w:t xml:space="preserve">Annually, in compliance with the NYSE rules and other applicable laws, rules, and regulations and our committee charters, the Board and its committees conduct formal self-evaluations to assess and improve the Board’s effectiveness and functionality. The Board believes that in addition to serving as a tool to evaluate and improve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27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performance, evaluations can serve several other purposes, including the promotion of good governance and the integrity of financial reporting, reduction of risk, informing the Board refreshment process, strengthening the Board-management partnership, and helping set and oversee Board expectations of management. In assessing their performance, the Board and its committees take a multi-year perspective to identify and evaluate trends and assure themselves that areas identified for improvement are addressed appropriately and in a timely manner. </w:t>
      </w:r>
    </w:p>
    <w:p>
      <w:pPr>
        <w:pStyle w:val="TextBody"/>
        <w:bidi w:val="0"/>
        <w:spacing w:before="240" w:after="0"/>
        <w:jc w:val="both"/>
        <w:rPr>
          <w:rFonts w:ascii="arial" w:hAnsi="arial"/>
          <w:sz w:val="20"/>
        </w:rPr>
      </w:pPr>
      <w:r>
        <w:rPr>
          <w:rFonts w:ascii="arial" w:hAnsi="arial"/>
          <w:sz w:val="20"/>
        </w:rPr>
        <w:t xml:space="preserve">To ensure the process stays current and continues to generate rich insights, the Board follows a cyclical, programmatic approach when conducting Board and committee evaluations. This approach includes regular, holistic reviews of the evaluation framework, methodology, and form. While the Board and each of its committees conducts a formal evaluation annually, the Board considers its performance and that of its committees continuously throughout the year and shares feedback with management. In addition, each year, the Board and its committees consider a variety of evaluation approaches, including written surveys, individual director interviews, group discussions in executive session, and/or engagement of a third-party facilitator.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6120" cy="3336290"/>
            <wp:effectExtent l="0" t="0" r="0" b="0"/>
            <wp:docPr id="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4" descr=""/>
                    <pic:cNvPicPr>
                      <a:picLocks noChangeAspect="1" noChangeArrowheads="1"/>
                    </pic:cNvPicPr>
                  </pic:nvPicPr>
                  <pic:blipFill>
                    <a:blip r:embed="rId25"/>
                    <a:stretch>
                      <a:fillRect/>
                    </a:stretch>
                  </pic:blipFill>
                  <pic:spPr bwMode="auto">
                    <a:xfrm>
                      <a:off x="0" y="0"/>
                      <a:ext cx="5786120" cy="3336290"/>
                    </a:xfrm>
                    <a:prstGeom prst="rect">
                      <a:avLst/>
                    </a:prstGeom>
                  </pic:spPr>
                </pic:pic>
              </a:graphicData>
            </a:graphic>
          </wp:inline>
        </w:drawing>
      </w:r>
      <w:r>
        <w:rPr/>
        <w:t xml:space="preserve"> </w:t>
      </w:r>
    </w:p>
    <w:p>
      <w:pPr>
        <w:pStyle w:val="TextBody"/>
        <w:bidi w:val="0"/>
        <w:jc w:val="right"/>
        <w:rPr>
          <w:rFonts w:ascii="arial" w:hAnsi="arial"/>
          <w:color w:val="FFFFFF"/>
          <w:sz w:val="2"/>
        </w:rPr>
      </w:pPr>
      <w:r>
        <w:rPr>
          <w:rFonts w:ascii="arial" w:hAnsi="arial"/>
          <w:color w:val="FFFFFF"/>
          <w:sz w:val="2"/>
        </w:rPr>
        <w:t xml:space="preserve">Seek Input Each year, the Lead Independent Director and committee chairs, with input and support from management and the Governance and Nominating Committee, develop a process to seek feedback on the Board from directors and select members of management. Follow-Up A summary of the overall evaluation results is shared with management to address any requests or enhancements in practices that may be warranted. Committee chairs report on their respective evaluations to the full Board and share key actions with management for follow-up. Discuss The Lead Independent Director and committee chairs, with the assistance of management, leverage feedback to develop key themes that emerge from the feedback and lead a robust discussion in their respective executive sessions. </w:t>
      </w:r>
    </w:p>
    <w:p>
      <w:pPr>
        <w:pStyle w:val="TextBody"/>
        <w:bidi w:val="0"/>
        <w:spacing w:before="240" w:after="0"/>
        <w:jc w:val="both"/>
        <w:rPr>
          <w:rFonts w:ascii="arial" w:hAnsi="arial"/>
          <w:sz w:val="20"/>
        </w:rPr>
      </w:pPr>
      <w:r>
        <w:rPr>
          <w:rFonts w:ascii="arial" w:hAnsi="arial"/>
          <w:sz w:val="20"/>
        </w:rPr>
        <w:t xml:space="preserve">As part of the Board’s self-evaluation process, directors consider various topics related to Board composition, effectiveness, structure, and performance and the overall mix of director skills, experience, and background. Specifically, topics considered during the 2024 annual Board and committee self-evaluations process included: </w:t>
      </w:r>
    </w:p>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215"/>
        <w:gridCol w:w="60"/>
        <w:gridCol w:w="528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0"/>
              <w:jc w:val="both"/>
              <w:rPr>
                <w:rFonts w:ascii="arial" w:hAnsi="arial"/>
                <w:sz w:val="20"/>
              </w:rPr>
            </w:pPr>
            <w:r>
              <w:rPr>
                <w:rFonts w:ascii="arial" w:hAnsi="arial"/>
                <w:sz w:val="20"/>
              </w:rPr>
              <w:t xml:space="preserve">Board engagement, culture, and setting the “tone at the top”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215"/>
        <w:gridCol w:w="60"/>
        <w:gridCol w:w="852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both"/>
              <w:rPr>
                <w:rFonts w:ascii="arial" w:hAnsi="arial"/>
                <w:sz w:val="20"/>
              </w:rPr>
            </w:pPr>
            <w:r>
              <w:rPr>
                <w:rFonts w:ascii="arial" w:hAnsi="arial"/>
                <w:sz w:val="20"/>
              </w:rPr>
              <w:t xml:space="preserve">Board leadership, including the roles of the Lead Independent Director and Chairman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Oversight of and engagement in corporate strategy (both short- and long-term strategic objectives) and Company performance </w:t>
            </w:r>
          </w:p>
        </w:tc>
      </w:tr>
    </w:tbl>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75"/>
        <w:gridCol w:w="215"/>
        <w:gridCol w:w="60"/>
        <w:gridCol w:w="558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both"/>
              <w:rPr>
                <w:rFonts w:ascii="arial" w:hAnsi="arial"/>
                <w:sz w:val="20"/>
              </w:rPr>
            </w:pPr>
            <w:r>
              <w:rPr>
                <w:rFonts w:ascii="arial" w:hAnsi="arial"/>
                <w:sz w:val="20"/>
              </w:rPr>
              <w:t xml:space="preserve">Oversight of the CEO, executive compensation, and evaluation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215"/>
        <w:gridCol w:w="60"/>
        <w:gridCol w:w="570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both"/>
              <w:rPr>
                <w:rFonts w:ascii="arial" w:hAnsi="arial"/>
                <w:sz w:val="20"/>
              </w:rPr>
            </w:pPr>
            <w:r>
              <w:rPr>
                <w:rFonts w:ascii="arial" w:hAnsi="arial"/>
                <w:sz w:val="20"/>
              </w:rPr>
              <w:t xml:space="preserve">CEO and executive talent development and succession planning </w:t>
            </w:r>
          </w:p>
        </w:tc>
      </w:tr>
    </w:tbl>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75"/>
        <w:gridCol w:w="215"/>
        <w:gridCol w:w="60"/>
        <w:gridCol w:w="425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both"/>
              <w:rPr>
                <w:rFonts w:ascii="arial" w:hAnsi="arial"/>
                <w:sz w:val="20"/>
              </w:rPr>
            </w:pPr>
            <w:r>
              <w:rPr>
                <w:rFonts w:ascii="arial" w:hAnsi="arial"/>
                <w:sz w:val="20"/>
              </w:rPr>
              <w:t xml:space="preserve">Access to Company executives and associates </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28 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Board and committee composition, including director skills, background, diversity, and new director recruiting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Oversight of enterprise and technology risk, including the stature of the risk management function and appropriateness of the Company’s risk appetites and risk management in light of the scale and complexity of the Company’s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Overall Board governance including quality and quantity of materials and information, conduct of meetings, and support for those activities from management </w:t>
            </w:r>
          </w:p>
        </w:tc>
      </w:tr>
    </w:tbl>
    <w:p>
      <w:pPr>
        <w:pStyle w:val="TextBody"/>
        <w:bidi w:val="0"/>
        <w:spacing w:before="240" w:after="0"/>
        <w:jc w:val="left"/>
        <w:rPr>
          <w:rFonts w:ascii="arial" w:hAnsi="arial"/>
          <w:b/>
          <w:i/>
          <w:color w:val="003A5D"/>
          <w:sz w:val="24"/>
        </w:rPr>
      </w:pPr>
      <w:bookmarkStart w:id="17" w:name="txa845790_ann"/>
      <w:bookmarkStart w:id="18" w:name="txa845790_2annual"/>
      <w:bookmarkEnd w:id="17"/>
      <w:bookmarkEnd w:id="18"/>
      <w:r>
        <w:rPr>
          <w:rFonts w:ascii="arial" w:hAnsi="arial"/>
          <w:b/>
          <w:i/>
          <w:color w:val="003A5D"/>
          <w:sz w:val="24"/>
        </w:rPr>
        <w:t xml:space="preserve">Annual Assessment of Individual Director Nominees </w:t>
      </w:r>
    </w:p>
    <w:p>
      <w:pPr>
        <w:pStyle w:val="TextBody"/>
        <w:bidi w:val="0"/>
        <w:spacing w:before="240" w:after="0"/>
        <w:jc w:val="both"/>
        <w:rPr>
          <w:rFonts w:ascii="arial" w:hAnsi="arial"/>
          <w:sz w:val="20"/>
        </w:rPr>
      </w:pPr>
      <w:r>
        <w:rPr>
          <w:rFonts w:ascii="arial" w:hAnsi="arial"/>
          <w:sz w:val="20"/>
        </w:rPr>
        <w:t xml:space="preserve">Each year the Chair of the Governance and Nominating Committee conducts an individual director assessment process. This process includes candid, one-on-one discussions between the Governance and Nominating Committee’s Chair and each Board member regarding the individual performance and effectiveness of the directors nominated by the Board for re-election by Capital One’s stockholders. Directors may also provide feedback on any other individual director’s performance at any time, regardless of whether it is part of the formal assessment process.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890895" cy="2788285"/>
            <wp:effectExtent l="0" t="0" r="0" b="0"/>
            <wp:docPr id="3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5" descr=""/>
                    <pic:cNvPicPr>
                      <a:picLocks noChangeAspect="1" noChangeArrowheads="1"/>
                    </pic:cNvPicPr>
                  </pic:nvPicPr>
                  <pic:blipFill>
                    <a:blip r:embed="rId26"/>
                    <a:stretch>
                      <a:fillRect/>
                    </a:stretch>
                  </pic:blipFill>
                  <pic:spPr bwMode="auto">
                    <a:xfrm>
                      <a:off x="0" y="0"/>
                      <a:ext cx="5890895" cy="2788285"/>
                    </a:xfrm>
                    <a:prstGeom prst="rect">
                      <a:avLst/>
                    </a:prstGeom>
                  </pic:spPr>
                </pic:pic>
              </a:graphicData>
            </a:graphic>
          </wp:inline>
        </w:drawing>
      </w:r>
      <w:r>
        <w:rPr/>
        <w:t xml:space="preserve"> </w:t>
      </w:r>
    </w:p>
    <w:p>
      <w:pPr>
        <w:pStyle w:val="TextBody"/>
        <w:bidi w:val="0"/>
        <w:jc w:val="right"/>
        <w:rPr>
          <w:rFonts w:ascii="arial" w:hAnsi="arial"/>
          <w:color w:val="FFFFFF"/>
          <w:sz w:val="2"/>
        </w:rPr>
      </w:pPr>
      <w:r>
        <w:rPr>
          <w:rFonts w:ascii="arial" w:hAnsi="arial"/>
          <w:color w:val="FFFFFF"/>
          <w:sz w:val="2"/>
        </w:rPr>
        <w:t xml:space="preserve">Follow-Up The Chair of the GNC shares input and feedback from the assessments with the individual directors. The GNC also takes into consideration the results of the assessments of individual directors, the Board, and its committees as part of director recruitment efforts. Nominate Taking individual director performance into consideration, the GNC recommends director candidates for nomination to the Board, and the Board nominates directors to stand for election or re-election by Capital Ones stockholders. Seek Input The Chair of the Governance and Nominating Committee (the GNC) meets with Board members in separate, one-on-one sessions to solicit feedback on other directors individual strengths and contributions. Evaluate The Chair of the GNC synthesizes feedback and reports to the GNC and the Chairman of the Board. The GNC also reviews other considerations, such as related person transactions, conflicts of interest, and independence. </w:t>
      </w:r>
    </w:p>
    <w:p>
      <w:pPr>
        <w:pStyle w:val="TextBody"/>
        <w:bidi w:val="0"/>
        <w:spacing w:before="240" w:after="0"/>
        <w:jc w:val="left"/>
        <w:rPr>
          <w:rFonts w:ascii="arial" w:hAnsi="arial"/>
          <w:b/>
          <w:i/>
          <w:color w:val="003A5D"/>
          <w:sz w:val="24"/>
        </w:rPr>
      </w:pPr>
      <w:bookmarkStart w:id="19" w:name="annual_1"/>
      <w:bookmarkEnd w:id="19"/>
      <w:r>
        <w:rPr>
          <w:rFonts w:ascii="arial" w:hAnsi="arial"/>
          <w:b/>
          <w:i/>
          <w:color w:val="003A5D"/>
          <w:sz w:val="24"/>
        </w:rPr>
        <w:t xml:space="preserve">Annual Assessment of the Lead Independent Director </w:t>
      </w:r>
    </w:p>
    <w:p>
      <w:pPr>
        <w:pStyle w:val="TextBody"/>
        <w:bidi w:val="0"/>
        <w:spacing w:before="240" w:after="0"/>
        <w:jc w:val="both"/>
        <w:rPr>
          <w:rFonts w:ascii="arial" w:hAnsi="arial"/>
          <w:sz w:val="20"/>
        </w:rPr>
      </w:pPr>
      <w:r>
        <w:rPr>
          <w:rFonts w:ascii="arial" w:hAnsi="arial"/>
          <w:sz w:val="20"/>
        </w:rPr>
        <w:t xml:space="preserve">To support the Independent Directors in selecting the Lead Independent Director, the Governance and Nominating Committee oversees an annual process to evaluate the performance and effectiveness of the Lead Independent Director. Each year, the Governance and Nominating Committee designates one Independent Director as a facilitator, who solicits feedback and perspectives from all directors on the Lead Independent Director. The facilitator then shares the results with the Governance and Nominating Committee and, as appropriate, the Board, without the Lead Independent Director present. The Independent Directors consider the results of this assessment in the annual selection of the Lead Independent Director. </w:t>
      </w:r>
    </w:p>
    <w:p>
      <w:pPr>
        <w:pStyle w:val="TextBody"/>
        <w:bidi w:val="0"/>
        <w:spacing w:before="240" w:after="0"/>
        <w:jc w:val="both"/>
        <w:rPr>
          <w:rFonts w:ascii="arial" w:hAnsi="arial"/>
          <w:sz w:val="20"/>
        </w:rPr>
      </w:pPr>
      <w:r>
        <w:rPr>
          <w:rFonts w:ascii="arial" w:hAnsi="arial"/>
          <w:sz w:val="20"/>
        </w:rPr>
        <w:t xml:space="preserve">The Lead Independent Director is currently Ms. Hackett. As Lead Independent Director, Ms. Hackett has a strong record of active engagement both inside and outside the boardroom, including regular meetings with federal regulators and Company executives in one-on-one and group settings. Leveraging her significant experience serving in leadership capacities in a variety of environments, Ms. Hackett has fostered a culture of collaboration, diligence, trust, and mutual respect that allows the Board to work effectively to provide oversight of and effective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29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challenge to management. Based on her performance, the Independent Directors unanimously supported Ms. Hackett’s re-election as Lead Independent Director for a one-year term beginning May 2024. </w:t>
      </w:r>
    </w:p>
    <w:p>
      <w:pPr>
        <w:pStyle w:val="TextBody"/>
        <w:bidi w:val="0"/>
        <w:spacing w:before="240" w:after="0"/>
        <w:jc w:val="left"/>
        <w:rPr>
          <w:rFonts w:ascii="arial" w:hAnsi="arial"/>
          <w:b/>
          <w:i/>
          <w:color w:val="003A5D"/>
          <w:sz w:val="24"/>
        </w:rPr>
      </w:pPr>
      <w:r>
        <w:rPr>
          <w:rFonts w:ascii="arial" w:hAnsi="arial"/>
          <w:b/>
          <w:i/>
          <w:color w:val="003A5D"/>
          <w:sz w:val="24"/>
        </w:rPr>
        <w:t xml:space="preserve">Annual Performance Assessment of the CEO </w:t>
      </w:r>
    </w:p>
    <w:p>
      <w:pPr>
        <w:pStyle w:val="TextBody"/>
        <w:bidi w:val="0"/>
        <w:spacing w:before="240" w:after="0"/>
        <w:jc w:val="both"/>
        <w:rPr>
          <w:rFonts w:ascii="arial" w:hAnsi="arial"/>
          <w:sz w:val="20"/>
        </w:rPr>
      </w:pPr>
      <w:r>
        <w:rPr>
          <w:rFonts w:ascii="arial" w:hAnsi="arial"/>
          <w:sz w:val="20"/>
        </w:rPr>
        <w:t xml:space="preserve">Led by the Lead Independent Director, the Independent Directors annually assess the performance of Mr. Fairbank as Capital One’s CEO through a process developed and overseen by the Governance and Nominating Committee. This process includes an in-depth discussion of the CEO’s performance by the Independent Directors in executive session at a joint meeting of the Compensation Committee and the Board during which directors consider a variety of factors. The areas assessed relate to overall CEO performance, leadership, financial and operating performance, governance and risk management, strategic performance, and customer and associate satisfaction. The Independent Directors also consider feedback from the Board and self-assessment materials provided by Mr. Fairbank regarding his and the Company’s performance and achievements during the performance year. For additional information, see “Chief Executive Officer Compensation” beginning on page 67. </w:t>
      </w:r>
    </w:p>
    <w:p>
      <w:pPr>
        <w:pStyle w:val="TextBody"/>
        <w:bidi w:val="0"/>
        <w:spacing w:before="240" w:after="0"/>
        <w:jc w:val="both"/>
        <w:rPr>
          <w:rFonts w:ascii="arial" w:hAnsi="arial"/>
          <w:sz w:val="20"/>
        </w:rPr>
      </w:pPr>
      <w:r>
        <w:rPr>
          <w:rFonts w:ascii="arial" w:hAnsi="arial"/>
          <w:sz w:val="20"/>
        </w:rPr>
        <w:t xml:space="preserve">The annual CEO performance assessment is completed as part of Capital One’s year-end compensation process. The Compensation Committee manages year-end compensation decisions within the context of such assessment and recommends compensation for the CEO based on such assessment to the Independent Directors for approval. The Lead Independent Director and Chair of the Compensation Committee jointly share the feedback from the CEO performance assessment with Mr. Fairbank in a closed session. </w:t>
      </w:r>
    </w:p>
    <w:p>
      <w:pPr>
        <w:pStyle w:val="TextBody"/>
        <w:bidi w:val="0"/>
        <w:spacing w:before="240" w:after="0"/>
        <w:jc w:val="left"/>
        <w:rPr>
          <w:rFonts w:ascii="arial" w:hAnsi="arial"/>
          <w:b/>
          <w:color w:val="003A5D"/>
          <w:sz w:val="32"/>
        </w:rPr>
      </w:pPr>
      <w:bookmarkStart w:id="20" w:name="txa845790_8"/>
      <w:bookmarkEnd w:id="20"/>
      <w:r>
        <w:rPr>
          <w:rFonts w:ascii="arial" w:hAnsi="arial"/>
          <w:b/>
          <w:color w:val="003A5D"/>
          <w:sz w:val="32"/>
        </w:rPr>
        <w:t xml:space="preserve">The Board’s Role in Corporate Oversight </w:t>
      </w:r>
    </w:p>
    <w:p>
      <w:pPr>
        <w:pStyle w:val="TextBody"/>
        <w:bidi w:val="0"/>
        <w:spacing w:before="240" w:after="0"/>
        <w:jc w:val="both"/>
        <w:rPr>
          <w:rFonts w:ascii="arial" w:hAnsi="arial"/>
          <w:sz w:val="20"/>
        </w:rPr>
      </w:pPr>
      <w:r>
        <w:rPr>
          <w:rFonts w:ascii="arial" w:hAnsi="arial"/>
          <w:sz w:val="20"/>
        </w:rPr>
        <w:t xml:space="preserve">Capital One is dedicated to strong and effective corporate governance that provides the appropriate framework for the Board to engage with and oversee the Company. Our Board is accountable for oversight of Capital One’s business affairs and operations. In carrying out this responsibility, among other things, the Board and its committees oversee management’s development and implementation of the Company’s (i): corporate culture; (ii) corporate strategy; (iii) financial performance and associated risks; (iv) enterprise-wide risk management framework, including cybersecurity and technology risk; (v) succession planning for the Company’s CEO and other key executives; (vi) compensation policies and practices; and (vii) policies, programs, and strategies related to ESG matters. </w:t>
      </w:r>
    </w:p>
    <w:p>
      <w:pPr>
        <w:pStyle w:val="TextBody"/>
        <w:bidi w:val="0"/>
        <w:spacing w:before="240" w:after="0"/>
        <w:jc w:val="both"/>
        <w:rPr>
          <w:rFonts w:ascii="arial" w:hAnsi="arial"/>
          <w:sz w:val="20"/>
        </w:rPr>
      </w:pPr>
      <w:r>
        <w:rPr>
          <w:rFonts w:ascii="arial" w:hAnsi="arial"/>
          <w:sz w:val="20"/>
        </w:rPr>
        <w:t xml:space="preserve">The Board and its committees regularly review and approve key governance policies and plans, including our Corporate Governance Guidelines, which facilitate efficient and effective Board oversight. These Guidelines enable our Board to engage in responsible decision-making, work with management to pursue Capital One’s strategic objectives, and promote the long-term interests of our stockholders. </w:t>
      </w:r>
    </w:p>
    <w:p>
      <w:pPr>
        <w:pStyle w:val="TextBody"/>
        <w:bidi w:val="0"/>
        <w:spacing w:before="240" w:after="0"/>
        <w:jc w:val="left"/>
        <w:rPr>
          <w:rFonts w:ascii="arial" w:hAnsi="arial"/>
          <w:b/>
          <w:i/>
          <w:color w:val="003A5D"/>
          <w:sz w:val="24"/>
        </w:rPr>
      </w:pPr>
      <w:r>
        <w:rPr>
          <w:rFonts w:ascii="arial" w:hAnsi="arial"/>
          <w:b/>
          <w:i/>
          <w:color w:val="003A5D"/>
          <w:sz w:val="24"/>
        </w:rPr>
        <w:t xml:space="preserve">Corporate Culture </w:t>
      </w:r>
    </w:p>
    <w:p>
      <w:pPr>
        <w:pStyle w:val="TextBody"/>
        <w:bidi w:val="0"/>
        <w:spacing w:before="240" w:after="0"/>
        <w:jc w:val="both"/>
        <w:rPr>
          <w:rFonts w:ascii="arial" w:hAnsi="arial"/>
          <w:sz w:val="20"/>
        </w:rPr>
      </w:pPr>
      <w:r>
        <w:rPr>
          <w:rFonts w:ascii="arial" w:hAnsi="arial"/>
          <w:sz w:val="20"/>
        </w:rPr>
        <w:t xml:space="preserve">Capital One believes that a strong, ethical corporate culture is a key element of sound and sustainable corporate governance practices, beginning at the top with the CEO and other senior leadership. The Board plays a critical role in supporting and overseeing Capital One’s corporate culture, mission, and values, and sets the “tone at the top” by adopting policies, a code of ethics, a philosophy for hiring, and compensation practices that promote ethical behavior, compliance with laws and regulations (including those pertaining to consumer protection and privacy), effective internal controls and risk management, and sound governance. The Company’s programs, policies, and practices also support a strong and sustainable culture in several ways, including through the corporate governance framework, risk management program, ethics program, and talent management and compensation policies and practices.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30 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The Board and its committees oversee and regularly engage with management on the Company’s culture including,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Reviewing and overseeing Capital One’s strategy, engaging in constructive dialogue with the CEO and senior executives on the alignment of the Company’s culture, mission, and values with its long-term strategy during the annual Board strategy meeting (which is further discussed below under “Corporate Strategy”) and periodically throughout the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Reviewing and adopting employment policies, compensation plans and incentive structures that promote effective internal controls and governance and overall ethical behavior;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Engaging with the Chief Human Resources Officer regarding associate engagement surveys (which include associate feedback on the Company’s culture, mission, and values), associate retention and turnover metrics, employment policies and benefits, and the Company’s diversity, inclusion, and belonging efforts and results;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Approving and overseeing implementation of the Company’s Code of Conduct, and receiving regular reporting from the Chief Compliance Officer on the Company’s ethics program and associate conduct. </w:t>
            </w:r>
          </w:p>
        </w:tc>
      </w:tr>
    </w:tbl>
    <w:p>
      <w:pPr>
        <w:pStyle w:val="TextBody"/>
        <w:bidi w:val="0"/>
        <w:spacing w:before="240" w:after="0"/>
        <w:jc w:val="left"/>
        <w:rPr>
          <w:rFonts w:ascii="arial" w:hAnsi="arial"/>
          <w:b/>
          <w:i/>
          <w:color w:val="003A5D"/>
          <w:sz w:val="24"/>
        </w:rPr>
      </w:pPr>
      <w:r>
        <w:rPr>
          <w:rFonts w:ascii="arial" w:hAnsi="arial"/>
          <w:b/>
          <w:i/>
          <w:color w:val="003A5D"/>
          <w:sz w:val="24"/>
        </w:rPr>
        <w:t xml:space="preserve">Corporate Strategy </w:t>
      </w:r>
    </w:p>
    <w:p>
      <w:pPr>
        <w:pStyle w:val="TextBody"/>
        <w:bidi w:val="0"/>
        <w:spacing w:before="240" w:after="0"/>
        <w:jc w:val="both"/>
        <w:rPr>
          <w:rFonts w:ascii="arial" w:hAnsi="arial"/>
          <w:sz w:val="20"/>
        </w:rPr>
      </w:pPr>
      <w:r>
        <w:rPr>
          <w:rFonts w:ascii="arial" w:hAnsi="arial"/>
          <w:sz w:val="20"/>
        </w:rPr>
        <w:t xml:space="preserve">Capital One’s Board is responsible for reviewing, overseeing, and approving the creation and implementation of the Company’s strategy. Management, with guidance from the Board, is responsible for developing, communicating, and implementing a strategy that is designed to allow Capital One to: (i) invest in long-term capabilities and opportunities; (ii) secure competitive, endgame positions in our key businesses; (iii) attract and retain customers; (iv) grow resiliently; (v) promote ethical behavior and compliance with applicable laws and regulations; (vi) withstand economic stress and market volatility; and (vii) adhere to the Board’s established risk appetite programs. These strategies allow Capital One to deliver long-term value to our stockholders while helping customers succeed, associates grow, and communities thrive. </w:t>
      </w:r>
    </w:p>
    <w:p>
      <w:pPr>
        <w:pStyle w:val="TextBody"/>
        <w:bidi w:val="0"/>
        <w:spacing w:before="240" w:after="0"/>
        <w:jc w:val="both"/>
        <w:rPr>
          <w:rFonts w:ascii="arial" w:hAnsi="arial"/>
          <w:sz w:val="20"/>
        </w:rPr>
      </w:pPr>
      <w:r>
        <w:rPr>
          <w:rFonts w:ascii="arial" w:hAnsi="arial"/>
          <w:sz w:val="20"/>
        </w:rPr>
        <w:t xml:space="preserve">The development, vetting, and communication of Capital One’s strategy is an ongoing, iterative process that involves the Board, the CEO, the Presidents of our lines of business, the CFO, the General Counsel and Corporate Secretary, the Chief Enterprise Risk Officer, all other Executive Committee members, the Chief Audit Officer, the Corporate Strategy team, and other leaders across the enterprise. Each year, the Board participates in a set of dedicated meetings focused on long-term strategy where the CEO and key senior leaders present the Company’s top strategic priorities and initiatives to the Board. The Board provides input, feedback and effective challenge that guide the Company’s strategic priorities and investments. Following these sessions, the Board reviews assessments of the Company’s strategic initiatives, performed by the independent risk management and internal audit functions, as well as approves the Company’s formal Strategic Plan. Furthermore, the independent risk management function regularly provides the Risk Committee with, among other things, reporting on the Company’s performance against its risk appetite metrics, assessments of the external environment, and positioning in the context of key risk categories. </w:t>
      </w:r>
    </w:p>
    <w:p>
      <w:pPr>
        <w:pStyle w:val="TextBody"/>
        <w:bidi w:val="0"/>
        <w:spacing w:before="240" w:after="0"/>
        <w:jc w:val="both"/>
        <w:rPr>
          <w:rFonts w:ascii="arial" w:hAnsi="arial"/>
          <w:sz w:val="20"/>
        </w:rPr>
      </w:pPr>
      <w:r>
        <w:rPr>
          <w:rFonts w:ascii="arial" w:hAnsi="arial"/>
          <w:sz w:val="20"/>
        </w:rPr>
        <w:t xml:space="preserve">The Board regularly reviews the financial, competitive, and risk performance of the Company and receives updates on key strategic initiatives. Each line of business also reports to the Board the progress on their strategic and financial initiatives on an annual basis. Capital One assesses performance against strategic initiatives by reviewing the Company’s financial performance, competitive positioning and market share, technology capabilities, performance against risk appetites and limits, customer satisfaction and advocacy scores, talent management, system availability and downtime statistics, risk ratings and measurements, market-based indicators, and other quantitative and qualitative performance assessments. Utilizing a diversity of measurement tools, the Board remains informed and can carefully monitor and assess the progress and effectiveness of our strategic positioning and performance. The Board also regularly engages management in discussions regarding financial performance and trajectory, stockholder feedback, capital allocation, strategy implementation, risk mitigation plans, and other matters affecting the Company’s long-term strategy, as appropriate.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31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4"/>
        </w:rPr>
      </w:pPr>
      <w:bookmarkStart w:id="21" w:name="txa845790_3210bde"/>
      <w:bookmarkEnd w:id="21"/>
      <w:r>
        <w:rPr>
          <w:rFonts w:ascii="arial" w:hAnsi="arial"/>
          <w:b/>
          <w:i/>
          <w:color w:val="003A5D"/>
          <w:sz w:val="24"/>
        </w:rPr>
        <w:t xml:space="preserve">Financial Performance and Associated Risks </w:t>
      </w:r>
    </w:p>
    <w:p>
      <w:pPr>
        <w:pStyle w:val="TextBody"/>
        <w:bidi w:val="0"/>
        <w:spacing w:before="240" w:after="0"/>
        <w:jc w:val="both"/>
        <w:rPr>
          <w:rFonts w:ascii="arial" w:hAnsi="arial"/>
          <w:sz w:val="20"/>
        </w:rPr>
      </w:pPr>
      <w:r>
        <w:rPr>
          <w:rFonts w:ascii="arial" w:hAnsi="arial"/>
          <w:sz w:val="20"/>
        </w:rPr>
        <w:t xml:space="preserve">The Board oversees the Company’s financial performance by reviewing with management, on a regular basis, the Company’s quarterly and annual financial statements. The Audit Committee oversees the integrity of the Company’s financial statements by, among other things, obtaining independent assurance as to the completeness and accuracy of the Company’s financial statements from an independent registered public accounting firm, whose qualifications, independence, and performance it reviews on an annual basis. The Audit Committee also oversees the integrity of the Company’s internal controls over financial reporting by, among other things, reviewing periodic assessments of the adequacy and effectiveness of the Company’s financial controls performed by both the Company’s independent registered public accounting firm and the Company’s internal audit function. In addition, the Board, either directly or through the Risk Committee, plays an integral role in the oversight of capital management, funding of the balance sheet, liquidity and market risk management, management of the Company’s investment portfolio, and the management of other asset and liability risk matters. </w:t>
      </w:r>
    </w:p>
    <w:p>
      <w:pPr>
        <w:pStyle w:val="TextBody"/>
        <w:bidi w:val="0"/>
        <w:spacing w:before="240" w:after="0"/>
        <w:jc w:val="left"/>
        <w:rPr>
          <w:rFonts w:ascii="arial" w:hAnsi="arial"/>
          <w:b/>
          <w:i/>
          <w:color w:val="003A5D"/>
          <w:sz w:val="24"/>
        </w:rPr>
      </w:pPr>
      <w:r>
        <w:rPr>
          <w:rFonts w:ascii="arial" w:hAnsi="arial"/>
          <w:b/>
          <w:i/>
          <w:color w:val="003A5D"/>
          <w:sz w:val="24"/>
        </w:rPr>
        <w:t xml:space="preserve">Enterprise-Wide Risk Management Framework </w:t>
      </w:r>
    </w:p>
    <w:p>
      <w:pPr>
        <w:pStyle w:val="TextBody"/>
        <w:bidi w:val="0"/>
        <w:spacing w:before="240" w:after="0"/>
        <w:jc w:val="both"/>
        <w:rPr>
          <w:rFonts w:ascii="arial" w:hAnsi="arial"/>
          <w:sz w:val="20"/>
        </w:rPr>
      </w:pPr>
      <w:r>
        <w:rPr>
          <w:rFonts w:ascii="arial" w:hAnsi="arial"/>
          <w:sz w:val="20"/>
        </w:rPr>
        <w:t xml:space="preserve">Effective risk management and control processes are critical to our safety and soundness, our ability to comply with laws, rules and regulations, our ability to predict and manage the challenges that Capital One and the financial services industry face and, ultimately, our long-term corporate success. The enterprise-wide risk management framework defines the Board’s appetite for risk taking and enables senior management to understand, manage and report on risk. The risk management framework is implemented enterprise-wide and includes seven major risk categories: compliance, credit, liquidity, market, operational, reputation, and strategic. </w:t>
      </w:r>
    </w:p>
    <w:p>
      <w:pPr>
        <w:pStyle w:val="TextBody"/>
        <w:bidi w:val="0"/>
        <w:spacing w:before="240" w:after="0"/>
        <w:jc w:val="both"/>
        <w:rPr>
          <w:rFonts w:ascii="arial" w:hAnsi="arial"/>
          <w:sz w:val="20"/>
        </w:rPr>
      </w:pPr>
      <w:r>
        <w:rPr>
          <w:rFonts w:ascii="arial" w:hAnsi="arial"/>
          <w:sz w:val="20"/>
        </w:rPr>
        <w:t xml:space="preserve">The Board’s role in risk oversight of Capital One is consistent with its leadership structure, with the CEO and other members of senior management having responsibility for assessing and managing Capital One’s risk exposure on a day-to-day basis, and the Board and its committees providing oversight in connection with these efforts. The full Board, with the support of its committees, oversees the entire enterprise-wide risk management framework for the Company. The Board’s oversight focuses on our material risks and any notable emerging risks to ensure that Capital One’s risk management is adequate. The Chair of the Risk Committee, in collaboration with the Lead Independent Director, helps ensure that the Board has appropriate discussions on risk topics. The Risk Committee is responsible for setting and recommending to the Board for approval risk appetites taking into account the Company’s structure, risk profile, complexity, activities, size, and other appropriate risk-related factors. The Risk Committee considers both current risk, including timeframes reflected by those risks, as well as emerging risks and future threats. </w:t>
      </w:r>
    </w:p>
    <w:p>
      <w:pPr>
        <w:pStyle w:val="TextBody"/>
        <w:bidi w:val="0"/>
        <w:spacing w:before="240" w:after="0"/>
        <w:jc w:val="both"/>
        <w:rPr>
          <w:rFonts w:ascii="arial" w:hAnsi="arial"/>
          <w:sz w:val="20"/>
        </w:rPr>
      </w:pPr>
      <w:r>
        <w:rPr>
          <w:rFonts w:ascii="arial" w:hAnsi="arial"/>
          <w:sz w:val="20"/>
        </w:rPr>
        <w:t xml:space="preserve">At the management level, senior management committees serve as governance forums for the CEO, Chief Risk Officers, and other members of senior management to receive and discuss risk management information, reports, views, and escalated matters from the lines of business, the independent risk management function, the internal audit function, and other areas of the Company. Enterprise-wide risk management is generally the responsibility of the Chief Risk Officers. The Chief Enterprise Risk Officer has accountability for proposing risk appetites, limits, and reporting levels related to compliance, operational, reputation, and strategic risk, and the Chief Credit and Financial Risk Officer has accountability for proposing risk appetites, limits, and reporting levels related to credit, liquidity, and market risk. The Chief Enterprise Risk Officer is also responsible for ensuring that the Company has an overall enterprise risk framework and that it routinely assesses and reports on enterprise level risks. The Chief Risk Officers report both to the CEO and to the Risk Committee, and update the Risk Committee regularly on a variety of risk matters, including the Company’s performance against risk metrics, in addition to ad hoc reports on emerging risks. In addition, the Risk Committee and the Board participate in periodic education sessions on emerging trends and risk matters, such as evolving cybersecurity threats and generative artificial intelligence. </w:t>
      </w:r>
    </w:p>
    <w:p>
      <w:pPr>
        <w:pStyle w:val="TextBody"/>
        <w:bidi w:val="0"/>
        <w:spacing w:before="240" w:after="0"/>
        <w:jc w:val="both"/>
        <w:rPr>
          <w:rFonts w:ascii="arial" w:hAnsi="arial"/>
          <w:sz w:val="20"/>
        </w:rPr>
      </w:pPr>
      <w:r>
        <w:rPr>
          <w:rFonts w:ascii="arial" w:hAnsi="arial"/>
          <w:sz w:val="20"/>
        </w:rPr>
        <w:t xml:space="preserve">The Board and its committees meet with outside advisors periodically, as appropriate and necessary, and are empowered to consult at any time with outside advisors to support their oversight responsibilities. The Audit Committee also plays an important risk oversight function, including oversight of financial risks as further discussed above in “Financial Performance and Associated Risks.” The Compensation Committee oversees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32 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compensation policies and practices to ensure balanced risk-taking in our compensation programs, practices, and decisions as further described in “Compensation Policies and Practices” below. </w:t>
      </w:r>
    </w:p>
    <w:p>
      <w:pPr>
        <w:pStyle w:val="TextBody"/>
        <w:bidi w:val="0"/>
        <w:spacing w:before="240" w:after="0"/>
        <w:jc w:val="left"/>
        <w:rPr>
          <w:rFonts w:ascii="arial" w:hAnsi="arial"/>
          <w:b/>
          <w:color w:val="003A5D"/>
          <w:sz w:val="20"/>
        </w:rPr>
      </w:pPr>
      <w:r>
        <w:rPr>
          <w:rFonts w:ascii="arial" w:hAnsi="arial"/>
          <w:b/>
          <w:color w:val="003A5D"/>
          <w:sz w:val="20"/>
        </w:rPr>
        <w:t xml:space="preserve">Cybersecurity and Technology Risk </w:t>
      </w:r>
    </w:p>
    <w:p>
      <w:pPr>
        <w:pStyle w:val="TextBody"/>
        <w:bidi w:val="0"/>
        <w:spacing w:before="240" w:after="0"/>
        <w:jc w:val="both"/>
        <w:rPr>
          <w:rFonts w:ascii="arial" w:hAnsi="arial"/>
          <w:sz w:val="20"/>
        </w:rPr>
      </w:pPr>
      <w:r>
        <w:rPr>
          <w:rFonts w:ascii="arial" w:hAnsi="arial"/>
          <w:sz w:val="20"/>
        </w:rPr>
        <w:t xml:space="preserve">As a financial services company entrusted with the safeguarding of sensitive information, including sensitive personal information, we believe that a strong enterprise cybersecurity program is a vital component of effectively managing risks related to the confidentiality, integrity, availability, and security of our data. The Risk Committee of the Board is responsible for overseeing our enterprise risk management framework, including cybersecurity and technology risk. At least quarterly, the Risk Committee receives reports from management on our cybersecurity and technology risk, key enterprise cybersecurity initiatives, and on any identified significant threats or incidents, or new risk developments. </w:t>
      </w:r>
    </w:p>
    <w:p>
      <w:pPr>
        <w:pStyle w:val="TextBody"/>
        <w:bidi w:val="0"/>
        <w:spacing w:before="240" w:after="0"/>
        <w:jc w:val="both"/>
        <w:rPr>
          <w:rFonts w:ascii="arial" w:hAnsi="arial"/>
          <w:sz w:val="20"/>
        </w:rPr>
      </w:pPr>
      <w:r>
        <w:rPr>
          <w:rFonts w:ascii="arial" w:hAnsi="arial"/>
          <w:sz w:val="20"/>
        </w:rPr>
        <w:t xml:space="preserve">The Risk Committee coordinates with the full Board regarding the strategic implications of cyber and technology risks. At least annually, the Board, either directly or through the Risk Committee, reviews the Company’s technology strategy with the Chief Information Officer; reviews the Company’s information security program with the Chief Information Security Officer and Chief Technology Risk Officer; and approves the Company’s information security program. </w:t>
      </w:r>
    </w:p>
    <w:p>
      <w:pPr>
        <w:pStyle w:val="TextBody"/>
        <w:bidi w:val="0"/>
        <w:spacing w:before="240" w:after="0"/>
        <w:jc w:val="left"/>
        <w:rPr>
          <w:rFonts w:ascii="arial" w:hAnsi="arial"/>
          <w:b/>
          <w:i/>
          <w:color w:val="003A5D"/>
          <w:sz w:val="24"/>
        </w:rPr>
      </w:pPr>
      <w:r>
        <w:rPr>
          <w:rFonts w:ascii="arial" w:hAnsi="arial"/>
          <w:b/>
          <w:i/>
          <w:color w:val="003A5D"/>
          <w:sz w:val="24"/>
        </w:rPr>
        <w:t xml:space="preserve">Succession Planning </w:t>
      </w:r>
    </w:p>
    <w:p>
      <w:pPr>
        <w:pStyle w:val="TextBody"/>
        <w:bidi w:val="0"/>
        <w:spacing w:before="240" w:after="0"/>
        <w:jc w:val="both"/>
        <w:rPr>
          <w:rFonts w:ascii="arial" w:hAnsi="arial"/>
          <w:sz w:val="20"/>
        </w:rPr>
      </w:pPr>
      <w:r>
        <w:rPr>
          <w:rFonts w:ascii="arial" w:hAnsi="arial"/>
          <w:sz w:val="20"/>
        </w:rPr>
        <w:t xml:space="preserve">Pursuant to our Corporate Governance Guidelines, the Board is responsible for maintaining a succession plan for the CEO and certain senior executive positions. A planning process has been developed and maintained to identify, develop, and assess successors to the CEO and such positions. The Board reviews and updates these succession plans at least annually, including the most recent review and update in late 2024. Our Board believes that the directors and the CEO should work together on executive succession planning and that the entire Board should be involved. Each year, as part of the succession planning process, our CEO provides the Board with recommendations on, and evaluations of, potential CEO successors. The Board considers a number of factors such as experience, skills, competencies, and potential in its review of the senior executive team to assess which executives possess or can develop the attributes that the Board believes are necessary to lead and achieve the Company’s goals. Among other steps taken to promote this process throughout the year, executives one and two levels below the CEO often attend Board meetings and present to the Board, providing the Board with numerous opportunities to interact with our senior management and assess their leadership capabilities. Additionally, each line of business, independent risk management, internal audit, and finance functions engage in succession planning for key roles at least once per year. The Chief Human Resources Officer reviews these line of business and functional area succession plans. </w:t>
      </w:r>
    </w:p>
    <w:p>
      <w:pPr>
        <w:pStyle w:val="TextBody"/>
        <w:bidi w:val="0"/>
        <w:spacing w:before="240" w:after="0"/>
        <w:jc w:val="both"/>
        <w:rPr>
          <w:rFonts w:ascii="arial" w:hAnsi="arial"/>
          <w:sz w:val="20"/>
        </w:rPr>
      </w:pPr>
      <w:r>
        <w:rPr>
          <w:rFonts w:ascii="arial" w:hAnsi="arial"/>
          <w:sz w:val="20"/>
        </w:rPr>
        <w:t xml:space="preserve">In addition to the general succession plan, our Board proactively reviewed plans for temporary successors across key roles in 2024. The temporary succession plan is intended to identify the leaders who can assume the responsibilities in the immediate short-term to ensure business continuity, day-to-day management of the team and business for our senior management, and other key roles. Our Board also has established steps to address emergency CEO succession planning for an unplanned CEO succession event. Our emergency CEO succession planning is intended to enable our Company to respond to an unexpected CEO transition by continuing our Company’s safe and sound operation and minimizing potential disruption or loss of continuity to our Company’s operations and strategy. The Board reviews annually the CEO’s emergency successor recommendations. As a result of this evergreen process, there is a named CEO emergency successor should the CEO become unexpectedly unable to serve. </w:t>
      </w:r>
    </w:p>
    <w:p>
      <w:pPr>
        <w:pStyle w:val="TextBody"/>
        <w:bidi w:val="0"/>
        <w:spacing w:before="240" w:after="0"/>
        <w:jc w:val="left"/>
        <w:rPr>
          <w:rFonts w:ascii="arial" w:hAnsi="arial"/>
          <w:b/>
          <w:i/>
          <w:color w:val="003A5D"/>
          <w:sz w:val="24"/>
        </w:rPr>
      </w:pPr>
      <w:r>
        <w:rPr>
          <w:rFonts w:ascii="arial" w:hAnsi="arial"/>
          <w:b/>
          <w:i/>
          <w:color w:val="003A5D"/>
          <w:sz w:val="24"/>
        </w:rPr>
        <w:t xml:space="preserve">Compensation Policies and Practices </w:t>
      </w:r>
    </w:p>
    <w:p>
      <w:pPr>
        <w:pStyle w:val="TextBody"/>
        <w:bidi w:val="0"/>
        <w:spacing w:before="240" w:after="0"/>
        <w:jc w:val="both"/>
        <w:rPr>
          <w:rFonts w:ascii="arial" w:hAnsi="arial"/>
          <w:sz w:val="20"/>
        </w:rPr>
      </w:pPr>
      <w:r>
        <w:rPr>
          <w:rFonts w:ascii="arial" w:hAnsi="arial"/>
          <w:sz w:val="20"/>
        </w:rPr>
        <w:t xml:space="preserve">The Compensation Committee oversees all of our compensation policies and practices, including our incentive compensation policies and practices, with a view toward ensuring that such policies and practices encourage balanced risk-taking, are compatible with effective controls and risk management, align with our business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33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strategy, and enable the Company to attract and retain top talent, especially in key job functions. Every two years, the Compensation Committee reviews and approves the Incentive Compensation Governance Policy, which applies to all Company associates and governs incentive compensation decisions. The Incentive Compensation Governance Policy provides the framework for oversight of the design of incentive compensation programs. In setting executive compensation, the Compensation Committee assesses each of the NEOs against one or more performance objectives specifically designed to evaluate the degree to which the NEOs balanced risks inherent in their specific roles. The Compensation Committee also implements additional risk-balancing features for certain equity awards, as described in more detail in the “Compensation Discussion and Analysis” beginning on page 55. </w:t>
      </w:r>
    </w:p>
    <w:p>
      <w:pPr>
        <w:pStyle w:val="TextBody"/>
        <w:bidi w:val="0"/>
        <w:spacing w:before="240" w:after="0"/>
        <w:jc w:val="both"/>
        <w:rPr>
          <w:rFonts w:ascii="arial" w:hAnsi="arial"/>
          <w:sz w:val="20"/>
        </w:rPr>
      </w:pPr>
      <w:r>
        <w:rPr>
          <w:rFonts w:ascii="arial" w:hAnsi="arial"/>
          <w:sz w:val="20"/>
        </w:rPr>
        <w:t xml:space="preserve">In addition, the Compensation Committee reviews the Company’s NEO and other senior executive compensation programs, as well as any other material incentive compensation programs, plans, or agreements. During these reviews, the Compensation Committee discusses the Company’s most significant risks, including the Company’s status with respect to managing those risks and the relationship of those risks to compensation programs. The review includes discussion and analysis of risk-balancing features embedded in these incentive compensation programs and other actions taken by the Company to appropriately balance risk and achieve conformance with regulatory guidance. The Compensation Committee also discusses these programs with the Company’s Chief Enterprise Risk Officer, Chief Human Resources Officer, and the Compensation Committee’s independent compensation consultant, as appropriate. Based on these discussions, the Compensation Committee believes our compensation programs are consistent with safety and soundness, operate in a manner that appropriately balances risk, and are not reasonably likely to have a material adverse effect on the Company. The Compensation Committee also administers the Company’s Clawback Policy. </w:t>
      </w:r>
    </w:p>
    <w:p>
      <w:pPr>
        <w:pStyle w:val="TextBody"/>
        <w:bidi w:val="0"/>
        <w:spacing w:before="240" w:after="0"/>
        <w:jc w:val="both"/>
        <w:rPr>
          <w:rFonts w:ascii="arial" w:hAnsi="arial"/>
          <w:sz w:val="20"/>
        </w:rPr>
      </w:pPr>
      <w:r>
        <w:rPr>
          <w:rFonts w:ascii="arial" w:hAnsi="arial"/>
          <w:sz w:val="20"/>
        </w:rPr>
        <w:t xml:space="preserve">The Compensation Committee’s active oversight, together with the Company’s interactions and discussions with its regulators, has further enhanced the Company’s risk management and control processes with respect to incentive compensation at the Company and supported our continued compliance with the interagency guidance on sound incentive compensation practices. </w:t>
      </w:r>
    </w:p>
    <w:p>
      <w:pPr>
        <w:pStyle w:val="TextBody"/>
        <w:bidi w:val="0"/>
        <w:spacing w:before="240" w:after="0"/>
        <w:jc w:val="left"/>
        <w:rPr>
          <w:rFonts w:ascii="arial" w:hAnsi="arial"/>
          <w:b/>
          <w:i/>
          <w:color w:val="003A5D"/>
          <w:sz w:val="24"/>
        </w:rPr>
      </w:pPr>
      <w:r>
        <w:rPr>
          <w:rFonts w:ascii="arial" w:hAnsi="arial"/>
          <w:b/>
          <w:i/>
          <w:color w:val="003A5D"/>
          <w:sz w:val="24"/>
        </w:rPr>
        <w:t xml:space="preserve">Policies, Programs, and Strategies Related to ESG Matters </w:t>
      </w:r>
    </w:p>
    <w:p>
      <w:pPr>
        <w:pStyle w:val="TextBody"/>
        <w:bidi w:val="0"/>
        <w:spacing w:before="240" w:after="0"/>
        <w:jc w:val="both"/>
        <w:rPr>
          <w:rFonts w:ascii="arial" w:hAnsi="arial"/>
          <w:sz w:val="20"/>
        </w:rPr>
      </w:pPr>
      <w:r>
        <w:rPr>
          <w:rFonts w:ascii="arial" w:hAnsi="arial"/>
          <w:sz w:val="20"/>
        </w:rPr>
        <w:t xml:space="preserve">For information regarding the Board’s role in oversight of the Company’s policies, programs, and strategies related to environmental and social practices, see “Corporate Impact at Capital One” beginning on page 45. </w:t>
      </w:r>
    </w:p>
    <w:p>
      <w:pPr>
        <w:pStyle w:val="TextBody"/>
        <w:bidi w:val="0"/>
        <w:spacing w:before="240" w:after="0"/>
        <w:jc w:val="left"/>
        <w:rPr>
          <w:rFonts w:ascii="arial" w:hAnsi="arial"/>
          <w:b/>
          <w:color w:val="003A5D"/>
          <w:sz w:val="32"/>
        </w:rPr>
      </w:pPr>
      <w:bookmarkStart w:id="22" w:name="txa845790_9"/>
      <w:bookmarkEnd w:id="22"/>
      <w:r>
        <w:rPr>
          <w:rFonts w:ascii="arial" w:hAnsi="arial"/>
          <w:b/>
          <w:color w:val="003A5D"/>
          <w:sz w:val="32"/>
        </w:rPr>
        <w:t xml:space="preserve">Stockholder Engagement </w:t>
      </w:r>
    </w:p>
    <w:p>
      <w:pPr>
        <w:pStyle w:val="TextBody"/>
        <w:bidi w:val="0"/>
        <w:spacing w:before="240" w:after="0"/>
        <w:jc w:val="both"/>
        <w:rPr>
          <w:rFonts w:ascii="arial" w:hAnsi="arial"/>
          <w:sz w:val="20"/>
        </w:rPr>
      </w:pPr>
      <w:r>
        <w:rPr>
          <w:rFonts w:ascii="arial" w:hAnsi="arial"/>
          <w:sz w:val="20"/>
        </w:rPr>
        <w:t xml:space="preserve">We value the input and insights of a variety of stakeholders including equity investors, debt investors, rating agencies, and analysts. We are committed to continued meaningful engagement with these stakeholders. As a result, we engage in continuous outreach throughout the year to discuss the issues that are important to them, listen to their expectations for us, and share our views. During our discussions, we also seek to provide visibility and transparency into our business, our performance, and our governance and compensation practices. We report feedback to our Board to help them respond to stockholders’ concerns and feedback. </w:t>
      </w:r>
    </w:p>
    <w:p>
      <w:pPr>
        <w:pStyle w:val="TextBody"/>
        <w:bidi w:val="0"/>
        <w:spacing w:before="240" w:after="0"/>
        <w:jc w:val="left"/>
        <w:rPr>
          <w:rFonts w:ascii="arial" w:hAnsi="arial"/>
          <w:b/>
          <w:i/>
          <w:color w:val="003A5D"/>
          <w:sz w:val="24"/>
        </w:rPr>
      </w:pPr>
      <w:bookmarkStart w:id="23" w:name="txa845790_tf"/>
      <w:bookmarkEnd w:id="23"/>
      <w:r>
        <w:rPr>
          <w:rFonts w:ascii="arial" w:hAnsi="arial"/>
          <w:b/>
          <w:i/>
          <w:color w:val="003A5D"/>
          <w:sz w:val="24"/>
        </w:rPr>
        <w:t xml:space="preserve">Stockholder Engagement Program </w:t>
      </w:r>
    </w:p>
    <w:p>
      <w:pPr>
        <w:pStyle w:val="TextBody"/>
        <w:bidi w:val="0"/>
        <w:spacing w:before="240" w:after="0"/>
        <w:jc w:val="both"/>
        <w:rPr>
          <w:rFonts w:ascii="arial" w:hAnsi="arial"/>
          <w:sz w:val="20"/>
        </w:rPr>
      </w:pPr>
      <w:r>
        <w:rPr>
          <w:rFonts w:ascii="arial" w:hAnsi="arial"/>
          <w:sz w:val="20"/>
        </w:rPr>
        <w:t xml:space="preserve">Management and our Investor Relations team engaged in direct outreach and discussions with stockholders in a variety of forums. In 2024, our teams attended 17 investor conferences and hosted over 300 investor engagements. Key topics of focus included Company strategy, financial performance, business trends, ESG matters, executive compensation, and board composition. Key features of our stockholder engagement program include: (i) continuous, year-round outreach; (ii) meaningful board-driven engagement; (iii) regular board reporting; and (iv) stockholder-driven improvements.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34 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left"/>
        <w:rPr>
          <w:rFonts w:ascii="arial" w:hAnsi="arial"/>
          <w:b/>
          <w:color w:val="003A5D"/>
          <w:sz w:val="20"/>
        </w:rPr>
      </w:pPr>
      <w:r>
        <w:rPr>
          <w:rFonts w:ascii="arial" w:hAnsi="arial"/>
          <w:b/>
          <w:color w:val="003A5D"/>
          <w:sz w:val="20"/>
        </w:rPr>
        <w:t xml:space="preserve">Continuous Outreach </w:t>
      </w:r>
    </w:p>
    <w:p>
      <w:pPr>
        <w:pStyle w:val="TextBody"/>
        <w:bidi w:val="0"/>
        <w:spacing w:before="240" w:after="0"/>
        <w:jc w:val="both"/>
        <w:rPr>
          <w:rFonts w:ascii="arial" w:hAnsi="arial"/>
          <w:sz w:val="20"/>
        </w:rPr>
      </w:pPr>
      <w:r>
        <w:rPr>
          <w:rFonts w:ascii="arial" w:hAnsi="arial"/>
          <w:sz w:val="20"/>
        </w:rPr>
        <w:t xml:space="preserve">Our CEO, CFO, and Investor Relations team meet frequently with stockholders and the investment community regarding Company strategy and performance. In addition, members of management, including our Investor Relations, Governance and Securities, and Executive Compensation teams, as well as our General Counsel and Corporate Secretary and our CFO, meet with key governance contacts at our larger stockholders. </w:t>
      </w:r>
    </w:p>
    <w:p>
      <w:pPr>
        <w:pStyle w:val="TextBody"/>
        <w:bidi w:val="0"/>
        <w:spacing w:before="240" w:after="0"/>
        <w:jc w:val="left"/>
        <w:rPr>
          <w:rFonts w:ascii="arial" w:hAnsi="arial"/>
          <w:b/>
          <w:color w:val="003A5D"/>
          <w:sz w:val="20"/>
        </w:rPr>
      </w:pPr>
      <w:r>
        <w:rPr>
          <w:rFonts w:ascii="arial" w:hAnsi="arial"/>
          <w:b/>
          <w:color w:val="003A5D"/>
          <w:sz w:val="20"/>
        </w:rPr>
        <w:t xml:space="preserve">Meaningful Engagement </w:t>
      </w:r>
    </w:p>
    <w:p>
      <w:pPr>
        <w:pStyle w:val="TextBody"/>
        <w:bidi w:val="0"/>
        <w:spacing w:before="240" w:after="0"/>
        <w:jc w:val="both"/>
        <w:rPr>
          <w:rFonts w:ascii="arial" w:hAnsi="arial"/>
          <w:sz w:val="20"/>
        </w:rPr>
      </w:pPr>
      <w:r>
        <w:rPr>
          <w:rFonts w:ascii="arial" w:hAnsi="arial"/>
          <w:sz w:val="20"/>
        </w:rPr>
        <w:t xml:space="preserve">Our goal is to engage with our stockholders in a manner characterized by both transparency and respect, fostering collaborative and mutually beneficial discussions. Depending on the topics discussed with investors, our engagement with stockholders may include the Lead Independent Director, the Chair of the Compensation Committee, or the Chair of the Governance and Nominating Committee (if different from the Lead Independent Director). </w:t>
      </w:r>
    </w:p>
    <w:p>
      <w:pPr>
        <w:pStyle w:val="TextBody"/>
        <w:bidi w:val="0"/>
        <w:spacing w:before="240" w:after="0"/>
        <w:jc w:val="left"/>
        <w:rPr>
          <w:rFonts w:ascii="arial" w:hAnsi="arial"/>
          <w:b/>
          <w:color w:val="003A5D"/>
          <w:sz w:val="20"/>
        </w:rPr>
      </w:pPr>
      <w:r>
        <w:rPr>
          <w:rFonts w:ascii="arial" w:hAnsi="arial"/>
          <w:b/>
          <w:color w:val="003A5D"/>
          <w:sz w:val="20"/>
        </w:rPr>
        <w:t xml:space="preserve">Regular Board Reporting </w:t>
      </w:r>
    </w:p>
    <w:p>
      <w:pPr>
        <w:pStyle w:val="TextBody"/>
        <w:bidi w:val="0"/>
        <w:spacing w:before="240" w:after="0"/>
        <w:jc w:val="both"/>
        <w:rPr>
          <w:rFonts w:ascii="arial" w:hAnsi="arial"/>
          <w:sz w:val="20"/>
        </w:rPr>
      </w:pPr>
      <w:r>
        <w:rPr>
          <w:rFonts w:ascii="arial" w:hAnsi="arial"/>
          <w:sz w:val="20"/>
        </w:rPr>
        <w:t xml:space="preserve">The Governance and Nominating Committee, the Compensation Committee, and the Board request and receive reports several times a year from our Investor Relations team and members of management and actively discuss stockholders’ feedback and insights. Our Board and management review and evaluate stockholder input to identify issues and concerns that may require Board action or enhancements to our policies, practices, or disclosure. </w:t>
      </w:r>
    </w:p>
    <w:p>
      <w:pPr>
        <w:pStyle w:val="TextBody"/>
        <w:bidi w:val="0"/>
        <w:spacing w:before="240" w:after="0"/>
        <w:jc w:val="left"/>
        <w:rPr>
          <w:rFonts w:ascii="arial" w:hAnsi="arial"/>
          <w:b/>
          <w:color w:val="003A5D"/>
          <w:sz w:val="20"/>
        </w:rPr>
      </w:pPr>
      <w:r>
        <w:rPr>
          <w:rFonts w:ascii="arial" w:hAnsi="arial"/>
          <w:b/>
          <w:color w:val="003A5D"/>
          <w:sz w:val="20"/>
        </w:rPr>
        <w:t xml:space="preserve">Board’s Response to Stockholder Feedback </w:t>
      </w:r>
    </w:p>
    <w:p>
      <w:pPr>
        <w:pStyle w:val="TextBody"/>
        <w:bidi w:val="0"/>
        <w:spacing w:before="240" w:after="0"/>
        <w:jc w:val="both"/>
        <w:rPr>
          <w:rFonts w:ascii="arial" w:hAnsi="arial"/>
          <w:sz w:val="20"/>
        </w:rPr>
      </w:pPr>
      <w:r>
        <w:rPr>
          <w:rFonts w:ascii="arial" w:hAnsi="arial"/>
          <w:sz w:val="20"/>
        </w:rPr>
        <w:t xml:space="preserve">In recent years, in response to stockholder feedback, we have made the following improvements to our corporate governance practices and disclosures: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Amended our Restated Certificate of Incorporation to remove the remaining supermajority voting requirements and replace them with majority voting standards.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Enhanced disclosure to include a detailed director skills matrix, showing each individual nominee’s self-identified skills and attributes that are most relevant to fulfill the Board’s oversight responsibilities in light of the Company’s business, strategy, and risk management. See “Skills and Experience of Our Director Nominees” beginning on page 19 for additional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Amended our Restated Certificate of Incorporation to permit stockholders to act by written consent, subject to certain procedural and other safeguards that the Board believes are in the best interests of Capital One and our stockholders. </w:t>
            </w:r>
          </w:p>
        </w:tc>
      </w:tr>
    </w:tbl>
    <w:p>
      <w:pPr>
        <w:pStyle w:val="TextBody"/>
        <w:bidi w:val="0"/>
        <w:spacing w:before="240" w:after="0"/>
        <w:jc w:val="both"/>
        <w:rPr>
          <w:rFonts w:ascii="arial" w:hAnsi="arial"/>
          <w:sz w:val="20"/>
        </w:rPr>
      </w:pPr>
      <w:r>
        <w:rPr>
          <w:rFonts w:ascii="arial" w:hAnsi="arial"/>
          <w:sz w:val="20"/>
        </w:rPr>
        <w:t xml:space="preserve">Information regarding improvements to our executive compensation practices and disclosures taken in recent years in response to stockholder feedback can be found under “Consideration of Stockholder Feedback and 2024 Say on Pay Vote” on page 62.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35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4"/>
        </w:rPr>
      </w:pPr>
      <w:r>
        <w:rPr>
          <w:rFonts w:ascii="arial" w:hAnsi="arial"/>
          <w:b/>
          <w:i/>
          <w:color w:val="003A5D"/>
          <w:sz w:val="24"/>
        </w:rPr>
        <w:t xml:space="preserve">Stockholder Engagement Cycle </w:t>
      </w:r>
    </w:p>
    <w:p>
      <w:pPr>
        <w:pStyle w:val="TextBody"/>
        <w:bidi w:val="0"/>
        <w:spacing w:before="240" w:after="0"/>
        <w:jc w:val="both"/>
        <w:rPr>
          <w:rFonts w:ascii="arial" w:hAnsi="arial"/>
          <w:sz w:val="20"/>
        </w:rPr>
      </w:pPr>
      <w:r>
        <w:rPr>
          <w:rFonts w:ascii="arial" w:hAnsi="arial"/>
          <w:sz w:val="20"/>
        </w:rPr>
        <w:t xml:space="preserve">While our Investor Relations team and management meet continuously throughout the year, the following chart describes the typical annual cycle of our formal stockholder engagement.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5849620" cy="3638550"/>
            <wp:effectExtent l="0" t="0" r="0" b="0"/>
            <wp:docPr id="3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6" descr=""/>
                    <pic:cNvPicPr>
                      <a:picLocks noChangeAspect="1" noChangeArrowheads="1"/>
                    </pic:cNvPicPr>
                  </pic:nvPicPr>
                  <pic:blipFill>
                    <a:blip r:embed="rId27"/>
                    <a:stretch>
                      <a:fillRect/>
                    </a:stretch>
                  </pic:blipFill>
                  <pic:spPr bwMode="auto">
                    <a:xfrm>
                      <a:off x="0" y="0"/>
                      <a:ext cx="5849620" cy="3638550"/>
                    </a:xfrm>
                    <a:prstGeom prst="rect">
                      <a:avLst/>
                    </a:prstGeom>
                  </pic:spPr>
                </pic:pic>
              </a:graphicData>
            </a:graphic>
          </wp:inline>
        </w:drawing>
      </w:r>
      <w:r>
        <w:rPr/>
        <w:t xml:space="preserve"> </w:t>
      </w:r>
    </w:p>
    <w:p>
      <w:pPr>
        <w:pStyle w:val="TextBody"/>
        <w:bidi w:val="0"/>
        <w:jc w:val="right"/>
        <w:rPr>
          <w:rFonts w:ascii="arial" w:hAnsi="arial"/>
          <w:color w:val="FFFFFF"/>
          <w:sz w:val="2"/>
        </w:rPr>
      </w:pPr>
      <w:r>
        <w:rPr>
          <w:rFonts w:ascii="arial" w:hAnsi="arial"/>
          <w:color w:val="FFFFFF"/>
          <w:sz w:val="2"/>
        </w:rPr>
        <w:t xml:space="preserve">Post-Proxy Statement Filing Comprehensive engagement with stockholders to provide updates, gather feedback on governance and executive compensation matters, and discuss items on the annual stockholder meeting agenda. Targeted stockholder engagement with stockholders requesting follow-up on key issues. Pre-Proxy Statement Filing Compensation-related feedback is shared with Compensation Committee. Governance-related feedback is shared with Governance and Nominating Committee. Insights from investors are shared with the full Board. Appropriate committees and Board consider changes to respond to stockholder feedback. Post-Annual Stockholder Meeting Report to Board and appropriate committees regarding stockholder feedback. Discuss Say on Pay and other voting results from the annual stockholder meeting with the Board. Comprehensive Fall Engagement Comprehensive engagement with stockholders to gather feedback following the annual stockholder meeting and discuss governance and executive compensation matters.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36 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4"/>
        </w:rPr>
      </w:pPr>
      <w:r>
        <w:rPr>
          <w:rFonts w:ascii="arial" w:hAnsi="arial"/>
          <w:b/>
          <w:i/>
          <w:color w:val="003A5D"/>
          <w:sz w:val="24"/>
        </w:rPr>
        <w:t xml:space="preserve">We Engage Across Many Channels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229"/>
        <w:gridCol w:w="120"/>
        <w:gridCol w:w="4856"/>
      </w:tblGrid>
      <w:tr>
        <w:trPr/>
        <w:tc>
          <w:tcPr>
            <w:tcW w:w="52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56" w:type="dxa"/>
            <w:tcBorders/>
            <w:vAlign w:val="center"/>
          </w:tcPr>
          <w:p>
            <w:pPr>
              <w:pStyle w:val="TableContents"/>
              <w:bidi w:val="0"/>
              <w:spacing w:before="0" w:after="283"/>
              <w:jc w:val="left"/>
              <w:rPr>
                <w:sz w:val="4"/>
                <w:szCs w:val="4"/>
              </w:rPr>
            </w:pPr>
            <w:r>
              <w:rPr>
                <w:sz w:val="4"/>
                <w:szCs w:val="4"/>
              </w:rPr>
            </w:r>
          </w:p>
        </w:tc>
      </w:tr>
      <w:tr>
        <w:trPr/>
        <w:tc>
          <w:tcPr>
            <w:tcW w:w="5229" w:type="dxa"/>
            <w:tcBorders/>
            <w:shd w:fill="003A5D" w:val="clear"/>
            <w:vAlign w:val="center"/>
          </w:tcPr>
          <w:p>
            <w:pPr>
              <w:pStyle w:val="TableContents"/>
              <w:bidi w:val="0"/>
              <w:spacing w:before="0" w:after="283"/>
              <w:jc w:val="left"/>
              <w:rPr>
                <w:sz w:val="4"/>
                <w:szCs w:val="4"/>
              </w:rPr>
            </w:pPr>
            <w:r>
              <w:rPr>
                <w:sz w:val="4"/>
                <w:szCs w:val="4"/>
              </w:rPr>
            </w:r>
          </w:p>
        </w:tc>
        <w:tc>
          <w:tcPr>
            <w:tcW w:w="4976"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5229" w:type="dxa"/>
            <w:tcBorders/>
            <w:shd w:fill="003A5D" w:val="clear"/>
            <w:vAlign w:val="center"/>
          </w:tcPr>
          <w:p>
            <w:pPr>
              <w:pStyle w:val="TableContents"/>
              <w:bidi w:val="0"/>
              <w:spacing w:before="0" w:after="0"/>
              <w:jc w:val="center"/>
              <w:rPr>
                <w:rFonts w:ascii="arial" w:hAnsi="arial"/>
                <w:b/>
                <w:color w:val="FFFFFF"/>
                <w:sz w:val="24"/>
              </w:rPr>
            </w:pPr>
            <w:r>
              <w:rPr>
                <w:rFonts w:ascii="arial" w:hAnsi="arial"/>
                <w:b/>
                <w:color w:val="FFFFFF"/>
                <w:sz w:val="24"/>
              </w:rPr>
              <w:t>Company-Led Engagement</w:t>
            </w:r>
          </w:p>
          <w:p>
            <w:pPr>
              <w:pStyle w:val="TableContents"/>
              <w:bidi w:val="0"/>
              <w:spacing w:before="0" w:after="20"/>
              <w:jc w:val="left"/>
              <w:rPr/>
            </w:pPr>
            <w:r>
              <w:rPr/>
              <w:t> </w:t>
            </w:r>
          </w:p>
        </w:tc>
        <w:tc>
          <w:tcPr>
            <w:tcW w:w="12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4856" w:type="dxa"/>
            <w:tcBorders/>
            <w:shd w:fill="003A5D" w:val="clear"/>
            <w:vAlign w:val="center"/>
          </w:tcPr>
          <w:p>
            <w:pPr>
              <w:pStyle w:val="TableContents"/>
              <w:bidi w:val="0"/>
              <w:spacing w:before="0" w:after="0"/>
              <w:jc w:val="center"/>
              <w:rPr>
                <w:rFonts w:ascii="arial" w:hAnsi="arial"/>
                <w:b/>
                <w:color w:val="FFFFFF"/>
                <w:sz w:val="24"/>
              </w:rPr>
            </w:pPr>
            <w:r>
              <w:rPr>
                <w:rFonts w:ascii="arial" w:hAnsi="arial"/>
                <w:b/>
                <w:color w:val="FFFFFF"/>
                <w:sz w:val="24"/>
              </w:rPr>
              <w:t>Stockholder-Led Engagement</w:t>
            </w:r>
          </w:p>
          <w:p>
            <w:pPr>
              <w:pStyle w:val="TableContents"/>
              <w:bidi w:val="0"/>
              <w:spacing w:before="0" w:after="20"/>
              <w:jc w:val="left"/>
              <w:rPr/>
            </w:pPr>
            <w:r>
              <w:rPr/>
              <w:t> </w:t>
            </w:r>
          </w:p>
        </w:tc>
      </w:tr>
      <w:tr>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5229" w:type="dxa"/>
            <w:tcBorders/>
            <w:vAlign w:val="center"/>
          </w:tcPr>
          <w:p>
            <w:pPr>
              <w:pStyle w:val="TableContents"/>
              <w:bidi w:val="0"/>
              <w:spacing w:before="0" w:after="0"/>
              <w:jc w:val="both"/>
              <w:rPr/>
            </w:pPr>
            <w:r>
              <w:rPr>
                <w:color w:val="003A5D"/>
              </w:rPr>
              <w:t>∎</w:t>
            </w:r>
            <w:r>
              <w:rPr/>
              <w:t>   </w:t>
            </w:r>
            <w:r>
              <w:rPr>
                <w:rFonts w:ascii="arial" w:hAnsi="arial"/>
                <w:b/>
                <w:color w:val="003A5D"/>
                <w:sz w:val="20"/>
              </w:rPr>
              <w:t xml:space="preserve">Dedicated Investor Relations Department. </w:t>
            </w:r>
            <w:r>
              <w:rPr>
                <w:rFonts w:ascii="arial" w:hAnsi="arial"/>
                <w:sz w:val="20"/>
              </w:rPr>
              <w:t>Our Investor Relations professionals are dedicated full-time to responding to questions from stockholders about the Company, its strategy, performance, governance, and other issues of investor interest.</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b/>
                <w:color w:val="003A5D"/>
                <w:sz w:val="20"/>
              </w:rPr>
              <w:t xml:space="preserve">Formal Outreach Program. </w:t>
            </w:r>
            <w:r>
              <w:rPr>
                <w:rFonts w:ascii="arial" w:hAnsi="arial"/>
                <w:sz w:val="20"/>
              </w:rPr>
              <w:t>In addition to continuous outreach on a broad set of topics, our formal outreach program includes proactive outreach to our largest stockholders at least twice a year focused on governance, ESG, compensation, and related matters. Through our formal outreach program, our Board and management gain stockholder insights and an opportunity to assess and respond to stockholder sentiment.</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b/>
                <w:color w:val="003A5D"/>
                <w:sz w:val="20"/>
              </w:rPr>
              <w:t xml:space="preserve">Quarterly Earnings Conference Calls. </w:t>
            </w:r>
            <w:r>
              <w:rPr>
                <w:rFonts w:ascii="arial" w:hAnsi="arial"/>
                <w:sz w:val="20"/>
              </w:rPr>
              <w:t>In addition to prepared remarks, our management team participates in a question-and-answer session aimed at allowing stockholders to gain further insight into the Company’s financial condition and results of operations.</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b/>
                <w:color w:val="003A5D"/>
                <w:sz w:val="20"/>
              </w:rPr>
              <w:t xml:space="preserve">Regular Investor Conferences and Road Shows. </w:t>
            </w:r>
            <w:r>
              <w:rPr>
                <w:rFonts w:ascii="arial" w:hAnsi="arial"/>
                <w:sz w:val="20"/>
              </w:rPr>
              <w:t>Management and our Investor Relations team routinely engage with investors at conferences and other forums.</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4856" w:type="dxa"/>
            <w:tcBorders/>
            <w:vAlign w:val="center"/>
          </w:tcPr>
          <w:p>
            <w:pPr>
              <w:pStyle w:val="TableContents"/>
              <w:bidi w:val="0"/>
              <w:spacing w:before="0" w:after="0"/>
              <w:jc w:val="both"/>
              <w:rPr/>
            </w:pPr>
            <w:r>
              <w:rPr>
                <w:color w:val="003A5D"/>
              </w:rPr>
              <w:t>∎</w:t>
            </w:r>
            <w:r>
              <w:rPr/>
              <w:t>   </w:t>
            </w:r>
            <w:r>
              <w:rPr>
                <w:rFonts w:ascii="arial" w:hAnsi="arial"/>
                <w:b/>
                <w:color w:val="003A5D"/>
                <w:sz w:val="20"/>
              </w:rPr>
              <w:t xml:space="preserve">Meetings with Directors. </w:t>
            </w:r>
            <w:r>
              <w:rPr>
                <w:rFonts w:ascii="arial" w:hAnsi="arial"/>
                <w:sz w:val="20"/>
              </w:rPr>
              <w:t>If requested, our directors are available for consultation and direct communication with our stockholders.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b/>
                <w:color w:val="003A5D"/>
                <w:sz w:val="20"/>
              </w:rPr>
              <w:t>Voting.</w:t>
            </w:r>
            <w:r>
              <w:rPr>
                <w:rFonts w:ascii="arial" w:hAnsi="arial"/>
                <w:sz w:val="20"/>
              </w:rPr>
              <w:t xml:space="preserve"> Our stockholders have the opportunity to vote for the election of all of our directors on an annual basis using a majority voting standard, and, through our annual vote on executive compensation, to regularly express their opinion on our compensation programs.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b/>
                <w:color w:val="003A5D"/>
                <w:sz w:val="20"/>
              </w:rPr>
              <w:t>Annual Stockholder Meeting.</w:t>
            </w:r>
            <w:r>
              <w:rPr>
                <w:rFonts w:ascii="arial" w:hAnsi="arial"/>
                <w:sz w:val="20"/>
              </w:rPr>
              <w:t xml:space="preserve"> Our directors are expected to, and do, attend the annual stockholder meeting, where all of our stockholders are invited to attend, ask questions, and express their views.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b/>
                <w:color w:val="003A5D"/>
                <w:sz w:val="20"/>
              </w:rPr>
              <w:t>Written Correspondence.</w:t>
            </w:r>
            <w:r>
              <w:rPr>
                <w:rFonts w:ascii="arial" w:hAnsi="arial"/>
                <w:sz w:val="20"/>
              </w:rPr>
              <w:t xml:space="preserve"> Stockholders may write to the Board through the Corporate Secretary at the address provided below in “How to Contact Us” on page 49.</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b/>
                <w:color w:val="003A5D"/>
                <w:sz w:val="20"/>
              </w:rPr>
              <w:t xml:space="preserve">Special Meetings. </w:t>
            </w:r>
            <w:r>
              <w:rPr>
                <w:rFonts w:ascii="arial" w:hAnsi="arial"/>
                <w:sz w:val="20"/>
              </w:rPr>
              <w:t>A stockholder or group of stockholders that hold at least 25% of our outstanding common stock may request a special stockholder meeting.</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b/>
                <w:color w:val="003A5D"/>
                <w:sz w:val="20"/>
              </w:rPr>
              <w:t>Proxy Access.</w:t>
            </w:r>
            <w:r>
              <w:rPr>
                <w:rFonts w:ascii="arial" w:hAnsi="arial"/>
                <w:sz w:val="20"/>
              </w:rPr>
              <w:t xml:space="preserve"> A stockholder or group of up to 20 stockholders or beneficial owners who have owned at least 3% or more in the aggregate of the Company’s outstanding common shares of voting stock continuously for at least three years may nominate and include in the Company’s proxy statement the greater of two director candidates or 20% of the total Board.</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b/>
                <w:color w:val="003A5D"/>
                <w:sz w:val="20"/>
              </w:rPr>
              <w:t xml:space="preserve">Written Consent. </w:t>
            </w:r>
            <w:r>
              <w:rPr>
                <w:rFonts w:ascii="arial" w:hAnsi="arial"/>
                <w:sz w:val="20"/>
              </w:rPr>
              <w:t>The Company’s Restated Certificate of Incorporation permits stockholders to act by written consent, subject to certain procedural and other safeguards.</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37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24" w:name="txa845790_10"/>
      <w:bookmarkEnd w:id="24"/>
      <w:r>
        <w:rPr>
          <w:rFonts w:ascii="arial" w:hAnsi="arial"/>
          <w:b/>
          <w:color w:val="003A5D"/>
          <w:sz w:val="32"/>
        </w:rPr>
        <w:t xml:space="preserve">Board Committees </w:t>
      </w:r>
    </w:p>
    <w:p>
      <w:pPr>
        <w:pStyle w:val="TextBody"/>
        <w:bidi w:val="0"/>
        <w:spacing w:before="240" w:after="0"/>
        <w:jc w:val="both"/>
        <w:rPr>
          <w:rFonts w:ascii="arial" w:hAnsi="arial"/>
          <w:sz w:val="20"/>
        </w:rPr>
      </w:pPr>
      <w:r>
        <w:rPr>
          <w:rFonts w:ascii="arial" w:hAnsi="arial"/>
          <w:sz w:val="20"/>
        </w:rPr>
        <w:t xml:space="preserve">Our Board has four standing committees: Audit, Compensation, Governance and Nominating, and Risk. Each of our committees: </w:t>
      </w:r>
    </w:p>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215"/>
        <w:gridCol w:w="60"/>
        <w:gridCol w:w="581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both"/>
              <w:rPr>
                <w:rFonts w:ascii="arial" w:hAnsi="arial"/>
                <w:sz w:val="20"/>
              </w:rPr>
            </w:pPr>
            <w:r>
              <w:rPr>
                <w:rFonts w:ascii="arial" w:hAnsi="arial"/>
                <w:sz w:val="20"/>
              </w:rPr>
              <w:t xml:space="preserve">Is led by an active, empowered, and independent committee chair </w:t>
            </w:r>
          </w:p>
        </w:tc>
      </w:tr>
    </w:tbl>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75"/>
        <w:gridCol w:w="215"/>
        <w:gridCol w:w="60"/>
        <w:gridCol w:w="368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both"/>
              <w:rPr>
                <w:rFonts w:ascii="arial" w:hAnsi="arial"/>
                <w:sz w:val="20"/>
              </w:rPr>
            </w:pPr>
            <w:r>
              <w:rPr>
                <w:rFonts w:ascii="arial" w:hAnsi="arial"/>
                <w:sz w:val="20"/>
              </w:rPr>
              <w:t xml:space="preserve">Is composed of all independent members </w:t>
            </w:r>
          </w:p>
        </w:tc>
      </w:tr>
    </w:tbl>
    <w:p>
      <w:pPr>
        <w:pStyle w:val="TextBody"/>
        <w:bidi w:val="0"/>
        <w:spacing w:before="0" w:after="0"/>
        <w:jc w:val="left"/>
        <w:rPr/>
      </w:pPr>
      <w:r>
        <w:rPr/>
        <w:t> </w:t>
      </w:r>
    </w:p>
    <w:tbl>
      <w:tblPr>
        <w:tblW w:w="6805" w:type="dxa"/>
        <w:jc w:val="left"/>
        <w:tblInd w:w="0" w:type="dxa"/>
        <w:tblLayout w:type="fixed"/>
        <w:tblCellMar>
          <w:top w:w="0" w:type="dxa"/>
          <w:left w:w="0" w:type="dxa"/>
          <w:bottom w:w="0" w:type="dxa"/>
          <w:right w:w="0" w:type="dxa"/>
        </w:tblCellMar>
      </w:tblPr>
      <w:tblGrid>
        <w:gridCol w:w="75"/>
        <w:gridCol w:w="215"/>
        <w:gridCol w:w="60"/>
        <w:gridCol w:w="64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0"/>
              <w:jc w:val="both"/>
              <w:rPr>
                <w:rFonts w:ascii="arial" w:hAnsi="arial"/>
                <w:sz w:val="20"/>
              </w:rPr>
            </w:pPr>
            <w:r>
              <w:rPr>
                <w:rFonts w:ascii="arial" w:hAnsi="arial"/>
                <w:sz w:val="20"/>
              </w:rPr>
              <w:t xml:space="preserve">Operates in accordance with a written charter, which is reviewed annually </w:t>
            </w:r>
          </w:p>
        </w:tc>
      </w:tr>
    </w:tbl>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75"/>
        <w:gridCol w:w="215"/>
        <w:gridCol w:w="60"/>
        <w:gridCol w:w="31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0"/>
              <w:jc w:val="both"/>
              <w:rPr>
                <w:rFonts w:ascii="arial" w:hAnsi="arial"/>
                <w:sz w:val="20"/>
              </w:rPr>
            </w:pPr>
            <w:r>
              <w:rPr>
                <w:rFonts w:ascii="arial" w:hAnsi="arial"/>
                <w:sz w:val="20"/>
              </w:rPr>
              <w:t xml:space="preserve">Assesses its performance annually </w:t>
            </w:r>
          </w:p>
        </w:tc>
      </w:tr>
    </w:tbl>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75"/>
        <w:gridCol w:w="215"/>
        <w:gridCol w:w="60"/>
        <w:gridCol w:w="452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both"/>
              <w:rPr>
                <w:rFonts w:ascii="arial" w:hAnsi="arial"/>
                <w:sz w:val="20"/>
              </w:rPr>
            </w:pPr>
            <w:r>
              <w:rPr>
                <w:rFonts w:ascii="arial" w:hAnsi="arial"/>
                <w:sz w:val="20"/>
              </w:rPr>
              <w:t xml:space="preserve">Has authority to retain outside advisors, as desired </w:t>
            </w:r>
          </w:p>
        </w:tc>
      </w:tr>
    </w:tbl>
    <w:p>
      <w:pPr>
        <w:pStyle w:val="TextBody"/>
        <w:bidi w:val="0"/>
        <w:spacing w:before="240" w:after="0"/>
        <w:jc w:val="left"/>
        <w:rPr>
          <w:rFonts w:ascii="arial" w:hAnsi="arial"/>
          <w:b/>
          <w:i/>
          <w:color w:val="003A5D"/>
          <w:sz w:val="24"/>
        </w:rPr>
      </w:pPr>
      <w:r>
        <w:rPr>
          <w:rFonts w:ascii="arial" w:hAnsi="arial"/>
          <w:b/>
          <w:i/>
          <w:color w:val="003A5D"/>
          <w:sz w:val="24"/>
        </w:rPr>
        <w:t xml:space="preserve">Information About Our Current Board Committee Membership and 2024 Committee Meetings </w:t>
      </w:r>
    </w:p>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2105"/>
        <w:gridCol w:w="120"/>
        <w:gridCol w:w="60"/>
        <w:gridCol w:w="815"/>
        <w:gridCol w:w="60"/>
        <w:gridCol w:w="120"/>
        <w:gridCol w:w="1610"/>
        <w:gridCol w:w="120"/>
        <w:gridCol w:w="1460"/>
        <w:gridCol w:w="120"/>
        <w:gridCol w:w="500"/>
      </w:tblGrid>
      <w:tr>
        <w:trPr/>
        <w:tc>
          <w:tcPr>
            <w:tcW w:w="2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2105" w:type="dxa"/>
            <w:tcBorders/>
            <w:shd w:fill="003A5D" w:val="clear"/>
            <w:vAlign w:val="center"/>
          </w:tcPr>
          <w:p>
            <w:pPr>
              <w:pStyle w:val="TableContents"/>
              <w:bidi w:val="0"/>
              <w:spacing w:before="0" w:after="283"/>
              <w:jc w:val="left"/>
              <w:rPr>
                <w:sz w:val="4"/>
                <w:szCs w:val="4"/>
              </w:rPr>
            </w:pPr>
            <w:r>
              <w:rPr>
                <w:sz w:val="4"/>
                <w:szCs w:val="4"/>
              </w:rPr>
            </w:r>
          </w:p>
        </w:tc>
        <w:tc>
          <w:tcPr>
            <w:tcW w:w="1055" w:type="dxa"/>
            <w:gridSpan w:val="4"/>
            <w:tcBorders>
              <w:left w:val="single" w:sz="32" w:space="0" w:color="FFFFFF"/>
              <w:right w:val="single" w:sz="32" w:space="0" w:color="FFFFFF"/>
            </w:tcBorders>
            <w:shd w:fill="003A5D" w:val="clear"/>
            <w:tcMar>
              <w:left w:w="28" w:type="dxa"/>
              <w:right w:w="28" w:type="dxa"/>
            </w:tcMar>
            <w:vAlign w:val="center"/>
          </w:tcPr>
          <w:p>
            <w:pPr>
              <w:pStyle w:val="TableContents"/>
              <w:bidi w:val="0"/>
              <w:spacing w:before="0" w:after="283"/>
              <w:jc w:val="left"/>
              <w:rPr/>
            </w:pPr>
            <w:r>
              <w:rPr/>
              <w:t> </w:t>
            </w:r>
          </w:p>
        </w:tc>
        <w:tc>
          <w:tcPr>
            <w:tcW w:w="1730" w:type="dxa"/>
            <w:gridSpan w:val="2"/>
            <w:tcBorders/>
            <w:shd w:fill="003A5D" w:val="clear"/>
            <w:vAlign w:val="center"/>
          </w:tcPr>
          <w:p>
            <w:pPr>
              <w:pStyle w:val="TableContents"/>
              <w:bidi w:val="0"/>
              <w:spacing w:before="0" w:after="283"/>
              <w:jc w:val="left"/>
              <w:rPr>
                <w:sz w:val="4"/>
                <w:szCs w:val="4"/>
              </w:rPr>
            </w:pPr>
            <w:r>
              <w:rPr>
                <w:sz w:val="4"/>
                <w:szCs w:val="4"/>
              </w:rPr>
            </w:r>
          </w:p>
        </w:tc>
        <w:tc>
          <w:tcPr>
            <w:tcW w:w="1580" w:type="dxa"/>
            <w:gridSpan w:val="2"/>
            <w:tcBorders>
              <w:left w:val="single" w:sz="32" w:space="0" w:color="FFFFFF"/>
              <w:right w:val="single" w:sz="32" w:space="0" w:color="FFFFFF"/>
            </w:tcBorders>
            <w:shd w:fill="003A5D" w:val="clear"/>
            <w:tcMar>
              <w:left w:w="28" w:type="dxa"/>
              <w:right w:w="28" w:type="dxa"/>
            </w:tcMar>
            <w:vAlign w:val="center"/>
          </w:tcPr>
          <w:p>
            <w:pPr>
              <w:pStyle w:val="TableContents"/>
              <w:bidi w:val="0"/>
              <w:spacing w:before="0" w:after="283"/>
              <w:jc w:val="left"/>
              <w:rPr/>
            </w:pPr>
            <w:r>
              <w:rPr/>
              <w:t> </w:t>
            </w:r>
          </w:p>
        </w:tc>
        <w:tc>
          <w:tcPr>
            <w:tcW w:w="620" w:type="dxa"/>
            <w:gridSpan w:val="2"/>
            <w:tcBorders>
              <w:right w:val="single" w:sz="32" w:space="0" w:color="FFFFFF"/>
            </w:tcBorders>
            <w:shd w:fill="003A5D" w:val="clear"/>
            <w:tcMar>
              <w:right w:w="28" w:type="dxa"/>
            </w:tcMar>
            <w:vAlign w:val="center"/>
          </w:tcPr>
          <w:p>
            <w:pPr>
              <w:pStyle w:val="TableContents"/>
              <w:bidi w:val="0"/>
              <w:spacing w:before="0" w:after="283"/>
              <w:jc w:val="left"/>
              <w:rPr/>
            </w:pPr>
            <w:r>
              <w:rPr/>
              <w:t> </w:t>
            </w:r>
          </w:p>
        </w:tc>
      </w:tr>
      <w:tr>
        <w:trPr/>
        <w:tc>
          <w:tcPr>
            <w:tcW w:w="2105" w:type="dxa"/>
            <w:tcBorders/>
            <w:shd w:fill="003A5D" w:val="clear"/>
            <w:vAlign w:val="center"/>
          </w:tcPr>
          <w:p>
            <w:pPr>
              <w:pStyle w:val="TableContents"/>
              <w:bidi w:val="0"/>
              <w:spacing w:before="0" w:after="0"/>
              <w:jc w:val="left"/>
              <w:rPr>
                <w:rFonts w:ascii="arial" w:hAnsi="arial"/>
                <w:b/>
                <w:color w:val="FFFFFF"/>
                <w:sz w:val="18"/>
              </w:rPr>
            </w:pPr>
            <w:r>
              <w:rPr>
                <w:rFonts w:ascii="arial" w:hAnsi="arial"/>
                <w:b/>
                <w:color w:val="FFFFFF"/>
                <w:sz w:val="18"/>
              </w:rPr>
              <w:t>Director</w:t>
            </w:r>
          </w:p>
        </w:tc>
        <w:tc>
          <w:tcPr>
            <w:tcW w:w="120" w:type="dxa"/>
            <w:tcBorders>
              <w:left w:val="single" w:sz="32" w:space="0" w:color="FFFFFF"/>
            </w:tcBorders>
            <w:shd w:fill="003A5D" w:val="clear"/>
            <w:tcMar>
              <w:left w:w="28" w:type="dxa"/>
            </w:tcMar>
            <w:vAlign w:val="center"/>
          </w:tcPr>
          <w:p>
            <w:pPr>
              <w:pStyle w:val="TableContents"/>
              <w:bidi w:val="0"/>
              <w:spacing w:before="0" w:after="283"/>
              <w:jc w:val="left"/>
              <w:rPr/>
            </w:pPr>
            <w:r>
              <w:rPr/>
              <w:t>  </w:t>
            </w:r>
          </w:p>
        </w:tc>
        <w:tc>
          <w:tcPr>
            <w:tcW w:w="875" w:type="dxa"/>
            <w:gridSpan w:val="2"/>
            <w:tcBorders/>
            <w:shd w:fill="003A5D" w:val="clear"/>
            <w:vAlign w:val="center"/>
          </w:tcPr>
          <w:p>
            <w:pPr>
              <w:pStyle w:val="TableContents"/>
              <w:bidi w:val="0"/>
              <w:spacing w:before="0" w:after="283"/>
              <w:jc w:val="center"/>
              <w:rPr>
                <w:b/>
                <w:color w:val="FFFFFF"/>
              </w:rPr>
            </w:pPr>
            <w:r>
              <w:rPr>
                <w:b/>
                <w:color w:val="FFFFFF"/>
              </w:rPr>
              <w:t>Audit(1)</w:t>
            </w:r>
          </w:p>
        </w:tc>
        <w:tc>
          <w:tcPr>
            <w:tcW w:w="60" w:type="dxa"/>
            <w:tcBorders>
              <w:right w:val="single" w:sz="32" w:space="0" w:color="FFFFFF"/>
            </w:tcBorders>
            <w:shd w:fill="003A5D" w:val="clear"/>
            <w:tcMar>
              <w:right w:w="28" w:type="dxa"/>
            </w:tcMar>
            <w:vAlign w:val="center"/>
          </w:tcPr>
          <w:p>
            <w:pPr>
              <w:pStyle w:val="TableContents"/>
              <w:bidi w:val="0"/>
              <w:spacing w:before="0" w:after="283"/>
              <w:jc w:val="left"/>
              <w:rPr/>
            </w:pPr>
            <w:r>
              <w:rPr/>
              <w:t> </w:t>
            </w:r>
          </w:p>
        </w:tc>
        <w:tc>
          <w:tcPr>
            <w:tcW w:w="120" w:type="dxa"/>
            <w:tcBorders/>
            <w:shd w:fill="003A5D" w:val="clear"/>
            <w:vAlign w:val="center"/>
          </w:tcPr>
          <w:p>
            <w:pPr>
              <w:pStyle w:val="TableContents"/>
              <w:bidi w:val="0"/>
              <w:spacing w:before="0" w:after="283"/>
              <w:jc w:val="left"/>
              <w:rPr/>
            </w:pPr>
            <w:r>
              <w:rPr/>
              <w:t>  </w:t>
            </w:r>
          </w:p>
        </w:tc>
        <w:tc>
          <w:tcPr>
            <w:tcW w:w="1610" w:type="dxa"/>
            <w:tcBorders/>
            <w:shd w:fill="003A5D" w:val="clear"/>
            <w:vAlign w:val="center"/>
          </w:tcPr>
          <w:p>
            <w:pPr>
              <w:pStyle w:val="TableContents"/>
              <w:bidi w:val="0"/>
              <w:spacing w:before="0" w:after="283"/>
              <w:jc w:val="center"/>
              <w:rPr>
                <w:b/>
                <w:color w:val="FFFFFF"/>
              </w:rPr>
            </w:pPr>
            <w:r>
              <w:rPr>
                <w:b/>
                <w:color w:val="FFFFFF"/>
              </w:rPr>
              <w:t>Compensation </w:t>
            </w:r>
          </w:p>
        </w:tc>
        <w:tc>
          <w:tcPr>
            <w:tcW w:w="120" w:type="dxa"/>
            <w:tcBorders>
              <w:left w:val="single" w:sz="32" w:space="0" w:color="FFFFFF"/>
            </w:tcBorders>
            <w:shd w:fill="003A5D" w:val="clear"/>
            <w:tcMar>
              <w:left w:w="28" w:type="dxa"/>
            </w:tcMar>
            <w:vAlign w:val="center"/>
          </w:tcPr>
          <w:p>
            <w:pPr>
              <w:pStyle w:val="TableContents"/>
              <w:bidi w:val="0"/>
              <w:spacing w:before="0" w:after="283"/>
              <w:jc w:val="left"/>
              <w:rPr/>
            </w:pPr>
            <w:r>
              <w:rPr/>
              <w:t>  </w:t>
            </w:r>
          </w:p>
        </w:tc>
        <w:tc>
          <w:tcPr>
            <w:tcW w:w="1460" w:type="dxa"/>
            <w:tcBorders>
              <w:right w:val="single" w:sz="32" w:space="0" w:color="FFFFFF"/>
            </w:tcBorders>
            <w:shd w:fill="003A5D" w:val="clear"/>
            <w:tcMar>
              <w:right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Governance </w:t>
            </w:r>
          </w:p>
          <w:p>
            <w:pPr>
              <w:pStyle w:val="TableContents"/>
              <w:bidi w:val="0"/>
              <w:spacing w:before="0" w:after="20"/>
              <w:jc w:val="center"/>
              <w:rPr>
                <w:rFonts w:ascii="arial" w:hAnsi="arial"/>
                <w:b/>
                <w:color w:val="FFFFFF"/>
                <w:sz w:val="18"/>
              </w:rPr>
            </w:pPr>
            <w:r>
              <w:rPr>
                <w:rFonts w:ascii="arial" w:hAnsi="arial"/>
                <w:b/>
                <w:color w:val="FFFFFF"/>
                <w:sz w:val="18"/>
              </w:rPr>
              <w:t>and Nominating </w:t>
            </w:r>
          </w:p>
        </w:tc>
        <w:tc>
          <w:tcPr>
            <w:tcW w:w="120" w:type="dxa"/>
            <w:tcBorders/>
            <w:shd w:fill="003A5D" w:val="clear"/>
            <w:vAlign w:val="center"/>
          </w:tcPr>
          <w:p>
            <w:pPr>
              <w:pStyle w:val="TableContents"/>
              <w:bidi w:val="0"/>
              <w:spacing w:before="0" w:after="283"/>
              <w:jc w:val="left"/>
              <w:rPr/>
            </w:pPr>
            <w:r>
              <w:rPr/>
              <w:t>  </w:t>
            </w:r>
          </w:p>
        </w:tc>
        <w:tc>
          <w:tcPr>
            <w:tcW w:w="500" w:type="dxa"/>
            <w:tcBorders>
              <w:right w:val="single" w:sz="32" w:space="0" w:color="FFFFFF"/>
            </w:tcBorders>
            <w:shd w:fill="003A5D" w:val="clear"/>
            <w:tcMar>
              <w:right w:w="40" w:type="dxa"/>
            </w:tcMar>
            <w:vAlign w:val="center"/>
          </w:tcPr>
          <w:p>
            <w:pPr>
              <w:pStyle w:val="TableContents"/>
              <w:bidi w:val="0"/>
              <w:spacing w:before="0" w:after="283"/>
              <w:jc w:val="center"/>
              <w:rPr>
                <w:b/>
                <w:color w:val="FFFFFF"/>
              </w:rPr>
            </w:pPr>
            <w:r>
              <w:rPr>
                <w:b/>
                <w:color w:val="FFFFFF"/>
              </w:rPr>
              <w:t>Risk</w:t>
            </w:r>
          </w:p>
        </w:tc>
      </w:tr>
      <w:tr>
        <w:trPr/>
        <w:tc>
          <w:tcPr>
            <w:tcW w:w="2105" w:type="dxa"/>
            <w:tcBorders/>
            <w:shd w:fill="E5EBEE" w:val="clear"/>
            <w:vAlign w:val="center"/>
          </w:tcPr>
          <w:p>
            <w:pPr>
              <w:pStyle w:val="TableContents"/>
              <w:bidi w:val="0"/>
              <w:spacing w:before="0" w:after="283"/>
              <w:jc w:val="left"/>
              <w:rPr>
                <w:sz w:val="4"/>
                <w:szCs w:val="4"/>
              </w:rPr>
            </w:pPr>
            <w:r>
              <w:rPr>
                <w:sz w:val="4"/>
                <w:szCs w:val="4"/>
              </w:rPr>
            </w:r>
          </w:p>
        </w:tc>
        <w:tc>
          <w:tcPr>
            <w:tcW w:w="1055" w:type="dxa"/>
            <w:gridSpan w:val="4"/>
            <w:tcBorders>
              <w:left w:val="single" w:sz="32" w:space="0" w:color="FFFFFF"/>
              <w:right w:val="single" w:sz="32" w:space="0" w:color="FFFFFF"/>
            </w:tcBorders>
            <w:shd w:fill="E5EBEE" w:val="clear"/>
            <w:tcMar>
              <w:left w:w="28" w:type="dxa"/>
              <w:right w:w="28" w:type="dxa"/>
            </w:tcMar>
            <w:vAlign w:val="center"/>
          </w:tcPr>
          <w:p>
            <w:pPr>
              <w:pStyle w:val="TableContents"/>
              <w:bidi w:val="0"/>
              <w:spacing w:before="0" w:after="283"/>
              <w:jc w:val="left"/>
              <w:rPr/>
            </w:pPr>
            <w:r>
              <w:rPr/>
              <w:t> </w:t>
            </w:r>
          </w:p>
        </w:tc>
        <w:tc>
          <w:tcPr>
            <w:tcW w:w="1730" w:type="dxa"/>
            <w:gridSpan w:val="2"/>
            <w:tcBorders/>
            <w:shd w:fill="E5EBEE" w:val="clear"/>
            <w:vAlign w:val="center"/>
          </w:tcPr>
          <w:p>
            <w:pPr>
              <w:pStyle w:val="TableContents"/>
              <w:bidi w:val="0"/>
              <w:spacing w:before="0" w:after="283"/>
              <w:jc w:val="left"/>
              <w:rPr>
                <w:sz w:val="4"/>
                <w:szCs w:val="4"/>
              </w:rPr>
            </w:pPr>
            <w:r>
              <w:rPr>
                <w:sz w:val="4"/>
                <w:szCs w:val="4"/>
              </w:rPr>
            </w:r>
          </w:p>
        </w:tc>
        <w:tc>
          <w:tcPr>
            <w:tcW w:w="1580" w:type="dxa"/>
            <w:gridSpan w:val="2"/>
            <w:tcBorders>
              <w:left w:val="single" w:sz="32" w:space="0" w:color="FFFFFF"/>
              <w:right w:val="single" w:sz="32" w:space="0" w:color="FFFFFF"/>
            </w:tcBorders>
            <w:shd w:fill="E5EBEE" w:val="clear"/>
            <w:tcMar>
              <w:left w:w="28" w:type="dxa"/>
              <w:right w:w="28" w:type="dxa"/>
            </w:tcMar>
            <w:vAlign w:val="center"/>
          </w:tcPr>
          <w:p>
            <w:pPr>
              <w:pStyle w:val="TableContents"/>
              <w:bidi w:val="0"/>
              <w:spacing w:before="0" w:after="283"/>
              <w:jc w:val="left"/>
              <w:rPr/>
            </w:pPr>
            <w:r>
              <w:rPr/>
              <w:t> </w:t>
            </w:r>
          </w:p>
        </w:tc>
        <w:tc>
          <w:tcPr>
            <w:tcW w:w="620" w:type="dxa"/>
            <w:gridSpan w:val="2"/>
            <w:tcBorders>
              <w:right w:val="single" w:sz="32" w:space="0" w:color="FFFFFF"/>
            </w:tcBorders>
            <w:shd w:fill="E5EBEE" w:val="clear"/>
            <w:tcMar>
              <w:righ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shd w:fill="E5EBEE" w:val="clear"/>
            <w:tcMar>
              <w:bottom w:w="60" w:type="dxa"/>
            </w:tcMar>
            <w:vAlign w:val="center"/>
          </w:tcPr>
          <w:p>
            <w:pPr>
              <w:pStyle w:val="TableContents"/>
              <w:bidi w:val="0"/>
              <w:spacing w:before="0" w:after="0"/>
              <w:jc w:val="left"/>
              <w:rPr>
                <w:rFonts w:ascii="arial" w:hAnsi="arial"/>
                <w:sz w:val="20"/>
              </w:rPr>
            </w:pPr>
            <w:r>
              <w:rPr>
                <w:rFonts w:ascii="arial" w:hAnsi="arial"/>
                <w:sz w:val="20"/>
              </w:rPr>
              <w:t>Richard D. Fairbank</w:t>
            </w:r>
          </w:p>
        </w:tc>
        <w:tc>
          <w:tcPr>
            <w:tcW w:w="120"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15"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283"/>
              <w:jc w:val="left"/>
              <w:rPr/>
            </w:pPr>
            <w:r>
              <w:rPr/>
              <w:t> </w:t>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61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0"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6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283"/>
              <w:jc w:val="left"/>
              <w:rPr/>
            </w:pPr>
            <w:r>
              <w:rPr/>
              <w:t> </w:t>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500" w:type="dxa"/>
            <w:tcBorders>
              <w:bottom w:val="single" w:sz="8" w:space="0" w:color="003A5D"/>
              <w:right w:val="single" w:sz="32" w:space="0" w:color="FFFFFF"/>
            </w:tcBorders>
            <w:shd w:fill="E5EBEE" w:val="clear"/>
            <w:tcMar>
              <w:bottom w:w="28" w:type="dxa"/>
              <w:right w:w="40" w:type="dxa"/>
            </w:tcM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1055" w:type="dxa"/>
            <w:gridSpan w:val="4"/>
            <w:tcBorders>
              <w:left w:val="single" w:sz="32" w:space="0" w:color="FFFFFF"/>
              <w:right w:val="single" w:sz="32" w:space="0" w:color="FFFFFF"/>
            </w:tcBorders>
            <w:tcMar>
              <w:left w:w="28" w:type="dxa"/>
              <w:right w:w="28" w:type="dxa"/>
            </w:tcMar>
            <w:vAlign w:val="center"/>
          </w:tcPr>
          <w:p>
            <w:pPr>
              <w:pStyle w:val="TableContents"/>
              <w:bidi w:val="0"/>
              <w:spacing w:before="0" w:after="283"/>
              <w:jc w:val="left"/>
              <w:rPr/>
            </w:pPr>
            <w:r>
              <w:rPr/>
              <w:t> </w:t>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left w:val="single" w:sz="32" w:space="0" w:color="FFFFFF"/>
              <w:right w:val="single" w:sz="32" w:space="0" w:color="FFFFFF"/>
            </w:tcBorders>
            <w:tcMar>
              <w:left w:w="28" w:type="dxa"/>
              <w:right w:w="28" w:type="dxa"/>
            </w:tcMar>
            <w:vAlign w:val="center"/>
          </w:tcPr>
          <w:p>
            <w:pPr>
              <w:pStyle w:val="TableContents"/>
              <w:bidi w:val="0"/>
              <w:spacing w:before="0" w:after="283"/>
              <w:jc w:val="left"/>
              <w:rPr/>
            </w:pPr>
            <w:r>
              <w:rPr/>
              <w:t> </w:t>
            </w:r>
          </w:p>
        </w:tc>
        <w:tc>
          <w:tcPr>
            <w:tcW w:w="620" w:type="dxa"/>
            <w:gridSpan w:val="2"/>
            <w:tcBorders>
              <w:right w:val="single" w:sz="32" w:space="0" w:color="FFFFFF"/>
            </w:tcBorders>
            <w:tcMar>
              <w:righ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tcMar>
              <w:bottom w:w="60" w:type="dxa"/>
            </w:tcMar>
            <w:vAlign w:val="center"/>
          </w:tcPr>
          <w:p>
            <w:pPr>
              <w:pStyle w:val="TableContents"/>
              <w:bidi w:val="0"/>
              <w:spacing w:before="0" w:after="0"/>
              <w:jc w:val="left"/>
              <w:rPr>
                <w:rFonts w:ascii="arial" w:hAnsi="arial"/>
                <w:sz w:val="20"/>
              </w:rPr>
            </w:pPr>
            <w:r>
              <w:rPr>
                <w:rFonts w:ascii="arial" w:hAnsi="arial"/>
                <w:sz w:val="20"/>
              </w:rPr>
              <w:t>Ime Archibong</w:t>
            </w:r>
          </w:p>
        </w:tc>
        <w:tc>
          <w:tcPr>
            <w:tcW w:w="120"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15"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bottom w:val="single" w:sz="8" w:space="0" w:color="003A5D"/>
              <w:right w:val="single" w:sz="32" w:space="0" w:color="FFFFFF"/>
            </w:tcBorders>
            <w:tcMar>
              <w:bottom w:w="28" w:type="dxa"/>
              <w:right w:w="28" w:type="dxa"/>
            </w:tcMar>
            <w:vAlign w:val="center"/>
          </w:tcPr>
          <w:p>
            <w:pPr>
              <w:pStyle w:val="TableContents"/>
              <w:bidi w:val="0"/>
              <w:spacing w:before="0" w:after="283"/>
              <w:jc w:val="left"/>
              <w:rPr/>
            </w:pPr>
            <w:r>
              <w:rPr/>
              <w:t> </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1610" w:type="dxa"/>
            <w:tcBorders>
              <w:bottom w:val="single" w:sz="8" w:space="0" w:color="003A5D"/>
            </w:tcBorders>
            <w:tcMar>
              <w:bottom w:w="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7000" cy="127000"/>
                  <wp:effectExtent l="0" t="0" r="0" b="0"/>
                  <wp:docPr id="3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7" descr=""/>
                          <pic:cNvPicPr>
                            <a:picLocks noChangeAspect="1" noChangeArrowheads="1"/>
                          </pic:cNvPicPr>
                        </pic:nvPicPr>
                        <pic:blipFill>
                          <a:blip r:embed="rId28"/>
                          <a:stretch>
                            <a:fillRect/>
                          </a:stretch>
                        </pic:blipFill>
                        <pic:spPr bwMode="auto">
                          <a:xfrm>
                            <a:off x="0" y="0"/>
                            <a:ext cx="127000" cy="12700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460" w:type="dxa"/>
            <w:tcBorders>
              <w:bottom w:val="single" w:sz="8" w:space="0" w:color="003A5D"/>
              <w:right w:val="single" w:sz="32" w:space="0" w:color="FFFFFF"/>
            </w:tcBorders>
            <w:tcMar>
              <w:bottom w:w="28" w:type="dxa"/>
              <w:right w:w="28" w:type="dxa"/>
            </w:tcMar>
            <w:vAlign w:val="center"/>
          </w:tcPr>
          <w:p>
            <w:pPr>
              <w:pStyle w:val="TableContents"/>
              <w:bidi w:val="0"/>
              <w:spacing w:before="0" w:after="283"/>
              <w:jc w:val="left"/>
              <w:rPr/>
            </w:pPr>
            <w:r>
              <w:rPr/>
              <w:t> </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500" w:type="dxa"/>
            <w:tcBorders>
              <w:bottom w:val="single" w:sz="8" w:space="0" w:color="003A5D"/>
              <w:right w:val="single" w:sz="32" w:space="0" w:color="FFFFFF"/>
            </w:tcBorders>
            <w:tcMar>
              <w:bottom w:w="28" w:type="dxa"/>
              <w:right w:w="40" w:type="dxa"/>
            </w:tcMar>
            <w:vAlign w:val="center"/>
          </w:tcPr>
          <w:p>
            <w:pPr>
              <w:pStyle w:val="TableContents"/>
              <w:bidi w:val="0"/>
              <w:spacing w:before="0" w:after="283"/>
              <w:jc w:val="left"/>
              <w:rPr/>
            </w:pPr>
            <w:r>
              <w:rPr/>
              <w:t> </w:t>
            </w:r>
          </w:p>
        </w:tc>
      </w:tr>
      <w:tr>
        <w:trPr/>
        <w:tc>
          <w:tcPr>
            <w:tcW w:w="2105" w:type="dxa"/>
            <w:tcBorders/>
            <w:shd w:fill="E5EBEE" w:val="clear"/>
            <w:vAlign w:val="center"/>
          </w:tcPr>
          <w:p>
            <w:pPr>
              <w:pStyle w:val="TableContents"/>
              <w:bidi w:val="0"/>
              <w:spacing w:before="0" w:after="283"/>
              <w:jc w:val="left"/>
              <w:rPr>
                <w:sz w:val="4"/>
                <w:szCs w:val="4"/>
              </w:rPr>
            </w:pPr>
            <w:r>
              <w:rPr>
                <w:sz w:val="4"/>
                <w:szCs w:val="4"/>
              </w:rPr>
            </w:r>
          </w:p>
        </w:tc>
        <w:tc>
          <w:tcPr>
            <w:tcW w:w="1055" w:type="dxa"/>
            <w:gridSpan w:val="4"/>
            <w:tcBorders>
              <w:left w:val="single" w:sz="32" w:space="0" w:color="FFFFFF"/>
              <w:right w:val="single" w:sz="32" w:space="0" w:color="FFFFFF"/>
            </w:tcBorders>
            <w:shd w:fill="E5EBEE" w:val="clear"/>
            <w:tcMar>
              <w:left w:w="28" w:type="dxa"/>
              <w:right w:w="28" w:type="dxa"/>
            </w:tcMar>
            <w:vAlign w:val="center"/>
          </w:tcPr>
          <w:p>
            <w:pPr>
              <w:pStyle w:val="TableContents"/>
              <w:bidi w:val="0"/>
              <w:spacing w:before="0" w:after="283"/>
              <w:jc w:val="left"/>
              <w:rPr/>
            </w:pPr>
            <w:r>
              <w:rPr/>
              <w:t> </w:t>
            </w:r>
          </w:p>
        </w:tc>
        <w:tc>
          <w:tcPr>
            <w:tcW w:w="1730" w:type="dxa"/>
            <w:gridSpan w:val="2"/>
            <w:tcBorders/>
            <w:shd w:fill="E5EBEE" w:val="clear"/>
            <w:vAlign w:val="center"/>
          </w:tcPr>
          <w:p>
            <w:pPr>
              <w:pStyle w:val="TableContents"/>
              <w:bidi w:val="0"/>
              <w:spacing w:before="0" w:after="283"/>
              <w:jc w:val="left"/>
              <w:rPr>
                <w:sz w:val="4"/>
                <w:szCs w:val="4"/>
              </w:rPr>
            </w:pPr>
            <w:r>
              <w:rPr>
                <w:sz w:val="4"/>
                <w:szCs w:val="4"/>
              </w:rPr>
            </w:r>
          </w:p>
        </w:tc>
        <w:tc>
          <w:tcPr>
            <w:tcW w:w="1580" w:type="dxa"/>
            <w:gridSpan w:val="2"/>
            <w:tcBorders>
              <w:left w:val="single" w:sz="32" w:space="0" w:color="FFFFFF"/>
              <w:right w:val="single" w:sz="32" w:space="0" w:color="FFFFFF"/>
            </w:tcBorders>
            <w:shd w:fill="E5EBEE" w:val="clear"/>
            <w:tcMar>
              <w:left w:w="28" w:type="dxa"/>
              <w:right w:w="28" w:type="dxa"/>
            </w:tcMar>
            <w:vAlign w:val="center"/>
          </w:tcPr>
          <w:p>
            <w:pPr>
              <w:pStyle w:val="TableContents"/>
              <w:bidi w:val="0"/>
              <w:spacing w:before="0" w:after="283"/>
              <w:jc w:val="left"/>
              <w:rPr/>
            </w:pPr>
            <w:r>
              <w:rPr/>
              <w:t> </w:t>
            </w:r>
          </w:p>
        </w:tc>
        <w:tc>
          <w:tcPr>
            <w:tcW w:w="620" w:type="dxa"/>
            <w:gridSpan w:val="2"/>
            <w:tcBorders>
              <w:right w:val="single" w:sz="32" w:space="0" w:color="FFFFFF"/>
            </w:tcBorders>
            <w:shd w:fill="E5EBEE" w:val="clear"/>
            <w:tcMar>
              <w:righ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shd w:fill="E5EBEE" w:val="clear"/>
            <w:tcMar>
              <w:bottom w:w="60" w:type="dxa"/>
            </w:tcMar>
            <w:vAlign w:val="center"/>
          </w:tcPr>
          <w:p>
            <w:pPr>
              <w:pStyle w:val="TableContents"/>
              <w:bidi w:val="0"/>
              <w:spacing w:before="0" w:after="0"/>
              <w:jc w:val="left"/>
              <w:rPr>
                <w:rFonts w:ascii="arial" w:hAnsi="arial"/>
                <w:sz w:val="20"/>
              </w:rPr>
            </w:pPr>
            <w:r>
              <w:rPr>
                <w:rFonts w:ascii="arial" w:hAnsi="arial"/>
                <w:sz w:val="20"/>
              </w:rPr>
              <w:t>Christine Detrick(2)</w:t>
            </w:r>
          </w:p>
        </w:tc>
        <w:tc>
          <w:tcPr>
            <w:tcW w:w="120"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15" w:type="dxa"/>
            <w:tcBorders>
              <w:bottom w:val="single" w:sz="8" w:space="0" w:color="003A5D"/>
            </w:tcBorders>
            <w:shd w:fill="E5EBEE" w:val="clear"/>
            <w:tcMar>
              <w:bottom w:w="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t xml:space="preserve">  </w:t>
            </w:r>
            <w:r>
              <w:rPr/>
              <w:drawing>
                <wp:inline distT="0" distB="0" distL="0" distR="0">
                  <wp:extent cx="123825" cy="123825"/>
                  <wp:effectExtent l="0" t="0" r="0" b="0"/>
                  <wp:docPr id="3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8" descr=""/>
                          <pic:cNvPicPr>
                            <a:picLocks noChangeAspect="1" noChangeArrowheads="1"/>
                          </pic:cNvPicPr>
                        </pic:nvPicPr>
                        <pic:blipFill>
                          <a:blip r:embed="rId29"/>
                          <a:stretch>
                            <a:fillRect/>
                          </a:stretch>
                        </pic:blipFill>
                        <pic:spPr bwMode="auto">
                          <a:xfrm>
                            <a:off x="0" y="0"/>
                            <a:ext cx="123825" cy="12382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8" w:space="0" w:color="003A5D"/>
              <w:right w:val="single" w:sz="32" w:space="0" w:color="FFFFFF"/>
            </w:tcBorders>
            <w:shd w:fill="E5EBEE" w:val="clear"/>
            <w:tcMar>
              <w:bottom w:w="60"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61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0"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6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283"/>
              <w:jc w:val="left"/>
              <w:rPr/>
            </w:pPr>
            <w:r>
              <w:rPr/>
              <w:t> </w:t>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500" w:type="dxa"/>
            <w:tcBorders>
              <w:bottom w:val="single" w:sz="8" w:space="0" w:color="003A5D"/>
              <w:right w:val="single" w:sz="32" w:space="0" w:color="FFFFFF"/>
            </w:tcBorders>
            <w:shd w:fill="E5EBEE" w:val="clear"/>
            <w:tcMar>
              <w:bottom w:w="60"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825" cy="123825"/>
                  <wp:effectExtent l="0" t="0" r="0" b="0"/>
                  <wp:docPr id="3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9" descr=""/>
                          <pic:cNvPicPr>
                            <a:picLocks noChangeAspect="1" noChangeArrowheads="1"/>
                          </pic:cNvPicPr>
                        </pic:nvPicPr>
                        <pic:blipFill>
                          <a:blip r:embed="rId30"/>
                          <a:stretch>
                            <a:fillRect/>
                          </a:stretch>
                        </pic:blipFill>
                        <pic:spPr bwMode="auto">
                          <a:xfrm>
                            <a:off x="0" y="0"/>
                            <a:ext cx="123825" cy="1238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1055" w:type="dxa"/>
            <w:gridSpan w:val="4"/>
            <w:tcBorders>
              <w:left w:val="single" w:sz="32" w:space="0" w:color="FFFFFF"/>
              <w:right w:val="single" w:sz="32" w:space="0" w:color="FFFFFF"/>
            </w:tcBorders>
            <w:tcMar>
              <w:left w:w="28" w:type="dxa"/>
              <w:right w:w="28" w:type="dxa"/>
            </w:tcMar>
            <w:vAlign w:val="center"/>
          </w:tcPr>
          <w:p>
            <w:pPr>
              <w:pStyle w:val="TableContents"/>
              <w:bidi w:val="0"/>
              <w:spacing w:before="0" w:after="283"/>
              <w:jc w:val="left"/>
              <w:rPr/>
            </w:pPr>
            <w:r>
              <w:rPr/>
              <w:t> </w:t>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left w:val="single" w:sz="32" w:space="0" w:color="FFFFFF"/>
              <w:right w:val="single" w:sz="32" w:space="0" w:color="FFFFFF"/>
            </w:tcBorders>
            <w:tcMar>
              <w:left w:w="28" w:type="dxa"/>
              <w:right w:w="28" w:type="dxa"/>
            </w:tcMar>
            <w:vAlign w:val="center"/>
          </w:tcPr>
          <w:p>
            <w:pPr>
              <w:pStyle w:val="TableContents"/>
              <w:bidi w:val="0"/>
              <w:spacing w:before="0" w:after="283"/>
              <w:jc w:val="left"/>
              <w:rPr/>
            </w:pPr>
            <w:r>
              <w:rPr/>
              <w:t> </w:t>
            </w:r>
          </w:p>
        </w:tc>
        <w:tc>
          <w:tcPr>
            <w:tcW w:w="620" w:type="dxa"/>
            <w:gridSpan w:val="2"/>
            <w:tcBorders>
              <w:right w:val="single" w:sz="32" w:space="0" w:color="FFFFFF"/>
            </w:tcBorders>
            <w:tcMar>
              <w:righ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tcMar>
              <w:bottom w:w="60" w:type="dxa"/>
            </w:tcMar>
            <w:vAlign w:val="center"/>
          </w:tcPr>
          <w:p>
            <w:pPr>
              <w:pStyle w:val="TableContents"/>
              <w:bidi w:val="0"/>
              <w:spacing w:before="0" w:after="0"/>
              <w:jc w:val="left"/>
              <w:rPr>
                <w:rFonts w:ascii="arial" w:hAnsi="arial"/>
                <w:sz w:val="20"/>
              </w:rPr>
            </w:pPr>
            <w:r>
              <w:rPr>
                <w:rFonts w:ascii="arial" w:hAnsi="arial"/>
                <w:sz w:val="20"/>
              </w:rPr>
              <w:t>Ann Fritz Hackett</w:t>
            </w:r>
          </w:p>
        </w:tc>
        <w:tc>
          <w:tcPr>
            <w:tcW w:w="120"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15"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bottom w:val="single" w:sz="8" w:space="0" w:color="003A5D"/>
              <w:right w:val="single" w:sz="32" w:space="0" w:color="FFFFFF"/>
            </w:tcBorders>
            <w:tcMar>
              <w:bottom w:w="28" w:type="dxa"/>
              <w:right w:w="28" w:type="dxa"/>
            </w:tcMar>
            <w:vAlign w:val="center"/>
          </w:tcPr>
          <w:p>
            <w:pPr>
              <w:pStyle w:val="TableContents"/>
              <w:bidi w:val="0"/>
              <w:spacing w:before="0" w:after="283"/>
              <w:jc w:val="left"/>
              <w:rPr/>
            </w:pPr>
            <w:r>
              <w:rPr/>
              <w:t> </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1610" w:type="dxa"/>
            <w:tcBorders>
              <w:bottom w:val="single" w:sz="8" w:space="0" w:color="003A5D"/>
            </w:tcBorders>
            <w:tcMar>
              <w:bottom w:w="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27000" cy="127000"/>
                  <wp:effectExtent l="0" t="0" r="0" b="0"/>
                  <wp:docPr id="3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0" descr=""/>
                          <pic:cNvPicPr>
                            <a:picLocks noChangeAspect="1" noChangeArrowheads="1"/>
                          </pic:cNvPicPr>
                        </pic:nvPicPr>
                        <pic:blipFill>
                          <a:blip r:embed="rId31"/>
                          <a:stretch>
                            <a:fillRect/>
                          </a:stretch>
                        </pic:blipFill>
                        <pic:spPr bwMode="auto">
                          <a:xfrm>
                            <a:off x="0" y="0"/>
                            <a:ext cx="127000" cy="127000"/>
                          </a:xfrm>
                          <a:prstGeom prst="rect">
                            <a:avLst/>
                          </a:prstGeom>
                        </pic:spPr>
                      </pic:pic>
                    </a:graphicData>
                  </a:graphic>
                </wp:inline>
              </w:drawing>
            </w:r>
            <w:r>
              <w:rPr/>
              <w:t xml:space="preserve"> </w:t>
            </w:r>
          </w:p>
        </w:tc>
        <w:tc>
          <w:tcPr>
            <w:tcW w:w="120"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460" w:type="dxa"/>
            <w:tcBorders>
              <w:bottom w:val="single" w:sz="8" w:space="0" w:color="003A5D"/>
              <w:right w:val="single" w:sz="32" w:space="0" w:color="FFFFFF"/>
            </w:tcBorders>
            <w:tcMar>
              <w:bottom w:w="60"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27000" cy="127000"/>
                  <wp:effectExtent l="0" t="0" r="0" b="0"/>
                  <wp:docPr id="3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1" descr=""/>
                          <pic:cNvPicPr>
                            <a:picLocks noChangeAspect="1" noChangeArrowheads="1"/>
                          </pic:cNvPicPr>
                        </pic:nvPicPr>
                        <pic:blipFill>
                          <a:blip r:embed="rId32"/>
                          <a:stretch>
                            <a:fillRect/>
                          </a:stretch>
                        </pic:blipFill>
                        <pic:spPr bwMode="auto">
                          <a:xfrm>
                            <a:off x="0" y="0"/>
                            <a:ext cx="127000" cy="127000"/>
                          </a:xfrm>
                          <a:prstGeom prst="rect">
                            <a:avLst/>
                          </a:prstGeom>
                        </pic:spPr>
                      </pic:pic>
                    </a:graphicData>
                  </a:graphic>
                </wp:inline>
              </w:drawing>
            </w:r>
            <w:r>
              <w:rPr/>
              <w:t xml:space="preserve"> </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500" w:type="dxa"/>
            <w:tcBorders>
              <w:bottom w:val="single" w:sz="8" w:space="0" w:color="003A5D"/>
              <w:right w:val="single" w:sz="32" w:space="0" w:color="FFFFFF"/>
            </w:tcBorders>
            <w:tcMar>
              <w:bottom w:w="60"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27000" cy="127000"/>
                  <wp:effectExtent l="0" t="0" r="0" b="0"/>
                  <wp:docPr id="3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2" descr=""/>
                          <pic:cNvPicPr>
                            <a:picLocks noChangeAspect="1" noChangeArrowheads="1"/>
                          </pic:cNvPicPr>
                        </pic:nvPicPr>
                        <pic:blipFill>
                          <a:blip r:embed="rId33"/>
                          <a:stretch>
                            <a:fillRect/>
                          </a:stretch>
                        </pic:blipFill>
                        <pic:spPr bwMode="auto">
                          <a:xfrm>
                            <a:off x="0" y="0"/>
                            <a:ext cx="127000" cy="127000"/>
                          </a:xfrm>
                          <a:prstGeom prst="rect">
                            <a:avLst/>
                          </a:prstGeom>
                        </pic:spPr>
                      </pic:pic>
                    </a:graphicData>
                  </a:graphic>
                </wp:inline>
              </w:drawing>
            </w:r>
            <w:r>
              <w:rPr/>
              <w:t xml:space="preserve"> </w:t>
            </w:r>
          </w:p>
        </w:tc>
      </w:tr>
      <w:tr>
        <w:trPr/>
        <w:tc>
          <w:tcPr>
            <w:tcW w:w="2105" w:type="dxa"/>
            <w:tcBorders/>
            <w:shd w:fill="E5EBEE" w:val="clear"/>
            <w:vAlign w:val="center"/>
          </w:tcPr>
          <w:p>
            <w:pPr>
              <w:pStyle w:val="TableContents"/>
              <w:bidi w:val="0"/>
              <w:spacing w:before="0" w:after="283"/>
              <w:jc w:val="left"/>
              <w:rPr>
                <w:sz w:val="4"/>
                <w:szCs w:val="4"/>
              </w:rPr>
            </w:pPr>
            <w:r>
              <w:rPr>
                <w:sz w:val="4"/>
                <w:szCs w:val="4"/>
              </w:rPr>
            </w:r>
          </w:p>
        </w:tc>
        <w:tc>
          <w:tcPr>
            <w:tcW w:w="1055" w:type="dxa"/>
            <w:gridSpan w:val="4"/>
            <w:tcBorders>
              <w:left w:val="single" w:sz="32" w:space="0" w:color="FFFFFF"/>
              <w:right w:val="single" w:sz="32" w:space="0" w:color="FFFFFF"/>
            </w:tcBorders>
            <w:shd w:fill="E5EBEE" w:val="clear"/>
            <w:tcMar>
              <w:left w:w="28" w:type="dxa"/>
              <w:right w:w="28" w:type="dxa"/>
            </w:tcMar>
            <w:vAlign w:val="center"/>
          </w:tcPr>
          <w:p>
            <w:pPr>
              <w:pStyle w:val="TableContents"/>
              <w:bidi w:val="0"/>
              <w:spacing w:before="0" w:after="283"/>
              <w:jc w:val="left"/>
              <w:rPr/>
            </w:pPr>
            <w:r>
              <w:rPr/>
              <w:t> </w:t>
            </w:r>
          </w:p>
        </w:tc>
        <w:tc>
          <w:tcPr>
            <w:tcW w:w="1730" w:type="dxa"/>
            <w:gridSpan w:val="2"/>
            <w:tcBorders/>
            <w:shd w:fill="E5EBEE" w:val="clear"/>
            <w:vAlign w:val="center"/>
          </w:tcPr>
          <w:p>
            <w:pPr>
              <w:pStyle w:val="TableContents"/>
              <w:bidi w:val="0"/>
              <w:spacing w:before="0" w:after="283"/>
              <w:jc w:val="left"/>
              <w:rPr>
                <w:sz w:val="4"/>
                <w:szCs w:val="4"/>
              </w:rPr>
            </w:pPr>
            <w:r>
              <w:rPr>
                <w:sz w:val="4"/>
                <w:szCs w:val="4"/>
              </w:rPr>
            </w:r>
          </w:p>
        </w:tc>
        <w:tc>
          <w:tcPr>
            <w:tcW w:w="1580" w:type="dxa"/>
            <w:gridSpan w:val="2"/>
            <w:tcBorders>
              <w:left w:val="single" w:sz="32" w:space="0" w:color="FFFFFF"/>
              <w:right w:val="single" w:sz="32" w:space="0" w:color="FFFFFF"/>
            </w:tcBorders>
            <w:shd w:fill="E5EBEE" w:val="clear"/>
            <w:tcMar>
              <w:left w:w="28" w:type="dxa"/>
              <w:right w:w="28" w:type="dxa"/>
            </w:tcMar>
            <w:vAlign w:val="center"/>
          </w:tcPr>
          <w:p>
            <w:pPr>
              <w:pStyle w:val="TableContents"/>
              <w:bidi w:val="0"/>
              <w:spacing w:before="0" w:after="283"/>
              <w:jc w:val="left"/>
              <w:rPr/>
            </w:pPr>
            <w:r>
              <w:rPr/>
              <w:t> </w:t>
            </w:r>
          </w:p>
        </w:tc>
        <w:tc>
          <w:tcPr>
            <w:tcW w:w="620" w:type="dxa"/>
            <w:gridSpan w:val="2"/>
            <w:tcBorders>
              <w:right w:val="single" w:sz="32" w:space="0" w:color="FFFFFF"/>
            </w:tcBorders>
            <w:shd w:fill="E5EBEE" w:val="clear"/>
            <w:tcMar>
              <w:righ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shd w:fill="E5EBEE" w:val="clear"/>
            <w:tcMar>
              <w:bottom w:w="60" w:type="dxa"/>
            </w:tcMar>
            <w:vAlign w:val="center"/>
          </w:tcPr>
          <w:p>
            <w:pPr>
              <w:pStyle w:val="TableContents"/>
              <w:bidi w:val="0"/>
              <w:spacing w:before="0" w:after="0"/>
              <w:jc w:val="left"/>
              <w:rPr>
                <w:rFonts w:ascii="arial" w:hAnsi="arial"/>
                <w:sz w:val="20"/>
              </w:rPr>
            </w:pPr>
            <w:r>
              <w:rPr>
                <w:rFonts w:ascii="arial" w:hAnsi="arial"/>
                <w:sz w:val="20"/>
              </w:rPr>
              <w:t>Suni P. Harford(2)</w:t>
            </w:r>
          </w:p>
        </w:tc>
        <w:tc>
          <w:tcPr>
            <w:tcW w:w="120"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15" w:type="dxa"/>
            <w:tcBorders>
              <w:bottom w:val="single" w:sz="8" w:space="0" w:color="003A5D"/>
            </w:tcBorders>
            <w:shd w:fill="E5EBEE" w:val="clear"/>
            <w:tcMar>
              <w:bottom w:w="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23825" cy="123825"/>
                  <wp:effectExtent l="0" t="0" r="0" b="0"/>
                  <wp:docPr id="3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3" descr=""/>
                          <pic:cNvPicPr>
                            <a:picLocks noChangeAspect="1" noChangeArrowheads="1"/>
                          </pic:cNvPicPr>
                        </pic:nvPicPr>
                        <pic:blipFill>
                          <a:blip r:embed="rId34"/>
                          <a:stretch>
                            <a:fillRect/>
                          </a:stretch>
                        </pic:blipFill>
                        <pic:spPr bwMode="auto">
                          <a:xfrm>
                            <a:off x="0" y="0"/>
                            <a:ext cx="123825" cy="123825"/>
                          </a:xfrm>
                          <a:prstGeom prst="rect">
                            <a:avLst/>
                          </a:prstGeom>
                        </pic:spPr>
                      </pic:pic>
                    </a:graphicData>
                  </a:graphic>
                </wp:inline>
              </w:drawing>
            </w:r>
            <w:r>
              <w:rPr/>
              <w:t xml:space="preserve"> </w:t>
            </w:r>
          </w:p>
        </w:tc>
        <w:tc>
          <w:tcPr>
            <w:tcW w:w="60" w:type="dxa"/>
            <w:tcBorders>
              <w:bottom w:val="single" w:sz="8" w:space="0" w:color="003A5D"/>
              <w:right w:val="single" w:sz="32" w:space="0" w:color="FFFFFF"/>
            </w:tcBorders>
            <w:shd w:fill="E5EBEE" w:val="clear"/>
            <w:tcMar>
              <w:bottom w:w="60"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61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0"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6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283"/>
              <w:jc w:val="left"/>
              <w:rPr/>
            </w:pPr>
            <w:r>
              <w:rPr/>
              <w:t> </w:t>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500" w:type="dxa"/>
            <w:tcBorders>
              <w:bottom w:val="single" w:sz="8" w:space="0" w:color="003A5D"/>
              <w:right w:val="single" w:sz="32" w:space="0" w:color="FFFFFF"/>
            </w:tcBorders>
            <w:shd w:fill="E5EBEE" w:val="clear"/>
            <w:tcMar>
              <w:bottom w:w="60"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23825" cy="123825"/>
                  <wp:effectExtent l="0" t="0" r="0" b="0"/>
                  <wp:docPr id="4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4" descr=""/>
                          <pic:cNvPicPr>
                            <a:picLocks noChangeAspect="1" noChangeArrowheads="1"/>
                          </pic:cNvPicPr>
                        </pic:nvPicPr>
                        <pic:blipFill>
                          <a:blip r:embed="rId35"/>
                          <a:stretch>
                            <a:fillRect/>
                          </a:stretch>
                        </pic:blipFill>
                        <pic:spPr bwMode="auto">
                          <a:xfrm>
                            <a:off x="0" y="0"/>
                            <a:ext cx="123825" cy="123825"/>
                          </a:xfrm>
                          <a:prstGeom prst="rect">
                            <a:avLst/>
                          </a:prstGeom>
                        </pic:spPr>
                      </pic:pic>
                    </a:graphicData>
                  </a:graphic>
                </wp:inline>
              </w:drawing>
            </w:r>
            <w:r>
              <w:rPr/>
              <w:t xml:space="preserve">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1055" w:type="dxa"/>
            <w:gridSpan w:val="4"/>
            <w:tcBorders>
              <w:left w:val="single" w:sz="32" w:space="0" w:color="FFFFFF"/>
              <w:right w:val="single" w:sz="32" w:space="0" w:color="FFFFFF"/>
            </w:tcBorders>
            <w:tcMar>
              <w:left w:w="28" w:type="dxa"/>
              <w:right w:w="28" w:type="dxa"/>
            </w:tcMar>
            <w:vAlign w:val="center"/>
          </w:tcPr>
          <w:p>
            <w:pPr>
              <w:pStyle w:val="TableContents"/>
              <w:bidi w:val="0"/>
              <w:spacing w:before="0" w:after="283"/>
              <w:jc w:val="left"/>
              <w:rPr/>
            </w:pPr>
            <w:r>
              <w:rPr/>
              <w:t> </w:t>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left w:val="single" w:sz="32" w:space="0" w:color="FFFFFF"/>
              <w:right w:val="single" w:sz="32" w:space="0" w:color="FFFFFF"/>
            </w:tcBorders>
            <w:tcMar>
              <w:left w:w="28" w:type="dxa"/>
              <w:right w:w="28" w:type="dxa"/>
            </w:tcMar>
            <w:vAlign w:val="center"/>
          </w:tcPr>
          <w:p>
            <w:pPr>
              <w:pStyle w:val="TableContents"/>
              <w:bidi w:val="0"/>
              <w:spacing w:before="0" w:after="283"/>
              <w:jc w:val="left"/>
              <w:rPr/>
            </w:pPr>
            <w:r>
              <w:rPr/>
              <w:t> </w:t>
            </w:r>
          </w:p>
        </w:tc>
        <w:tc>
          <w:tcPr>
            <w:tcW w:w="620" w:type="dxa"/>
            <w:gridSpan w:val="2"/>
            <w:tcBorders>
              <w:right w:val="single" w:sz="32" w:space="0" w:color="FFFFFF"/>
            </w:tcBorders>
            <w:tcMar>
              <w:righ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tcMar>
              <w:bottom w:w="60" w:type="dxa"/>
            </w:tcMar>
            <w:vAlign w:val="center"/>
          </w:tcPr>
          <w:p>
            <w:pPr>
              <w:pStyle w:val="TableContents"/>
              <w:bidi w:val="0"/>
              <w:spacing w:before="0" w:after="0"/>
              <w:jc w:val="left"/>
              <w:rPr>
                <w:rFonts w:ascii="arial" w:hAnsi="arial"/>
                <w:sz w:val="20"/>
              </w:rPr>
            </w:pPr>
            <w:r>
              <w:rPr>
                <w:rFonts w:ascii="arial" w:hAnsi="arial"/>
                <w:sz w:val="20"/>
              </w:rPr>
              <w:t>Peter Thomas Killalea</w:t>
            </w:r>
          </w:p>
        </w:tc>
        <w:tc>
          <w:tcPr>
            <w:tcW w:w="120"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15"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bottom w:val="single" w:sz="8" w:space="0" w:color="003A5D"/>
              <w:right w:val="single" w:sz="32" w:space="0" w:color="FFFFFF"/>
            </w:tcBorders>
            <w:tcMar>
              <w:bottom w:w="28" w:type="dxa"/>
              <w:right w:w="28" w:type="dxa"/>
            </w:tcMar>
            <w:vAlign w:val="center"/>
          </w:tcPr>
          <w:p>
            <w:pPr>
              <w:pStyle w:val="TableContents"/>
              <w:bidi w:val="0"/>
              <w:spacing w:before="0" w:after="283"/>
              <w:jc w:val="left"/>
              <w:rPr/>
            </w:pPr>
            <w:r>
              <w:rPr/>
              <w:t> </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1610" w:type="dxa"/>
            <w:tcBorders>
              <w:bottom w:val="single" w:sz="8" w:space="0" w:color="003A5D"/>
            </w:tcBorders>
            <w:tcMar>
              <w:bottom w:w="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7000" cy="127000"/>
                  <wp:effectExtent l="0" t="0" r="0" b="0"/>
                  <wp:docPr id="4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5" descr=""/>
                          <pic:cNvPicPr>
                            <a:picLocks noChangeAspect="1" noChangeArrowheads="1"/>
                          </pic:cNvPicPr>
                        </pic:nvPicPr>
                        <pic:blipFill>
                          <a:blip r:embed="rId36"/>
                          <a:stretch>
                            <a:fillRect/>
                          </a:stretch>
                        </pic:blipFill>
                        <pic:spPr bwMode="auto">
                          <a:xfrm>
                            <a:off x="0" y="0"/>
                            <a:ext cx="127000" cy="12700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460" w:type="dxa"/>
            <w:tcBorders>
              <w:bottom w:val="single" w:sz="8" w:space="0" w:color="003A5D"/>
              <w:right w:val="single" w:sz="32" w:space="0" w:color="FFFFFF"/>
            </w:tcBorders>
            <w:tcMar>
              <w:bottom w:w="28" w:type="dxa"/>
              <w:right w:w="28" w:type="dxa"/>
            </w:tcMar>
            <w:vAlign w:val="center"/>
          </w:tcPr>
          <w:p>
            <w:pPr>
              <w:pStyle w:val="TableContents"/>
              <w:bidi w:val="0"/>
              <w:spacing w:before="0" w:after="283"/>
              <w:jc w:val="left"/>
              <w:rPr/>
            </w:pPr>
            <w:r>
              <w:rPr/>
              <w:t> </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500" w:type="dxa"/>
            <w:tcBorders>
              <w:bottom w:val="single" w:sz="8" w:space="0" w:color="003A5D"/>
              <w:right w:val="single" w:sz="32" w:space="0" w:color="FFFFFF"/>
            </w:tcBorders>
            <w:tcMar>
              <w:bottom w:w="60"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7000" cy="127000"/>
                  <wp:effectExtent l="0" t="0" r="0" b="0"/>
                  <wp:docPr id="4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6" descr=""/>
                          <pic:cNvPicPr>
                            <a:picLocks noChangeAspect="1" noChangeArrowheads="1"/>
                          </pic:cNvPicPr>
                        </pic:nvPicPr>
                        <pic:blipFill>
                          <a:blip r:embed="rId37"/>
                          <a:stretch>
                            <a:fillRect/>
                          </a:stretch>
                        </pic:blipFill>
                        <pic:spPr bwMode="auto">
                          <a:xfrm>
                            <a:off x="0" y="0"/>
                            <a:ext cx="127000" cy="12700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2105" w:type="dxa"/>
            <w:tcBorders/>
            <w:shd w:fill="E5EBEE" w:val="clear"/>
            <w:vAlign w:val="center"/>
          </w:tcPr>
          <w:p>
            <w:pPr>
              <w:pStyle w:val="TableContents"/>
              <w:bidi w:val="0"/>
              <w:spacing w:before="0" w:after="283"/>
              <w:jc w:val="left"/>
              <w:rPr>
                <w:sz w:val="4"/>
                <w:szCs w:val="4"/>
              </w:rPr>
            </w:pPr>
            <w:r>
              <w:rPr>
                <w:sz w:val="4"/>
                <w:szCs w:val="4"/>
              </w:rPr>
            </w:r>
          </w:p>
        </w:tc>
        <w:tc>
          <w:tcPr>
            <w:tcW w:w="1055" w:type="dxa"/>
            <w:gridSpan w:val="4"/>
            <w:tcBorders>
              <w:left w:val="single" w:sz="32" w:space="0" w:color="FFFFFF"/>
              <w:right w:val="single" w:sz="32" w:space="0" w:color="FFFFFF"/>
            </w:tcBorders>
            <w:shd w:fill="E5EBEE" w:val="clear"/>
            <w:tcMar>
              <w:left w:w="28" w:type="dxa"/>
              <w:right w:w="28" w:type="dxa"/>
            </w:tcMar>
            <w:vAlign w:val="center"/>
          </w:tcPr>
          <w:p>
            <w:pPr>
              <w:pStyle w:val="TableContents"/>
              <w:bidi w:val="0"/>
              <w:spacing w:before="0" w:after="283"/>
              <w:jc w:val="left"/>
              <w:rPr/>
            </w:pPr>
            <w:r>
              <w:rPr/>
              <w:t> </w:t>
            </w:r>
          </w:p>
        </w:tc>
        <w:tc>
          <w:tcPr>
            <w:tcW w:w="1730" w:type="dxa"/>
            <w:gridSpan w:val="2"/>
            <w:tcBorders/>
            <w:shd w:fill="E5EBEE" w:val="clear"/>
            <w:vAlign w:val="center"/>
          </w:tcPr>
          <w:p>
            <w:pPr>
              <w:pStyle w:val="TableContents"/>
              <w:bidi w:val="0"/>
              <w:spacing w:before="0" w:after="283"/>
              <w:jc w:val="left"/>
              <w:rPr>
                <w:sz w:val="4"/>
                <w:szCs w:val="4"/>
              </w:rPr>
            </w:pPr>
            <w:r>
              <w:rPr>
                <w:sz w:val="4"/>
                <w:szCs w:val="4"/>
              </w:rPr>
            </w:r>
          </w:p>
        </w:tc>
        <w:tc>
          <w:tcPr>
            <w:tcW w:w="1580" w:type="dxa"/>
            <w:gridSpan w:val="2"/>
            <w:tcBorders>
              <w:left w:val="single" w:sz="32" w:space="0" w:color="FFFFFF"/>
              <w:right w:val="single" w:sz="32" w:space="0" w:color="FFFFFF"/>
            </w:tcBorders>
            <w:shd w:fill="E5EBEE" w:val="clear"/>
            <w:tcMar>
              <w:left w:w="28" w:type="dxa"/>
              <w:right w:w="28" w:type="dxa"/>
            </w:tcMar>
            <w:vAlign w:val="center"/>
          </w:tcPr>
          <w:p>
            <w:pPr>
              <w:pStyle w:val="TableContents"/>
              <w:bidi w:val="0"/>
              <w:spacing w:before="0" w:after="283"/>
              <w:jc w:val="left"/>
              <w:rPr/>
            </w:pPr>
            <w:r>
              <w:rPr/>
              <w:t> </w:t>
            </w:r>
          </w:p>
        </w:tc>
        <w:tc>
          <w:tcPr>
            <w:tcW w:w="620" w:type="dxa"/>
            <w:gridSpan w:val="2"/>
            <w:tcBorders>
              <w:right w:val="single" w:sz="32" w:space="0" w:color="FFFFFF"/>
            </w:tcBorders>
            <w:shd w:fill="E5EBEE" w:val="clear"/>
            <w:tcMar>
              <w:righ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shd w:fill="E5EBEE" w:val="clear"/>
            <w:tcMar>
              <w:bottom w:w="60" w:type="dxa"/>
            </w:tcMar>
            <w:vAlign w:val="center"/>
          </w:tcPr>
          <w:p>
            <w:pPr>
              <w:pStyle w:val="TableContents"/>
              <w:bidi w:val="0"/>
              <w:spacing w:before="0" w:after="0"/>
              <w:jc w:val="left"/>
              <w:rPr>
                <w:rFonts w:ascii="arial" w:hAnsi="arial"/>
                <w:sz w:val="20"/>
              </w:rPr>
            </w:pPr>
            <w:r>
              <w:rPr>
                <w:rFonts w:ascii="arial" w:hAnsi="arial"/>
                <w:sz w:val="20"/>
              </w:rPr>
              <w:t>Eli Leenaars(2)</w:t>
            </w:r>
          </w:p>
        </w:tc>
        <w:tc>
          <w:tcPr>
            <w:tcW w:w="120"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15" w:type="dxa"/>
            <w:tcBorders>
              <w:bottom w:val="single" w:sz="8" w:space="0" w:color="003A5D"/>
            </w:tcBorders>
            <w:shd w:fill="E5EBEE" w:val="clear"/>
            <w:tcMar>
              <w:bottom w:w="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23825" cy="123825"/>
                  <wp:effectExtent l="0" t="0" r="0" b="0"/>
                  <wp:docPr id="4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7" descr=""/>
                          <pic:cNvPicPr>
                            <a:picLocks noChangeAspect="1" noChangeArrowheads="1"/>
                          </pic:cNvPicPr>
                        </pic:nvPicPr>
                        <pic:blipFill>
                          <a:blip r:embed="rId38"/>
                          <a:stretch>
                            <a:fillRect/>
                          </a:stretch>
                        </pic:blipFill>
                        <pic:spPr bwMode="auto">
                          <a:xfrm>
                            <a:off x="0" y="0"/>
                            <a:ext cx="123825" cy="123825"/>
                          </a:xfrm>
                          <a:prstGeom prst="rect">
                            <a:avLst/>
                          </a:prstGeom>
                        </pic:spPr>
                      </pic:pic>
                    </a:graphicData>
                  </a:graphic>
                </wp:inline>
              </w:drawing>
            </w:r>
            <w:r>
              <w:rPr/>
              <w:t xml:space="preserve"> </w:t>
            </w:r>
          </w:p>
        </w:tc>
        <w:tc>
          <w:tcPr>
            <w:tcW w:w="60" w:type="dxa"/>
            <w:tcBorders>
              <w:bottom w:val="single" w:sz="8" w:space="0" w:color="003A5D"/>
              <w:right w:val="single" w:sz="32" w:space="0" w:color="FFFFFF"/>
            </w:tcBorders>
            <w:shd w:fill="E5EBEE" w:val="clear"/>
            <w:tcMar>
              <w:bottom w:w="60"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610" w:type="dxa"/>
            <w:tcBorders>
              <w:bottom w:val="single" w:sz="8" w:space="0" w:color="003A5D"/>
            </w:tcBorders>
            <w:shd w:fill="E5EBEE" w:val="clear"/>
            <w:tcMar>
              <w:bottom w:w="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23825" cy="123825"/>
                  <wp:effectExtent l="0" t="0" r="0" b="0"/>
                  <wp:docPr id="4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8" descr=""/>
                          <pic:cNvPicPr>
                            <a:picLocks noChangeAspect="1" noChangeArrowheads="1"/>
                          </pic:cNvPicPr>
                        </pic:nvPicPr>
                        <pic:blipFill>
                          <a:blip r:embed="rId39"/>
                          <a:stretch>
                            <a:fillRect/>
                          </a:stretch>
                        </pic:blipFill>
                        <pic:spPr bwMode="auto">
                          <a:xfrm>
                            <a:off x="0" y="0"/>
                            <a:ext cx="123825" cy="123825"/>
                          </a:xfrm>
                          <a:prstGeom prst="rect">
                            <a:avLst/>
                          </a:prstGeom>
                        </pic:spPr>
                      </pic:pic>
                    </a:graphicData>
                  </a:graphic>
                </wp:inline>
              </w:drawing>
            </w:r>
            <w:r>
              <w:rPr/>
              <w:t xml:space="preserve"> </w:t>
            </w:r>
          </w:p>
        </w:tc>
        <w:tc>
          <w:tcPr>
            <w:tcW w:w="120"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6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283"/>
              <w:jc w:val="left"/>
              <w:rPr/>
            </w:pPr>
            <w:r>
              <w:rPr/>
              <w:t> </w:t>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500" w:type="dxa"/>
            <w:tcBorders>
              <w:bottom w:val="single" w:sz="8" w:space="0" w:color="003A5D"/>
              <w:right w:val="single" w:sz="32" w:space="0" w:color="FFFFFF"/>
            </w:tcBorders>
            <w:shd w:fill="E5EBEE" w:val="clear"/>
            <w:tcMar>
              <w:bottom w:w="60"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23825" cy="123825"/>
                  <wp:effectExtent l="0" t="0" r="0" b="0"/>
                  <wp:docPr id="4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9" descr=""/>
                          <pic:cNvPicPr>
                            <a:picLocks noChangeAspect="1" noChangeArrowheads="1"/>
                          </pic:cNvPicPr>
                        </pic:nvPicPr>
                        <pic:blipFill>
                          <a:blip r:embed="rId40"/>
                          <a:stretch>
                            <a:fillRect/>
                          </a:stretch>
                        </pic:blipFill>
                        <pic:spPr bwMode="auto">
                          <a:xfrm>
                            <a:off x="0" y="0"/>
                            <a:ext cx="123825" cy="123825"/>
                          </a:xfrm>
                          <a:prstGeom prst="rect">
                            <a:avLst/>
                          </a:prstGeom>
                        </pic:spPr>
                      </pic:pic>
                    </a:graphicData>
                  </a:graphic>
                </wp:inline>
              </w:drawing>
            </w:r>
            <w:r>
              <w:rPr/>
              <w:t xml:space="preserve">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1055" w:type="dxa"/>
            <w:gridSpan w:val="4"/>
            <w:tcBorders>
              <w:left w:val="single" w:sz="32" w:space="0" w:color="FFFFFF"/>
              <w:right w:val="single" w:sz="32" w:space="0" w:color="FFFFFF"/>
            </w:tcBorders>
            <w:tcMar>
              <w:left w:w="28" w:type="dxa"/>
              <w:right w:w="28" w:type="dxa"/>
            </w:tcMar>
            <w:vAlign w:val="center"/>
          </w:tcPr>
          <w:p>
            <w:pPr>
              <w:pStyle w:val="TableContents"/>
              <w:bidi w:val="0"/>
              <w:spacing w:before="0" w:after="283"/>
              <w:jc w:val="left"/>
              <w:rPr/>
            </w:pPr>
            <w:r>
              <w:rPr/>
              <w:t> </w:t>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left w:val="single" w:sz="32" w:space="0" w:color="FFFFFF"/>
              <w:right w:val="single" w:sz="32" w:space="0" w:color="FFFFFF"/>
            </w:tcBorders>
            <w:tcMar>
              <w:left w:w="28" w:type="dxa"/>
              <w:right w:w="28" w:type="dxa"/>
            </w:tcMar>
            <w:vAlign w:val="center"/>
          </w:tcPr>
          <w:p>
            <w:pPr>
              <w:pStyle w:val="TableContents"/>
              <w:bidi w:val="0"/>
              <w:spacing w:before="0" w:after="283"/>
              <w:jc w:val="left"/>
              <w:rPr/>
            </w:pPr>
            <w:r>
              <w:rPr/>
              <w:t> </w:t>
            </w:r>
          </w:p>
        </w:tc>
        <w:tc>
          <w:tcPr>
            <w:tcW w:w="620" w:type="dxa"/>
            <w:gridSpan w:val="2"/>
            <w:tcBorders>
              <w:right w:val="single" w:sz="32" w:space="0" w:color="FFFFFF"/>
            </w:tcBorders>
            <w:tcMar>
              <w:righ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tcMar>
              <w:bottom w:w="60" w:type="dxa"/>
            </w:tcMar>
            <w:vAlign w:val="center"/>
          </w:tcPr>
          <w:p>
            <w:pPr>
              <w:pStyle w:val="TableContents"/>
              <w:bidi w:val="0"/>
              <w:spacing w:before="0" w:after="0"/>
              <w:jc w:val="left"/>
              <w:rPr>
                <w:rFonts w:ascii="arial" w:hAnsi="arial"/>
                <w:sz w:val="20"/>
              </w:rPr>
            </w:pPr>
            <w:r>
              <w:rPr>
                <w:rFonts w:ascii="arial" w:hAnsi="arial"/>
                <w:sz w:val="20"/>
              </w:rPr>
              <w:t>François Locoh-Donou</w:t>
            </w:r>
          </w:p>
        </w:tc>
        <w:tc>
          <w:tcPr>
            <w:tcW w:w="120"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15"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bottom w:val="single" w:sz="8" w:space="0" w:color="003A5D"/>
              <w:right w:val="single" w:sz="32" w:space="0" w:color="FFFFFF"/>
            </w:tcBorders>
            <w:tcMar>
              <w:bottom w:w="28" w:type="dxa"/>
              <w:right w:w="28" w:type="dxa"/>
            </w:tcMar>
            <w:vAlign w:val="center"/>
          </w:tcPr>
          <w:p>
            <w:pPr>
              <w:pStyle w:val="TableContents"/>
              <w:bidi w:val="0"/>
              <w:spacing w:before="0" w:after="283"/>
              <w:jc w:val="left"/>
              <w:rPr/>
            </w:pPr>
            <w:r>
              <w:rPr/>
              <w:t> </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1610" w:type="dxa"/>
            <w:tcBorders>
              <w:bottom w:val="single" w:sz="8" w:space="0" w:color="003A5D"/>
            </w:tcBorders>
            <w:tcMar>
              <w:bottom w:w="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27000" cy="127000"/>
                  <wp:effectExtent l="0" t="0" r="0" b="0"/>
                  <wp:docPr id="4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0" descr=""/>
                          <pic:cNvPicPr>
                            <a:picLocks noChangeAspect="1" noChangeArrowheads="1"/>
                          </pic:cNvPicPr>
                        </pic:nvPicPr>
                        <pic:blipFill>
                          <a:blip r:embed="rId41"/>
                          <a:stretch>
                            <a:fillRect/>
                          </a:stretch>
                        </pic:blipFill>
                        <pic:spPr bwMode="auto">
                          <a:xfrm>
                            <a:off x="0" y="0"/>
                            <a:ext cx="127000" cy="127000"/>
                          </a:xfrm>
                          <a:prstGeom prst="rect">
                            <a:avLst/>
                          </a:prstGeom>
                        </pic:spPr>
                      </pic:pic>
                    </a:graphicData>
                  </a:graphic>
                </wp:inline>
              </w:drawing>
            </w:r>
            <w:r>
              <w:rPr/>
              <w:t xml:space="preserve"> </w:t>
            </w:r>
          </w:p>
        </w:tc>
        <w:tc>
          <w:tcPr>
            <w:tcW w:w="120"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460" w:type="dxa"/>
            <w:tcBorders>
              <w:bottom w:val="single" w:sz="8" w:space="0" w:color="003A5D"/>
              <w:right w:val="single" w:sz="32" w:space="0" w:color="FFFFFF"/>
            </w:tcBorders>
            <w:tcMar>
              <w:bottom w:w="60"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27000" cy="127000"/>
                  <wp:effectExtent l="0" t="0" r="0" b="0"/>
                  <wp:docPr id="4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1" descr=""/>
                          <pic:cNvPicPr>
                            <a:picLocks noChangeAspect="1" noChangeArrowheads="1"/>
                          </pic:cNvPicPr>
                        </pic:nvPicPr>
                        <pic:blipFill>
                          <a:blip r:embed="rId42"/>
                          <a:stretch>
                            <a:fillRect/>
                          </a:stretch>
                        </pic:blipFill>
                        <pic:spPr bwMode="auto">
                          <a:xfrm>
                            <a:off x="0" y="0"/>
                            <a:ext cx="127000" cy="127000"/>
                          </a:xfrm>
                          <a:prstGeom prst="rect">
                            <a:avLst/>
                          </a:prstGeom>
                        </pic:spPr>
                      </pic:pic>
                    </a:graphicData>
                  </a:graphic>
                </wp:inline>
              </w:drawing>
            </w:r>
            <w:r>
              <w:rPr/>
              <w:t xml:space="preserve"> </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500" w:type="dxa"/>
            <w:tcBorders>
              <w:bottom w:val="single" w:sz="8" w:space="0" w:color="003A5D"/>
              <w:right w:val="single" w:sz="32" w:space="0" w:color="FFFFFF"/>
            </w:tcBorders>
            <w:tcMar>
              <w:bottom w:w="28" w:type="dxa"/>
              <w:right w:w="40" w:type="dxa"/>
            </w:tcMar>
            <w:vAlign w:val="center"/>
          </w:tcPr>
          <w:p>
            <w:pPr>
              <w:pStyle w:val="TableContents"/>
              <w:bidi w:val="0"/>
              <w:spacing w:before="0" w:after="283"/>
              <w:jc w:val="left"/>
              <w:rPr/>
            </w:pPr>
            <w:r>
              <w:rPr/>
              <w:t> </w:t>
            </w:r>
          </w:p>
        </w:tc>
      </w:tr>
      <w:tr>
        <w:trPr/>
        <w:tc>
          <w:tcPr>
            <w:tcW w:w="2105" w:type="dxa"/>
            <w:tcBorders/>
            <w:shd w:fill="E5EBEE" w:val="clear"/>
            <w:vAlign w:val="center"/>
          </w:tcPr>
          <w:p>
            <w:pPr>
              <w:pStyle w:val="TableContents"/>
              <w:bidi w:val="0"/>
              <w:spacing w:before="0" w:after="283"/>
              <w:jc w:val="left"/>
              <w:rPr>
                <w:sz w:val="4"/>
                <w:szCs w:val="4"/>
              </w:rPr>
            </w:pPr>
            <w:r>
              <w:rPr>
                <w:sz w:val="4"/>
                <w:szCs w:val="4"/>
              </w:rPr>
            </w:r>
          </w:p>
        </w:tc>
        <w:tc>
          <w:tcPr>
            <w:tcW w:w="1055" w:type="dxa"/>
            <w:gridSpan w:val="4"/>
            <w:tcBorders>
              <w:left w:val="single" w:sz="32" w:space="0" w:color="FFFFFF"/>
              <w:right w:val="single" w:sz="32" w:space="0" w:color="FFFFFF"/>
            </w:tcBorders>
            <w:shd w:fill="E5EBEE" w:val="clear"/>
            <w:tcMar>
              <w:left w:w="28" w:type="dxa"/>
              <w:right w:w="28" w:type="dxa"/>
            </w:tcMar>
            <w:vAlign w:val="center"/>
          </w:tcPr>
          <w:p>
            <w:pPr>
              <w:pStyle w:val="TableContents"/>
              <w:bidi w:val="0"/>
              <w:spacing w:before="0" w:after="283"/>
              <w:jc w:val="left"/>
              <w:rPr/>
            </w:pPr>
            <w:r>
              <w:rPr/>
              <w:t> </w:t>
            </w:r>
          </w:p>
        </w:tc>
        <w:tc>
          <w:tcPr>
            <w:tcW w:w="1730" w:type="dxa"/>
            <w:gridSpan w:val="2"/>
            <w:tcBorders/>
            <w:shd w:fill="E5EBEE" w:val="clear"/>
            <w:vAlign w:val="center"/>
          </w:tcPr>
          <w:p>
            <w:pPr>
              <w:pStyle w:val="TableContents"/>
              <w:bidi w:val="0"/>
              <w:spacing w:before="0" w:after="283"/>
              <w:jc w:val="left"/>
              <w:rPr>
                <w:sz w:val="4"/>
                <w:szCs w:val="4"/>
              </w:rPr>
            </w:pPr>
            <w:r>
              <w:rPr>
                <w:sz w:val="4"/>
                <w:szCs w:val="4"/>
              </w:rPr>
            </w:r>
          </w:p>
        </w:tc>
        <w:tc>
          <w:tcPr>
            <w:tcW w:w="1580" w:type="dxa"/>
            <w:gridSpan w:val="2"/>
            <w:tcBorders>
              <w:left w:val="single" w:sz="32" w:space="0" w:color="FFFFFF"/>
              <w:right w:val="single" w:sz="32" w:space="0" w:color="FFFFFF"/>
            </w:tcBorders>
            <w:shd w:fill="E5EBEE" w:val="clear"/>
            <w:tcMar>
              <w:left w:w="28" w:type="dxa"/>
              <w:right w:w="28" w:type="dxa"/>
            </w:tcMar>
            <w:vAlign w:val="center"/>
          </w:tcPr>
          <w:p>
            <w:pPr>
              <w:pStyle w:val="TableContents"/>
              <w:bidi w:val="0"/>
              <w:spacing w:before="0" w:after="283"/>
              <w:jc w:val="left"/>
              <w:rPr/>
            </w:pPr>
            <w:r>
              <w:rPr/>
              <w:t> </w:t>
            </w:r>
          </w:p>
        </w:tc>
        <w:tc>
          <w:tcPr>
            <w:tcW w:w="620" w:type="dxa"/>
            <w:gridSpan w:val="2"/>
            <w:tcBorders>
              <w:right w:val="single" w:sz="32" w:space="0" w:color="FFFFFF"/>
            </w:tcBorders>
            <w:shd w:fill="E5EBEE" w:val="clear"/>
            <w:tcMar>
              <w:righ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shd w:fill="E5EBEE" w:val="clear"/>
            <w:tcMar>
              <w:bottom w:w="60" w:type="dxa"/>
            </w:tcMar>
            <w:vAlign w:val="center"/>
          </w:tcPr>
          <w:p>
            <w:pPr>
              <w:pStyle w:val="TableContents"/>
              <w:bidi w:val="0"/>
              <w:spacing w:before="0" w:after="0"/>
              <w:jc w:val="left"/>
              <w:rPr>
                <w:rFonts w:ascii="arial" w:hAnsi="arial"/>
                <w:sz w:val="20"/>
              </w:rPr>
            </w:pPr>
            <w:r>
              <w:rPr>
                <w:rFonts w:ascii="arial" w:hAnsi="arial"/>
                <w:sz w:val="20"/>
              </w:rPr>
              <w:t>Peter E. Raskind</w:t>
            </w:r>
          </w:p>
        </w:tc>
        <w:tc>
          <w:tcPr>
            <w:tcW w:w="120"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15"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283"/>
              <w:jc w:val="left"/>
              <w:rPr/>
            </w:pPr>
            <w:r>
              <w:rPr/>
              <w:t> </w:t>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61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0"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60" w:type="dxa"/>
            <w:tcBorders>
              <w:bottom w:val="single" w:sz="8" w:space="0" w:color="003A5D"/>
              <w:right w:val="single" w:sz="32" w:space="0" w:color="FFFFFF"/>
            </w:tcBorders>
            <w:shd w:fill="E5EBEE" w:val="clear"/>
            <w:tcMar>
              <w:bottom w:w="60"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23825" cy="123825"/>
                  <wp:effectExtent l="0" t="0" r="0" b="0"/>
                  <wp:docPr id="4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2" descr=""/>
                          <pic:cNvPicPr>
                            <a:picLocks noChangeAspect="1" noChangeArrowheads="1"/>
                          </pic:cNvPicPr>
                        </pic:nvPicPr>
                        <pic:blipFill>
                          <a:blip r:embed="rId43"/>
                          <a:stretch>
                            <a:fillRect/>
                          </a:stretch>
                        </pic:blipFill>
                        <pic:spPr bwMode="auto">
                          <a:xfrm>
                            <a:off x="0" y="0"/>
                            <a:ext cx="123825" cy="123825"/>
                          </a:xfrm>
                          <a:prstGeom prst="rect">
                            <a:avLst/>
                          </a:prstGeom>
                        </pic:spPr>
                      </pic:pic>
                    </a:graphicData>
                  </a:graphic>
                </wp:inline>
              </w:drawing>
            </w:r>
            <w:r>
              <w:rPr/>
              <w:t xml:space="preserve"> </w:t>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500" w:type="dxa"/>
            <w:tcBorders>
              <w:bottom w:val="single" w:sz="8" w:space="0" w:color="003A5D"/>
              <w:right w:val="single" w:sz="32" w:space="0" w:color="FFFFFF"/>
            </w:tcBorders>
            <w:shd w:fill="E5EBEE" w:val="clear"/>
            <w:tcMar>
              <w:bottom w:w="60"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23825" cy="123825"/>
                  <wp:effectExtent l="0" t="0" r="0" b="0"/>
                  <wp:docPr id="4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3" descr=""/>
                          <pic:cNvPicPr>
                            <a:picLocks noChangeAspect="1" noChangeArrowheads="1"/>
                          </pic:cNvPicPr>
                        </pic:nvPicPr>
                        <pic:blipFill>
                          <a:blip r:embed="rId44"/>
                          <a:stretch>
                            <a:fillRect/>
                          </a:stretch>
                        </pic:blipFill>
                        <pic:spPr bwMode="auto">
                          <a:xfrm>
                            <a:off x="0" y="0"/>
                            <a:ext cx="123825" cy="123825"/>
                          </a:xfrm>
                          <a:prstGeom prst="rect">
                            <a:avLst/>
                          </a:prstGeom>
                        </pic:spPr>
                      </pic:pic>
                    </a:graphicData>
                  </a:graphic>
                </wp:inline>
              </w:drawing>
            </w:r>
            <w:r>
              <w:rPr/>
              <w:t xml:space="preserve">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1055" w:type="dxa"/>
            <w:gridSpan w:val="4"/>
            <w:tcBorders>
              <w:left w:val="single" w:sz="32" w:space="0" w:color="FFFFFF"/>
              <w:right w:val="single" w:sz="32" w:space="0" w:color="FFFFFF"/>
            </w:tcBorders>
            <w:tcMar>
              <w:left w:w="28" w:type="dxa"/>
              <w:right w:w="28" w:type="dxa"/>
            </w:tcMar>
            <w:vAlign w:val="center"/>
          </w:tcPr>
          <w:p>
            <w:pPr>
              <w:pStyle w:val="TableContents"/>
              <w:bidi w:val="0"/>
              <w:spacing w:before="0" w:after="283"/>
              <w:jc w:val="left"/>
              <w:rPr/>
            </w:pPr>
            <w:r>
              <w:rPr/>
              <w:t> </w:t>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left w:val="single" w:sz="32" w:space="0" w:color="FFFFFF"/>
              <w:right w:val="single" w:sz="32" w:space="0" w:color="FFFFFF"/>
            </w:tcBorders>
            <w:tcMar>
              <w:left w:w="28" w:type="dxa"/>
              <w:right w:w="28" w:type="dxa"/>
            </w:tcMar>
            <w:vAlign w:val="center"/>
          </w:tcPr>
          <w:p>
            <w:pPr>
              <w:pStyle w:val="TableContents"/>
              <w:bidi w:val="0"/>
              <w:spacing w:before="0" w:after="283"/>
              <w:jc w:val="left"/>
              <w:rPr/>
            </w:pPr>
            <w:r>
              <w:rPr/>
              <w:t> </w:t>
            </w:r>
          </w:p>
        </w:tc>
        <w:tc>
          <w:tcPr>
            <w:tcW w:w="620" w:type="dxa"/>
            <w:gridSpan w:val="2"/>
            <w:tcBorders>
              <w:right w:val="single" w:sz="32" w:space="0" w:color="FFFFFF"/>
            </w:tcBorders>
            <w:tcMar>
              <w:righ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tcMar>
              <w:bottom w:w="60" w:type="dxa"/>
            </w:tcMar>
            <w:vAlign w:val="center"/>
          </w:tcPr>
          <w:p>
            <w:pPr>
              <w:pStyle w:val="TableContents"/>
              <w:bidi w:val="0"/>
              <w:spacing w:before="0" w:after="0"/>
              <w:jc w:val="left"/>
              <w:rPr>
                <w:rFonts w:ascii="arial" w:hAnsi="arial"/>
                <w:sz w:val="20"/>
              </w:rPr>
            </w:pPr>
            <w:r>
              <w:rPr>
                <w:rFonts w:ascii="arial" w:hAnsi="arial"/>
                <w:sz w:val="20"/>
              </w:rPr>
              <w:t>Eileen Serra(2)</w:t>
            </w:r>
          </w:p>
        </w:tc>
        <w:tc>
          <w:tcPr>
            <w:tcW w:w="120"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15" w:type="dxa"/>
            <w:tcBorders>
              <w:bottom w:val="single" w:sz="8" w:space="0" w:color="003A5D"/>
            </w:tcBorders>
            <w:tcMar>
              <w:bottom w:w="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27000" cy="127000"/>
                  <wp:effectExtent l="0" t="0" r="0" b="0"/>
                  <wp:docPr id="5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4" descr=""/>
                          <pic:cNvPicPr>
                            <a:picLocks noChangeAspect="1" noChangeArrowheads="1"/>
                          </pic:cNvPicPr>
                        </pic:nvPicPr>
                        <pic:blipFill>
                          <a:blip r:embed="rId45"/>
                          <a:stretch>
                            <a:fillRect/>
                          </a:stretch>
                        </pic:blipFill>
                        <pic:spPr bwMode="auto">
                          <a:xfrm>
                            <a:off x="0" y="0"/>
                            <a:ext cx="127000" cy="127000"/>
                          </a:xfrm>
                          <a:prstGeom prst="rect">
                            <a:avLst/>
                          </a:prstGeom>
                        </pic:spPr>
                      </pic:pic>
                    </a:graphicData>
                  </a:graphic>
                </wp:inline>
              </w:drawing>
            </w:r>
            <w:r>
              <w:rPr/>
              <w:t xml:space="preserve"> </w:t>
            </w:r>
          </w:p>
        </w:tc>
        <w:tc>
          <w:tcPr>
            <w:tcW w:w="60" w:type="dxa"/>
            <w:tcBorders>
              <w:bottom w:val="single" w:sz="8" w:space="0" w:color="003A5D"/>
              <w:right w:val="single" w:sz="32" w:space="0" w:color="FFFFFF"/>
            </w:tcBorders>
            <w:tcMar>
              <w:bottom w:w="60"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1610" w:type="dxa"/>
            <w:tcBorders>
              <w:bottom w:val="single" w:sz="8" w:space="0" w:color="003A5D"/>
            </w:tcBorders>
            <w:tcMar>
              <w:bottom w:w="28" w:type="dxa"/>
            </w:tcMar>
            <w:vAlign w:val="center"/>
          </w:tcPr>
          <w:p>
            <w:pPr>
              <w:pStyle w:val="TableContents"/>
              <w:bidi w:val="0"/>
              <w:spacing w:before="0" w:after="283"/>
              <w:jc w:val="left"/>
              <w:rPr/>
            </w:pPr>
            <w:r>
              <w:rPr/>
              <w:t> </w:t>
            </w:r>
          </w:p>
        </w:tc>
        <w:tc>
          <w:tcPr>
            <w:tcW w:w="120"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460" w:type="dxa"/>
            <w:tcBorders>
              <w:bottom w:val="single" w:sz="8" w:space="0" w:color="003A5D"/>
              <w:right w:val="single" w:sz="32" w:space="0" w:color="FFFFFF"/>
            </w:tcBorders>
            <w:tcMar>
              <w:bottom w:w="28" w:type="dxa"/>
              <w:right w:w="28" w:type="dxa"/>
            </w:tcMar>
            <w:vAlign w:val="center"/>
          </w:tcPr>
          <w:p>
            <w:pPr>
              <w:pStyle w:val="TableContents"/>
              <w:bidi w:val="0"/>
              <w:spacing w:before="0" w:after="283"/>
              <w:jc w:val="left"/>
              <w:rPr/>
            </w:pPr>
            <w:r>
              <w:rPr/>
              <w:t> </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500" w:type="dxa"/>
            <w:tcBorders>
              <w:bottom w:val="single" w:sz="8" w:space="0" w:color="003A5D"/>
              <w:right w:val="single" w:sz="32" w:space="0" w:color="FFFFFF"/>
            </w:tcBorders>
            <w:tcMar>
              <w:bottom w:w="60"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27000" cy="127000"/>
                  <wp:effectExtent l="0" t="0" r="0" b="0"/>
                  <wp:docPr id="5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5" descr=""/>
                          <pic:cNvPicPr>
                            <a:picLocks noChangeAspect="1" noChangeArrowheads="1"/>
                          </pic:cNvPicPr>
                        </pic:nvPicPr>
                        <pic:blipFill>
                          <a:blip r:embed="rId46"/>
                          <a:stretch>
                            <a:fillRect/>
                          </a:stretch>
                        </pic:blipFill>
                        <pic:spPr bwMode="auto">
                          <a:xfrm>
                            <a:off x="0" y="0"/>
                            <a:ext cx="127000" cy="127000"/>
                          </a:xfrm>
                          <a:prstGeom prst="rect">
                            <a:avLst/>
                          </a:prstGeom>
                        </pic:spPr>
                      </pic:pic>
                    </a:graphicData>
                  </a:graphic>
                </wp:inline>
              </w:drawing>
            </w:r>
            <w:r>
              <w:rPr/>
              <w:t xml:space="preserve"> </w:t>
            </w:r>
          </w:p>
        </w:tc>
      </w:tr>
      <w:tr>
        <w:trPr/>
        <w:tc>
          <w:tcPr>
            <w:tcW w:w="2105" w:type="dxa"/>
            <w:tcBorders/>
            <w:shd w:fill="E5EBEE" w:val="clear"/>
            <w:vAlign w:val="center"/>
          </w:tcPr>
          <w:p>
            <w:pPr>
              <w:pStyle w:val="TableContents"/>
              <w:bidi w:val="0"/>
              <w:spacing w:before="0" w:after="283"/>
              <w:jc w:val="left"/>
              <w:rPr>
                <w:sz w:val="4"/>
                <w:szCs w:val="4"/>
              </w:rPr>
            </w:pPr>
            <w:r>
              <w:rPr>
                <w:sz w:val="4"/>
                <w:szCs w:val="4"/>
              </w:rPr>
            </w:r>
          </w:p>
        </w:tc>
        <w:tc>
          <w:tcPr>
            <w:tcW w:w="1055" w:type="dxa"/>
            <w:gridSpan w:val="4"/>
            <w:tcBorders>
              <w:left w:val="single" w:sz="32" w:space="0" w:color="FFFFFF"/>
              <w:right w:val="single" w:sz="32" w:space="0" w:color="FFFFFF"/>
            </w:tcBorders>
            <w:shd w:fill="E5EBEE" w:val="clear"/>
            <w:tcMar>
              <w:left w:w="28" w:type="dxa"/>
              <w:right w:w="28" w:type="dxa"/>
            </w:tcMar>
            <w:vAlign w:val="center"/>
          </w:tcPr>
          <w:p>
            <w:pPr>
              <w:pStyle w:val="TableContents"/>
              <w:bidi w:val="0"/>
              <w:spacing w:before="0" w:after="283"/>
              <w:jc w:val="left"/>
              <w:rPr/>
            </w:pPr>
            <w:r>
              <w:rPr/>
              <w:t> </w:t>
            </w:r>
          </w:p>
        </w:tc>
        <w:tc>
          <w:tcPr>
            <w:tcW w:w="1730" w:type="dxa"/>
            <w:gridSpan w:val="2"/>
            <w:tcBorders/>
            <w:shd w:fill="E5EBEE" w:val="clear"/>
            <w:vAlign w:val="center"/>
          </w:tcPr>
          <w:p>
            <w:pPr>
              <w:pStyle w:val="TableContents"/>
              <w:bidi w:val="0"/>
              <w:spacing w:before="0" w:after="283"/>
              <w:jc w:val="left"/>
              <w:rPr>
                <w:sz w:val="4"/>
                <w:szCs w:val="4"/>
              </w:rPr>
            </w:pPr>
            <w:r>
              <w:rPr>
                <w:sz w:val="4"/>
                <w:szCs w:val="4"/>
              </w:rPr>
            </w:r>
          </w:p>
        </w:tc>
        <w:tc>
          <w:tcPr>
            <w:tcW w:w="1580" w:type="dxa"/>
            <w:gridSpan w:val="2"/>
            <w:tcBorders>
              <w:left w:val="single" w:sz="32" w:space="0" w:color="FFFFFF"/>
              <w:right w:val="single" w:sz="32" w:space="0" w:color="FFFFFF"/>
            </w:tcBorders>
            <w:shd w:fill="E5EBEE" w:val="clear"/>
            <w:tcMar>
              <w:left w:w="28" w:type="dxa"/>
              <w:right w:w="28" w:type="dxa"/>
            </w:tcMar>
            <w:vAlign w:val="center"/>
          </w:tcPr>
          <w:p>
            <w:pPr>
              <w:pStyle w:val="TableContents"/>
              <w:bidi w:val="0"/>
              <w:spacing w:before="0" w:after="283"/>
              <w:jc w:val="left"/>
              <w:rPr/>
            </w:pPr>
            <w:r>
              <w:rPr/>
              <w:t> </w:t>
            </w:r>
          </w:p>
        </w:tc>
        <w:tc>
          <w:tcPr>
            <w:tcW w:w="620" w:type="dxa"/>
            <w:gridSpan w:val="2"/>
            <w:tcBorders>
              <w:right w:val="single" w:sz="32" w:space="0" w:color="FFFFFF"/>
            </w:tcBorders>
            <w:shd w:fill="E5EBEE" w:val="clear"/>
            <w:tcMar>
              <w:righ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shd w:fill="E5EBEE" w:val="clear"/>
            <w:tcMar>
              <w:bottom w:w="60" w:type="dxa"/>
            </w:tcMar>
            <w:vAlign w:val="center"/>
          </w:tcPr>
          <w:p>
            <w:pPr>
              <w:pStyle w:val="TableContents"/>
              <w:bidi w:val="0"/>
              <w:spacing w:before="0" w:after="0"/>
              <w:jc w:val="left"/>
              <w:rPr>
                <w:rFonts w:ascii="arial" w:hAnsi="arial"/>
                <w:sz w:val="20"/>
              </w:rPr>
            </w:pPr>
            <w:r>
              <w:rPr>
                <w:rFonts w:ascii="arial" w:hAnsi="arial"/>
                <w:sz w:val="20"/>
              </w:rPr>
              <w:t>Mayo A. Shattuck III</w:t>
            </w:r>
          </w:p>
        </w:tc>
        <w:tc>
          <w:tcPr>
            <w:tcW w:w="120"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15"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283"/>
              <w:jc w:val="left"/>
              <w:rPr/>
            </w:pPr>
            <w:r>
              <w:rPr/>
              <w:t> </w:t>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610" w:type="dxa"/>
            <w:tcBorders>
              <w:bottom w:val="single" w:sz="8" w:space="0" w:color="003A5D"/>
            </w:tcBorders>
            <w:shd w:fill="E5EBEE" w:val="clear"/>
            <w:tcMar>
              <w:bottom w:w="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23825" cy="123825"/>
                  <wp:effectExtent l="0" t="0" r="0" b="0"/>
                  <wp:docPr id="5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6" descr=""/>
                          <pic:cNvPicPr>
                            <a:picLocks noChangeAspect="1" noChangeArrowheads="1"/>
                          </pic:cNvPicPr>
                        </pic:nvPicPr>
                        <pic:blipFill>
                          <a:blip r:embed="rId47"/>
                          <a:stretch>
                            <a:fillRect/>
                          </a:stretch>
                        </pic:blipFill>
                        <pic:spPr bwMode="auto">
                          <a:xfrm>
                            <a:off x="0" y="0"/>
                            <a:ext cx="123825" cy="123825"/>
                          </a:xfrm>
                          <a:prstGeom prst="rect">
                            <a:avLst/>
                          </a:prstGeom>
                        </pic:spPr>
                      </pic:pic>
                    </a:graphicData>
                  </a:graphic>
                </wp:inline>
              </w:drawing>
            </w:r>
            <w:r>
              <w:rPr/>
              <w:t xml:space="preserve"> </w:t>
            </w:r>
          </w:p>
        </w:tc>
        <w:tc>
          <w:tcPr>
            <w:tcW w:w="120"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60" w:type="dxa"/>
            <w:tcBorders>
              <w:bottom w:val="single" w:sz="8" w:space="0" w:color="003A5D"/>
              <w:right w:val="single" w:sz="32" w:space="0" w:color="FFFFFF"/>
            </w:tcBorders>
            <w:shd w:fill="E5EBEE" w:val="clear"/>
            <w:tcMar>
              <w:bottom w:w="60"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23825" cy="123825"/>
                  <wp:effectExtent l="0" t="0" r="0" b="0"/>
                  <wp:docPr id="5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7" descr=""/>
                          <pic:cNvPicPr>
                            <a:picLocks noChangeAspect="1" noChangeArrowheads="1"/>
                          </pic:cNvPicPr>
                        </pic:nvPicPr>
                        <pic:blipFill>
                          <a:blip r:embed="rId48"/>
                          <a:stretch>
                            <a:fillRect/>
                          </a:stretch>
                        </pic:blipFill>
                        <pic:spPr bwMode="auto">
                          <a:xfrm>
                            <a:off x="0" y="0"/>
                            <a:ext cx="123825" cy="123825"/>
                          </a:xfrm>
                          <a:prstGeom prst="rect">
                            <a:avLst/>
                          </a:prstGeom>
                        </pic:spPr>
                      </pic:pic>
                    </a:graphicData>
                  </a:graphic>
                </wp:inline>
              </w:drawing>
            </w:r>
            <w:r>
              <w:rPr/>
              <w:t xml:space="preserve"> </w:t>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500" w:type="dxa"/>
            <w:tcBorders>
              <w:bottom w:val="single" w:sz="8" w:space="0" w:color="003A5D"/>
              <w:right w:val="single" w:sz="32" w:space="0" w:color="FFFFFF"/>
            </w:tcBorders>
            <w:shd w:fill="E5EBEE" w:val="clear"/>
            <w:tcMar>
              <w:bottom w:w="28" w:type="dxa"/>
              <w:right w:w="40" w:type="dxa"/>
            </w:tcM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1055" w:type="dxa"/>
            <w:gridSpan w:val="4"/>
            <w:tcBorders>
              <w:left w:val="single" w:sz="32" w:space="0" w:color="FFFFFF"/>
              <w:right w:val="single" w:sz="32" w:space="0" w:color="FFFFFF"/>
            </w:tcBorders>
            <w:tcMar>
              <w:left w:w="28" w:type="dxa"/>
              <w:right w:w="28" w:type="dxa"/>
            </w:tcMar>
            <w:vAlign w:val="center"/>
          </w:tcPr>
          <w:p>
            <w:pPr>
              <w:pStyle w:val="TableContents"/>
              <w:bidi w:val="0"/>
              <w:spacing w:before="0" w:after="283"/>
              <w:jc w:val="left"/>
              <w:rPr/>
            </w:pPr>
            <w:r>
              <w:rPr/>
              <w:t> </w:t>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left w:val="single" w:sz="32" w:space="0" w:color="FFFFFF"/>
              <w:right w:val="single" w:sz="32" w:space="0" w:color="FFFFFF"/>
            </w:tcBorders>
            <w:tcMar>
              <w:left w:w="28" w:type="dxa"/>
              <w:right w:w="28" w:type="dxa"/>
            </w:tcMar>
            <w:vAlign w:val="center"/>
          </w:tcPr>
          <w:p>
            <w:pPr>
              <w:pStyle w:val="TableContents"/>
              <w:bidi w:val="0"/>
              <w:spacing w:before="0" w:after="283"/>
              <w:jc w:val="left"/>
              <w:rPr/>
            </w:pPr>
            <w:r>
              <w:rPr/>
              <w:t> </w:t>
            </w:r>
          </w:p>
        </w:tc>
        <w:tc>
          <w:tcPr>
            <w:tcW w:w="620" w:type="dxa"/>
            <w:gridSpan w:val="2"/>
            <w:tcBorders>
              <w:right w:val="single" w:sz="32" w:space="0" w:color="FFFFFF"/>
            </w:tcBorders>
            <w:tcMar>
              <w:right w:w="28" w:type="dxa"/>
            </w:tcM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rFonts w:ascii="arial" w:hAnsi="arial"/>
                <w:sz w:val="20"/>
              </w:rPr>
            </w:pPr>
            <w:r>
              <w:rPr>
                <w:rFonts w:ascii="arial" w:hAnsi="arial"/>
                <w:sz w:val="20"/>
              </w:rPr>
              <w:t>Craig Anthony Williams</w:t>
            </w:r>
          </w:p>
        </w:tc>
        <w:tc>
          <w:tcPr>
            <w:tcW w:w="120" w:type="dxa"/>
            <w:tcBorders>
              <w:left w:val="single" w:sz="3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15"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27000" cy="127000"/>
                  <wp:effectExtent l="0" t="0" r="0" b="0"/>
                  <wp:docPr id="5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8" descr=""/>
                          <pic:cNvPicPr>
                            <a:picLocks noChangeAspect="1" noChangeArrowheads="1"/>
                          </pic:cNvPicPr>
                        </pic:nvPicPr>
                        <pic:blipFill>
                          <a:blip r:embed="rId49"/>
                          <a:stretch>
                            <a:fillRect/>
                          </a:stretch>
                        </pic:blipFill>
                        <pic:spPr bwMode="auto">
                          <a:xfrm>
                            <a:off x="0" y="0"/>
                            <a:ext cx="127000" cy="127000"/>
                          </a:xfrm>
                          <a:prstGeom prst="rect">
                            <a:avLst/>
                          </a:prstGeom>
                        </pic:spPr>
                      </pic:pic>
                    </a:graphicData>
                  </a:graphic>
                </wp:inline>
              </w:drawing>
            </w:r>
            <w:r>
              <w:rPr/>
              <w:t xml:space="preserve"> </w:t>
            </w:r>
          </w:p>
        </w:tc>
        <w:tc>
          <w:tcPr>
            <w:tcW w:w="60" w:type="dxa"/>
            <w:tcBorders>
              <w:right w:val="single" w:sz="32" w:space="0" w:color="FFFFFF"/>
            </w:tcBorders>
            <w:tcMar>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27000" cy="127000"/>
                  <wp:effectExtent l="0" t="0" r="0" b="0"/>
                  <wp:docPr id="5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9" descr=""/>
                          <pic:cNvPicPr>
                            <a:picLocks noChangeAspect="1" noChangeArrowheads="1"/>
                          </pic:cNvPicPr>
                        </pic:nvPicPr>
                        <pic:blipFill>
                          <a:blip r:embed="rId50"/>
                          <a:stretch>
                            <a:fillRect/>
                          </a:stretch>
                        </pic:blipFill>
                        <pic:spPr bwMode="auto">
                          <a:xfrm>
                            <a:off x="0" y="0"/>
                            <a:ext cx="127000" cy="127000"/>
                          </a:xfrm>
                          <a:prstGeom prst="rect">
                            <a:avLst/>
                          </a:prstGeom>
                        </pic:spPr>
                      </pic:pic>
                    </a:graphicData>
                  </a:graphic>
                </wp:inline>
              </w:drawing>
            </w:r>
            <w:r>
              <w:rPr/>
              <w:t xml:space="preserve"> </w:t>
            </w:r>
          </w:p>
        </w:tc>
        <w:tc>
          <w:tcPr>
            <w:tcW w:w="120" w:type="dxa"/>
            <w:tcBorders>
              <w:left w:val="single" w:sz="32" w:space="0" w:color="FFFFFF"/>
            </w:tcBorders>
            <w:tcMar>
              <w:left w:w="28" w:type="dxa"/>
            </w:tcMar>
            <w:vAlign w:val="center"/>
          </w:tcPr>
          <w:p>
            <w:pPr>
              <w:pStyle w:val="TableContents"/>
              <w:bidi w:val="0"/>
              <w:spacing w:before="0" w:after="283"/>
              <w:jc w:val="left"/>
              <w:rPr/>
            </w:pPr>
            <w:r>
              <w:rPr/>
              <w:t>  </w:t>
            </w:r>
          </w:p>
        </w:tc>
        <w:tc>
          <w:tcPr>
            <w:tcW w:w="1460" w:type="dxa"/>
            <w:tcBorders>
              <w:right w:val="single" w:sz="32" w:space="0" w:color="FFFFFF"/>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right w:val="single" w:sz="32" w:space="0" w:color="FFFFFF"/>
            </w:tcBorders>
            <w:tcMar>
              <w:right w:w="40" w:type="dxa"/>
            </w:tcMar>
            <w:vAlign w:val="center"/>
          </w:tcPr>
          <w:p>
            <w:pPr>
              <w:pStyle w:val="TableContents"/>
              <w:bidi w:val="0"/>
              <w:spacing w:before="0" w:after="283"/>
              <w:jc w:val="left"/>
              <w:rPr/>
            </w:pPr>
            <w:r>
              <w:rPr/>
              <w:t> </w:t>
            </w:r>
          </w:p>
        </w:tc>
      </w:tr>
      <w:tr>
        <w:trPr/>
        <w:tc>
          <w:tcPr>
            <w:tcW w:w="2105" w:type="dxa"/>
            <w:tcBorders/>
            <w:shd w:fill="003A5D" w:val="clear"/>
            <w:vAlign w:val="center"/>
          </w:tcPr>
          <w:p>
            <w:pPr>
              <w:pStyle w:val="TableContents"/>
              <w:bidi w:val="0"/>
              <w:spacing w:before="0" w:after="283"/>
              <w:jc w:val="left"/>
              <w:rPr>
                <w:sz w:val="4"/>
                <w:szCs w:val="4"/>
              </w:rPr>
            </w:pPr>
            <w:r>
              <w:rPr>
                <w:sz w:val="4"/>
                <w:szCs w:val="4"/>
              </w:rPr>
            </w:r>
          </w:p>
        </w:tc>
        <w:tc>
          <w:tcPr>
            <w:tcW w:w="1055" w:type="dxa"/>
            <w:gridSpan w:val="4"/>
            <w:tcBorders>
              <w:left w:val="single" w:sz="32" w:space="0" w:color="FFFFFF"/>
              <w:right w:val="single" w:sz="32" w:space="0" w:color="FFFFFF"/>
            </w:tcBorders>
            <w:shd w:fill="003A5D" w:val="clear"/>
            <w:tcMar>
              <w:left w:w="28" w:type="dxa"/>
              <w:right w:w="28" w:type="dxa"/>
            </w:tcMar>
            <w:vAlign w:val="center"/>
          </w:tcPr>
          <w:p>
            <w:pPr>
              <w:pStyle w:val="TableContents"/>
              <w:bidi w:val="0"/>
              <w:spacing w:before="0" w:after="283"/>
              <w:jc w:val="left"/>
              <w:rPr/>
            </w:pPr>
            <w:r>
              <w:rPr/>
              <w:t> </w:t>
            </w:r>
          </w:p>
        </w:tc>
        <w:tc>
          <w:tcPr>
            <w:tcW w:w="1730" w:type="dxa"/>
            <w:gridSpan w:val="2"/>
            <w:tcBorders/>
            <w:shd w:fill="003A5D" w:val="clear"/>
            <w:vAlign w:val="center"/>
          </w:tcPr>
          <w:p>
            <w:pPr>
              <w:pStyle w:val="TableContents"/>
              <w:bidi w:val="0"/>
              <w:spacing w:before="0" w:after="283"/>
              <w:jc w:val="left"/>
              <w:rPr>
                <w:sz w:val="4"/>
                <w:szCs w:val="4"/>
              </w:rPr>
            </w:pPr>
            <w:r>
              <w:rPr>
                <w:sz w:val="4"/>
                <w:szCs w:val="4"/>
              </w:rPr>
            </w:r>
          </w:p>
        </w:tc>
        <w:tc>
          <w:tcPr>
            <w:tcW w:w="1580" w:type="dxa"/>
            <w:gridSpan w:val="2"/>
            <w:tcBorders>
              <w:left w:val="single" w:sz="32" w:space="0" w:color="FFFFFF"/>
              <w:right w:val="single" w:sz="32" w:space="0" w:color="FFFFFF"/>
            </w:tcBorders>
            <w:shd w:fill="003A5D" w:val="clear"/>
            <w:tcMar>
              <w:left w:w="28" w:type="dxa"/>
              <w:right w:w="28" w:type="dxa"/>
            </w:tcMar>
            <w:vAlign w:val="center"/>
          </w:tcPr>
          <w:p>
            <w:pPr>
              <w:pStyle w:val="TableContents"/>
              <w:bidi w:val="0"/>
              <w:spacing w:before="0" w:after="283"/>
              <w:jc w:val="left"/>
              <w:rPr/>
            </w:pPr>
            <w:r>
              <w:rPr/>
              <w:t> </w:t>
            </w:r>
          </w:p>
        </w:tc>
        <w:tc>
          <w:tcPr>
            <w:tcW w:w="620" w:type="dxa"/>
            <w:gridSpan w:val="2"/>
            <w:tcBorders>
              <w:right w:val="single" w:sz="32" w:space="0" w:color="FFFFFF"/>
            </w:tcBorders>
            <w:shd w:fill="003A5D" w:val="clear"/>
            <w:tcMar>
              <w:right w:w="28" w:type="dxa"/>
            </w:tcMar>
            <w:vAlign w:val="center"/>
          </w:tcPr>
          <w:p>
            <w:pPr>
              <w:pStyle w:val="TableContents"/>
              <w:bidi w:val="0"/>
              <w:spacing w:before="0" w:after="283"/>
              <w:jc w:val="left"/>
              <w:rPr/>
            </w:pPr>
            <w:r>
              <w:rPr/>
              <w:t> </w:t>
            </w:r>
          </w:p>
        </w:tc>
      </w:tr>
      <w:tr>
        <w:trPr/>
        <w:tc>
          <w:tcPr>
            <w:tcW w:w="2105" w:type="dxa"/>
            <w:tcBorders/>
            <w:shd w:fill="003A5D" w:val="clear"/>
            <w:vAlign w:val="center"/>
          </w:tcPr>
          <w:p>
            <w:pPr>
              <w:pStyle w:val="TableContents"/>
              <w:bidi w:val="0"/>
              <w:spacing w:lineRule="atLeast" w:line="300" w:before="0" w:after="0"/>
              <w:jc w:val="both"/>
              <w:rPr>
                <w:rFonts w:ascii="arial" w:hAnsi="arial"/>
                <w:b/>
                <w:color w:val="FFFFFF"/>
                <w:sz w:val="18"/>
              </w:rPr>
            </w:pPr>
            <w:r>
              <w:rPr>
                <w:rFonts w:ascii="arial" w:hAnsi="arial"/>
                <w:b/>
                <w:color w:val="FFFFFF"/>
                <w:sz w:val="18"/>
              </w:rPr>
              <w:t>NUMBER OF MEETINGS</w:t>
            </w:r>
          </w:p>
        </w:tc>
        <w:tc>
          <w:tcPr>
            <w:tcW w:w="120" w:type="dxa"/>
            <w:tcBorders>
              <w:left w:val="single" w:sz="32" w:space="0" w:color="FFFFFF"/>
            </w:tcBorders>
            <w:shd w:fill="003A5D" w:val="clear"/>
            <w:tcMar>
              <w:left w:w="28" w:type="dxa"/>
            </w:tcM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color w:val="FFFFFF"/>
              </w:rPr>
            </w:pPr>
            <w:r>
              <w:rPr>
                <w:color w:val="FFFFFF"/>
              </w:rPr>
              <w:t> </w:t>
            </w:r>
          </w:p>
        </w:tc>
        <w:tc>
          <w:tcPr>
            <w:tcW w:w="815" w:type="dxa"/>
            <w:tcBorders/>
            <w:shd w:fill="003A5D" w:val="clear"/>
            <w:vAlign w:val="center"/>
          </w:tcPr>
          <w:p>
            <w:pPr>
              <w:pStyle w:val="TableContents"/>
              <w:bidi w:val="0"/>
              <w:spacing w:before="0" w:after="283"/>
              <w:jc w:val="center"/>
              <w:rPr>
                <w:b/>
                <w:color w:val="FFFFFF"/>
              </w:rPr>
            </w:pPr>
            <w:r>
              <w:rPr>
                <w:b/>
                <w:color w:val="FFFFFF"/>
              </w:rPr>
              <w:t>11</w:t>
            </w:r>
          </w:p>
        </w:tc>
        <w:tc>
          <w:tcPr>
            <w:tcW w:w="60" w:type="dxa"/>
            <w:tcBorders>
              <w:right w:val="single" w:sz="32" w:space="0" w:color="FFFFFF"/>
            </w:tcBorders>
            <w:shd w:fill="003A5D" w:val="clear"/>
            <w:tcMar>
              <w:right w:w="28" w:type="dxa"/>
            </w:tcMar>
            <w:vAlign w:val="center"/>
          </w:tcPr>
          <w:p>
            <w:pPr>
              <w:pStyle w:val="TableContents"/>
              <w:bidi w:val="0"/>
              <w:spacing w:before="0" w:after="283"/>
              <w:jc w:val="left"/>
              <w:rPr>
                <w:color w:val="FFFFFF"/>
              </w:rPr>
            </w:pPr>
            <w:r>
              <w:rPr>
                <w:color w:val="FFFFFF"/>
              </w:rPr>
              <w:t> </w:t>
            </w:r>
          </w:p>
        </w:tc>
        <w:tc>
          <w:tcPr>
            <w:tcW w:w="120" w:type="dxa"/>
            <w:tcBorders/>
            <w:shd w:fill="003A5D" w:val="clear"/>
            <w:vAlign w:val="center"/>
          </w:tcPr>
          <w:p>
            <w:pPr>
              <w:pStyle w:val="TableContents"/>
              <w:bidi w:val="0"/>
              <w:spacing w:before="0" w:after="283"/>
              <w:jc w:val="left"/>
              <w:rPr/>
            </w:pPr>
            <w:r>
              <w:rPr/>
              <w:t>  </w:t>
            </w:r>
          </w:p>
        </w:tc>
        <w:tc>
          <w:tcPr>
            <w:tcW w:w="1610" w:type="dxa"/>
            <w:tcBorders/>
            <w:shd w:fill="003A5D" w:val="clear"/>
            <w:vAlign w:val="center"/>
          </w:tcPr>
          <w:p>
            <w:pPr>
              <w:pStyle w:val="TableContents"/>
              <w:bidi w:val="0"/>
              <w:spacing w:before="0" w:after="283"/>
              <w:jc w:val="center"/>
              <w:rPr>
                <w:b/>
                <w:color w:val="FFFFFF"/>
              </w:rPr>
            </w:pPr>
            <w:r>
              <w:rPr>
                <w:b/>
                <w:color w:val="FFFFFF"/>
              </w:rPr>
              <w:t>6</w:t>
            </w:r>
          </w:p>
        </w:tc>
        <w:tc>
          <w:tcPr>
            <w:tcW w:w="120" w:type="dxa"/>
            <w:tcBorders>
              <w:left w:val="single" w:sz="32" w:space="0" w:color="FFFFFF"/>
            </w:tcBorders>
            <w:shd w:fill="003A5D" w:val="clear"/>
            <w:tcMar>
              <w:left w:w="28" w:type="dxa"/>
            </w:tcMar>
            <w:vAlign w:val="center"/>
          </w:tcPr>
          <w:p>
            <w:pPr>
              <w:pStyle w:val="TableContents"/>
              <w:bidi w:val="0"/>
              <w:spacing w:before="0" w:after="283"/>
              <w:jc w:val="left"/>
              <w:rPr/>
            </w:pPr>
            <w:r>
              <w:rPr/>
              <w:t>  </w:t>
            </w:r>
          </w:p>
        </w:tc>
        <w:tc>
          <w:tcPr>
            <w:tcW w:w="1460" w:type="dxa"/>
            <w:tcBorders>
              <w:right w:val="single" w:sz="32"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8</w:t>
            </w:r>
          </w:p>
        </w:tc>
        <w:tc>
          <w:tcPr>
            <w:tcW w:w="120" w:type="dxa"/>
            <w:tcBorders/>
            <w:shd w:fill="003A5D" w:val="clear"/>
            <w:vAlign w:val="center"/>
          </w:tcPr>
          <w:p>
            <w:pPr>
              <w:pStyle w:val="TableContents"/>
              <w:bidi w:val="0"/>
              <w:spacing w:before="0" w:after="283"/>
              <w:jc w:val="left"/>
              <w:rPr/>
            </w:pPr>
            <w:r>
              <w:rPr/>
              <w:t>  </w:t>
            </w:r>
          </w:p>
        </w:tc>
        <w:tc>
          <w:tcPr>
            <w:tcW w:w="500" w:type="dxa"/>
            <w:tcBorders>
              <w:right w:val="single" w:sz="32" w:space="0" w:color="FFFFFF"/>
            </w:tcBorders>
            <w:shd w:fill="003A5D" w:val="clear"/>
            <w:tcMar>
              <w:right w:w="40" w:type="dxa"/>
            </w:tcMar>
            <w:vAlign w:val="center"/>
          </w:tcPr>
          <w:p>
            <w:pPr>
              <w:pStyle w:val="TableContents"/>
              <w:bidi w:val="0"/>
              <w:spacing w:before="0" w:after="283"/>
              <w:jc w:val="center"/>
              <w:rPr>
                <w:b/>
                <w:color w:val="FFFFFF"/>
              </w:rPr>
            </w:pPr>
            <w:r>
              <w:rPr>
                <w:b/>
                <w:color w:val="FFFFFF"/>
              </w:rPr>
              <w:t>7</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120" w:type="dxa"/>
            <w:tcBorders>
              <w:left w:val="single" w:sz="3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right w:val="single" w:sz="32" w:space="0" w:color="FFFFFF"/>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sz w:val="4"/>
                <w:szCs w:val="4"/>
              </w:rPr>
            </w:pPr>
            <w:r>
              <w:rPr>
                <w:sz w:val="4"/>
                <w:szCs w:val="4"/>
              </w:rPr>
            </w:r>
          </w:p>
        </w:tc>
        <w:tc>
          <w:tcPr>
            <w:tcW w:w="120" w:type="dxa"/>
            <w:tcBorders>
              <w:left w:val="single" w:sz="32" w:space="0" w:color="FFFFFF"/>
              <w:bottom w:val="single" w:sz="32" w:space="0" w:color="FFFFFF"/>
            </w:tcBorders>
            <w:tcMar>
              <w:left w:w="28" w:type="dxa"/>
              <w:bottom w:w="28" w:type="dxa"/>
            </w:tcMar>
            <w:vAlign w:val="center"/>
          </w:tcPr>
          <w:p>
            <w:pPr>
              <w:pStyle w:val="TableContents"/>
              <w:bidi w:val="0"/>
              <w:spacing w:before="0" w:after="283"/>
              <w:jc w:val="left"/>
              <w:rPr/>
            </w:pPr>
            <w:r>
              <w:rPr/>
              <w:t>  </w:t>
            </w:r>
          </w:p>
        </w:tc>
        <w:tc>
          <w:tcPr>
            <w:tcW w:w="1460" w:type="dxa"/>
            <w:tcBorders>
              <w:bottom w:val="single" w:sz="32" w:space="0" w:color="FFFFFF"/>
              <w:right w:val="single" w:sz="32" w:space="0" w:color="FFFFFF"/>
            </w:tcBorders>
            <w:tcMar>
              <w:bottom w:w="28" w:type="dxa"/>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right w:val="single" w:sz="32" w:space="0" w:color="FFFFFF"/>
            </w:tcBorders>
            <w:tcMar>
              <w:right w:w="40" w:type="dxa"/>
            </w:tcMar>
            <w:vAlign w:val="center"/>
          </w:tcPr>
          <w:p>
            <w:pPr>
              <w:pStyle w:val="TableContents"/>
              <w:bidi w:val="0"/>
              <w:spacing w:before="0" w:after="283"/>
              <w:jc w:val="left"/>
              <w:rPr/>
            </w:pPr>
            <w:r>
              <w:rPr/>
              <w:t> </w:t>
            </w:r>
          </w:p>
        </w:tc>
      </w:tr>
    </w:tbl>
    <w:p>
      <w:pPr>
        <w:pStyle w:val="TextBody"/>
        <w:bidi w:val="0"/>
        <w:spacing w:before="40" w:after="0"/>
        <w:jc w:val="left"/>
        <w:rPr/>
      </w:pPr>
      <w:r>
        <w:rPr/>
        <w:drawing>
          <wp:inline distT="0" distB="0" distL="0" distR="0">
            <wp:extent cx="127000" cy="127000"/>
            <wp:effectExtent l="0" t="0" r="0" b="0"/>
            <wp:docPr id="5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0" descr=""/>
                    <pic:cNvPicPr>
                      <a:picLocks noChangeAspect="1" noChangeArrowheads="1"/>
                    </pic:cNvPicPr>
                  </pic:nvPicPr>
                  <pic:blipFill>
                    <a:blip r:embed="rId51"/>
                    <a:stretch>
                      <a:fillRect/>
                    </a:stretch>
                  </pic:blipFill>
                  <pic:spPr bwMode="auto">
                    <a:xfrm>
                      <a:off x="0" y="0"/>
                      <a:ext cx="127000" cy="127000"/>
                    </a:xfrm>
                    <a:prstGeom prst="rect">
                      <a:avLst/>
                    </a:prstGeom>
                  </pic:spPr>
                </pic:pic>
              </a:graphicData>
            </a:graphic>
          </wp:inline>
        </w:drawing>
      </w:r>
      <w:r>
        <w:rPr/>
        <w:t xml:space="preserve"> </w:t>
      </w:r>
      <w:r>
        <w:rPr>
          <w:rFonts w:ascii="arial" w:hAnsi="arial"/>
          <w:sz w:val="20"/>
        </w:rPr>
        <w:t xml:space="preserve">Chair  </w:t>
      </w:r>
      <w:r>
        <w:rPr>
          <w:rFonts w:ascii="arial" w:hAnsi="arial"/>
          <w:sz w:val="20"/>
        </w:rPr>
        <w:drawing>
          <wp:inline distT="0" distB="0" distL="0" distR="0">
            <wp:extent cx="127000" cy="127000"/>
            <wp:effectExtent l="0" t="0" r="0" b="0"/>
            <wp:docPr id="5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1" descr=""/>
                    <pic:cNvPicPr>
                      <a:picLocks noChangeAspect="1" noChangeArrowheads="1"/>
                    </pic:cNvPicPr>
                  </pic:nvPicPr>
                  <pic:blipFill>
                    <a:blip r:embed="rId52"/>
                    <a:stretch>
                      <a:fillRect/>
                    </a:stretch>
                  </pic:blipFill>
                  <pic:spPr bwMode="auto">
                    <a:xfrm>
                      <a:off x="0" y="0"/>
                      <a:ext cx="127000" cy="127000"/>
                    </a:xfrm>
                    <a:prstGeom prst="rect">
                      <a:avLst/>
                    </a:prstGeom>
                  </pic:spPr>
                </pic:pic>
              </a:graphicData>
            </a:graphic>
          </wp:inline>
        </w:drawing>
      </w:r>
      <w:r>
        <w:rPr>
          <w:rFonts w:ascii="arial" w:hAnsi="arial"/>
          <w:sz w:val="20"/>
        </w:rPr>
        <w:t xml:space="preserve"> Member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0"/>
              <w:jc w:val="both"/>
              <w:rPr>
                <w:rFonts w:ascii="arial" w:hAnsi="arial"/>
                <w:sz w:val="16"/>
              </w:rPr>
            </w:pPr>
            <w:r>
              <w:rPr>
                <w:rFonts w:ascii="arial" w:hAnsi="arial"/>
                <w:sz w:val="16"/>
              </w:rPr>
              <w:t xml:space="preserve">The Board has determined that each member of the Audit Committee is “financially literate” pursuant to the NYSE rules. No member of the Audit Committee simultaneously serves on the audit committees of more than three public companies, including Capital One.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0"/>
              <w:jc w:val="both"/>
              <w:rPr>
                <w:rFonts w:ascii="arial" w:hAnsi="arial"/>
                <w:sz w:val="16"/>
              </w:rPr>
            </w:pPr>
            <w:r>
              <w:rPr>
                <w:rFonts w:ascii="arial" w:hAnsi="arial"/>
                <w:sz w:val="16"/>
              </w:rPr>
              <w:t xml:space="preserve">The Board has determined that Ms. Detrick, Ms. Harford, Mr. Leenaars, and Ms. Serra are “audit committee financial experts” under the applicable Securities and Exchange Commission (“SEC”) rules based on their experience and qualifications. </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38 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4"/>
        </w:rPr>
      </w:pPr>
      <w:r>
        <w:rPr>
          <w:rFonts w:ascii="arial" w:hAnsi="arial"/>
          <w:b/>
          <w:i/>
          <w:color w:val="003A5D"/>
          <w:sz w:val="24"/>
        </w:rPr>
        <w:t xml:space="preserve">Committee Membership Determinations </w:t>
      </w:r>
    </w:p>
    <w:p>
      <w:pPr>
        <w:pStyle w:val="TextBody"/>
        <w:bidi w:val="0"/>
        <w:spacing w:before="240" w:after="0"/>
        <w:jc w:val="both"/>
        <w:rPr>
          <w:rFonts w:ascii="arial" w:hAnsi="arial"/>
          <w:sz w:val="20"/>
        </w:rPr>
      </w:pPr>
      <w:r>
        <w:rPr>
          <w:rFonts w:ascii="arial" w:hAnsi="arial"/>
          <w:sz w:val="20"/>
        </w:rPr>
        <w:t xml:space="preserve">Annually, the Governance and Nominating Committee assesses and considers membership for each of the Board’s standing committees. This review takes into account, among other factors, committee needs, director experience, committee succession planning, and the desire to balance membership continuity with new perspectives. </w:t>
      </w:r>
    </w:p>
    <w:p>
      <w:pPr>
        <w:pStyle w:val="TextBody"/>
        <w:bidi w:val="0"/>
        <w:spacing w:before="240" w:after="0"/>
        <w:jc w:val="both"/>
        <w:rPr>
          <w:rFonts w:ascii="arial" w:hAnsi="arial"/>
          <w:sz w:val="20"/>
        </w:rPr>
      </w:pPr>
      <w:r>
        <w:rPr>
          <w:rFonts w:ascii="arial" w:hAnsi="arial"/>
          <w:sz w:val="20"/>
        </w:rPr>
        <w:t xml:space="preserve">The Chair of the Governance and Nominating Committee facilitates discussions with management, committee chairs, the Chairman of the Board, and individual directors, as needed, and shares that feedback with the Governance and Nominating Committee. The Governance and Nominating Committee makes recommendations for committee membership and chairs to the full Board for review and approval at least annually. </w:t>
      </w:r>
    </w:p>
    <w:p>
      <w:pPr>
        <w:pStyle w:val="TextBody"/>
        <w:bidi w:val="0"/>
        <w:spacing w:before="240" w:after="0"/>
        <w:jc w:val="left"/>
        <w:rPr>
          <w:rFonts w:ascii="arial" w:hAnsi="arial"/>
          <w:b/>
          <w:i/>
          <w:color w:val="003A5D"/>
          <w:sz w:val="24"/>
        </w:rPr>
      </w:pPr>
      <w:bookmarkStart w:id="25" w:name="txa845790_210"/>
      <w:bookmarkEnd w:id="25"/>
      <w:r>
        <w:rPr>
          <w:rFonts w:ascii="arial" w:hAnsi="arial"/>
          <w:b/>
          <w:i/>
          <w:color w:val="003A5D"/>
          <w:sz w:val="24"/>
        </w:rPr>
        <w:t xml:space="preserve">Committee Responsibilities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36"/>
        <w:gridCol w:w="60"/>
        <w:gridCol w:w="6509"/>
      </w:tblGrid>
      <w:tr>
        <w:trPr/>
        <w:tc>
          <w:tcPr>
            <w:tcW w:w="36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9" w:type="dxa"/>
            <w:tcBorders/>
            <w:vAlign w:val="center"/>
          </w:tcPr>
          <w:p>
            <w:pPr>
              <w:pStyle w:val="TableContents"/>
              <w:bidi w:val="0"/>
              <w:spacing w:before="0" w:after="283"/>
              <w:jc w:val="left"/>
              <w:rPr>
                <w:sz w:val="4"/>
                <w:szCs w:val="4"/>
              </w:rPr>
            </w:pPr>
            <w:r>
              <w:rPr>
                <w:sz w:val="4"/>
                <w:szCs w:val="4"/>
              </w:rPr>
            </w:r>
          </w:p>
        </w:tc>
      </w:tr>
      <w:tr>
        <w:trPr/>
        <w:tc>
          <w:tcPr>
            <w:tcW w:w="3636" w:type="dxa"/>
            <w:tcBorders/>
            <w:shd w:fill="003A5D" w:val="clear"/>
            <w:vAlign w:val="center"/>
          </w:tcPr>
          <w:p>
            <w:pPr>
              <w:pStyle w:val="TableContents"/>
              <w:bidi w:val="0"/>
              <w:spacing w:before="0" w:after="283"/>
              <w:jc w:val="left"/>
              <w:rPr>
                <w:sz w:val="4"/>
                <w:szCs w:val="4"/>
              </w:rPr>
            </w:pPr>
            <w:r>
              <w:rPr>
                <w:sz w:val="4"/>
                <w:szCs w:val="4"/>
              </w:rPr>
            </w:r>
          </w:p>
        </w:tc>
        <w:tc>
          <w:tcPr>
            <w:tcW w:w="6569"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3636" w:type="dxa"/>
            <w:tcBorders/>
            <w:shd w:fill="003A5D" w:val="clear"/>
            <w:vAlign w:val="center"/>
          </w:tcPr>
          <w:p>
            <w:pPr>
              <w:pStyle w:val="TableContents"/>
              <w:bidi w:val="0"/>
              <w:spacing w:before="0" w:after="0"/>
              <w:jc w:val="center"/>
              <w:rPr>
                <w:rFonts w:ascii="arial" w:hAnsi="arial"/>
                <w:b/>
                <w:color w:val="FFFFFF"/>
                <w:sz w:val="24"/>
              </w:rPr>
            </w:pPr>
            <w:r>
              <w:rPr>
                <w:rFonts w:ascii="arial" w:hAnsi="arial"/>
                <w:b/>
                <w:color w:val="FFFFFF"/>
                <w:sz w:val="24"/>
              </w:rPr>
              <w:t>Audit Committee</w:t>
            </w:r>
          </w:p>
          <w:p>
            <w:pPr>
              <w:pStyle w:val="TableContents"/>
              <w:bidi w:val="0"/>
              <w:spacing w:before="0" w:after="20"/>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6509" w:type="dxa"/>
            <w:tcBorders/>
            <w:shd w:fill="003A5D" w:val="clear"/>
            <w:vAlign w:val="center"/>
          </w:tcPr>
          <w:p>
            <w:pPr>
              <w:pStyle w:val="TableContents"/>
              <w:bidi w:val="0"/>
              <w:spacing w:before="0" w:after="0"/>
              <w:jc w:val="center"/>
              <w:rPr>
                <w:rFonts w:ascii="arial" w:hAnsi="arial"/>
                <w:b/>
                <w:color w:val="FFFFFF"/>
                <w:sz w:val="24"/>
              </w:rPr>
            </w:pPr>
            <w:r>
              <w:rPr>
                <w:rFonts w:ascii="arial" w:hAnsi="arial"/>
                <w:b/>
                <w:color w:val="FFFFFF"/>
                <w:sz w:val="24"/>
              </w:rPr>
              <w:t>Compensation Committee</w:t>
            </w:r>
          </w:p>
          <w:p>
            <w:pPr>
              <w:pStyle w:val="TableContents"/>
              <w:bidi w:val="0"/>
              <w:spacing w:before="0" w:after="20"/>
              <w:jc w:val="left"/>
              <w:rPr/>
            </w:pPr>
            <w:r>
              <w:rPr/>
              <w:t> </w:t>
            </w:r>
          </w:p>
        </w:tc>
      </w:tr>
      <w:tr>
        <w:trPr/>
        <w:tc>
          <w:tcPr>
            <w:tcW w:w="3636"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Primary Responsibilities: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Have direct responsibility for the appointment, compensation, qualifications, independence, performance, and retention of the Company’s independent registered public accounting firm</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Assist our Board with the oversight of the integrity of the Company’s financial statements, including matters related to internal controls over financial reporting</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Review and discuss with management their assessment of the effectiveness of the Company’s internal disclosure controls and procedures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Review and discuss with management (in consultation with the Risk Committee) the Company’s risk assessment and risk management matters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Oversee the internal audit function, including the Chief Audit Officer’s performance, independence and compensation</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Perform the fiduciary audit function as the audit committee of our national bank subsidiary in accordance with federal banking regulations</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Review and recommend to the Board approval of the Company’s Code of Conduct, including any waivers of the Code of Conduct for directors and certain executive officers</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509"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Primary Responsibilities: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Evaluate, approve, and recommend to the Independent Directors the CEO’s and senior management’s compensation, including any salary levels, incentive awards, perquisites, and termination arrangements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Review and approve the Company’s goals and objectives relevant to compensation, and oversee the Company’s policies and programs relating to compensation and benefits available to senior management, and others who can expose the Company to material risk with a goal that such programs be designed and operated in a manner that achieves balance and is consistent with safety and soundness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Administer Capital One’s 2004 Stock Incentive Plan, 2002 Associate Stock Purchase Plan, and other compensation and benefits plans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Periodically review and recommend non-management director compensation to the Board</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Administer the Clawback Policy</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39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27"/>
        <w:gridCol w:w="60"/>
        <w:gridCol w:w="5718"/>
      </w:tblGrid>
      <w:tr>
        <w:trPr/>
        <w:tc>
          <w:tcPr>
            <w:tcW w:w="44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18" w:type="dxa"/>
            <w:tcBorders/>
            <w:vAlign w:val="center"/>
          </w:tcPr>
          <w:p>
            <w:pPr>
              <w:pStyle w:val="TableContents"/>
              <w:bidi w:val="0"/>
              <w:spacing w:before="0" w:after="283"/>
              <w:jc w:val="left"/>
              <w:rPr>
                <w:sz w:val="4"/>
                <w:szCs w:val="4"/>
              </w:rPr>
            </w:pPr>
            <w:r>
              <w:rPr>
                <w:sz w:val="4"/>
                <w:szCs w:val="4"/>
              </w:rPr>
            </w:r>
          </w:p>
        </w:tc>
      </w:tr>
      <w:tr>
        <w:trPr/>
        <w:tc>
          <w:tcPr>
            <w:tcW w:w="4427" w:type="dxa"/>
            <w:tcBorders/>
            <w:shd w:fill="003A5D" w:val="clear"/>
            <w:vAlign w:val="center"/>
          </w:tcPr>
          <w:p>
            <w:pPr>
              <w:pStyle w:val="TableContents"/>
              <w:bidi w:val="0"/>
              <w:spacing w:before="0" w:after="283"/>
              <w:jc w:val="left"/>
              <w:rPr>
                <w:sz w:val="4"/>
                <w:szCs w:val="4"/>
              </w:rPr>
            </w:pPr>
            <w:r>
              <w:rPr>
                <w:sz w:val="4"/>
                <w:szCs w:val="4"/>
              </w:rPr>
            </w:r>
          </w:p>
        </w:tc>
        <w:tc>
          <w:tcPr>
            <w:tcW w:w="5778"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4427" w:type="dxa"/>
            <w:tcBorders/>
            <w:shd w:fill="003A5D" w:val="clear"/>
            <w:vAlign w:val="center"/>
          </w:tcPr>
          <w:p>
            <w:pPr>
              <w:pStyle w:val="TableContents"/>
              <w:bidi w:val="0"/>
              <w:spacing w:before="0" w:after="0"/>
              <w:jc w:val="center"/>
              <w:rPr>
                <w:rFonts w:ascii="arial" w:hAnsi="arial"/>
                <w:b/>
                <w:color w:val="FFFFFF"/>
                <w:sz w:val="24"/>
              </w:rPr>
            </w:pPr>
            <w:r>
              <w:rPr>
                <w:rFonts w:ascii="arial" w:hAnsi="arial"/>
                <w:b/>
                <w:color w:val="FFFFFF"/>
                <w:sz w:val="24"/>
              </w:rPr>
              <w:t>Governance and Nominating Committee</w:t>
            </w:r>
          </w:p>
          <w:p>
            <w:pPr>
              <w:pStyle w:val="TableContents"/>
              <w:bidi w:val="0"/>
              <w:spacing w:before="0" w:after="20"/>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5718" w:type="dxa"/>
            <w:tcBorders/>
            <w:shd w:fill="003A5D" w:val="clear"/>
            <w:vAlign w:val="center"/>
          </w:tcPr>
          <w:p>
            <w:pPr>
              <w:pStyle w:val="TableContents"/>
              <w:bidi w:val="0"/>
              <w:spacing w:before="0" w:after="0"/>
              <w:jc w:val="center"/>
              <w:rPr>
                <w:rFonts w:ascii="arial" w:hAnsi="arial"/>
                <w:b/>
                <w:color w:val="FFFFFF"/>
                <w:sz w:val="24"/>
              </w:rPr>
            </w:pPr>
            <w:r>
              <w:rPr>
                <w:rFonts w:ascii="arial" w:hAnsi="arial"/>
                <w:b/>
                <w:color w:val="FFFFFF"/>
                <w:sz w:val="24"/>
              </w:rPr>
              <w:t>Risk Committee</w:t>
            </w:r>
          </w:p>
          <w:p>
            <w:pPr>
              <w:pStyle w:val="TableContents"/>
              <w:bidi w:val="0"/>
              <w:spacing w:before="0" w:after="20"/>
              <w:jc w:val="left"/>
              <w:rPr/>
            </w:pPr>
            <w:r>
              <w:rPr/>
              <w:t> </w:t>
            </w:r>
          </w:p>
        </w:tc>
      </w:tr>
      <w:tr>
        <w:trPr/>
        <w:tc>
          <w:tcPr>
            <w:tcW w:w="4427"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Primary Responsibilities: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Plan for director succession and assist our Board by identifying and recommending nominees for election to our Board and review the qualifications of potential Board members in light of the Company’s long-term strategy and evolving business environment</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Review and recommend committee membership</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Review and reassess the adequacy of the Company’s Corporate Governance Guidelines and recommend any proposed changes to the Board for approval and oversee other corporate governance matters applicable to the Board and its committees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Oversee the Board and CEO’s annual evaluation process and periodically discuss the plan for the succession of the CEO and certain other key executives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Oversee management’s stockholder and other stakeholder engagement program and practices and evaluate stockholder proposals and other correspondence</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Establish and oversee processes for annual individual director and Board assessments and oversee that committee chairs perform annual committee evaluations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Keep informed regarding external governance trends, including reviewing benchmarking research conducted by management and reporting from outside advisors</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Oversee the Company’s policies, programs, and strategies related to ESG matters or coordinate such oversight with other Board committees and/or the full Board, as appropriate</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5718"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Primary Responsibilities: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Assist our Board with oversight of the Company’s enterprise-wide risk management framework, including policies and practices established by management to identify, assess, measure, and manage key risks facing the Company across all of the Company’s risk categories: strategic, compliance, operational, reputation, credit, market, liquidity, and emerging risks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Discuss with management the enterprise’s risk appetite and tolerance, and at least annually recommend to the full Board the statement of risk appetite and tolerance to be communicated throughout the Company</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Review and approve annually the credit review plans and policies, and any significant changes to such plans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Review and recommend to the Board the Company’s liquidity risk tolerance at least annually, taking into account the Company’s capital structure, risk profile, complexity, activities, and size. Senior management reports to the Risk Committee or the Board regarding the Company’s liquidity risk profile and liquidity risk tolerance at least quarterly</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Receive and review management reports regarding the Company’s technology and cyber risk profile, top technology and cyber risks, enterprise cyber program, key enterprise cyber initiatives, and any significant cyber incidents impacting the Company</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Review and recommend to the Board the Company’s resolution and recovery plans at least annually</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Annually review the performance of the Chief Risk Officers and approve the compensation and any salary adjustment of the Chief Risk Officers</w:t>
            </w:r>
          </w:p>
        </w:tc>
      </w:tr>
    </w:tbl>
    <w:p>
      <w:pPr>
        <w:pStyle w:val="TextBody"/>
        <w:bidi w:val="0"/>
        <w:spacing w:before="240" w:after="0"/>
        <w:jc w:val="both"/>
        <w:rPr>
          <w:rFonts w:ascii="arial" w:hAnsi="arial"/>
          <w:sz w:val="20"/>
        </w:rPr>
      </w:pPr>
      <w:r>
        <w:rPr>
          <w:rFonts w:ascii="arial" w:hAnsi="arial"/>
          <w:sz w:val="20"/>
        </w:rPr>
        <w:t xml:space="preserve">The Charters of the Audit, Compensation, Governance and Nominating, and Risk Committees are available on our website at www.capitalone.com, under “Investors,” then “Governance &amp; Leadership,” then “Board of Directors and Committee Documents.” </w:t>
      </w:r>
    </w:p>
    <w:p>
      <w:pPr>
        <w:pStyle w:val="TextBody"/>
        <w:bidi w:val="0"/>
        <w:spacing w:before="240" w:after="0"/>
        <w:jc w:val="left"/>
        <w:rPr>
          <w:rFonts w:ascii="arial" w:hAnsi="arial"/>
          <w:b/>
          <w:i/>
          <w:color w:val="003A5D"/>
          <w:sz w:val="24"/>
        </w:rPr>
      </w:pPr>
      <w:bookmarkStart w:id="26" w:name="txa845790_ccc"/>
      <w:bookmarkEnd w:id="26"/>
      <w:r>
        <w:rPr>
          <w:rFonts w:ascii="arial" w:hAnsi="arial"/>
          <w:b/>
          <w:i/>
          <w:color w:val="003A5D"/>
          <w:sz w:val="24"/>
        </w:rPr>
        <w:t xml:space="preserve">Compensation Committee Consultant </w:t>
      </w:r>
    </w:p>
    <w:p>
      <w:pPr>
        <w:pStyle w:val="TextBody"/>
        <w:bidi w:val="0"/>
        <w:spacing w:before="240" w:after="0"/>
        <w:jc w:val="both"/>
        <w:rPr>
          <w:rFonts w:ascii="arial" w:hAnsi="arial"/>
          <w:sz w:val="20"/>
        </w:rPr>
      </w:pPr>
      <w:r>
        <w:rPr>
          <w:rFonts w:ascii="arial" w:hAnsi="arial"/>
          <w:sz w:val="20"/>
        </w:rPr>
        <w:t xml:space="preserve">The Compensation Committee has the authority to retain and terminate legal counsel and other consultants and to approve such consultants’ fees and other retention terms. The Compensation Committee has retained the services of Frederic W. Cook &amp; Co., Inc. (“FW Cook”), an independent executive compensation consulting firm. FW Cook reports to the Compensation Committee and its engagement may be terminated by the Compensation Committee at any time.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40 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The Compensation Committee determines the scope and nature of FW Cook’s assignments. In 2024, FW Cook performed the following work for the Compensation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Provided independent competitive market data and advice related to the compensation for the CEO and the other executive officers, including the evaluation of the Company’s peer comparator group used for competitive analyses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Reviewed management-provided market data and recommendations on the design of compensation programs for senior executives other than the CEO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Reviewed the Company’s executive compensation levels, performance, and the design of incentive programs for the CEO and the other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Reviewed the Company’s non-management director compensation program and provided competitive compensation data and director compensation program recommendations for review and consideration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Provided information on executive and director compensation trends and industry benchmarking and analyses of the implications of such trends for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Provided market data and advice on compensation practices related to transformational acquisition activity in connection with the pending transaction with Discover Financial Services </w:t>
            </w:r>
          </w:p>
        </w:tc>
      </w:tr>
    </w:tbl>
    <w:p>
      <w:pPr>
        <w:pStyle w:val="TextBody"/>
        <w:bidi w:val="0"/>
        <w:spacing w:before="240" w:after="0"/>
        <w:jc w:val="both"/>
        <w:rPr>
          <w:rFonts w:ascii="arial" w:hAnsi="arial"/>
          <w:sz w:val="20"/>
        </w:rPr>
      </w:pPr>
      <w:r>
        <w:rPr>
          <w:rFonts w:ascii="arial" w:hAnsi="arial"/>
          <w:sz w:val="20"/>
        </w:rPr>
        <w:t xml:space="preserve">Consultants from FW Cook typically attend Compensation Committee meetings and executive sessions of the Compensation Committee upon request of the Chair of the Compensation Committee, including meetings held jointly with the Independent Directors to review or approve the compensation for the CEO and the other executive officers and to provide an independent perspective regarding such compensation practices. </w:t>
      </w:r>
    </w:p>
    <w:p>
      <w:pPr>
        <w:pStyle w:val="TextBody"/>
        <w:bidi w:val="0"/>
        <w:spacing w:before="240" w:after="0"/>
        <w:jc w:val="both"/>
        <w:rPr>
          <w:rFonts w:ascii="arial" w:hAnsi="arial"/>
          <w:sz w:val="20"/>
        </w:rPr>
      </w:pPr>
      <w:r>
        <w:rPr>
          <w:rFonts w:ascii="arial" w:hAnsi="arial"/>
          <w:sz w:val="20"/>
        </w:rPr>
        <w:t xml:space="preserve">FW Cook does not provide any additional services to the Company or its management other than the services provided to the Compensation Committee. The Compensation Committee has considered factors relevant to FW Cook’s independence from management under SEC and NYSE rules and has determined that FW Cook is independent from management. </w:t>
      </w:r>
    </w:p>
    <w:p>
      <w:pPr>
        <w:pStyle w:val="TextBody"/>
        <w:bidi w:val="0"/>
        <w:spacing w:before="240" w:after="0"/>
        <w:jc w:val="left"/>
        <w:rPr>
          <w:rFonts w:ascii="arial" w:hAnsi="arial"/>
          <w:b/>
          <w:color w:val="003A5D"/>
          <w:sz w:val="32"/>
        </w:rPr>
      </w:pPr>
      <w:bookmarkStart w:id="27" w:name="txa845790_11"/>
      <w:bookmarkEnd w:id="27"/>
      <w:r>
        <w:rPr>
          <w:rFonts w:ascii="arial" w:hAnsi="arial"/>
          <w:b/>
          <w:color w:val="003A5D"/>
          <w:sz w:val="32"/>
        </w:rPr>
        <w:t xml:space="preserve">Executive Officers </w:t>
      </w:r>
    </w:p>
    <w:p>
      <w:pPr>
        <w:pStyle w:val="TextBody"/>
        <w:bidi w:val="0"/>
        <w:spacing w:before="240" w:after="0"/>
        <w:jc w:val="both"/>
        <w:rPr>
          <w:rFonts w:ascii="arial" w:hAnsi="arial"/>
          <w:sz w:val="20"/>
        </w:rPr>
      </w:pPr>
      <w:r>
        <w:rPr>
          <w:rFonts w:ascii="arial" w:hAnsi="arial"/>
          <w:sz w:val="20"/>
        </w:rPr>
        <w:t xml:space="preserve">The following individuals serve as the Company’s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55"/>
        <w:gridCol w:w="120"/>
        <w:gridCol w:w="7830"/>
      </w:tblGrid>
      <w:tr>
        <w:trPr/>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30" w:type="dxa"/>
            <w:tcBorders/>
            <w:vAlign w:val="center"/>
          </w:tcPr>
          <w:p>
            <w:pPr>
              <w:pStyle w:val="TableContents"/>
              <w:bidi w:val="0"/>
              <w:spacing w:before="0" w:after="283"/>
              <w:jc w:val="left"/>
              <w:rPr>
                <w:sz w:val="4"/>
                <w:szCs w:val="4"/>
              </w:rPr>
            </w:pPr>
            <w:r>
              <w:rPr>
                <w:sz w:val="4"/>
                <w:szCs w:val="4"/>
              </w:rPr>
            </w:r>
          </w:p>
        </w:tc>
      </w:tr>
      <w:tr>
        <w:trPr/>
        <w:tc>
          <w:tcPr>
            <w:tcW w:w="2255" w:type="dxa"/>
            <w:tcBorders>
              <w:top w:val="single" w:sz="8" w:space="0" w:color="003A5D"/>
            </w:tcBorders>
            <w:shd w:fill="E5EBEE" w:val="clear"/>
            <w:tcMar>
              <w:top w:w="28" w:type="dxa"/>
            </w:tcMar>
            <w:vAlign w:val="center"/>
          </w:tcPr>
          <w:p>
            <w:pPr>
              <w:pStyle w:val="TableContents"/>
              <w:bidi w:val="0"/>
              <w:spacing w:before="0" w:after="283"/>
              <w:jc w:val="left"/>
              <w:rPr/>
            </w:pPr>
            <w:r>
              <w:rPr/>
              <w:t> </w:t>
            </w:r>
          </w:p>
        </w:tc>
        <w:tc>
          <w:tcPr>
            <w:tcW w:w="7950" w:type="dxa"/>
            <w:gridSpan w:val="2"/>
            <w:tcBorders>
              <w:top w:val="single" w:sz="8" w:space="0" w:color="003A5D"/>
            </w:tcBorders>
            <w:tcMar>
              <w:top w:w="28" w:type="dxa"/>
            </w:tcMar>
            <w:vAlign w:val="center"/>
          </w:tcPr>
          <w:p>
            <w:pPr>
              <w:pStyle w:val="TableContents"/>
              <w:bidi w:val="0"/>
              <w:spacing w:before="0" w:after="283"/>
              <w:jc w:val="left"/>
              <w:rPr/>
            </w:pPr>
            <w:r>
              <w:rPr/>
              <w:t> </w:t>
            </w:r>
          </w:p>
        </w:tc>
      </w:tr>
      <w:tr>
        <w:trPr/>
        <w:tc>
          <w:tcPr>
            <w:tcW w:w="2255" w:type="dxa"/>
            <w:tcBorders>
              <w:bottom w:val="single" w:sz="8"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Robert M. Alexander  </w:t>
            </w:r>
          </w:p>
          <w:p>
            <w:pPr>
              <w:pStyle w:val="TableContents"/>
              <w:bidi w:val="0"/>
              <w:spacing w:before="0" w:after="0"/>
              <w:jc w:val="left"/>
              <w:rPr/>
            </w:pPr>
            <w:r>
              <w:rPr/>
              <w:t> </w:t>
            </w:r>
          </w:p>
          <w:p>
            <w:pPr>
              <w:pStyle w:val="TableContents"/>
              <w:bidi w:val="0"/>
              <w:spacing w:before="0" w:after="0"/>
              <w:jc w:val="both"/>
              <w:rPr/>
            </w:pPr>
            <w:r>
              <w:rPr/>
              <w:t> </w:t>
            </w:r>
            <w:r>
              <w:rPr>
                <w:rFonts w:ascii="arial" w:hAnsi="arial"/>
                <w:i/>
                <w:sz w:val="18"/>
              </w:rPr>
              <w:t>Chief Information Officer</w:t>
            </w:r>
          </w:p>
          <w:p>
            <w:pPr>
              <w:pStyle w:val="TableContents"/>
              <w:bidi w:val="0"/>
              <w:spacing w:before="0" w:after="0"/>
              <w:jc w:val="left"/>
              <w:rPr/>
            </w:pPr>
            <w:r>
              <w:rPr/>
              <w:t> </w:t>
            </w:r>
          </w:p>
          <w:p>
            <w:pPr>
              <w:pStyle w:val="TableContents"/>
              <w:bidi w:val="0"/>
              <w:spacing w:before="0" w:after="20"/>
              <w:jc w:val="both"/>
              <w:rPr/>
            </w:pPr>
            <w:r>
              <w:rPr/>
              <w:t> </w:t>
            </w:r>
            <w:r>
              <w:rPr>
                <w:rFonts w:ascii="arial" w:hAnsi="arial"/>
                <w:i/>
                <w:sz w:val="18"/>
              </w:rPr>
              <w:t>Age: 60</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7830" w:type="dxa"/>
            <w:tcBorders>
              <w:bottom w:val="single" w:sz="8"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Mr. Alexander has served as our Chief Information Officer since May 2007, and is responsible for overseeing all technology activities for Capital One. Mr. Alexander joined Capital One in April 1998. From April 1998 to May 2007, Mr. Alexander had responsibility at various times for a number of Capital One’s lending businesses, including the U.S. consumer credit card and installment loan businesses.</w:t>
            </w:r>
          </w:p>
        </w:tc>
      </w:tr>
      <w:tr>
        <w:trPr/>
        <w:tc>
          <w:tcPr>
            <w:tcW w:w="2255" w:type="dxa"/>
            <w:tcBorders>
              <w:top w:val="single" w:sz="6" w:space="0" w:color="003A5D"/>
              <w:bottom w:val="single" w:sz="6" w:space="0" w:color="003A5D"/>
            </w:tcBorders>
            <w:tcMar>
              <w:top w:w="28" w:type="dxa"/>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30" w:type="dxa"/>
            <w:tcBorders/>
            <w:vAlign w:val="center"/>
          </w:tcPr>
          <w:p>
            <w:pPr>
              <w:pStyle w:val="TableContents"/>
              <w:bidi w:val="0"/>
              <w:spacing w:before="0" w:after="283"/>
              <w:jc w:val="left"/>
              <w:rPr>
                <w:sz w:val="4"/>
                <w:szCs w:val="4"/>
              </w:rPr>
            </w:pPr>
            <w:r>
              <w:rPr>
                <w:sz w:val="4"/>
                <w:szCs w:val="4"/>
              </w:rPr>
            </w:r>
          </w:p>
        </w:tc>
      </w:tr>
      <w:tr>
        <w:trPr/>
        <w:tc>
          <w:tcPr>
            <w:tcW w:w="2255" w:type="dxa"/>
            <w:tcBorders>
              <w:top w:val="single" w:sz="8" w:space="0" w:color="003A5D"/>
            </w:tcBorders>
            <w:shd w:fill="E5EBEE" w:val="clear"/>
            <w:tcMar>
              <w:top w:w="28" w:type="dxa"/>
            </w:tcMar>
            <w:vAlign w:val="center"/>
          </w:tcPr>
          <w:p>
            <w:pPr>
              <w:pStyle w:val="TableContents"/>
              <w:bidi w:val="0"/>
              <w:spacing w:before="0" w:after="283"/>
              <w:jc w:val="left"/>
              <w:rPr/>
            </w:pPr>
            <w:r>
              <w:rPr/>
              <w:t> </w:t>
            </w:r>
          </w:p>
        </w:tc>
        <w:tc>
          <w:tcPr>
            <w:tcW w:w="7950" w:type="dxa"/>
            <w:gridSpan w:val="2"/>
            <w:tcBorders>
              <w:top w:val="single" w:sz="8" w:space="0" w:color="003A5D"/>
            </w:tcBorders>
            <w:tcMar>
              <w:top w:w="28" w:type="dxa"/>
            </w:tcMar>
            <w:vAlign w:val="center"/>
          </w:tcPr>
          <w:p>
            <w:pPr>
              <w:pStyle w:val="TableContents"/>
              <w:bidi w:val="0"/>
              <w:spacing w:before="0" w:after="283"/>
              <w:jc w:val="left"/>
              <w:rPr/>
            </w:pPr>
            <w:r>
              <w:rPr/>
              <w:t> </w:t>
            </w:r>
          </w:p>
        </w:tc>
      </w:tr>
      <w:tr>
        <w:trPr/>
        <w:tc>
          <w:tcPr>
            <w:tcW w:w="2255" w:type="dxa"/>
            <w:tcBorders>
              <w:bottom w:val="single" w:sz="8"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Neal A. Blinde      </w:t>
            </w:r>
          </w:p>
          <w:p>
            <w:pPr>
              <w:pStyle w:val="TableContents"/>
              <w:bidi w:val="0"/>
              <w:spacing w:before="0" w:after="0"/>
              <w:jc w:val="left"/>
              <w:rPr/>
            </w:pPr>
            <w:r>
              <w:rPr/>
              <w:t> </w:t>
            </w:r>
          </w:p>
          <w:p>
            <w:pPr>
              <w:pStyle w:val="TableContents"/>
              <w:bidi w:val="0"/>
              <w:spacing w:before="0" w:after="0"/>
              <w:jc w:val="both"/>
              <w:rPr/>
            </w:pPr>
            <w:r>
              <w:rPr/>
              <w:t> </w:t>
            </w:r>
            <w:r>
              <w:rPr>
                <w:rFonts w:ascii="arial" w:hAnsi="arial"/>
                <w:i/>
                <w:sz w:val="18"/>
              </w:rPr>
              <w:t>President, Commercial Banking</w:t>
            </w:r>
          </w:p>
          <w:p>
            <w:pPr>
              <w:pStyle w:val="TableContents"/>
              <w:bidi w:val="0"/>
              <w:spacing w:before="0" w:after="0"/>
              <w:jc w:val="left"/>
              <w:rPr/>
            </w:pPr>
            <w:r>
              <w:rPr/>
              <w:t> </w:t>
            </w:r>
          </w:p>
          <w:p>
            <w:pPr>
              <w:pStyle w:val="TableContents"/>
              <w:bidi w:val="0"/>
              <w:spacing w:before="0" w:after="20"/>
              <w:jc w:val="both"/>
              <w:rPr/>
            </w:pPr>
            <w:r>
              <w:rPr/>
              <w:t> </w:t>
            </w:r>
            <w:r>
              <w:rPr>
                <w:rFonts w:ascii="arial" w:hAnsi="arial"/>
                <w:i/>
                <w:sz w:val="18"/>
              </w:rPr>
              <w:t>Age: 52</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7830" w:type="dxa"/>
            <w:tcBorders>
              <w:bottom w:val="single" w:sz="8"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Mr. Blinde has served as our President, Commercial Banking since March 2022, and is responsible for leading all aspects of Commercial Banking, including Corporate Banking, Commercial Real Estate Banking, Capital Markets, Treasury Services, and all related operations. Prior to joining Capital One, Mr. Blinde served in various leadership roles at Wells Fargo &amp; Company, a financial services company, most recently serving as Executive Vice President and Treasurer from October 2015 to December 2021.</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41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73"/>
        <w:gridCol w:w="120"/>
        <w:gridCol w:w="8212"/>
      </w:tblGrid>
      <w:tr>
        <w:trPr/>
        <w:tc>
          <w:tcPr>
            <w:tcW w:w="18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12" w:type="dxa"/>
            <w:tcBorders/>
            <w:vAlign w:val="center"/>
          </w:tcPr>
          <w:p>
            <w:pPr>
              <w:pStyle w:val="TableContents"/>
              <w:bidi w:val="0"/>
              <w:spacing w:before="0" w:after="283"/>
              <w:jc w:val="left"/>
              <w:rPr>
                <w:sz w:val="4"/>
                <w:szCs w:val="4"/>
              </w:rPr>
            </w:pPr>
            <w:r>
              <w:rPr>
                <w:sz w:val="4"/>
                <w:szCs w:val="4"/>
              </w:rPr>
            </w:r>
          </w:p>
        </w:tc>
      </w:tr>
      <w:tr>
        <w:trPr/>
        <w:tc>
          <w:tcPr>
            <w:tcW w:w="1873" w:type="dxa"/>
            <w:tcBorders>
              <w:top w:val="single" w:sz="8" w:space="0" w:color="003A5D"/>
            </w:tcBorders>
            <w:shd w:fill="E5EBEE" w:val="clear"/>
            <w:tcMar>
              <w:top w:w="28" w:type="dxa"/>
            </w:tcMar>
            <w:vAlign w:val="center"/>
          </w:tcPr>
          <w:p>
            <w:pPr>
              <w:pStyle w:val="TableContents"/>
              <w:bidi w:val="0"/>
              <w:spacing w:before="0" w:after="283"/>
              <w:jc w:val="left"/>
              <w:rPr/>
            </w:pPr>
            <w:r>
              <w:rPr/>
              <w:t> </w:t>
            </w:r>
          </w:p>
        </w:tc>
        <w:tc>
          <w:tcPr>
            <w:tcW w:w="8332" w:type="dxa"/>
            <w:gridSpan w:val="2"/>
            <w:tcBorders>
              <w:top w:val="single" w:sz="8" w:space="0" w:color="003A5D"/>
            </w:tcBorders>
            <w:tcMar>
              <w:top w:w="28" w:type="dxa"/>
            </w:tcMar>
            <w:vAlign w:val="center"/>
          </w:tcPr>
          <w:p>
            <w:pPr>
              <w:pStyle w:val="TableContents"/>
              <w:bidi w:val="0"/>
              <w:spacing w:before="0" w:after="283"/>
              <w:jc w:val="left"/>
              <w:rPr/>
            </w:pPr>
            <w:r>
              <w:rPr/>
              <w:t> </w:t>
            </w:r>
          </w:p>
        </w:tc>
      </w:tr>
      <w:tr>
        <w:trPr/>
        <w:tc>
          <w:tcPr>
            <w:tcW w:w="1873" w:type="dxa"/>
            <w:tcBorders>
              <w:bottom w:val="single" w:sz="8"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Matthew W. Cooper   </w:t>
            </w:r>
          </w:p>
          <w:p>
            <w:pPr>
              <w:pStyle w:val="TableContents"/>
              <w:bidi w:val="0"/>
              <w:spacing w:before="0" w:after="0"/>
              <w:jc w:val="left"/>
              <w:rPr/>
            </w:pPr>
            <w:r>
              <w:rPr/>
              <w:t> </w:t>
            </w:r>
          </w:p>
          <w:p>
            <w:pPr>
              <w:pStyle w:val="TableContents"/>
              <w:bidi w:val="0"/>
              <w:spacing w:before="0" w:after="0"/>
              <w:jc w:val="left"/>
              <w:rPr>
                <w:rFonts w:ascii="arial" w:hAnsi="arial"/>
                <w:i/>
                <w:sz w:val="18"/>
              </w:rPr>
            </w:pPr>
            <w:r>
              <w:rPr>
                <w:rFonts w:ascii="arial" w:hAnsi="arial"/>
                <w:i/>
                <w:sz w:val="18"/>
              </w:rPr>
              <w:t>General Counsel and Corporate Secretary</w:t>
            </w:r>
          </w:p>
          <w:p>
            <w:pPr>
              <w:pStyle w:val="TableContents"/>
              <w:bidi w:val="0"/>
              <w:spacing w:before="0" w:after="0"/>
              <w:jc w:val="left"/>
              <w:rPr/>
            </w:pPr>
            <w:r>
              <w:rPr/>
              <w:t> </w:t>
            </w:r>
          </w:p>
          <w:p>
            <w:pPr>
              <w:pStyle w:val="TableContents"/>
              <w:bidi w:val="0"/>
              <w:spacing w:before="0" w:after="20"/>
              <w:jc w:val="both"/>
              <w:rPr/>
            </w:pPr>
            <w:r>
              <w:rPr/>
              <w:t> </w:t>
            </w:r>
            <w:r>
              <w:rPr>
                <w:rFonts w:ascii="arial" w:hAnsi="arial"/>
                <w:i/>
                <w:sz w:val="18"/>
              </w:rPr>
              <w:t>Age: 53</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8212" w:type="dxa"/>
            <w:tcBorders>
              <w:bottom w:val="single" w:sz="8"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Mr. Cooper has served as our General Counsel since February 2018 and assumed the additional role of Corporate Secretary in March 2022. He is responsible for overseeing Capital One’s Legal Department, Board of Directors, and Senior Executive governance processes. In February 2024, Mr. Cooper was named Integration Executive Officer for Capital One’s acquisition of Discover. Mr. Cooper joined Capital One in January 2009 and has served in various positions, including as Chief Counsel, Legal from January 2016 to February 2018, as Chief Counsel, Global Card from July 2012 to January 2016, and as Chief Counsel, Litigation from January 2009 to February 2016.</w:t>
            </w:r>
          </w:p>
        </w:tc>
      </w:tr>
      <w:tr>
        <w:trPr/>
        <w:tc>
          <w:tcPr>
            <w:tcW w:w="1873" w:type="dxa"/>
            <w:tcBorders>
              <w:top w:val="single" w:sz="6" w:space="0" w:color="003A5D"/>
              <w:bottom w:val="single" w:sz="6" w:space="0" w:color="003A5D"/>
            </w:tcBorders>
            <w:tcMar>
              <w:top w:w="28" w:type="dxa"/>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12" w:type="dxa"/>
            <w:tcBorders/>
            <w:vAlign w:val="center"/>
          </w:tcPr>
          <w:p>
            <w:pPr>
              <w:pStyle w:val="TableContents"/>
              <w:bidi w:val="0"/>
              <w:spacing w:before="0" w:after="283"/>
              <w:jc w:val="left"/>
              <w:rPr>
                <w:sz w:val="4"/>
                <w:szCs w:val="4"/>
              </w:rPr>
            </w:pPr>
            <w:r>
              <w:rPr>
                <w:sz w:val="4"/>
                <w:szCs w:val="4"/>
              </w:rPr>
            </w:r>
          </w:p>
        </w:tc>
      </w:tr>
      <w:tr>
        <w:trPr/>
        <w:tc>
          <w:tcPr>
            <w:tcW w:w="1873" w:type="dxa"/>
            <w:tcBorders>
              <w:top w:val="single" w:sz="8" w:space="0" w:color="003A5D"/>
            </w:tcBorders>
            <w:shd w:fill="E5EBEE" w:val="clear"/>
            <w:tcMar>
              <w:top w:w="28" w:type="dxa"/>
            </w:tcMar>
            <w:vAlign w:val="center"/>
          </w:tcPr>
          <w:p>
            <w:pPr>
              <w:pStyle w:val="TableContents"/>
              <w:bidi w:val="0"/>
              <w:spacing w:before="0" w:after="283"/>
              <w:jc w:val="left"/>
              <w:rPr/>
            </w:pPr>
            <w:r>
              <w:rPr/>
              <w:t> </w:t>
            </w:r>
          </w:p>
        </w:tc>
        <w:tc>
          <w:tcPr>
            <w:tcW w:w="8332" w:type="dxa"/>
            <w:gridSpan w:val="2"/>
            <w:tcBorders>
              <w:top w:val="single" w:sz="8" w:space="0" w:color="003A5D"/>
            </w:tcBorders>
            <w:tcMar>
              <w:top w:w="28" w:type="dxa"/>
            </w:tcMar>
            <w:vAlign w:val="center"/>
          </w:tcPr>
          <w:p>
            <w:pPr>
              <w:pStyle w:val="TableContents"/>
              <w:bidi w:val="0"/>
              <w:spacing w:before="0" w:after="283"/>
              <w:jc w:val="left"/>
              <w:rPr/>
            </w:pPr>
            <w:r>
              <w:rPr/>
              <w:t> </w:t>
            </w:r>
          </w:p>
        </w:tc>
      </w:tr>
      <w:tr>
        <w:trPr/>
        <w:tc>
          <w:tcPr>
            <w:tcW w:w="1873" w:type="dxa"/>
            <w:tcBorders>
              <w:bottom w:val="single" w:sz="8"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Lia N. Dean        </w:t>
            </w:r>
          </w:p>
          <w:p>
            <w:pPr>
              <w:pStyle w:val="TableContents"/>
              <w:bidi w:val="0"/>
              <w:spacing w:before="0" w:after="0"/>
              <w:jc w:val="left"/>
              <w:rPr/>
            </w:pPr>
            <w:r>
              <w:rPr/>
              <w:t> </w:t>
            </w:r>
          </w:p>
          <w:p>
            <w:pPr>
              <w:pStyle w:val="TableContents"/>
              <w:bidi w:val="0"/>
              <w:spacing w:before="0" w:after="0"/>
              <w:jc w:val="left"/>
              <w:rPr>
                <w:rFonts w:ascii="arial" w:hAnsi="arial"/>
                <w:i/>
                <w:sz w:val="18"/>
              </w:rPr>
            </w:pPr>
            <w:r>
              <w:rPr>
                <w:rFonts w:ascii="arial" w:hAnsi="arial"/>
                <w:i/>
                <w:sz w:val="18"/>
              </w:rPr>
              <w:t>President, Banking and Premium Products</w:t>
            </w:r>
          </w:p>
          <w:p>
            <w:pPr>
              <w:pStyle w:val="TableContents"/>
              <w:bidi w:val="0"/>
              <w:spacing w:before="0" w:after="0"/>
              <w:jc w:val="left"/>
              <w:rPr/>
            </w:pPr>
            <w:r>
              <w:rPr/>
              <w:t> </w:t>
            </w:r>
          </w:p>
          <w:p>
            <w:pPr>
              <w:pStyle w:val="TableContents"/>
              <w:bidi w:val="0"/>
              <w:spacing w:before="0" w:after="20"/>
              <w:jc w:val="both"/>
              <w:rPr/>
            </w:pPr>
            <w:r>
              <w:rPr/>
              <w:t> </w:t>
            </w:r>
            <w:r>
              <w:rPr>
                <w:rFonts w:ascii="arial" w:hAnsi="arial"/>
                <w:i/>
                <w:sz w:val="18"/>
              </w:rPr>
              <w:t>Age: 47</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8212" w:type="dxa"/>
            <w:tcBorders>
              <w:bottom w:val="single" w:sz="8"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Ms. Dean has served as our President, Banking &amp; Premium Products since July 2022. Ms. Dean is responsible for leading Capital One’s Retail Bank strategy, customer experience and end-to-end operations. Ms. Dean also oversees Capital One’s premium cards, and its shopping and travel businesses. Ms. Dean joined Capital One in April 2014. From April 2014 to June 2018, Ms. Dean served as Senior Vice President, Strategy for Capital One’s Retail and Direct Bank businesses, where she led the national expansion of Capital One Cafés. From June 2018 to June 2020, Ms. Dean served as our Head of Bank Marketing and Retail; from June 2020 to November 2020, Ms. Dean served as Head of Upmarket, Card Customer Experience &amp; Bank Marketing; and from November 2020 until July 2022, Ms. Dean served as President, Retail Bank &amp; Premium Card Products.</w:t>
            </w:r>
          </w:p>
        </w:tc>
      </w:tr>
      <w:tr>
        <w:trPr/>
        <w:tc>
          <w:tcPr>
            <w:tcW w:w="1873" w:type="dxa"/>
            <w:tcBorders>
              <w:top w:val="single" w:sz="6" w:space="0" w:color="003A5D"/>
              <w:bottom w:val="single" w:sz="6" w:space="0" w:color="003A5D"/>
            </w:tcBorders>
            <w:tcMar>
              <w:top w:w="28" w:type="dxa"/>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12" w:type="dxa"/>
            <w:tcBorders/>
            <w:vAlign w:val="center"/>
          </w:tcPr>
          <w:p>
            <w:pPr>
              <w:pStyle w:val="TableContents"/>
              <w:bidi w:val="0"/>
              <w:spacing w:before="0" w:after="283"/>
              <w:jc w:val="left"/>
              <w:rPr>
                <w:sz w:val="4"/>
                <w:szCs w:val="4"/>
              </w:rPr>
            </w:pPr>
            <w:r>
              <w:rPr>
                <w:sz w:val="4"/>
                <w:szCs w:val="4"/>
              </w:rPr>
            </w:r>
          </w:p>
        </w:tc>
      </w:tr>
      <w:tr>
        <w:trPr/>
        <w:tc>
          <w:tcPr>
            <w:tcW w:w="1873" w:type="dxa"/>
            <w:tcBorders>
              <w:top w:val="single" w:sz="8" w:space="0" w:color="003A5D"/>
            </w:tcBorders>
            <w:shd w:fill="E5EBEE" w:val="clear"/>
            <w:tcMar>
              <w:top w:w="28" w:type="dxa"/>
            </w:tcMar>
            <w:vAlign w:val="center"/>
          </w:tcPr>
          <w:p>
            <w:pPr>
              <w:pStyle w:val="TableContents"/>
              <w:bidi w:val="0"/>
              <w:spacing w:before="0" w:after="283"/>
              <w:jc w:val="left"/>
              <w:rPr/>
            </w:pPr>
            <w:r>
              <w:rPr/>
              <w:t> </w:t>
            </w:r>
          </w:p>
        </w:tc>
        <w:tc>
          <w:tcPr>
            <w:tcW w:w="8332" w:type="dxa"/>
            <w:gridSpan w:val="2"/>
            <w:tcBorders>
              <w:top w:val="single" w:sz="8" w:space="0" w:color="003A5D"/>
            </w:tcBorders>
            <w:tcMar>
              <w:top w:w="28" w:type="dxa"/>
            </w:tcMar>
            <w:vAlign w:val="center"/>
          </w:tcPr>
          <w:p>
            <w:pPr>
              <w:pStyle w:val="TableContents"/>
              <w:bidi w:val="0"/>
              <w:spacing w:before="0" w:after="283"/>
              <w:jc w:val="left"/>
              <w:rPr/>
            </w:pPr>
            <w:r>
              <w:rPr/>
              <w:t> </w:t>
            </w:r>
          </w:p>
        </w:tc>
      </w:tr>
      <w:tr>
        <w:trPr/>
        <w:tc>
          <w:tcPr>
            <w:tcW w:w="1873" w:type="dxa"/>
            <w:tcBorders>
              <w:bottom w:val="single" w:sz="8"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Kaitlin Haggerty     </w:t>
            </w:r>
          </w:p>
          <w:p>
            <w:pPr>
              <w:pStyle w:val="TableContents"/>
              <w:bidi w:val="0"/>
              <w:spacing w:before="0" w:after="0"/>
              <w:jc w:val="left"/>
              <w:rPr/>
            </w:pPr>
            <w:r>
              <w:rPr/>
              <w:t> </w:t>
            </w:r>
          </w:p>
          <w:p>
            <w:pPr>
              <w:pStyle w:val="TableContents"/>
              <w:bidi w:val="0"/>
              <w:spacing w:before="0" w:after="0"/>
              <w:jc w:val="left"/>
              <w:rPr/>
            </w:pPr>
            <w:r>
              <w:rPr/>
              <w:t> </w:t>
            </w:r>
            <w:r>
              <w:rPr>
                <w:rFonts w:ascii="arial" w:hAnsi="arial"/>
                <w:i/>
                <w:sz w:val="18"/>
              </w:rPr>
              <w:t>Chief Human Resources Officer</w:t>
            </w:r>
          </w:p>
          <w:p>
            <w:pPr>
              <w:pStyle w:val="TableContents"/>
              <w:bidi w:val="0"/>
              <w:spacing w:before="0" w:after="0"/>
              <w:jc w:val="left"/>
              <w:rPr/>
            </w:pPr>
            <w:r>
              <w:rPr/>
              <w:t> </w:t>
            </w:r>
          </w:p>
          <w:p>
            <w:pPr>
              <w:pStyle w:val="TableContents"/>
              <w:bidi w:val="0"/>
              <w:spacing w:before="0" w:after="20"/>
              <w:jc w:val="left"/>
              <w:rPr/>
            </w:pPr>
            <w:r>
              <w:rPr/>
              <w:t> </w:t>
            </w:r>
            <w:r>
              <w:rPr>
                <w:rFonts w:ascii="arial" w:hAnsi="arial"/>
                <w:i/>
                <w:sz w:val="18"/>
              </w:rPr>
              <w:t>Age: 40</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8212" w:type="dxa"/>
            <w:tcBorders>
              <w:bottom w:val="single" w:sz="8"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Ms. Haggerty has served as our Chief Human Resources Officer since February 2022, and is responsible for overseeing Capital One’s Human Resources department, including its strategy, recruitment efforts, and development programs. Ms. Haggerty joined Capital One in October 2017 as a Senior Director in Corporate Strategy. From October 2017 to June 2020, Ms. Haggerty served in roles of increasing responsibility, including roles as Vice President and then as Managing Vice President, in our Corporate Strategy Group, where she partnered with the Card leadership team on product and growth strategies. In June 2020, she became head of the Walmart Partnership and, from July 2020 to November 2021, led the Walmart Partnership program within our Card business. She then served as Senior Vice President of Human Resources from November 2021 until her appointment as Chief Human Resources Officer in February 2022.</w:t>
            </w:r>
          </w:p>
        </w:tc>
      </w:tr>
      <w:tr>
        <w:trPr/>
        <w:tc>
          <w:tcPr>
            <w:tcW w:w="1873" w:type="dxa"/>
            <w:tcBorders>
              <w:top w:val="single" w:sz="6" w:space="0" w:color="003A5D"/>
            </w:tcBorders>
            <w:tcMar>
              <w:top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12" w:type="dxa"/>
            <w:tcBorders/>
            <w:vAlign w:val="center"/>
          </w:tcPr>
          <w:p>
            <w:pPr>
              <w:pStyle w:val="TableContents"/>
              <w:bidi w:val="0"/>
              <w:spacing w:before="0" w:after="283"/>
              <w:jc w:val="left"/>
              <w:rPr>
                <w:sz w:val="4"/>
                <w:szCs w:val="4"/>
              </w:rPr>
            </w:pPr>
            <w:r>
              <w:rPr>
                <w:sz w:val="4"/>
                <w:szCs w:val="4"/>
              </w:rPr>
            </w:r>
          </w:p>
        </w:tc>
      </w:tr>
      <w:tr>
        <w:trPr/>
        <w:tc>
          <w:tcPr>
            <w:tcW w:w="1873" w:type="dxa"/>
            <w:tcBorders>
              <w:top w:val="single" w:sz="8" w:space="0" w:color="003A5D"/>
            </w:tcBorders>
            <w:shd w:fill="E5EBEE" w:val="clear"/>
            <w:tcMar>
              <w:top w:w="28" w:type="dxa"/>
            </w:tcMar>
            <w:vAlign w:val="center"/>
          </w:tcPr>
          <w:p>
            <w:pPr>
              <w:pStyle w:val="TableContents"/>
              <w:bidi w:val="0"/>
              <w:spacing w:before="0" w:after="283"/>
              <w:jc w:val="left"/>
              <w:rPr/>
            </w:pPr>
            <w:r>
              <w:rPr/>
              <w:t> </w:t>
            </w:r>
          </w:p>
        </w:tc>
        <w:tc>
          <w:tcPr>
            <w:tcW w:w="8332" w:type="dxa"/>
            <w:gridSpan w:val="2"/>
            <w:tcBorders>
              <w:top w:val="single" w:sz="8" w:space="0" w:color="003A5D"/>
            </w:tcBorders>
            <w:tcMar>
              <w:top w:w="28" w:type="dxa"/>
            </w:tcMar>
            <w:vAlign w:val="center"/>
          </w:tcPr>
          <w:p>
            <w:pPr>
              <w:pStyle w:val="TableContents"/>
              <w:bidi w:val="0"/>
              <w:spacing w:before="0" w:after="283"/>
              <w:jc w:val="left"/>
              <w:rPr/>
            </w:pPr>
            <w:r>
              <w:rPr/>
              <w:t> </w:t>
            </w:r>
          </w:p>
        </w:tc>
      </w:tr>
      <w:tr>
        <w:trPr/>
        <w:tc>
          <w:tcPr>
            <w:tcW w:w="1873" w:type="dxa"/>
            <w:tcBorders>
              <w:bottom w:val="single" w:sz="8"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Celia S. Karam      </w:t>
            </w:r>
          </w:p>
          <w:p>
            <w:pPr>
              <w:pStyle w:val="TableContents"/>
              <w:bidi w:val="0"/>
              <w:spacing w:before="0" w:after="0"/>
              <w:jc w:val="left"/>
              <w:rPr/>
            </w:pPr>
            <w:r>
              <w:rPr/>
              <w:t> </w:t>
            </w:r>
          </w:p>
          <w:p>
            <w:pPr>
              <w:pStyle w:val="TableContents"/>
              <w:bidi w:val="0"/>
              <w:spacing w:before="0" w:after="0"/>
              <w:jc w:val="left"/>
              <w:rPr/>
            </w:pPr>
            <w:r>
              <w:rPr/>
              <w:t> </w:t>
            </w:r>
            <w:r>
              <w:rPr>
                <w:rFonts w:ascii="arial" w:hAnsi="arial"/>
                <w:i/>
                <w:sz w:val="18"/>
              </w:rPr>
              <w:t>President, Retail Bank</w:t>
            </w:r>
          </w:p>
          <w:p>
            <w:pPr>
              <w:pStyle w:val="TableContents"/>
              <w:bidi w:val="0"/>
              <w:spacing w:before="0" w:after="0"/>
              <w:jc w:val="left"/>
              <w:rPr/>
            </w:pPr>
            <w:r>
              <w:rPr/>
              <w:t> </w:t>
            </w:r>
          </w:p>
          <w:p>
            <w:pPr>
              <w:pStyle w:val="TableContents"/>
              <w:bidi w:val="0"/>
              <w:spacing w:before="0" w:after="20"/>
              <w:jc w:val="left"/>
              <w:rPr/>
            </w:pPr>
            <w:r>
              <w:rPr/>
              <w:t> </w:t>
            </w:r>
            <w:r>
              <w:rPr>
                <w:rFonts w:ascii="arial" w:hAnsi="arial"/>
                <w:i/>
                <w:sz w:val="18"/>
              </w:rPr>
              <w:t>Age: 46</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8212" w:type="dxa"/>
            <w:tcBorders>
              <w:bottom w:val="single" w:sz="8"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Ms. Karam has served as our President, Retail Bank since August 2022. Her organization is focused on building world-class products, capabilities, and customer experiences that drive business growth, inspire customer loyalty, and empower the financial well-being of customers. Ms. Karam joined Capital One in July 2006. From July 2006 to June 2018, Ms. Karam served in a variety of roles within Capital One’s Banking and Consumer Credit Card businesses. Key positions include Vice President of Consumer Lending to Retail Bank Customers from January 2012 to June 2013, Managing Vice President of Consumer Bank Products from July 2013 to December 2016, and Senior Vice President, Head of Small Business Banking from January 2017 to May 2018. Ms. Karam also served as the Company’s Chief Audit Officer from June 2018 to July 2021 and Chief Operating Officer, Card from August 2021 to August 2022.</w:t>
            </w:r>
          </w:p>
        </w:tc>
      </w:tr>
      <w:tr>
        <w:trPr/>
        <w:tc>
          <w:tcPr>
            <w:tcW w:w="1873" w:type="dxa"/>
            <w:tcBorders>
              <w:top w:val="single" w:sz="6" w:space="0" w:color="003A5D"/>
            </w:tcBorders>
            <w:tcMar>
              <w:top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1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42 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71"/>
        <w:gridCol w:w="120"/>
        <w:gridCol w:w="8414"/>
      </w:tblGrid>
      <w:tr>
        <w:trPr/>
        <w:tc>
          <w:tcPr>
            <w:tcW w:w="1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14" w:type="dxa"/>
            <w:tcBorders/>
            <w:vAlign w:val="center"/>
          </w:tcPr>
          <w:p>
            <w:pPr>
              <w:pStyle w:val="TableContents"/>
              <w:bidi w:val="0"/>
              <w:spacing w:before="0" w:after="283"/>
              <w:jc w:val="left"/>
              <w:rPr>
                <w:sz w:val="4"/>
                <w:szCs w:val="4"/>
              </w:rPr>
            </w:pPr>
            <w:r>
              <w:rPr>
                <w:sz w:val="4"/>
                <w:szCs w:val="4"/>
              </w:rPr>
            </w:r>
          </w:p>
        </w:tc>
      </w:tr>
      <w:tr>
        <w:trPr/>
        <w:tc>
          <w:tcPr>
            <w:tcW w:w="1671" w:type="dxa"/>
            <w:tcBorders>
              <w:top w:val="single" w:sz="8" w:space="0" w:color="003A5D"/>
            </w:tcBorders>
            <w:shd w:fill="E5EBEE" w:val="clear"/>
            <w:tcMar>
              <w:top w:w="28" w:type="dxa"/>
            </w:tcMar>
            <w:vAlign w:val="center"/>
          </w:tcPr>
          <w:p>
            <w:pPr>
              <w:pStyle w:val="TableContents"/>
              <w:bidi w:val="0"/>
              <w:spacing w:before="0" w:after="283"/>
              <w:jc w:val="left"/>
              <w:rPr/>
            </w:pPr>
            <w:r>
              <w:rPr/>
              <w:t> </w:t>
            </w:r>
          </w:p>
        </w:tc>
        <w:tc>
          <w:tcPr>
            <w:tcW w:w="8534" w:type="dxa"/>
            <w:gridSpan w:val="2"/>
            <w:tcBorders>
              <w:top w:val="single" w:sz="8" w:space="0" w:color="003A5D"/>
            </w:tcBorders>
            <w:tcMar>
              <w:top w:w="28" w:type="dxa"/>
            </w:tcMar>
            <w:vAlign w:val="center"/>
          </w:tcPr>
          <w:p>
            <w:pPr>
              <w:pStyle w:val="TableContents"/>
              <w:bidi w:val="0"/>
              <w:spacing w:before="0" w:after="283"/>
              <w:jc w:val="left"/>
              <w:rPr/>
            </w:pPr>
            <w:r>
              <w:rPr/>
              <w:t> </w:t>
            </w:r>
          </w:p>
        </w:tc>
      </w:tr>
      <w:tr>
        <w:trPr/>
        <w:tc>
          <w:tcPr>
            <w:tcW w:w="1671" w:type="dxa"/>
            <w:tcBorders>
              <w:bottom w:val="single" w:sz="8"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Frank G. LaPrade, III  </w:t>
            </w:r>
          </w:p>
          <w:p>
            <w:pPr>
              <w:pStyle w:val="TableContents"/>
              <w:bidi w:val="0"/>
              <w:spacing w:before="0" w:after="0"/>
              <w:jc w:val="left"/>
              <w:rPr/>
            </w:pPr>
            <w:r>
              <w:rPr/>
              <w:t> </w:t>
            </w:r>
          </w:p>
          <w:p>
            <w:pPr>
              <w:pStyle w:val="TableContents"/>
              <w:bidi w:val="0"/>
              <w:spacing w:before="0" w:after="0"/>
              <w:jc w:val="left"/>
              <w:rPr>
                <w:rFonts w:ascii="arial" w:hAnsi="arial"/>
                <w:i/>
                <w:sz w:val="18"/>
              </w:rPr>
            </w:pPr>
            <w:r>
              <w:rPr>
                <w:rFonts w:ascii="arial" w:hAnsi="arial"/>
                <w:i/>
                <w:sz w:val="18"/>
              </w:rPr>
              <w:t>Chief Enterprise Services Officer</w:t>
            </w:r>
          </w:p>
          <w:p>
            <w:pPr>
              <w:pStyle w:val="TableContents"/>
              <w:bidi w:val="0"/>
              <w:spacing w:before="0" w:after="0"/>
              <w:jc w:val="left"/>
              <w:rPr>
                <w:rFonts w:ascii="arial" w:hAnsi="arial"/>
                <w:i/>
                <w:sz w:val="18"/>
              </w:rPr>
            </w:pPr>
            <w:r>
              <w:rPr>
                <w:rFonts w:ascii="arial" w:hAnsi="arial"/>
                <w:i/>
                <w:sz w:val="18"/>
              </w:rPr>
              <w:t>and Chief of Staff to the CEO</w:t>
            </w:r>
          </w:p>
          <w:p>
            <w:pPr>
              <w:pStyle w:val="TableContents"/>
              <w:bidi w:val="0"/>
              <w:spacing w:before="0" w:after="0"/>
              <w:jc w:val="left"/>
              <w:rPr/>
            </w:pPr>
            <w:r>
              <w:rPr/>
              <w:t> </w:t>
            </w:r>
          </w:p>
          <w:p>
            <w:pPr>
              <w:pStyle w:val="TableContents"/>
              <w:bidi w:val="0"/>
              <w:spacing w:before="0" w:after="20"/>
              <w:jc w:val="left"/>
              <w:rPr/>
            </w:pPr>
            <w:r>
              <w:rPr/>
              <w:t> </w:t>
            </w:r>
            <w:r>
              <w:rPr>
                <w:rFonts w:ascii="arial" w:hAnsi="arial"/>
                <w:i/>
                <w:sz w:val="18"/>
              </w:rPr>
              <w:t>Age: 58</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8414" w:type="dxa"/>
            <w:tcBorders>
              <w:bottom w:val="single" w:sz="8"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Mr. LaPrade has served as our Chief Enterprise Services Officer since 2010 and Chief of Staff to the CEO since 2004, and is responsible for managing Enterprise Services for Capital One, including Technology, Enterprise Product Management, Design, Enterprise AI, Enterprise Data, Capital One Software, Growth Ventures, Brand, Enterprise Supplier Management, External Affairs, Workplace Solutions, and Corporate Security. Mr. LaPrade joined Capital One in February 1996. Since that time he has served in various positions, including as Capital One’s Deputy General Counsel from 1996 to 2004, responsible for managing the Company’s litigation, employment, intellectual property, and transactional practice areas.</w:t>
            </w:r>
          </w:p>
        </w:tc>
      </w:tr>
      <w:tr>
        <w:trPr/>
        <w:tc>
          <w:tcPr>
            <w:tcW w:w="1671" w:type="dxa"/>
            <w:tcBorders>
              <w:top w:val="single" w:sz="6" w:space="0" w:color="003A5D"/>
            </w:tcBorders>
            <w:tcMar>
              <w:top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14" w:type="dxa"/>
            <w:tcBorders/>
            <w:vAlign w:val="center"/>
          </w:tcPr>
          <w:p>
            <w:pPr>
              <w:pStyle w:val="TableContents"/>
              <w:bidi w:val="0"/>
              <w:spacing w:before="0" w:after="283"/>
              <w:jc w:val="left"/>
              <w:rPr>
                <w:sz w:val="4"/>
                <w:szCs w:val="4"/>
              </w:rPr>
            </w:pPr>
            <w:r>
              <w:rPr>
                <w:sz w:val="4"/>
                <w:szCs w:val="4"/>
              </w:rPr>
            </w:r>
          </w:p>
        </w:tc>
      </w:tr>
      <w:tr>
        <w:trPr/>
        <w:tc>
          <w:tcPr>
            <w:tcW w:w="1671" w:type="dxa"/>
            <w:tcBorders>
              <w:top w:val="single" w:sz="8" w:space="0" w:color="003A5D"/>
            </w:tcBorders>
            <w:shd w:fill="E5EBEE" w:val="clear"/>
            <w:tcMar>
              <w:top w:w="28" w:type="dxa"/>
            </w:tcMar>
            <w:vAlign w:val="center"/>
          </w:tcPr>
          <w:p>
            <w:pPr>
              <w:pStyle w:val="TableContents"/>
              <w:bidi w:val="0"/>
              <w:spacing w:before="0" w:after="283"/>
              <w:jc w:val="left"/>
              <w:rPr/>
            </w:pPr>
            <w:r>
              <w:rPr/>
              <w:t> </w:t>
            </w:r>
          </w:p>
        </w:tc>
        <w:tc>
          <w:tcPr>
            <w:tcW w:w="8534" w:type="dxa"/>
            <w:gridSpan w:val="2"/>
            <w:tcBorders>
              <w:top w:val="single" w:sz="8" w:space="0" w:color="003A5D"/>
            </w:tcBorders>
            <w:tcMar>
              <w:top w:w="28" w:type="dxa"/>
            </w:tcMar>
            <w:vAlign w:val="center"/>
          </w:tcPr>
          <w:p>
            <w:pPr>
              <w:pStyle w:val="TableContents"/>
              <w:bidi w:val="0"/>
              <w:spacing w:before="0" w:after="283"/>
              <w:jc w:val="left"/>
              <w:rPr/>
            </w:pPr>
            <w:r>
              <w:rPr/>
              <w:t> </w:t>
            </w:r>
          </w:p>
        </w:tc>
      </w:tr>
      <w:tr>
        <w:trPr/>
        <w:tc>
          <w:tcPr>
            <w:tcW w:w="1671" w:type="dxa"/>
            <w:tcBorders>
              <w:bottom w:val="single" w:sz="8"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Mark Daniel Mouadeb  </w:t>
            </w:r>
          </w:p>
          <w:p>
            <w:pPr>
              <w:pStyle w:val="TableContents"/>
              <w:bidi w:val="0"/>
              <w:spacing w:before="0" w:after="0"/>
              <w:jc w:val="left"/>
              <w:rPr/>
            </w:pPr>
            <w:r>
              <w:rPr/>
              <w:t> </w:t>
            </w:r>
          </w:p>
          <w:p>
            <w:pPr>
              <w:pStyle w:val="TableContents"/>
              <w:bidi w:val="0"/>
              <w:spacing w:before="0" w:after="0"/>
              <w:jc w:val="left"/>
              <w:rPr/>
            </w:pPr>
            <w:r>
              <w:rPr/>
              <w:t> </w:t>
            </w:r>
            <w:r>
              <w:rPr>
                <w:rFonts w:ascii="arial" w:hAnsi="arial"/>
                <w:i/>
                <w:sz w:val="18"/>
              </w:rPr>
              <w:t>President, U.S. Card</w:t>
            </w:r>
          </w:p>
          <w:p>
            <w:pPr>
              <w:pStyle w:val="TableContents"/>
              <w:bidi w:val="0"/>
              <w:spacing w:before="0" w:after="0"/>
              <w:jc w:val="left"/>
              <w:rPr/>
            </w:pPr>
            <w:r>
              <w:rPr/>
              <w:t> </w:t>
            </w:r>
          </w:p>
          <w:p>
            <w:pPr>
              <w:pStyle w:val="TableContents"/>
              <w:bidi w:val="0"/>
              <w:spacing w:before="0" w:after="20"/>
              <w:jc w:val="left"/>
              <w:rPr/>
            </w:pPr>
            <w:r>
              <w:rPr/>
              <w:t> </w:t>
            </w:r>
            <w:r>
              <w:rPr>
                <w:rFonts w:ascii="arial" w:hAnsi="arial"/>
                <w:i/>
                <w:sz w:val="18"/>
              </w:rPr>
              <w:t>Age: 41</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8414" w:type="dxa"/>
            <w:tcBorders>
              <w:bottom w:val="single" w:sz="8"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Mr. Mouadeb has served as our President of U.S. Card since July 2022, and is responsible for leading our consumer credit card business in the United States. Mr. Mouadeb has been with Capital One since 2006, and he has served in a variety of roles at Capital One, most recently serving as Executive Vice President, Head of Core Consumer Card from February 2021 to June 2022, as Senior Vice President, Head of Mainstreet Card from July 2020 to January 2021, as Senior Vice President, Head of Walmart Partnership from July 2018 to June 2020 and Managing Vice President, Upmarket Card from July 2017 to June 2018.</w:t>
            </w:r>
          </w:p>
        </w:tc>
      </w:tr>
      <w:tr>
        <w:trPr/>
        <w:tc>
          <w:tcPr>
            <w:tcW w:w="1671" w:type="dxa"/>
            <w:tcBorders>
              <w:top w:val="single" w:sz="6" w:space="0" w:color="003A5D"/>
            </w:tcBorders>
            <w:tcMar>
              <w:top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14" w:type="dxa"/>
            <w:tcBorders/>
            <w:vAlign w:val="center"/>
          </w:tcPr>
          <w:p>
            <w:pPr>
              <w:pStyle w:val="TableContents"/>
              <w:bidi w:val="0"/>
              <w:spacing w:before="0" w:after="283"/>
              <w:jc w:val="left"/>
              <w:rPr>
                <w:sz w:val="4"/>
                <w:szCs w:val="4"/>
              </w:rPr>
            </w:pPr>
            <w:r>
              <w:rPr>
                <w:sz w:val="4"/>
                <w:szCs w:val="4"/>
              </w:rPr>
            </w:r>
          </w:p>
        </w:tc>
      </w:tr>
      <w:tr>
        <w:trPr/>
        <w:tc>
          <w:tcPr>
            <w:tcW w:w="1671" w:type="dxa"/>
            <w:tcBorders>
              <w:top w:val="single" w:sz="8" w:space="0" w:color="003A5D"/>
            </w:tcBorders>
            <w:shd w:fill="E5EBEE" w:val="clear"/>
            <w:tcMar>
              <w:top w:w="28" w:type="dxa"/>
            </w:tcMar>
            <w:vAlign w:val="center"/>
          </w:tcPr>
          <w:p>
            <w:pPr>
              <w:pStyle w:val="TableContents"/>
              <w:bidi w:val="0"/>
              <w:spacing w:before="0" w:after="283"/>
              <w:jc w:val="left"/>
              <w:rPr/>
            </w:pPr>
            <w:r>
              <w:rPr/>
              <w:t> </w:t>
            </w:r>
          </w:p>
        </w:tc>
        <w:tc>
          <w:tcPr>
            <w:tcW w:w="8534" w:type="dxa"/>
            <w:gridSpan w:val="2"/>
            <w:tcBorders>
              <w:top w:val="single" w:sz="8" w:space="0" w:color="003A5D"/>
            </w:tcBorders>
            <w:tcMar>
              <w:top w:w="28" w:type="dxa"/>
            </w:tcMar>
            <w:vAlign w:val="center"/>
          </w:tcPr>
          <w:p>
            <w:pPr>
              <w:pStyle w:val="TableContents"/>
              <w:bidi w:val="0"/>
              <w:spacing w:before="0" w:after="283"/>
              <w:jc w:val="left"/>
              <w:rPr/>
            </w:pPr>
            <w:r>
              <w:rPr/>
              <w:t> </w:t>
            </w:r>
          </w:p>
        </w:tc>
      </w:tr>
      <w:tr>
        <w:trPr/>
        <w:tc>
          <w:tcPr>
            <w:tcW w:w="1671" w:type="dxa"/>
            <w:tcBorders>
              <w:bottom w:val="single" w:sz="8"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Ravi Raghu       </w:t>
            </w:r>
          </w:p>
          <w:p>
            <w:pPr>
              <w:pStyle w:val="TableContents"/>
              <w:bidi w:val="0"/>
              <w:spacing w:before="0" w:after="0"/>
              <w:jc w:val="left"/>
              <w:rPr/>
            </w:pPr>
            <w:r>
              <w:rPr/>
              <w:t> </w:t>
            </w:r>
          </w:p>
          <w:p>
            <w:pPr>
              <w:pStyle w:val="TableContents"/>
              <w:bidi w:val="0"/>
              <w:spacing w:before="0" w:after="0"/>
              <w:jc w:val="left"/>
              <w:rPr>
                <w:rFonts w:ascii="arial" w:hAnsi="arial"/>
                <w:i/>
                <w:sz w:val="18"/>
              </w:rPr>
            </w:pPr>
            <w:r>
              <w:rPr>
                <w:rFonts w:ascii="arial" w:hAnsi="arial"/>
                <w:i/>
                <w:sz w:val="18"/>
              </w:rPr>
              <w:t>President, Capital One Software,</w:t>
            </w:r>
          </w:p>
          <w:p>
            <w:pPr>
              <w:pStyle w:val="TableContents"/>
              <w:bidi w:val="0"/>
              <w:spacing w:before="0" w:after="0"/>
              <w:jc w:val="left"/>
              <w:rPr>
                <w:rFonts w:ascii="arial" w:hAnsi="arial"/>
                <w:i/>
                <w:sz w:val="18"/>
              </w:rPr>
            </w:pPr>
            <w:r>
              <w:rPr>
                <w:rFonts w:ascii="arial" w:hAnsi="arial"/>
                <w:i/>
                <w:sz w:val="18"/>
              </w:rPr>
              <w:t>International, and Business</w:t>
            </w:r>
          </w:p>
          <w:p>
            <w:pPr>
              <w:pStyle w:val="TableContents"/>
              <w:bidi w:val="0"/>
              <w:spacing w:before="0" w:after="0"/>
              <w:jc w:val="left"/>
              <w:rPr>
                <w:rFonts w:ascii="arial" w:hAnsi="arial"/>
                <w:i/>
                <w:sz w:val="18"/>
              </w:rPr>
            </w:pPr>
            <w:r>
              <w:rPr>
                <w:rFonts w:ascii="arial" w:hAnsi="arial"/>
                <w:i/>
                <w:sz w:val="18"/>
              </w:rPr>
              <w:t>Cards &amp; Payments</w:t>
            </w:r>
          </w:p>
          <w:p>
            <w:pPr>
              <w:pStyle w:val="TableContents"/>
              <w:bidi w:val="0"/>
              <w:spacing w:before="0" w:after="0"/>
              <w:jc w:val="left"/>
              <w:rPr/>
            </w:pPr>
            <w:r>
              <w:rPr/>
              <w:t> </w:t>
            </w:r>
          </w:p>
          <w:p>
            <w:pPr>
              <w:pStyle w:val="TableContents"/>
              <w:bidi w:val="0"/>
              <w:spacing w:before="0" w:after="20"/>
              <w:jc w:val="left"/>
              <w:rPr/>
            </w:pPr>
            <w:r>
              <w:rPr/>
              <w:t> </w:t>
            </w:r>
            <w:r>
              <w:rPr>
                <w:rFonts w:ascii="arial" w:hAnsi="arial"/>
                <w:i/>
                <w:sz w:val="18"/>
              </w:rPr>
              <w:t>Age: 46</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8414" w:type="dxa"/>
            <w:tcBorders>
              <w:bottom w:val="single" w:sz="8"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Mr. Raghu has served as our President, Capital One Software, International, and Business Cards &amp; Payments since July 2022. In this role, Mr. Raghu is responsible for a portfolio of businesses covering Capital One Software, Small Business and Commercial Credit Cards and B2B Payments, as well as consumer credit cards in the UK &amp; Canada. Mr. Raghu began his professional career in Capital One’s Credit Card Division over 20 years ago as a business analyst and has served in a variety of leadership roles at Capital One, most recently serving as Executive Vice President, Head of Capital One Software from July 2021 to July 2022 and previously as Executive Vice President, Head of Dealer Auto Finance from March 2017 to July 2021.</w:t>
            </w:r>
          </w:p>
        </w:tc>
      </w:tr>
      <w:tr>
        <w:trPr/>
        <w:tc>
          <w:tcPr>
            <w:tcW w:w="1671" w:type="dxa"/>
            <w:tcBorders>
              <w:top w:val="single" w:sz="6" w:space="0" w:color="003A5D"/>
            </w:tcBorders>
            <w:tcMar>
              <w:top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14" w:type="dxa"/>
            <w:tcBorders/>
            <w:vAlign w:val="center"/>
          </w:tcPr>
          <w:p>
            <w:pPr>
              <w:pStyle w:val="TableContents"/>
              <w:bidi w:val="0"/>
              <w:spacing w:before="0" w:after="283"/>
              <w:jc w:val="left"/>
              <w:rPr>
                <w:sz w:val="4"/>
                <w:szCs w:val="4"/>
              </w:rPr>
            </w:pPr>
            <w:r>
              <w:rPr>
                <w:sz w:val="4"/>
                <w:szCs w:val="4"/>
              </w:rPr>
            </w:r>
          </w:p>
        </w:tc>
      </w:tr>
      <w:tr>
        <w:trPr/>
        <w:tc>
          <w:tcPr>
            <w:tcW w:w="1671" w:type="dxa"/>
            <w:tcBorders>
              <w:top w:val="single" w:sz="8" w:space="0" w:color="003A5D"/>
            </w:tcBorders>
            <w:shd w:fill="E5EBEE" w:val="clear"/>
            <w:tcMar>
              <w:top w:w="28" w:type="dxa"/>
            </w:tcMar>
            <w:vAlign w:val="center"/>
          </w:tcPr>
          <w:p>
            <w:pPr>
              <w:pStyle w:val="TableContents"/>
              <w:bidi w:val="0"/>
              <w:spacing w:before="0" w:after="283"/>
              <w:jc w:val="left"/>
              <w:rPr/>
            </w:pPr>
            <w:r>
              <w:rPr/>
              <w:t> </w:t>
            </w:r>
          </w:p>
        </w:tc>
        <w:tc>
          <w:tcPr>
            <w:tcW w:w="8534" w:type="dxa"/>
            <w:gridSpan w:val="2"/>
            <w:tcBorders>
              <w:top w:val="single" w:sz="8" w:space="0" w:color="003A5D"/>
            </w:tcBorders>
            <w:tcMar>
              <w:top w:w="28" w:type="dxa"/>
            </w:tcMar>
            <w:vAlign w:val="center"/>
          </w:tcPr>
          <w:p>
            <w:pPr>
              <w:pStyle w:val="TableContents"/>
              <w:bidi w:val="0"/>
              <w:spacing w:before="0" w:after="283"/>
              <w:jc w:val="left"/>
              <w:rPr/>
            </w:pPr>
            <w:r>
              <w:rPr/>
              <w:t> </w:t>
            </w:r>
          </w:p>
        </w:tc>
      </w:tr>
      <w:tr>
        <w:trPr/>
        <w:tc>
          <w:tcPr>
            <w:tcW w:w="1671" w:type="dxa"/>
            <w:tcBorders>
              <w:bottom w:val="single" w:sz="8"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Kara West        </w:t>
            </w:r>
          </w:p>
          <w:p>
            <w:pPr>
              <w:pStyle w:val="TableContents"/>
              <w:bidi w:val="0"/>
              <w:spacing w:before="0" w:after="0"/>
              <w:jc w:val="left"/>
              <w:rPr/>
            </w:pPr>
            <w:r>
              <w:rPr/>
              <w:t> </w:t>
            </w:r>
          </w:p>
          <w:p>
            <w:pPr>
              <w:pStyle w:val="TableContents"/>
              <w:bidi w:val="0"/>
              <w:spacing w:before="0" w:after="0"/>
              <w:jc w:val="left"/>
              <w:rPr>
                <w:rFonts w:ascii="arial" w:hAnsi="arial"/>
                <w:i/>
                <w:sz w:val="18"/>
              </w:rPr>
            </w:pPr>
            <w:r>
              <w:rPr>
                <w:rFonts w:ascii="arial" w:hAnsi="arial"/>
                <w:i/>
                <w:sz w:val="18"/>
              </w:rPr>
              <w:t>Chief Enterprise Risk Officer</w:t>
            </w:r>
          </w:p>
          <w:p>
            <w:pPr>
              <w:pStyle w:val="TableContents"/>
              <w:bidi w:val="0"/>
              <w:spacing w:before="0" w:after="0"/>
              <w:jc w:val="left"/>
              <w:rPr/>
            </w:pPr>
            <w:r>
              <w:rPr/>
              <w:t> </w:t>
            </w:r>
          </w:p>
          <w:p>
            <w:pPr>
              <w:pStyle w:val="TableContents"/>
              <w:bidi w:val="0"/>
              <w:spacing w:before="0" w:after="20"/>
              <w:jc w:val="left"/>
              <w:rPr/>
            </w:pPr>
            <w:r>
              <w:rPr/>
              <w:t> </w:t>
            </w:r>
            <w:r>
              <w:rPr>
                <w:rFonts w:ascii="arial" w:hAnsi="arial"/>
                <w:i/>
                <w:sz w:val="18"/>
              </w:rPr>
              <w:t>Age: 51</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8414" w:type="dxa"/>
            <w:tcBorders>
              <w:bottom w:val="single" w:sz="8"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Ms. West has served as our Chief Enterprise Risk Officer since September 2023, and is responsible for oversight of Capital One’s risk management activities in compliance, operational, reputation, and strategic risk, as well as the enterprise risk management function. Ms. West has been with Capital One since 2013, serving in a variety of roles, including previously serving as Senior Vice President and Card Chief Risk Officer from November 2017 to August 2021 and as Chief Audit Officer from August 2021 to September 2023.</w:t>
            </w:r>
          </w:p>
        </w:tc>
      </w:tr>
      <w:tr>
        <w:trPr/>
        <w:tc>
          <w:tcPr>
            <w:tcW w:w="1671" w:type="dxa"/>
            <w:tcBorders>
              <w:top w:val="single" w:sz="6" w:space="0" w:color="003A5D"/>
            </w:tcBorders>
            <w:tcMar>
              <w:top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14" w:type="dxa"/>
            <w:tcBorders/>
            <w:vAlign w:val="center"/>
          </w:tcPr>
          <w:p>
            <w:pPr>
              <w:pStyle w:val="TableContents"/>
              <w:bidi w:val="0"/>
              <w:spacing w:before="0" w:after="283"/>
              <w:jc w:val="left"/>
              <w:rPr>
                <w:sz w:val="4"/>
                <w:szCs w:val="4"/>
              </w:rPr>
            </w:pPr>
            <w:r>
              <w:rPr>
                <w:sz w:val="4"/>
                <w:szCs w:val="4"/>
              </w:rPr>
            </w:r>
          </w:p>
        </w:tc>
      </w:tr>
      <w:tr>
        <w:trPr/>
        <w:tc>
          <w:tcPr>
            <w:tcW w:w="1671" w:type="dxa"/>
            <w:tcBorders>
              <w:top w:val="single" w:sz="8" w:space="0" w:color="003A5D"/>
            </w:tcBorders>
            <w:shd w:fill="E5EBEE" w:val="clear"/>
            <w:tcMar>
              <w:top w:w="28" w:type="dxa"/>
            </w:tcMar>
            <w:vAlign w:val="center"/>
          </w:tcPr>
          <w:p>
            <w:pPr>
              <w:pStyle w:val="TableContents"/>
              <w:bidi w:val="0"/>
              <w:spacing w:before="0" w:after="283"/>
              <w:jc w:val="left"/>
              <w:rPr/>
            </w:pPr>
            <w:r>
              <w:rPr/>
              <w:t> </w:t>
            </w:r>
          </w:p>
        </w:tc>
        <w:tc>
          <w:tcPr>
            <w:tcW w:w="8534" w:type="dxa"/>
            <w:gridSpan w:val="2"/>
            <w:tcBorders>
              <w:top w:val="single" w:sz="8" w:space="0" w:color="003A5D"/>
            </w:tcBorders>
            <w:tcMar>
              <w:top w:w="28" w:type="dxa"/>
            </w:tcMar>
            <w:vAlign w:val="center"/>
          </w:tcPr>
          <w:p>
            <w:pPr>
              <w:pStyle w:val="TableContents"/>
              <w:bidi w:val="0"/>
              <w:spacing w:before="0" w:after="283"/>
              <w:jc w:val="left"/>
              <w:rPr/>
            </w:pPr>
            <w:r>
              <w:rPr/>
              <w:t> </w:t>
            </w:r>
          </w:p>
        </w:tc>
      </w:tr>
      <w:tr>
        <w:trPr/>
        <w:tc>
          <w:tcPr>
            <w:tcW w:w="1671" w:type="dxa"/>
            <w:tcBorders>
              <w:bottom w:val="single" w:sz="8"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Sanjiv Yajnik       </w:t>
            </w:r>
          </w:p>
          <w:p>
            <w:pPr>
              <w:pStyle w:val="TableContents"/>
              <w:bidi w:val="0"/>
              <w:spacing w:before="0" w:after="0"/>
              <w:jc w:val="left"/>
              <w:rPr/>
            </w:pPr>
            <w:r>
              <w:rPr/>
              <w:t> </w:t>
            </w:r>
          </w:p>
          <w:p>
            <w:pPr>
              <w:pStyle w:val="TableContents"/>
              <w:bidi w:val="0"/>
              <w:spacing w:before="0" w:after="0"/>
              <w:jc w:val="left"/>
              <w:rPr>
                <w:rFonts w:ascii="arial" w:hAnsi="arial"/>
                <w:i/>
                <w:sz w:val="18"/>
              </w:rPr>
            </w:pPr>
            <w:r>
              <w:rPr>
                <w:rFonts w:ascii="arial" w:hAnsi="arial"/>
                <w:i/>
                <w:sz w:val="18"/>
              </w:rPr>
              <w:t>President, Financial Services</w:t>
            </w:r>
          </w:p>
          <w:p>
            <w:pPr>
              <w:pStyle w:val="TableContents"/>
              <w:bidi w:val="0"/>
              <w:spacing w:before="0" w:after="0"/>
              <w:jc w:val="left"/>
              <w:rPr/>
            </w:pPr>
            <w:r>
              <w:rPr/>
              <w:t> </w:t>
            </w:r>
          </w:p>
          <w:p>
            <w:pPr>
              <w:pStyle w:val="TableContents"/>
              <w:bidi w:val="0"/>
              <w:spacing w:before="0" w:after="20"/>
              <w:jc w:val="left"/>
              <w:rPr/>
            </w:pPr>
            <w:r>
              <w:rPr/>
              <w:t> </w:t>
            </w:r>
            <w:r>
              <w:rPr>
                <w:rFonts w:ascii="arial" w:hAnsi="arial"/>
                <w:i/>
                <w:sz w:val="18"/>
              </w:rPr>
              <w:t>Age: 68</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8414" w:type="dxa"/>
            <w:tcBorders>
              <w:bottom w:val="single" w:sz="8"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Mr. Yajnik has served as our President, Financial Services since June 2009, and is responsible for overseeing Capital One’s Auto Finance business. Mr. Yajnik joined Capital One in July 1998. From July 1998 to June 2009, Mr. Yajnik led several businesses within Capital One, including Capital One Europe, Capital One Canada, and Capital One Small Business Services. Mr. Yajnik became President, Financial Services in June 2009. Prior to joining Capital One, Mr. Yajnik held leadership positions at PepsiCo, Circuit City, and Mobil Oil.</w:t>
            </w:r>
          </w:p>
        </w:tc>
      </w:tr>
      <w:tr>
        <w:trPr/>
        <w:tc>
          <w:tcPr>
            <w:tcW w:w="1671" w:type="dxa"/>
            <w:tcBorders>
              <w:top w:val="single" w:sz="6" w:space="0" w:color="003A5D"/>
            </w:tcBorders>
            <w:tcMar>
              <w:top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1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43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20"/>
        <w:gridCol w:w="120"/>
        <w:gridCol w:w="8965"/>
      </w:tblGrid>
      <w:tr>
        <w:trPr/>
        <w:tc>
          <w:tcPr>
            <w:tcW w:w="1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65" w:type="dxa"/>
            <w:tcBorders/>
            <w:vAlign w:val="center"/>
          </w:tcPr>
          <w:p>
            <w:pPr>
              <w:pStyle w:val="TableContents"/>
              <w:bidi w:val="0"/>
              <w:spacing w:before="0" w:after="283"/>
              <w:jc w:val="left"/>
              <w:rPr>
                <w:sz w:val="4"/>
                <w:szCs w:val="4"/>
              </w:rPr>
            </w:pPr>
            <w:r>
              <w:rPr>
                <w:sz w:val="4"/>
                <w:szCs w:val="4"/>
              </w:rPr>
            </w:r>
          </w:p>
        </w:tc>
      </w:tr>
      <w:tr>
        <w:trPr/>
        <w:tc>
          <w:tcPr>
            <w:tcW w:w="1120" w:type="dxa"/>
            <w:tcBorders>
              <w:top w:val="single" w:sz="8" w:space="0" w:color="003A5D"/>
            </w:tcBorders>
            <w:shd w:fill="E5EBEE" w:val="clear"/>
            <w:tcMar>
              <w:top w:w="28" w:type="dxa"/>
            </w:tcMar>
            <w:vAlign w:val="center"/>
          </w:tcPr>
          <w:p>
            <w:pPr>
              <w:pStyle w:val="TableContents"/>
              <w:bidi w:val="0"/>
              <w:spacing w:before="0" w:after="283"/>
              <w:jc w:val="left"/>
              <w:rPr/>
            </w:pPr>
            <w:r>
              <w:rPr/>
              <w:t> </w:t>
            </w:r>
          </w:p>
        </w:tc>
        <w:tc>
          <w:tcPr>
            <w:tcW w:w="9085" w:type="dxa"/>
            <w:gridSpan w:val="2"/>
            <w:tcBorders>
              <w:top w:val="single" w:sz="8" w:space="0" w:color="003A5D"/>
            </w:tcBorders>
            <w:tcMar>
              <w:top w:w="28" w:type="dxa"/>
            </w:tcMar>
            <w:vAlign w:val="center"/>
          </w:tcPr>
          <w:p>
            <w:pPr>
              <w:pStyle w:val="TableContents"/>
              <w:bidi w:val="0"/>
              <w:spacing w:before="0" w:after="283"/>
              <w:jc w:val="left"/>
              <w:rPr/>
            </w:pPr>
            <w:r>
              <w:rPr/>
              <w:t> </w:t>
            </w:r>
          </w:p>
        </w:tc>
      </w:tr>
      <w:tr>
        <w:trPr/>
        <w:tc>
          <w:tcPr>
            <w:tcW w:w="1120" w:type="dxa"/>
            <w:tcBorders>
              <w:bottom w:val="single" w:sz="8"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Andrew M. Young    </w:t>
            </w:r>
          </w:p>
          <w:p>
            <w:pPr>
              <w:pStyle w:val="TableContents"/>
              <w:bidi w:val="0"/>
              <w:spacing w:before="0" w:after="0"/>
              <w:jc w:val="left"/>
              <w:rPr/>
            </w:pPr>
            <w:r>
              <w:rPr/>
              <w:t> </w:t>
            </w:r>
          </w:p>
          <w:p>
            <w:pPr>
              <w:pStyle w:val="TableContents"/>
              <w:bidi w:val="0"/>
              <w:spacing w:before="0" w:after="0"/>
              <w:jc w:val="left"/>
              <w:rPr/>
            </w:pPr>
            <w:r>
              <w:rPr/>
              <w:t> </w:t>
            </w:r>
            <w:r>
              <w:rPr>
                <w:rFonts w:ascii="arial" w:hAnsi="arial"/>
                <w:i/>
                <w:sz w:val="18"/>
              </w:rPr>
              <w:t>Chief Financial Officer</w:t>
            </w:r>
          </w:p>
          <w:p>
            <w:pPr>
              <w:pStyle w:val="TableContents"/>
              <w:bidi w:val="0"/>
              <w:spacing w:before="0" w:after="0"/>
              <w:jc w:val="left"/>
              <w:rPr/>
            </w:pPr>
            <w:r>
              <w:rPr/>
              <w:t> </w:t>
            </w:r>
          </w:p>
          <w:p>
            <w:pPr>
              <w:pStyle w:val="TableContents"/>
              <w:bidi w:val="0"/>
              <w:spacing w:before="0" w:after="20"/>
              <w:jc w:val="left"/>
              <w:rPr/>
            </w:pPr>
            <w:r>
              <w:rPr/>
              <w:t> </w:t>
            </w:r>
            <w:r>
              <w:rPr>
                <w:rFonts w:ascii="arial" w:hAnsi="arial"/>
                <w:i/>
                <w:sz w:val="18"/>
              </w:rPr>
              <w:t>Age: 50</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8965" w:type="dxa"/>
            <w:tcBorders>
              <w:bottom w:val="single" w:sz="8"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Mr. Young has served as our Chief Financial Officer since March 2021, and is responsible for overseeing Capital One’s finance team and the overall financial management of the Company. Mr. Young joined Capital One in June 1996. Since that time, he has served in a variety of roles at Capital One. Most recently, he was Senior Vice President and Business Line Chief Financial Officer of the Company from April 2018 to February 2021. In this role, he was responsible for managing all lines of business chief financial officer teams as well as enterprise planning and budgeting. Mr. Young also served as the Chief Financial Officer of Capital One, National Association from July 2018 until February 2021. Prior to that, he served as Senior Vice President, Head of Corporate Planning and CFO of Infrastructure from January 2015 to April 2018.</w:t>
            </w:r>
          </w:p>
        </w:tc>
      </w:tr>
      <w:tr>
        <w:trPr/>
        <w:tc>
          <w:tcPr>
            <w:tcW w:w="1120" w:type="dxa"/>
            <w:tcBorders>
              <w:top w:val="single" w:sz="6" w:space="0" w:color="003A5D"/>
            </w:tcBorders>
            <w:tcMar>
              <w:top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283"/>
              <w:jc w:val="left"/>
              <w:rPr>
                <w:sz w:val="4"/>
                <w:szCs w:val="4"/>
              </w:rPr>
            </w:pPr>
            <w:r>
              <w:rPr>
                <w:sz w:val="4"/>
                <w:szCs w:val="4"/>
              </w:rPr>
            </w:r>
          </w:p>
        </w:tc>
      </w:tr>
      <w:tr>
        <w:trPr/>
        <w:tc>
          <w:tcPr>
            <w:tcW w:w="1120" w:type="dxa"/>
            <w:tcBorders>
              <w:top w:val="single" w:sz="8" w:space="0" w:color="003A5D"/>
            </w:tcBorders>
            <w:shd w:fill="E5EBEE" w:val="clear"/>
            <w:tcMar>
              <w:top w:w="28" w:type="dxa"/>
            </w:tcMar>
            <w:vAlign w:val="center"/>
          </w:tcPr>
          <w:p>
            <w:pPr>
              <w:pStyle w:val="TableContents"/>
              <w:bidi w:val="0"/>
              <w:spacing w:before="0" w:after="283"/>
              <w:jc w:val="left"/>
              <w:rPr/>
            </w:pPr>
            <w:r>
              <w:rPr/>
              <w:t> </w:t>
            </w:r>
          </w:p>
        </w:tc>
        <w:tc>
          <w:tcPr>
            <w:tcW w:w="9085" w:type="dxa"/>
            <w:gridSpan w:val="2"/>
            <w:tcBorders>
              <w:top w:val="single" w:sz="8" w:space="0" w:color="003A5D"/>
            </w:tcBorders>
            <w:tcMar>
              <w:top w:w="28" w:type="dxa"/>
            </w:tcMar>
            <w:vAlign w:val="center"/>
          </w:tcPr>
          <w:p>
            <w:pPr>
              <w:pStyle w:val="TableContents"/>
              <w:bidi w:val="0"/>
              <w:spacing w:before="0" w:after="283"/>
              <w:jc w:val="left"/>
              <w:rPr/>
            </w:pPr>
            <w:r>
              <w:rPr/>
              <w:t> </w:t>
            </w:r>
          </w:p>
        </w:tc>
      </w:tr>
      <w:tr>
        <w:trPr/>
        <w:tc>
          <w:tcPr>
            <w:tcW w:w="1120" w:type="dxa"/>
            <w:tcBorders>
              <w:bottom w:val="single" w:sz="8"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Michael Zamsky    </w:t>
            </w:r>
          </w:p>
          <w:p>
            <w:pPr>
              <w:pStyle w:val="TableContents"/>
              <w:bidi w:val="0"/>
              <w:spacing w:before="0" w:after="0"/>
              <w:jc w:val="left"/>
              <w:rPr/>
            </w:pPr>
            <w:r>
              <w:rPr/>
              <w:t> </w:t>
            </w:r>
          </w:p>
          <w:p>
            <w:pPr>
              <w:pStyle w:val="TableContents"/>
              <w:bidi w:val="0"/>
              <w:spacing w:before="0" w:after="0"/>
              <w:jc w:val="left"/>
              <w:rPr>
                <w:rFonts w:ascii="arial" w:hAnsi="arial"/>
                <w:i/>
                <w:sz w:val="18"/>
              </w:rPr>
            </w:pPr>
            <w:r>
              <w:rPr>
                <w:rFonts w:ascii="arial" w:hAnsi="arial"/>
                <w:i/>
                <w:sz w:val="18"/>
              </w:rPr>
              <w:t>Chief Credit and Financial Risk</w:t>
            </w:r>
          </w:p>
          <w:p>
            <w:pPr>
              <w:pStyle w:val="TableContents"/>
              <w:bidi w:val="0"/>
              <w:spacing w:before="0" w:after="0"/>
              <w:jc w:val="left"/>
              <w:rPr>
                <w:rFonts w:ascii="arial" w:hAnsi="arial"/>
                <w:i/>
                <w:sz w:val="18"/>
              </w:rPr>
            </w:pPr>
            <w:r>
              <w:rPr>
                <w:rFonts w:ascii="arial" w:hAnsi="arial"/>
                <w:i/>
                <w:sz w:val="18"/>
              </w:rPr>
              <w:t>Officer</w:t>
            </w:r>
          </w:p>
          <w:p>
            <w:pPr>
              <w:pStyle w:val="TableContents"/>
              <w:bidi w:val="0"/>
              <w:spacing w:before="0" w:after="0"/>
              <w:jc w:val="left"/>
              <w:rPr/>
            </w:pPr>
            <w:r>
              <w:rPr/>
              <w:t> </w:t>
            </w:r>
          </w:p>
          <w:p>
            <w:pPr>
              <w:pStyle w:val="TableContents"/>
              <w:bidi w:val="0"/>
              <w:spacing w:before="0" w:after="20"/>
              <w:jc w:val="left"/>
              <w:rPr/>
            </w:pPr>
            <w:r>
              <w:rPr/>
              <w:t> </w:t>
            </w:r>
            <w:r>
              <w:rPr>
                <w:rFonts w:ascii="arial" w:hAnsi="arial"/>
                <w:i/>
                <w:sz w:val="18"/>
              </w:rPr>
              <w:t>Age: 50</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8965" w:type="dxa"/>
            <w:tcBorders>
              <w:bottom w:val="single" w:sz="8"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Mr. Zamsky has served as our Chief Credit and Financial Risk Officer since September 2023, and is responsible for oversight of Capital One’s risk management activities in credit, liquidity, and market risk. He also leads Enterprise Model Risk Management. Mr. Zamsky has been with Capital One for over 27 years, and he previously served in a number of business and operations leadership roles, including serving as our Chief Consumer Credit Officer from August 2006 to September 2023.</w:t>
            </w:r>
          </w:p>
        </w:tc>
      </w:tr>
      <w:tr>
        <w:trPr/>
        <w:tc>
          <w:tcPr>
            <w:tcW w:w="1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b/>
          <w:color w:val="003A5D"/>
          <w:sz w:val="32"/>
        </w:rPr>
      </w:pPr>
      <w:bookmarkStart w:id="28" w:name="txa845790_12"/>
      <w:bookmarkEnd w:id="28"/>
      <w:r>
        <w:rPr>
          <w:rFonts w:ascii="arial" w:hAnsi="arial"/>
          <w:b/>
          <w:color w:val="003A5D"/>
          <w:sz w:val="32"/>
        </w:rPr>
        <w:t xml:space="preserve">Related Person Transactions </w:t>
      </w:r>
    </w:p>
    <w:p>
      <w:pPr>
        <w:pStyle w:val="TextBody"/>
        <w:bidi w:val="0"/>
        <w:spacing w:before="240" w:after="0"/>
        <w:jc w:val="both"/>
        <w:rPr>
          <w:rFonts w:ascii="arial" w:hAnsi="arial"/>
          <w:sz w:val="20"/>
        </w:rPr>
      </w:pPr>
      <w:r>
        <w:rPr>
          <w:rFonts w:ascii="arial" w:hAnsi="arial"/>
          <w:sz w:val="20"/>
        </w:rPr>
        <w:t xml:space="preserve">Our Board has approved a written Related Person Transaction policy, which sets forth policies and procedures for reviewing, and approving or ratifying, transactions with directors, director nominees, executive officers, stockholders holding 5% or more of Capital One’s voting securities, or any of their immediate family members or affiliated entities (collectively, “Related Persons”). The policy covers transactions, arrangements, and relationships where Capital One is a participant, the aggregate amount exceeds $120,000, and a Related Person has a direct or indirect material interest (“Related Person Transactions”). Under the policy, Related Person Transactions must be approved or ratified by the Governance and Nominating Committee, and may only be ratified or approved if the committee determines the Related Person Transactions are not inconsistent with the best interests of the Company and its stockholders. </w:t>
      </w:r>
    </w:p>
    <w:p>
      <w:pPr>
        <w:pStyle w:val="TextBody"/>
        <w:bidi w:val="0"/>
        <w:spacing w:before="240" w:after="0"/>
        <w:jc w:val="both"/>
        <w:rPr>
          <w:rFonts w:ascii="arial" w:hAnsi="arial"/>
          <w:sz w:val="20"/>
        </w:rPr>
      </w:pPr>
      <w:r>
        <w:rPr>
          <w:rFonts w:ascii="arial" w:hAnsi="arial"/>
          <w:sz w:val="20"/>
        </w:rPr>
        <w:t xml:space="preserve">In reviewing Related Person Transactions, the Governance and Nominating Committee considers all relevant facts and circumstances, which may include: the benefits to the Company from the transaction; the nature and extent of the Related Person’s interest in the transaction; the impact, if any, on a director’s independence; any implications under Capital One’s Code of Conduct (including whether the transaction would create a conflict of interest or the appearance thereof); any concerns with respect to reputational risk; the availability of other sources for comparable products or services; and the terms of the transaction as compared to the terms available to unrelated third parties or to Capital One’s associates, generally. </w:t>
      </w:r>
    </w:p>
    <w:p>
      <w:pPr>
        <w:pStyle w:val="TextBody"/>
        <w:bidi w:val="0"/>
        <w:spacing w:before="240" w:after="0"/>
        <w:jc w:val="both"/>
        <w:rPr>
          <w:rFonts w:ascii="arial" w:hAnsi="arial"/>
          <w:sz w:val="20"/>
        </w:rPr>
      </w:pPr>
      <w:r>
        <w:rPr>
          <w:rFonts w:ascii="arial" w:hAnsi="arial"/>
          <w:sz w:val="20"/>
        </w:rPr>
        <w:t xml:space="preserve">The Governance and Nominating Committee has pre-approved the following types of Related Person Transactions as being not inconsistent with the best interests of Capital One and its stockholders: director and executive compensation otherwise disclosed in the Company’s proxy statement and/or approved by the Compensation Committee or the Board; transactions in amounts that are not material and where the relationship arises only from a Related Person’s position as an employee (other than as an executive officer) or a director of, or having immaterial financial holdings in, another entity; and financial services, including loans, extensions of credit, or other financial services and products provided by Capital One to a Related Person that are in the ordinary course, non-preferential, do not involve features unfavorable to the Company, and comply with all applicable laws, rules, and regulations (including the Sarbanes-Oxley Act of 2002 (“Sarbanes-Oxley Act”) and Regulation O of the Board of Governors of the Federal Reserve, and the FDIC Guidelines). </w:t>
      </w:r>
    </w:p>
    <w:p>
      <w:pPr>
        <w:pStyle w:val="TextBody"/>
        <w:bidi w:val="0"/>
        <w:spacing w:before="240" w:after="0"/>
        <w:jc w:val="both"/>
        <w:rPr>
          <w:rFonts w:ascii="arial" w:hAnsi="arial"/>
          <w:sz w:val="20"/>
        </w:rPr>
      </w:pPr>
      <w:r>
        <w:rPr>
          <w:rFonts w:ascii="arial" w:hAnsi="arial"/>
          <w:sz w:val="20"/>
        </w:rPr>
        <w:t xml:space="preserve">From time to time in the ordinary course of its business, Capital One issues loans and provides other financial services and products to directors, executive officers, and/or nominees for director, or to a director’s, executive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44 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officer’s, or director nominee’s immediate family member, including persons sharing the household of such director, executive officer, or director nominee (other than a tenant or employee). Such loans and other financial services and products are made in the ordinary course of business; are on substantially the same terms, including interest rates and collateral, as those prevailing at the time for comparable loans and financial services and products with persons not related to the Company; and do not involve more than the normal risk of collectability or present other features unfavorable to the Company. </w:t>
      </w:r>
    </w:p>
    <w:p>
      <w:pPr>
        <w:pStyle w:val="TextBody"/>
        <w:bidi w:val="0"/>
        <w:spacing w:before="240" w:after="0"/>
        <w:jc w:val="both"/>
        <w:rPr>
          <w:rFonts w:ascii="arial" w:hAnsi="arial"/>
          <w:sz w:val="20"/>
        </w:rPr>
      </w:pPr>
      <w:r>
        <w:rPr>
          <w:rFonts w:ascii="arial" w:hAnsi="arial"/>
          <w:sz w:val="20"/>
        </w:rPr>
        <w:t xml:space="preserve">Matthew W. Cooper is Capital One’s General Counsel and Corporate Secretary. Mr. Cooper’s brother-in-law is a partner at the international law firm McGuireWoods LLP (“McGuireWoods”). Capital One has engaged McGuireWoods from time to time in the ordinary course of business and on an arm’s-length basis. The relationship between Capital One and McGuireWoods began before Mr. Cooper was employed by Capital One and also pre-dates Mr. Cooper’s brother-in-law’s association with McGuireWoods. Mr. Cooper’s brother-in-law does not work on any Capital One matters and his ownership in the firm is less than 1%. In 2024, Capital One made aggregate payments to McGuireWoods of approximately $5.9 million for legal services. This relationship was ratified by the Governance and Nominating Committee. </w:t>
      </w:r>
    </w:p>
    <w:p>
      <w:pPr>
        <w:pStyle w:val="TextBody"/>
        <w:bidi w:val="0"/>
        <w:spacing w:before="240" w:after="0"/>
        <w:jc w:val="both"/>
        <w:rPr>
          <w:rFonts w:ascii="arial" w:hAnsi="arial"/>
          <w:sz w:val="20"/>
        </w:rPr>
      </w:pPr>
      <w:r>
        <w:rPr>
          <w:rFonts w:ascii="arial" w:hAnsi="arial"/>
          <w:sz w:val="20"/>
        </w:rPr>
        <w:t xml:space="preserve">Ravi Raghu is Capital One’s President, Capital One Software, International, and Business Cards &amp; Payments. Mr. Raghu’s spouse is a Senior Business Manager with the Company. Mr. Raghu’s spouse received compensation of approximately $187,000 in 2024, including an annual salary and incentive award commensurate with her qualifications, responsibilities, and other employees holding similar positions. She does not report directly or indirectly to Mr. Raghu. This relationship was ratified by the Governance and Nominating Committee. </w:t>
      </w:r>
    </w:p>
    <w:p>
      <w:pPr>
        <w:pStyle w:val="TextBody"/>
        <w:bidi w:val="0"/>
        <w:spacing w:before="240" w:after="0"/>
        <w:jc w:val="left"/>
        <w:rPr>
          <w:rFonts w:ascii="arial" w:hAnsi="arial"/>
          <w:b/>
          <w:color w:val="003A5D"/>
          <w:sz w:val="32"/>
        </w:rPr>
      </w:pPr>
      <w:bookmarkStart w:id="29" w:name="txa845790_13"/>
      <w:bookmarkEnd w:id="29"/>
      <w:r>
        <w:rPr>
          <w:rFonts w:ascii="arial" w:hAnsi="arial"/>
          <w:b/>
          <w:color w:val="003A5D"/>
          <w:sz w:val="32"/>
        </w:rPr>
        <w:t xml:space="preserve">Corporate Impact at Capital One </w:t>
      </w:r>
    </w:p>
    <w:p>
      <w:pPr>
        <w:pStyle w:val="TextBody"/>
        <w:bidi w:val="0"/>
        <w:spacing w:before="240" w:after="0"/>
        <w:jc w:val="both"/>
        <w:rPr>
          <w:rFonts w:ascii="arial" w:hAnsi="arial"/>
          <w:sz w:val="20"/>
        </w:rPr>
      </w:pPr>
      <w:r>
        <w:rPr>
          <w:rFonts w:ascii="arial" w:hAnsi="arial"/>
          <w:sz w:val="20"/>
        </w:rPr>
        <w:t xml:space="preserve">At Capital One, we embrace the idea that we do well as a company by doing good in the communities we serve. Our approach to managing our corporate impact is constantly evolving to adapt to emerging issues in our industry and society. Our 2023 ESG Report, which is available on our website at www.capitalone.com under “Corporate Information,” then “Our Commitments,” details our approach to, and progress on, our corporate impact initiatives, including environmental and social matters. </w:t>
      </w:r>
    </w:p>
    <w:p>
      <w:pPr>
        <w:pStyle w:val="TextBody"/>
        <w:bidi w:val="0"/>
        <w:spacing w:before="240" w:after="0"/>
        <w:jc w:val="left"/>
        <w:rPr>
          <w:rFonts w:ascii="arial" w:hAnsi="arial"/>
          <w:b/>
          <w:i/>
          <w:color w:val="003A5D"/>
          <w:sz w:val="24"/>
        </w:rPr>
      </w:pPr>
      <w:r>
        <w:rPr>
          <w:rFonts w:ascii="arial" w:hAnsi="arial"/>
          <w:b/>
          <w:i/>
          <w:color w:val="003A5D"/>
          <w:sz w:val="24"/>
        </w:rPr>
        <w:t xml:space="preserve">Oversight of ESG Matters </w:t>
      </w:r>
    </w:p>
    <w:p>
      <w:pPr>
        <w:pStyle w:val="TextBody"/>
        <w:bidi w:val="0"/>
        <w:spacing w:before="240" w:after="0"/>
        <w:jc w:val="both"/>
        <w:rPr>
          <w:rFonts w:ascii="arial" w:hAnsi="arial"/>
          <w:sz w:val="20"/>
        </w:rPr>
      </w:pPr>
      <w:r>
        <w:rPr>
          <w:rFonts w:ascii="arial" w:hAnsi="arial"/>
          <w:sz w:val="20"/>
        </w:rPr>
        <w:t xml:space="preserve">Our approach to ESG matters is integrated into our existing governance structure at the Board and management levels of the Company.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45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left"/>
        <w:rPr>
          <w:rFonts w:ascii="arial" w:hAnsi="arial"/>
          <w:b/>
          <w:color w:val="003A5D"/>
          <w:sz w:val="20"/>
        </w:rPr>
      </w:pPr>
      <w:r>
        <w:rPr>
          <w:rFonts w:ascii="arial" w:hAnsi="arial"/>
          <w:b/>
          <w:color w:val="003A5D"/>
          <w:sz w:val="20"/>
        </w:rPr>
        <w:t xml:space="preserve">Board Level Oversight </w:t>
      </w:r>
    </w:p>
    <w:p>
      <w:pPr>
        <w:pStyle w:val="TextBody"/>
        <w:bidi w:val="0"/>
        <w:spacing w:before="240" w:after="0"/>
        <w:jc w:val="both"/>
        <w:rPr>
          <w:rFonts w:ascii="arial" w:hAnsi="arial"/>
          <w:sz w:val="20"/>
        </w:rPr>
      </w:pPr>
      <w:r>
        <w:rPr>
          <w:rFonts w:ascii="arial" w:hAnsi="arial"/>
          <w:sz w:val="20"/>
        </w:rPr>
        <w:t xml:space="preserve">Our Board is actively engaged with management on ESG-related issues. </w:t>
      </w:r>
    </w:p>
    <w:p>
      <w:pPr>
        <w:pStyle w:val="TextBody"/>
        <w:bidi w:val="0"/>
        <w:spacing w:before="0" w:after="0"/>
        <w:jc w:val="left"/>
        <w:rPr/>
      </w:pPr>
      <w:r>
        <w:rPr/>
        <w:t> </w:t>
      </w:r>
    </w:p>
    <w:tbl>
      <w:tblPr>
        <w:tblW w:w="10205" w:type="dxa"/>
        <w:jc w:val="left"/>
        <w:tblInd w:w="0" w:type="dxa"/>
        <w:shd w:fill="003A5D" w:val="clear"/>
        <w:tblLayout w:type="fixed"/>
        <w:tblCellMar>
          <w:top w:w="0" w:type="dxa"/>
          <w:left w:w="0" w:type="dxa"/>
          <w:bottom w:w="0" w:type="dxa"/>
          <w:right w:w="0" w:type="dxa"/>
        </w:tblCellMar>
      </w:tblPr>
      <w:tblGrid>
        <w:gridCol w:w="10205"/>
      </w:tblGrid>
      <w:tr>
        <w:trPr/>
        <w:tc>
          <w:tcPr>
            <w:tcW w:w="10205" w:type="dxa"/>
            <w:tcBorders/>
            <w:shd w:fill="003A5D" w:val="clear"/>
            <w:vAlign w:val="center"/>
          </w:tcPr>
          <w:p>
            <w:pPr>
              <w:pStyle w:val="TableContents"/>
              <w:bidi w:val="0"/>
              <w:spacing w:before="0" w:after="283"/>
              <w:jc w:val="left"/>
              <w:rPr>
                <w:sz w:val="4"/>
                <w:szCs w:val="4"/>
              </w:rPr>
            </w:pPr>
            <w:r>
              <w:rPr>
                <w:sz w:val="4"/>
                <w:szCs w:val="4"/>
              </w:rPr>
            </w:r>
          </w:p>
        </w:tc>
      </w:tr>
      <w:tr>
        <w:trPr/>
        <w:tc>
          <w:tcPr>
            <w:tcW w:w="10205" w:type="dxa"/>
            <w:tcBorders/>
            <w:shd w:fill="003A5D" w:val="clear"/>
            <w:vAlign w:val="center"/>
          </w:tcPr>
          <w:p>
            <w:pPr>
              <w:pStyle w:val="TableContents"/>
              <w:bidi w:val="0"/>
              <w:spacing w:before="0" w:after="283"/>
              <w:jc w:val="left"/>
              <w:rPr>
                <w:sz w:val="4"/>
                <w:szCs w:val="4"/>
              </w:rPr>
            </w:pPr>
            <w:r>
              <w:rPr>
                <w:sz w:val="4"/>
                <w:szCs w:val="4"/>
              </w:rPr>
            </w:r>
          </w:p>
        </w:tc>
      </w:tr>
      <w:tr>
        <w:trPr/>
        <w:tc>
          <w:tcPr>
            <w:tcW w:w="10205" w:type="dxa"/>
            <w:tcBorders/>
            <w:shd w:fill="003A5D" w:val="clear"/>
            <w:vAlign w:val="center"/>
          </w:tcPr>
          <w:p>
            <w:pPr>
              <w:pStyle w:val="TableContents"/>
              <w:bidi w:val="0"/>
              <w:spacing w:before="0" w:after="283"/>
              <w:jc w:val="center"/>
              <w:rPr>
                <w:b/>
                <w:color w:val="FFFFFF"/>
              </w:rPr>
            </w:pPr>
            <w:r>
              <w:rPr>
                <w:b/>
                <w:color w:val="FFFFFF"/>
              </w:rPr>
              <w:t>Board of Directors</w:t>
            </w:r>
          </w:p>
        </w:tc>
      </w:tr>
      <w:tr>
        <w:trPr/>
        <w:tc>
          <w:tcPr>
            <w:tcW w:w="10205" w:type="dxa"/>
            <w:tcBorders>
              <w:top w:val="single" w:sz="16" w:space="0" w:color="FFFFFF"/>
            </w:tcBorders>
            <w:shd w:fill="003A5D" w:val="clear"/>
            <w:tcMar>
              <w:top w:w="28" w:type="dxa"/>
            </w:tcMar>
            <w:vAlign w:val="center"/>
          </w:tcPr>
          <w:p>
            <w:pPr>
              <w:pStyle w:val="TableContents"/>
              <w:bidi w:val="0"/>
              <w:spacing w:before="0" w:after="283"/>
              <w:jc w:val="left"/>
              <w:rPr/>
            </w:pPr>
            <w:r>
              <w:rPr/>
              <w:t> </w:t>
            </w:r>
          </w:p>
        </w:tc>
      </w:tr>
      <w:tr>
        <w:trPr/>
        <w:tc>
          <w:tcPr>
            <w:tcW w:w="10205" w:type="dxa"/>
            <w:tcBorders/>
            <w:shd w:fill="003A5D" w:val="clear"/>
            <w:vAlign w:val="center"/>
          </w:tcPr>
          <w:p>
            <w:pPr>
              <w:pStyle w:val="TableContents"/>
              <w:bidi w:val="0"/>
              <w:spacing w:before="0" w:after="0"/>
              <w:jc w:val="both"/>
              <w:rPr>
                <w:rFonts w:ascii="arial" w:hAnsi="arial"/>
                <w:color w:val="FFFFFF"/>
                <w:sz w:val="20"/>
              </w:rPr>
            </w:pPr>
            <w:r>
              <w:rPr>
                <w:rFonts w:ascii="arial" w:hAnsi="arial"/>
                <w:color w:val="FFFFFF"/>
                <w:sz w:val="20"/>
              </w:rPr>
              <w:t>The full Board oversees all enterprise business operations and ensures efficient and effective oversight of the Company’s strategic direction, including the development and implementation of ESG-related objectives. The Board engages with its committees and management on significant strategic and risk-related ESG matters including certain aspects of climate strategy, diversity, inclusion, and belonging (“DIB”) efforts, and human capital management.</w:t>
            </w:r>
          </w:p>
        </w:tc>
      </w:tr>
    </w:tbl>
    <w:p>
      <w:pPr>
        <w:pStyle w:val="TextBody"/>
        <w:bidi w:val="0"/>
        <w:spacing w:before="0" w:after="0"/>
        <w:jc w:val="left"/>
        <w:rPr/>
      </w:pPr>
      <w:r>
        <w:rPr/>
        <w:t> </w:t>
      </w:r>
    </w:p>
    <w:tbl>
      <w:tblPr>
        <w:tblW w:w="10205" w:type="dxa"/>
        <w:jc w:val="left"/>
        <w:tblInd w:w="0" w:type="dxa"/>
        <w:shd w:fill="E5EBEE" w:val="clear"/>
        <w:tblLayout w:type="fixed"/>
        <w:tblCellMar>
          <w:top w:w="0" w:type="dxa"/>
          <w:left w:w="0" w:type="dxa"/>
          <w:bottom w:w="0" w:type="dxa"/>
          <w:right w:w="0" w:type="dxa"/>
        </w:tblCellMar>
      </w:tblPr>
      <w:tblGrid>
        <w:gridCol w:w="3928"/>
        <w:gridCol w:w="60"/>
        <w:gridCol w:w="2033"/>
        <w:gridCol w:w="60"/>
        <w:gridCol w:w="1886"/>
        <w:gridCol w:w="60"/>
        <w:gridCol w:w="2178"/>
      </w:tblGrid>
      <w:tr>
        <w:trPr/>
        <w:tc>
          <w:tcPr>
            <w:tcW w:w="3928"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203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1886"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2178" w:type="dxa"/>
            <w:tcBorders/>
            <w:shd w:fill="E5EBEE" w:val="clear"/>
            <w:vAlign w:val="center"/>
          </w:tcPr>
          <w:p>
            <w:pPr>
              <w:pStyle w:val="TableContents"/>
              <w:bidi w:val="0"/>
              <w:spacing w:before="0" w:after="283"/>
              <w:jc w:val="left"/>
              <w:rPr>
                <w:sz w:val="4"/>
                <w:szCs w:val="4"/>
              </w:rPr>
            </w:pPr>
            <w:r>
              <w:rPr>
                <w:sz w:val="4"/>
                <w:szCs w:val="4"/>
              </w:rPr>
            </w:r>
          </w:p>
        </w:tc>
      </w:tr>
      <w:tr>
        <w:trPr/>
        <w:tc>
          <w:tcPr>
            <w:tcW w:w="10205" w:type="dxa"/>
            <w:gridSpan w:val="7"/>
            <w:tcBorders/>
            <w:shd w:fill="E5EBEE" w:val="clear"/>
            <w:vAlign w:val="center"/>
          </w:tcPr>
          <w:p>
            <w:pPr>
              <w:pStyle w:val="TableContents"/>
              <w:bidi w:val="0"/>
              <w:spacing w:before="0" w:after="283"/>
              <w:jc w:val="left"/>
              <w:rPr>
                <w:sz w:val="4"/>
                <w:szCs w:val="4"/>
              </w:rPr>
            </w:pPr>
            <w:r>
              <w:rPr>
                <w:sz w:val="4"/>
                <w:szCs w:val="4"/>
              </w:rPr>
            </w:r>
          </w:p>
        </w:tc>
      </w:tr>
      <w:tr>
        <w:trPr/>
        <w:tc>
          <w:tcPr>
            <w:tcW w:w="10205" w:type="dxa"/>
            <w:gridSpan w:val="7"/>
            <w:tcBorders/>
            <w:shd w:fill="E5EBEE" w:val="clear"/>
            <w:vAlign w:val="center"/>
          </w:tcPr>
          <w:p>
            <w:pPr>
              <w:pStyle w:val="TableContents"/>
              <w:bidi w:val="0"/>
              <w:spacing w:before="0" w:after="283"/>
              <w:jc w:val="center"/>
              <w:rPr>
                <w:b/>
                <w:sz w:val="24"/>
              </w:rPr>
            </w:pPr>
            <w:r>
              <w:rPr>
                <w:b/>
                <w:sz w:val="24"/>
              </w:rPr>
              <w:t>Board Committees</w:t>
            </w:r>
          </w:p>
        </w:tc>
      </w:tr>
      <w:tr>
        <w:trPr/>
        <w:tc>
          <w:tcPr>
            <w:tcW w:w="3928" w:type="dxa"/>
            <w:tcBorders>
              <w:top w:val="single" w:sz="16" w:space="0" w:color="FFFFFF"/>
            </w:tcBorders>
            <w:shd w:fill="E5EBEE" w:val="clear"/>
            <w:tcMar>
              <w:top w:w="28" w:type="dxa"/>
            </w:tcMar>
            <w:vAlign w:val="center"/>
          </w:tcPr>
          <w:p>
            <w:pPr>
              <w:pStyle w:val="TableContents"/>
              <w:bidi w:val="0"/>
              <w:spacing w:before="0" w:after="283"/>
              <w:jc w:val="left"/>
              <w:rPr/>
            </w:pPr>
            <w:r>
              <w:rPr/>
              <w:t> </w:t>
            </w:r>
          </w:p>
        </w:tc>
        <w:tc>
          <w:tcPr>
            <w:tcW w:w="2093" w:type="dxa"/>
            <w:gridSpan w:val="2"/>
            <w:tcBorders>
              <w:top w:val="single" w:sz="16" w:space="0" w:color="FFFFFF"/>
              <w:left w:val="single" w:sz="16" w:space="0" w:color="FFFFFF"/>
            </w:tcBorders>
            <w:shd w:fill="E5EBEE" w:val="clear"/>
            <w:tcMar>
              <w:top w:w="28" w:type="dxa"/>
              <w:left w:w="28" w:type="dxa"/>
            </w:tcMar>
            <w:vAlign w:val="center"/>
          </w:tcPr>
          <w:p>
            <w:pPr>
              <w:pStyle w:val="TableContents"/>
              <w:bidi w:val="0"/>
              <w:spacing w:before="0" w:after="283"/>
              <w:jc w:val="left"/>
              <w:rPr/>
            </w:pPr>
            <w:r>
              <w:rPr/>
              <w:t> </w:t>
            </w:r>
          </w:p>
        </w:tc>
        <w:tc>
          <w:tcPr>
            <w:tcW w:w="1946" w:type="dxa"/>
            <w:gridSpan w:val="2"/>
            <w:tcBorders>
              <w:top w:val="single" w:sz="16" w:space="0" w:color="FFFFFF"/>
              <w:left w:val="single" w:sz="16" w:space="0" w:color="FFFFFF"/>
            </w:tcBorders>
            <w:shd w:fill="E5EBEE" w:val="clear"/>
            <w:tcMar>
              <w:top w:w="28" w:type="dxa"/>
              <w:left w:w="28" w:type="dxa"/>
            </w:tcMar>
            <w:vAlign w:val="center"/>
          </w:tcPr>
          <w:p>
            <w:pPr>
              <w:pStyle w:val="TableContents"/>
              <w:bidi w:val="0"/>
              <w:spacing w:before="0" w:after="283"/>
              <w:jc w:val="left"/>
              <w:rPr/>
            </w:pPr>
            <w:r>
              <w:rPr/>
              <w:t> </w:t>
            </w:r>
          </w:p>
        </w:tc>
        <w:tc>
          <w:tcPr>
            <w:tcW w:w="2238" w:type="dxa"/>
            <w:gridSpan w:val="2"/>
            <w:tcBorders>
              <w:top w:val="single" w:sz="16" w:space="0" w:color="FFFFFF"/>
              <w:left w:val="single" w:sz="16" w:space="0" w:color="FFFFFF"/>
            </w:tcBorders>
            <w:shd w:fill="E5EBEE" w:val="clear"/>
            <w:tcMar>
              <w:top w:w="28" w:type="dxa"/>
              <w:left w:w="28" w:type="dxa"/>
            </w:tcMar>
            <w:vAlign w:val="center"/>
          </w:tcPr>
          <w:p>
            <w:pPr>
              <w:pStyle w:val="TableContents"/>
              <w:bidi w:val="0"/>
              <w:spacing w:before="0" w:after="283"/>
              <w:jc w:val="left"/>
              <w:rPr/>
            </w:pPr>
            <w:r>
              <w:rPr/>
              <w:t> </w:t>
            </w:r>
          </w:p>
        </w:tc>
      </w:tr>
      <w:tr>
        <w:trPr/>
        <w:tc>
          <w:tcPr>
            <w:tcW w:w="3928" w:type="dxa"/>
            <w:tcBorders/>
            <w:shd w:fill="E5EBEE" w:val="clear"/>
            <w:vAlign w:val="center"/>
          </w:tcPr>
          <w:p>
            <w:pPr>
              <w:pStyle w:val="TableContents"/>
              <w:bidi w:val="0"/>
              <w:spacing w:before="0" w:after="0"/>
              <w:jc w:val="left"/>
              <w:rPr>
                <w:rFonts w:ascii="arial" w:hAnsi="arial"/>
                <w:b/>
                <w:sz w:val="20"/>
              </w:rPr>
            </w:pPr>
            <w:r>
              <w:rPr>
                <w:rFonts w:ascii="arial" w:hAnsi="arial"/>
                <w:b/>
                <w:sz w:val="20"/>
              </w:rPr>
              <w:t>Governance and Nominating Committee: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Has overall responsibility for overseeing Capital One’s ESG-related policies, programs and strategies, and coordinating such oversight with other Board committees and/or the full Board, as appropriate. Engages with management on ESG matters at least annually. Receives updates on investor sentiment, and engages on other ESG initiatives.</w:t>
            </w:r>
          </w:p>
        </w:tc>
        <w:tc>
          <w:tcPr>
            <w:tcW w:w="60" w:type="dxa"/>
            <w:tcBorders>
              <w:left w:val="single" w:sz="16" w:space="0" w:color="FFFFFF"/>
            </w:tcBorders>
            <w:shd w:fill="E5EBEE" w:val="clear"/>
            <w:tcMar>
              <w:left w:w="28" w:type="dxa"/>
            </w:tcMar>
            <w:vAlign w:val="center"/>
          </w:tcPr>
          <w:p>
            <w:pPr>
              <w:pStyle w:val="TableContents"/>
              <w:bidi w:val="0"/>
              <w:spacing w:before="0" w:after="283"/>
              <w:jc w:val="left"/>
              <w:rPr/>
            </w:pPr>
            <w:r>
              <w:rPr/>
              <w:t> </w:t>
            </w:r>
          </w:p>
        </w:tc>
        <w:tc>
          <w:tcPr>
            <w:tcW w:w="2033" w:type="dxa"/>
            <w:tcBorders/>
            <w:shd w:fill="E5EBEE" w:val="clear"/>
            <w:vAlign w:val="center"/>
          </w:tcPr>
          <w:p>
            <w:pPr>
              <w:pStyle w:val="TableContents"/>
              <w:bidi w:val="0"/>
              <w:spacing w:before="0" w:after="0"/>
              <w:jc w:val="left"/>
              <w:rPr>
                <w:rFonts w:ascii="arial" w:hAnsi="arial"/>
                <w:b/>
                <w:sz w:val="20"/>
              </w:rPr>
            </w:pPr>
            <w:r>
              <w:rPr>
                <w:rFonts w:ascii="arial" w:hAnsi="arial"/>
                <w:b/>
                <w:sz w:val="20"/>
              </w:rPr>
              <w:t>Risk</w:t>
            </w:r>
          </w:p>
          <w:p>
            <w:pPr>
              <w:pStyle w:val="TableContents"/>
              <w:bidi w:val="0"/>
              <w:spacing w:before="0" w:after="0"/>
              <w:jc w:val="left"/>
              <w:rPr>
                <w:rFonts w:ascii="arial" w:hAnsi="arial"/>
                <w:b/>
                <w:sz w:val="20"/>
              </w:rPr>
            </w:pPr>
            <w:r>
              <w:rPr>
                <w:rFonts w:ascii="arial" w:hAnsi="arial"/>
                <w:b/>
                <w:sz w:val="20"/>
              </w:rPr>
              <w:t>Committee: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Oversees risks within Capital One’s risk management framework, including risks related to ESG strategy and activities.</w:t>
            </w:r>
          </w:p>
        </w:tc>
        <w:tc>
          <w:tcPr>
            <w:tcW w:w="60" w:type="dxa"/>
            <w:tcBorders>
              <w:left w:val="single" w:sz="16" w:space="0" w:color="FFFFFF"/>
            </w:tcBorders>
            <w:shd w:fill="E5EBEE" w:val="clear"/>
            <w:tcMar>
              <w:left w:w="28" w:type="dxa"/>
            </w:tcMar>
            <w:vAlign w:val="center"/>
          </w:tcPr>
          <w:p>
            <w:pPr>
              <w:pStyle w:val="TableContents"/>
              <w:bidi w:val="0"/>
              <w:spacing w:before="0" w:after="283"/>
              <w:jc w:val="left"/>
              <w:rPr/>
            </w:pPr>
            <w:r>
              <w:rPr/>
              <w:t> </w:t>
            </w:r>
          </w:p>
        </w:tc>
        <w:tc>
          <w:tcPr>
            <w:tcW w:w="1886" w:type="dxa"/>
            <w:tcBorders/>
            <w:shd w:fill="E5EBEE" w:val="clear"/>
            <w:vAlign w:val="center"/>
          </w:tcPr>
          <w:p>
            <w:pPr>
              <w:pStyle w:val="TableContents"/>
              <w:bidi w:val="0"/>
              <w:spacing w:before="0" w:after="0"/>
              <w:jc w:val="left"/>
              <w:rPr>
                <w:rFonts w:ascii="arial" w:hAnsi="arial"/>
                <w:b/>
                <w:sz w:val="20"/>
              </w:rPr>
            </w:pPr>
            <w:r>
              <w:rPr>
                <w:rFonts w:ascii="arial" w:hAnsi="arial"/>
                <w:b/>
                <w:sz w:val="20"/>
              </w:rPr>
              <w:t>Audit    </w:t>
            </w:r>
          </w:p>
          <w:p>
            <w:pPr>
              <w:pStyle w:val="TableContents"/>
              <w:bidi w:val="0"/>
              <w:spacing w:before="0" w:after="0"/>
              <w:jc w:val="left"/>
              <w:rPr>
                <w:rFonts w:ascii="arial" w:hAnsi="arial"/>
                <w:b/>
                <w:sz w:val="20"/>
              </w:rPr>
            </w:pPr>
            <w:r>
              <w:rPr>
                <w:rFonts w:ascii="arial" w:hAnsi="arial"/>
                <w:b/>
                <w:sz w:val="20"/>
              </w:rPr>
              <w:t>Committee: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Oversees management compliance with ethical standards and ESG-related information in SEC filings.</w:t>
            </w:r>
          </w:p>
        </w:tc>
        <w:tc>
          <w:tcPr>
            <w:tcW w:w="60" w:type="dxa"/>
            <w:tcBorders>
              <w:left w:val="single" w:sz="16" w:space="0" w:color="FFFFFF"/>
            </w:tcBorders>
            <w:shd w:fill="E5EBEE" w:val="clear"/>
            <w:tcMar>
              <w:left w:w="28" w:type="dxa"/>
            </w:tcMar>
            <w:vAlign w:val="center"/>
          </w:tcPr>
          <w:p>
            <w:pPr>
              <w:pStyle w:val="TableContents"/>
              <w:bidi w:val="0"/>
              <w:spacing w:before="0" w:after="283"/>
              <w:jc w:val="left"/>
              <w:rPr/>
            </w:pPr>
            <w:r>
              <w:rPr/>
              <w:t> </w:t>
            </w:r>
          </w:p>
        </w:tc>
        <w:tc>
          <w:tcPr>
            <w:tcW w:w="2178" w:type="dxa"/>
            <w:tcBorders/>
            <w:shd w:fill="E5EBEE" w:val="clear"/>
            <w:vAlign w:val="center"/>
          </w:tcPr>
          <w:p>
            <w:pPr>
              <w:pStyle w:val="TableContents"/>
              <w:bidi w:val="0"/>
              <w:spacing w:before="0" w:after="0"/>
              <w:jc w:val="left"/>
              <w:rPr>
                <w:rFonts w:ascii="arial" w:hAnsi="arial"/>
                <w:b/>
                <w:sz w:val="20"/>
              </w:rPr>
            </w:pPr>
            <w:r>
              <w:rPr>
                <w:rFonts w:ascii="arial" w:hAnsi="arial"/>
                <w:b/>
                <w:sz w:val="20"/>
              </w:rPr>
              <w:t>Compensation Committee: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Oversees compensation policies and practices including the consideration of ESG in executive compensation.</w:t>
            </w:r>
          </w:p>
        </w:tc>
      </w:tr>
    </w:tbl>
    <w:p>
      <w:pPr>
        <w:pStyle w:val="TextBody"/>
        <w:bidi w:val="0"/>
        <w:spacing w:before="240" w:after="0"/>
        <w:jc w:val="left"/>
        <w:rPr>
          <w:rFonts w:ascii="arial" w:hAnsi="arial"/>
          <w:b/>
          <w:color w:val="003A5D"/>
          <w:sz w:val="20"/>
        </w:rPr>
      </w:pPr>
      <w:r>
        <w:rPr>
          <w:rFonts w:ascii="arial" w:hAnsi="arial"/>
          <w:b/>
          <w:color w:val="003A5D"/>
          <w:sz w:val="20"/>
        </w:rPr>
        <w:t xml:space="preserve">Senior Management Level Oversight </w:t>
      </w:r>
    </w:p>
    <w:p>
      <w:pPr>
        <w:pStyle w:val="TextBody"/>
        <w:bidi w:val="0"/>
        <w:spacing w:before="240" w:after="0"/>
        <w:jc w:val="both"/>
        <w:rPr>
          <w:rFonts w:ascii="arial" w:hAnsi="arial"/>
          <w:sz w:val="20"/>
        </w:rPr>
      </w:pPr>
      <w:r>
        <w:rPr>
          <w:rFonts w:ascii="arial" w:hAnsi="arial"/>
          <w:sz w:val="20"/>
        </w:rPr>
        <w:t xml:space="preserve">Senior management committees and other management-level committees oversee ESG matters, and ESG-related risk management is integrated across our risk management framework. In addition, we have designated two senior executives to oversee ESG matters. </w:t>
      </w:r>
    </w:p>
    <w:p>
      <w:pPr>
        <w:pStyle w:val="TextBody"/>
        <w:bidi w:val="0"/>
        <w:spacing w:before="0" w:after="0"/>
        <w:jc w:val="left"/>
        <w:rPr/>
      </w:pPr>
      <w:r>
        <w:rPr/>
        <w:t> </w:t>
      </w:r>
    </w:p>
    <w:tbl>
      <w:tblPr>
        <w:tblW w:w="10205" w:type="dxa"/>
        <w:jc w:val="left"/>
        <w:tblInd w:w="0" w:type="dxa"/>
        <w:shd w:fill="E5EBEE" w:val="clear"/>
        <w:tblLayout w:type="fixed"/>
        <w:tblCellMar>
          <w:top w:w="0" w:type="dxa"/>
          <w:left w:w="0" w:type="dxa"/>
          <w:bottom w:w="0" w:type="dxa"/>
          <w:right w:w="0" w:type="dxa"/>
        </w:tblCellMar>
      </w:tblPr>
      <w:tblGrid>
        <w:gridCol w:w="2341"/>
        <w:gridCol w:w="60"/>
        <w:gridCol w:w="3480"/>
        <w:gridCol w:w="60"/>
        <w:gridCol w:w="2286"/>
        <w:gridCol w:w="60"/>
        <w:gridCol w:w="1918"/>
      </w:tblGrid>
      <w:tr>
        <w:trPr/>
        <w:tc>
          <w:tcPr>
            <w:tcW w:w="2341"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348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2286"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1918" w:type="dxa"/>
            <w:tcBorders/>
            <w:shd w:fill="E5EBEE" w:val="clear"/>
            <w:vAlign w:val="center"/>
          </w:tcPr>
          <w:p>
            <w:pPr>
              <w:pStyle w:val="TableContents"/>
              <w:bidi w:val="0"/>
              <w:spacing w:before="0" w:after="283"/>
              <w:jc w:val="left"/>
              <w:rPr>
                <w:sz w:val="4"/>
                <w:szCs w:val="4"/>
              </w:rPr>
            </w:pPr>
            <w:r>
              <w:rPr>
                <w:sz w:val="4"/>
                <w:szCs w:val="4"/>
              </w:rPr>
            </w:r>
          </w:p>
        </w:tc>
      </w:tr>
      <w:tr>
        <w:trPr/>
        <w:tc>
          <w:tcPr>
            <w:tcW w:w="10205" w:type="dxa"/>
            <w:gridSpan w:val="7"/>
            <w:tcBorders/>
            <w:shd w:fill="E5EBEE" w:val="clear"/>
            <w:vAlign w:val="center"/>
          </w:tcPr>
          <w:p>
            <w:pPr>
              <w:pStyle w:val="TableContents"/>
              <w:bidi w:val="0"/>
              <w:spacing w:before="0" w:after="283"/>
              <w:jc w:val="left"/>
              <w:rPr>
                <w:sz w:val="4"/>
                <w:szCs w:val="4"/>
              </w:rPr>
            </w:pPr>
            <w:r>
              <w:rPr>
                <w:sz w:val="4"/>
                <w:szCs w:val="4"/>
              </w:rPr>
            </w:r>
          </w:p>
        </w:tc>
      </w:tr>
      <w:tr>
        <w:trPr/>
        <w:tc>
          <w:tcPr>
            <w:tcW w:w="10205" w:type="dxa"/>
            <w:gridSpan w:val="7"/>
            <w:tcBorders/>
            <w:shd w:fill="E5EBEE" w:val="clear"/>
            <w:vAlign w:val="center"/>
          </w:tcPr>
          <w:p>
            <w:pPr>
              <w:pStyle w:val="TableContents"/>
              <w:bidi w:val="0"/>
              <w:spacing w:before="0" w:after="283"/>
              <w:jc w:val="center"/>
              <w:rPr>
                <w:b/>
                <w:sz w:val="24"/>
              </w:rPr>
            </w:pPr>
            <w:r>
              <w:rPr>
                <w:b/>
                <w:sz w:val="24"/>
              </w:rPr>
              <w:t>Senior Management and Management-Level Committees</w:t>
            </w:r>
          </w:p>
        </w:tc>
      </w:tr>
      <w:tr>
        <w:trPr/>
        <w:tc>
          <w:tcPr>
            <w:tcW w:w="2341" w:type="dxa"/>
            <w:tcBorders>
              <w:top w:val="single" w:sz="16" w:space="0" w:color="FFFFFF"/>
            </w:tcBorders>
            <w:shd w:fill="E5EBEE" w:val="clear"/>
            <w:tcMar>
              <w:top w:w="28" w:type="dxa"/>
            </w:tcMar>
            <w:vAlign w:val="center"/>
          </w:tcPr>
          <w:p>
            <w:pPr>
              <w:pStyle w:val="TableContents"/>
              <w:bidi w:val="0"/>
              <w:spacing w:before="0" w:after="283"/>
              <w:jc w:val="left"/>
              <w:rPr/>
            </w:pPr>
            <w:r>
              <w:rPr/>
              <w:t> </w:t>
            </w:r>
          </w:p>
        </w:tc>
        <w:tc>
          <w:tcPr>
            <w:tcW w:w="3540" w:type="dxa"/>
            <w:gridSpan w:val="2"/>
            <w:tcBorders>
              <w:top w:val="single" w:sz="16" w:space="0" w:color="FFFFFF"/>
              <w:left w:val="single" w:sz="16" w:space="0" w:color="FFFFFF"/>
            </w:tcBorders>
            <w:shd w:fill="E5EBEE" w:val="clear"/>
            <w:tcMar>
              <w:top w:w="28" w:type="dxa"/>
              <w:left w:w="28" w:type="dxa"/>
            </w:tcMar>
            <w:vAlign w:val="center"/>
          </w:tcPr>
          <w:p>
            <w:pPr>
              <w:pStyle w:val="TableContents"/>
              <w:bidi w:val="0"/>
              <w:spacing w:before="0" w:after="283"/>
              <w:jc w:val="left"/>
              <w:rPr/>
            </w:pPr>
            <w:r>
              <w:rPr/>
              <w:t> </w:t>
            </w:r>
          </w:p>
        </w:tc>
        <w:tc>
          <w:tcPr>
            <w:tcW w:w="2346" w:type="dxa"/>
            <w:gridSpan w:val="2"/>
            <w:tcBorders>
              <w:top w:val="single" w:sz="16" w:space="0" w:color="FFFFFF"/>
              <w:left w:val="single" w:sz="16" w:space="0" w:color="FFFFFF"/>
            </w:tcBorders>
            <w:shd w:fill="E5EBEE" w:val="clear"/>
            <w:tcMar>
              <w:top w:w="28" w:type="dxa"/>
              <w:left w:w="28" w:type="dxa"/>
            </w:tcMar>
            <w:vAlign w:val="center"/>
          </w:tcPr>
          <w:p>
            <w:pPr>
              <w:pStyle w:val="TableContents"/>
              <w:bidi w:val="0"/>
              <w:spacing w:before="0" w:after="283"/>
              <w:jc w:val="left"/>
              <w:rPr/>
            </w:pPr>
            <w:r>
              <w:rPr/>
              <w:t> </w:t>
            </w:r>
          </w:p>
        </w:tc>
        <w:tc>
          <w:tcPr>
            <w:tcW w:w="1978" w:type="dxa"/>
            <w:gridSpan w:val="2"/>
            <w:tcBorders>
              <w:top w:val="single" w:sz="16" w:space="0" w:color="FFFFFF"/>
              <w:left w:val="single" w:sz="16" w:space="0" w:color="FFFFFF"/>
            </w:tcBorders>
            <w:shd w:fill="E5EBEE" w:val="clear"/>
            <w:tcMar>
              <w:top w:w="28" w:type="dxa"/>
              <w:left w:w="28" w:type="dxa"/>
            </w:tcMar>
            <w:vAlign w:val="center"/>
          </w:tcPr>
          <w:p>
            <w:pPr>
              <w:pStyle w:val="TableContents"/>
              <w:bidi w:val="0"/>
              <w:spacing w:before="0" w:after="283"/>
              <w:jc w:val="left"/>
              <w:rPr/>
            </w:pPr>
            <w:r>
              <w:rPr/>
              <w:t> </w:t>
            </w:r>
          </w:p>
        </w:tc>
      </w:tr>
      <w:tr>
        <w:trPr/>
        <w:tc>
          <w:tcPr>
            <w:tcW w:w="2341" w:type="dxa"/>
            <w:tcBorders/>
            <w:shd w:fill="E5EBEE" w:val="clear"/>
            <w:vAlign w:val="center"/>
          </w:tcPr>
          <w:p>
            <w:pPr>
              <w:pStyle w:val="TableContents"/>
              <w:bidi w:val="0"/>
              <w:spacing w:before="0" w:after="0"/>
              <w:jc w:val="left"/>
              <w:rPr>
                <w:rFonts w:ascii="arial" w:hAnsi="arial"/>
                <w:b/>
                <w:sz w:val="20"/>
              </w:rPr>
            </w:pPr>
            <w:r>
              <w:rPr>
                <w:rFonts w:ascii="arial" w:hAnsi="arial"/>
                <w:b/>
                <w:sz w:val="20"/>
              </w:rPr>
              <w:t>ESG Advisory</w:t>
            </w:r>
          </w:p>
          <w:p>
            <w:pPr>
              <w:pStyle w:val="TableContents"/>
              <w:bidi w:val="0"/>
              <w:spacing w:before="0" w:after="0"/>
              <w:jc w:val="left"/>
              <w:rPr>
                <w:rFonts w:ascii="arial" w:hAnsi="arial"/>
                <w:b/>
                <w:sz w:val="20"/>
              </w:rPr>
            </w:pPr>
            <w:r>
              <w:rPr>
                <w:rFonts w:ascii="arial" w:hAnsi="arial"/>
                <w:b/>
                <w:sz w:val="20"/>
              </w:rPr>
              <w:t>Committee: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Forum for senior executives from across the Company to discuss and guide policies, programs, activities, and initiatives.</w:t>
            </w:r>
          </w:p>
        </w:tc>
        <w:tc>
          <w:tcPr>
            <w:tcW w:w="60" w:type="dxa"/>
            <w:tcBorders>
              <w:left w:val="single" w:sz="16" w:space="0" w:color="FFFFFF"/>
            </w:tcBorders>
            <w:shd w:fill="E5EBEE" w:val="clear"/>
            <w:tcMar>
              <w:left w:w="28" w:type="dxa"/>
            </w:tcMar>
            <w:vAlign w:val="center"/>
          </w:tcPr>
          <w:p>
            <w:pPr>
              <w:pStyle w:val="TableContents"/>
              <w:bidi w:val="0"/>
              <w:spacing w:before="0" w:after="283"/>
              <w:jc w:val="left"/>
              <w:rPr/>
            </w:pPr>
            <w:r>
              <w:rPr/>
              <w:t> </w:t>
            </w:r>
          </w:p>
        </w:tc>
        <w:tc>
          <w:tcPr>
            <w:tcW w:w="3480" w:type="dxa"/>
            <w:tcBorders/>
            <w:shd w:fill="E5EBEE" w:val="clear"/>
            <w:vAlign w:val="center"/>
          </w:tcPr>
          <w:p>
            <w:pPr>
              <w:pStyle w:val="TableContents"/>
              <w:bidi w:val="0"/>
              <w:spacing w:before="0" w:after="0"/>
              <w:jc w:val="left"/>
              <w:rPr>
                <w:rFonts w:ascii="arial" w:hAnsi="arial"/>
                <w:b/>
                <w:sz w:val="20"/>
              </w:rPr>
            </w:pPr>
            <w:r>
              <w:rPr>
                <w:rFonts w:ascii="arial" w:hAnsi="arial"/>
                <w:b/>
                <w:sz w:val="20"/>
              </w:rPr>
              <w:t>Executive Risk</w:t>
            </w:r>
          </w:p>
          <w:p>
            <w:pPr>
              <w:pStyle w:val="TableContents"/>
              <w:bidi w:val="0"/>
              <w:spacing w:before="0" w:after="0"/>
              <w:jc w:val="left"/>
              <w:rPr>
                <w:rFonts w:ascii="arial" w:hAnsi="arial"/>
                <w:b/>
                <w:sz w:val="20"/>
              </w:rPr>
            </w:pPr>
            <w:r>
              <w:rPr>
                <w:rFonts w:ascii="arial" w:hAnsi="arial"/>
                <w:b/>
                <w:sz w:val="20"/>
              </w:rPr>
              <w:t>Committee: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Forum for integrated discussions by senior management regarding risk management and alignment of risk management activities across all risk categories, including certain risks related to ESG, as appropriate.</w:t>
            </w:r>
          </w:p>
        </w:tc>
        <w:tc>
          <w:tcPr>
            <w:tcW w:w="60" w:type="dxa"/>
            <w:tcBorders>
              <w:left w:val="single" w:sz="16" w:space="0" w:color="FFFFFF"/>
            </w:tcBorders>
            <w:shd w:fill="E5EBEE" w:val="clear"/>
            <w:tcMar>
              <w:left w:w="28" w:type="dxa"/>
            </w:tcMar>
            <w:vAlign w:val="center"/>
          </w:tcPr>
          <w:p>
            <w:pPr>
              <w:pStyle w:val="TableContents"/>
              <w:bidi w:val="0"/>
              <w:spacing w:before="0" w:after="283"/>
              <w:jc w:val="left"/>
              <w:rPr/>
            </w:pPr>
            <w:r>
              <w:rPr/>
              <w:t> </w:t>
            </w:r>
          </w:p>
        </w:tc>
        <w:tc>
          <w:tcPr>
            <w:tcW w:w="2286" w:type="dxa"/>
            <w:tcBorders/>
            <w:shd w:fill="E5EBEE" w:val="clear"/>
            <w:vAlign w:val="center"/>
          </w:tcPr>
          <w:p>
            <w:pPr>
              <w:pStyle w:val="TableContents"/>
              <w:bidi w:val="0"/>
              <w:spacing w:before="0" w:after="0"/>
              <w:jc w:val="left"/>
              <w:rPr>
                <w:rFonts w:ascii="arial" w:hAnsi="arial"/>
                <w:b/>
                <w:sz w:val="20"/>
              </w:rPr>
            </w:pPr>
            <w:r>
              <w:rPr>
                <w:rFonts w:ascii="arial" w:hAnsi="arial"/>
                <w:b/>
                <w:sz w:val="20"/>
              </w:rPr>
              <w:t>Executive    </w:t>
            </w:r>
          </w:p>
          <w:p>
            <w:pPr>
              <w:pStyle w:val="TableContents"/>
              <w:bidi w:val="0"/>
              <w:spacing w:before="0" w:after="0"/>
              <w:jc w:val="left"/>
              <w:rPr>
                <w:rFonts w:ascii="arial" w:hAnsi="arial"/>
                <w:b/>
                <w:sz w:val="20"/>
              </w:rPr>
            </w:pPr>
            <w:r>
              <w:rPr>
                <w:rFonts w:ascii="arial" w:hAnsi="arial"/>
                <w:b/>
                <w:sz w:val="20"/>
              </w:rPr>
              <w:t>Committee: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Advises and assists the CEO in management of corporate strategy and operations, including ESG initiatives.</w:t>
            </w:r>
          </w:p>
        </w:tc>
        <w:tc>
          <w:tcPr>
            <w:tcW w:w="60" w:type="dxa"/>
            <w:tcBorders>
              <w:left w:val="single" w:sz="16" w:space="0" w:color="FFFFFF"/>
            </w:tcBorders>
            <w:shd w:fill="E5EBEE" w:val="clear"/>
            <w:tcMar>
              <w:left w:w="28" w:type="dxa"/>
            </w:tcMar>
            <w:vAlign w:val="center"/>
          </w:tcPr>
          <w:p>
            <w:pPr>
              <w:pStyle w:val="TableContents"/>
              <w:bidi w:val="0"/>
              <w:spacing w:before="0" w:after="283"/>
              <w:jc w:val="left"/>
              <w:rPr/>
            </w:pPr>
            <w:r>
              <w:rPr/>
              <w:t> </w:t>
            </w:r>
          </w:p>
        </w:tc>
        <w:tc>
          <w:tcPr>
            <w:tcW w:w="1918" w:type="dxa"/>
            <w:tcBorders/>
            <w:shd w:fill="E5EBEE" w:val="clear"/>
            <w:vAlign w:val="center"/>
          </w:tcPr>
          <w:p>
            <w:pPr>
              <w:pStyle w:val="TableContents"/>
              <w:bidi w:val="0"/>
              <w:spacing w:before="0" w:after="0"/>
              <w:jc w:val="left"/>
              <w:rPr>
                <w:rFonts w:ascii="arial" w:hAnsi="arial"/>
                <w:b/>
                <w:sz w:val="20"/>
              </w:rPr>
            </w:pPr>
            <w:r>
              <w:rPr>
                <w:rFonts w:ascii="arial" w:hAnsi="arial"/>
                <w:b/>
                <w:sz w:val="20"/>
              </w:rPr>
              <w:t>Disclosure</w:t>
            </w:r>
          </w:p>
          <w:p>
            <w:pPr>
              <w:pStyle w:val="TableContents"/>
              <w:bidi w:val="0"/>
              <w:spacing w:before="0" w:after="0"/>
              <w:jc w:val="left"/>
              <w:rPr>
                <w:rFonts w:ascii="arial" w:hAnsi="arial"/>
                <w:b/>
                <w:sz w:val="20"/>
              </w:rPr>
            </w:pPr>
            <w:r>
              <w:rPr>
                <w:rFonts w:ascii="arial" w:hAnsi="arial"/>
                <w:b/>
                <w:sz w:val="20"/>
              </w:rPr>
              <w:t>Committee: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Reviews ESG-related information in SEC disclosures as well as the ESG Report.</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46 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left"/>
        <w:rPr>
          <w:rFonts w:ascii="arial" w:hAnsi="arial"/>
          <w:b/>
          <w:color w:val="003A5D"/>
          <w:sz w:val="20"/>
        </w:rPr>
      </w:pPr>
      <w:r>
        <w:rPr>
          <w:rFonts w:ascii="arial" w:hAnsi="arial"/>
          <w:b/>
          <w:color w:val="003A5D"/>
          <w:sz w:val="20"/>
        </w:rPr>
        <w:t xml:space="preserve">Dedicated ESG Executives </w:t>
      </w:r>
    </w:p>
    <w:p>
      <w:pPr>
        <w:pStyle w:val="TextBody"/>
        <w:bidi w:val="0"/>
        <w:spacing w:before="240" w:after="0"/>
        <w:jc w:val="both"/>
        <w:rPr>
          <w:rFonts w:ascii="arial" w:hAnsi="arial"/>
          <w:sz w:val="20"/>
        </w:rPr>
      </w:pPr>
      <w:r>
        <w:rPr>
          <w:rFonts w:ascii="arial" w:hAnsi="arial"/>
          <w:b/>
          <w:i/>
          <w:color w:val="003A5D"/>
          <w:sz w:val="20"/>
        </w:rPr>
        <w:t>Enterprise Head of ESG</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Our General Counsel and Corporate Secretary currently serves as the enterprise Head of ESG. This individual coordinates ESG strategies and activities at the enterprise level, chairs the ESG Advisory Committee, and provides regular updates to the Board regarding the Company’s ESG strategy, plans, and activities. </w:t>
      </w:r>
    </w:p>
    <w:p>
      <w:pPr>
        <w:pStyle w:val="TextBody"/>
        <w:bidi w:val="0"/>
        <w:spacing w:before="240" w:after="0"/>
        <w:jc w:val="both"/>
        <w:rPr>
          <w:rFonts w:ascii="arial" w:hAnsi="arial"/>
          <w:sz w:val="20"/>
        </w:rPr>
      </w:pPr>
      <w:r>
        <w:rPr>
          <w:rFonts w:ascii="arial" w:hAnsi="arial"/>
          <w:b/>
          <w:i/>
          <w:color w:val="003A5D"/>
          <w:sz w:val="20"/>
        </w:rPr>
        <w:t>Head of Climate</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Senior Advisor to the CEO serves as the Head of Climate for Capital One. This individual is responsible for the coordination of our enterprise climate strategy, including leading a team responsible for developing, analyzing, and managing our progress on various climate strategies, such as those relevant to greenhouse gas (“GHG”) emissions and climate-related topics across our enterprise. </w:t>
      </w:r>
    </w:p>
    <w:p>
      <w:pPr>
        <w:pStyle w:val="TextBody"/>
        <w:bidi w:val="0"/>
        <w:spacing w:before="240" w:after="0"/>
        <w:jc w:val="left"/>
        <w:rPr>
          <w:rFonts w:ascii="arial" w:hAnsi="arial"/>
          <w:b/>
          <w:i/>
          <w:color w:val="003A5D"/>
          <w:sz w:val="24"/>
        </w:rPr>
      </w:pPr>
      <w:r>
        <w:rPr>
          <w:rFonts w:ascii="arial" w:hAnsi="arial"/>
          <w:b/>
          <w:i/>
          <w:color w:val="003A5D"/>
          <w:sz w:val="24"/>
        </w:rPr>
        <w:t xml:space="preserve">Climate Governance and Risk Management </w:t>
      </w:r>
    </w:p>
    <w:p>
      <w:pPr>
        <w:pStyle w:val="TextBody"/>
        <w:bidi w:val="0"/>
        <w:spacing w:before="240" w:after="0"/>
        <w:jc w:val="both"/>
        <w:rPr>
          <w:rFonts w:ascii="arial" w:hAnsi="arial"/>
          <w:sz w:val="20"/>
        </w:rPr>
      </w:pPr>
      <w:r>
        <w:rPr>
          <w:rFonts w:ascii="arial" w:hAnsi="arial"/>
          <w:sz w:val="20"/>
        </w:rPr>
        <w:t xml:space="preserve">We have several climate-specific governance processes at both the enterprise and line of business levels, which roll up through our broader enterprise ESG governance structure. </w:t>
      </w:r>
    </w:p>
    <w:p>
      <w:pPr>
        <w:pStyle w:val="TextBody"/>
        <w:bidi w:val="0"/>
        <w:spacing w:before="240" w:after="0"/>
        <w:jc w:val="both"/>
        <w:rPr>
          <w:rFonts w:ascii="arial" w:hAnsi="arial"/>
          <w:sz w:val="20"/>
        </w:rPr>
      </w:pPr>
      <w:r>
        <w:rPr>
          <w:rFonts w:ascii="arial" w:hAnsi="arial"/>
          <w:sz w:val="20"/>
        </w:rPr>
        <w:t xml:space="preserve">The Board is actively engaged in the development of Capital One’s enterprise climate strategy and risk management. The Board receives updates from management on our enterprise-wide climate strategy and risk management at least once a year. The Head of Climate is responsible for the formulation and coordination of our enterprise climate strategy. Capital One’s senior leadership also integrates climate considerations into individual line of business strategies where appropriate. Climate and other corporate impact issues are also overseen by various Capital One senior management committees, as appropriate. </w:t>
      </w:r>
    </w:p>
    <w:p>
      <w:pPr>
        <w:pStyle w:val="TextBody"/>
        <w:bidi w:val="0"/>
        <w:spacing w:before="240" w:after="0"/>
        <w:jc w:val="both"/>
        <w:rPr>
          <w:rFonts w:ascii="arial" w:hAnsi="arial"/>
          <w:sz w:val="20"/>
        </w:rPr>
      </w:pPr>
      <w:r>
        <w:rPr>
          <w:rFonts w:ascii="arial" w:hAnsi="arial"/>
          <w:sz w:val="20"/>
        </w:rPr>
        <w:t xml:space="preserve">Capital One looks at how risks, including climate-related risks, could impact our Company across seven risk categories each quarter. The seven risk categories we use to evaluate climate risks are consistent with those we use to evaluate and manage all of our enterprise risks: credit, operational, strategic, reputational, market, liquidity, and compliance risks. We also identify emerging risks that may occur across a longer time horizon, happen in the future, or have a potential impact that is difficult to predict. </w:t>
      </w:r>
    </w:p>
    <w:p>
      <w:pPr>
        <w:pStyle w:val="TextBody"/>
        <w:bidi w:val="0"/>
        <w:spacing w:before="240" w:after="0"/>
        <w:jc w:val="both"/>
        <w:rPr>
          <w:rFonts w:ascii="arial" w:hAnsi="arial"/>
          <w:sz w:val="20"/>
        </w:rPr>
      </w:pPr>
      <w:r>
        <w:rPr>
          <w:rFonts w:ascii="arial" w:hAnsi="arial"/>
          <w:sz w:val="20"/>
        </w:rPr>
        <w:t xml:space="preserve">Further information about our climate strategy can be found on our website in our 2023 ESG Report. </w:t>
      </w:r>
    </w:p>
    <w:p>
      <w:pPr>
        <w:pStyle w:val="TextBody"/>
        <w:bidi w:val="0"/>
        <w:spacing w:before="240" w:after="0"/>
        <w:jc w:val="left"/>
        <w:rPr>
          <w:rFonts w:ascii="arial" w:hAnsi="arial"/>
          <w:b/>
          <w:i/>
          <w:color w:val="003A5D"/>
          <w:sz w:val="24"/>
        </w:rPr>
      </w:pPr>
      <w:r>
        <w:rPr>
          <w:rFonts w:ascii="arial" w:hAnsi="arial"/>
          <w:b/>
          <w:i/>
          <w:color w:val="003A5D"/>
          <w:sz w:val="24"/>
        </w:rPr>
        <w:t xml:space="preserve">Our People </w:t>
      </w:r>
    </w:p>
    <w:p>
      <w:pPr>
        <w:pStyle w:val="TextBody"/>
        <w:bidi w:val="0"/>
        <w:spacing w:before="240" w:after="0"/>
        <w:jc w:val="both"/>
        <w:rPr>
          <w:rFonts w:ascii="arial" w:hAnsi="arial"/>
          <w:sz w:val="20"/>
        </w:rPr>
      </w:pPr>
      <w:r>
        <w:rPr>
          <w:rFonts w:ascii="arial" w:hAnsi="arial"/>
          <w:sz w:val="20"/>
        </w:rPr>
        <w:t xml:space="preserve">Since Capital One’s founding, our success has been rooted in our people. </w:t>
      </w:r>
    </w:p>
    <w:p>
      <w:pPr>
        <w:pStyle w:val="TextBody"/>
        <w:bidi w:val="0"/>
        <w:spacing w:before="240" w:after="0"/>
        <w:jc w:val="left"/>
        <w:rPr>
          <w:rFonts w:ascii="arial" w:hAnsi="arial"/>
          <w:b/>
          <w:color w:val="003A5D"/>
          <w:sz w:val="20"/>
        </w:rPr>
      </w:pPr>
      <w:r>
        <w:rPr>
          <w:rFonts w:ascii="arial" w:hAnsi="arial"/>
          <w:b/>
          <w:color w:val="003A5D"/>
          <w:sz w:val="20"/>
        </w:rPr>
        <w:t xml:space="preserve">For Our Associates </w:t>
      </w:r>
    </w:p>
    <w:p>
      <w:pPr>
        <w:pStyle w:val="TextBody"/>
        <w:bidi w:val="0"/>
        <w:spacing w:before="240" w:after="0"/>
        <w:jc w:val="both"/>
        <w:rPr>
          <w:rFonts w:ascii="arial" w:hAnsi="arial"/>
          <w:sz w:val="20"/>
        </w:rPr>
      </w:pPr>
      <w:r>
        <w:rPr>
          <w:rFonts w:ascii="arial" w:hAnsi="arial"/>
          <w:sz w:val="20"/>
        </w:rPr>
        <w:t xml:space="preserve">We strive to empower our approximately 52,600 associates to unleash their potential and deliver on our mission to bring ingenuity, simplicity, and humanity to banking. Highlights of “Our People” programs for our associates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Competitive Pay and Benefits.</w:t>
            </w:r>
            <w:r>
              <w:rPr>
                <w:rFonts w:ascii="arial" w:hAnsi="arial"/>
                <w:color w:val="003A5D"/>
                <w:sz w:val="20"/>
              </w:rPr>
              <w:t xml:space="preserve"> </w:t>
            </w:r>
            <w:r>
              <w:rPr>
                <w:rFonts w:ascii="arial" w:hAnsi="arial"/>
                <w:sz w:val="20"/>
              </w:rPr>
              <w:t xml:space="preserve">Capital One is proud to offer our Total Rewards program, combining competitive benefits and compensation offerings to attract and retain great talent. Pay equity continues to be an important element of our pay philosophy.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Learning and Development.</w:t>
            </w:r>
            <w:r>
              <w:rPr>
                <w:rFonts w:ascii="arial" w:hAnsi="arial"/>
                <w:sz w:val="20"/>
              </w:rPr>
              <w:t xml:space="preserve"> In 2024, Capital One delivered over four million online and instructor-led courses for our associates and contractors through our intuitive learning platforms—One Learn and Learning Hive—that enable associates to search and engage with a variety of learning plans and online training.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47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Culture.</w:t>
            </w:r>
            <w:r>
              <w:rPr>
                <w:rFonts w:ascii="arial" w:hAnsi="arial"/>
                <w:color w:val="003A5D"/>
                <w:sz w:val="20"/>
              </w:rPr>
              <w:t xml:space="preserve"> </w:t>
            </w:r>
            <w:r>
              <w:rPr>
                <w:rFonts w:ascii="arial" w:hAnsi="arial"/>
                <w:sz w:val="20"/>
              </w:rPr>
              <w:t xml:space="preserve">We have a number of enterprise programs and initiatives focused on the attraction, retention, and development of diverse talent at all levels, and the building of an inclusive workplace. In 2024, 87% of surveyed associates said that they are proud to work at Capital One. </w:t>
            </w:r>
          </w:p>
        </w:tc>
      </w:tr>
    </w:tbl>
    <w:p>
      <w:pPr>
        <w:pStyle w:val="TextBody"/>
        <w:bidi w:val="0"/>
        <w:spacing w:before="240" w:after="0"/>
        <w:jc w:val="both"/>
        <w:rPr>
          <w:rFonts w:ascii="arial" w:hAnsi="arial"/>
          <w:sz w:val="20"/>
        </w:rPr>
      </w:pPr>
      <w:r>
        <w:rPr>
          <w:rFonts w:ascii="arial" w:hAnsi="arial"/>
          <w:sz w:val="20"/>
        </w:rPr>
        <w:t xml:space="preserve">Our corporate website contains additional information regarding employee programs and workforce composition, such as that reported to the U.S. Equal Employment Opportunity Commission on the mandatory EEO-1 report. </w:t>
      </w:r>
    </w:p>
    <w:p>
      <w:pPr>
        <w:pStyle w:val="TextBody"/>
        <w:bidi w:val="0"/>
        <w:spacing w:before="240" w:after="0"/>
        <w:jc w:val="left"/>
        <w:rPr>
          <w:rFonts w:ascii="arial" w:hAnsi="arial"/>
          <w:b/>
          <w:color w:val="003A5D"/>
          <w:sz w:val="20"/>
        </w:rPr>
      </w:pPr>
      <w:r>
        <w:rPr>
          <w:rFonts w:ascii="arial" w:hAnsi="arial"/>
          <w:b/>
          <w:color w:val="003A5D"/>
          <w:sz w:val="20"/>
        </w:rPr>
        <w:t xml:space="preserve">Awards and Recognition </w:t>
      </w:r>
    </w:p>
    <w:p>
      <w:pPr>
        <w:pStyle w:val="TextBody"/>
        <w:bidi w:val="0"/>
        <w:spacing w:before="240" w:after="0"/>
        <w:jc w:val="both"/>
        <w:rPr>
          <w:rFonts w:ascii="arial" w:hAnsi="arial"/>
          <w:sz w:val="20"/>
        </w:rPr>
      </w:pPr>
      <w:r>
        <w:rPr>
          <w:rFonts w:ascii="arial" w:hAnsi="arial"/>
          <w:sz w:val="20"/>
        </w:rPr>
        <w:t xml:space="preserve">We were once again ranked #15 on the Fortune 100 Best Companies to Work For® list, which marks the 4th year in the top 15. PEOPLE magazine named us to the 2024 PEOPLE® Companies that Care, with selection based on the way companies care for their employees, community, and the planet. We were among the 42 organizations recognized as a Leading Inclusion Index Company by Seramount, receiving a 70 percent or higher score. This year, we were also named to the American Opportunity Index, landing a #3 ranking overall and taking the #1 spot in the banking sector. This index is an employer ranking that measures how well America’s largest companies tangibly invest in their greatest assets—their employees. </w:t>
      </w:r>
    </w:p>
    <w:p>
      <w:pPr>
        <w:pStyle w:val="TextBody"/>
        <w:bidi w:val="0"/>
        <w:spacing w:before="240" w:after="0"/>
        <w:jc w:val="left"/>
        <w:rPr>
          <w:rFonts w:ascii="arial" w:hAnsi="arial"/>
          <w:b/>
          <w:color w:val="003A5D"/>
          <w:sz w:val="20"/>
        </w:rPr>
      </w:pPr>
      <w:r>
        <w:rPr>
          <w:rFonts w:ascii="arial" w:hAnsi="arial"/>
          <w:b/>
          <w:color w:val="003A5D"/>
          <w:sz w:val="20"/>
        </w:rPr>
        <w:t xml:space="preserve">For Our Customers </w:t>
      </w:r>
    </w:p>
    <w:p>
      <w:pPr>
        <w:pStyle w:val="TextBody"/>
        <w:bidi w:val="0"/>
        <w:spacing w:before="240" w:after="0"/>
        <w:jc w:val="both"/>
        <w:rPr>
          <w:rFonts w:ascii="arial" w:hAnsi="arial"/>
          <w:sz w:val="20"/>
        </w:rPr>
      </w:pPr>
      <w:r>
        <w:rPr>
          <w:rFonts w:ascii="arial" w:hAnsi="arial"/>
          <w:sz w:val="20"/>
        </w:rPr>
        <w:t xml:space="preserve">We believe that our products are innovative, simple to use, and deliver tremendous value for individuals of all backgrounds. Highlights of “Our People” programs for our customers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Innovative Products that Help Customers Succeed.</w:t>
            </w:r>
            <w:r>
              <w:rPr>
                <w:rFonts w:ascii="arial" w:hAnsi="arial"/>
                <w:color w:val="003A5D"/>
                <w:sz w:val="20"/>
              </w:rPr>
              <w:t xml:space="preserve"> </w:t>
            </w:r>
            <w:r>
              <w:rPr>
                <w:rFonts w:ascii="arial" w:hAnsi="arial"/>
                <w:sz w:val="20"/>
              </w:rPr>
              <w:t xml:space="preserve">We seek our customers’ insights and stay attuned to their candid feedback to deliver innovative products and tools that meet their changing needs and help them succeed financially. In 2021, we became the first top-ten retail bank to provide free overdraft protection and eliminate all overdraft and non-sufficient funds fees for all consumer banking customers.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Responsible Business Practices.</w:t>
            </w:r>
            <w:r>
              <w:rPr>
                <w:rFonts w:ascii="arial" w:hAnsi="arial"/>
                <w:sz w:val="20"/>
              </w:rPr>
              <w:t xml:space="preserve"> Our Code of Conduct memorializes Capital One’s commitment to comply with applicable laws and regulations governing our operations, and to earn our reputation for honesty, fair dealing, and integrity every day. Our associates participate in training courses on a range of related topics such as compliance awareness training, ethical business practices, combating illegal conduct (including financial crimes), regulatory compliance, financial product safety and consumer financial protection, and business continuity planning.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Consumer Privacy.</w:t>
            </w:r>
            <w:r>
              <w:rPr>
                <w:rFonts w:ascii="arial" w:hAnsi="arial"/>
                <w:sz w:val="20"/>
              </w:rPr>
              <w:t xml:space="preserve"> As a business that relies on trust, Capital One is committed to protecting consumer privacy and their confidence in our ability to safeguard personal and financial information. Depending on how consumers interact with us, they have the ability to make certain choices regarding our collection, use and sharing of their information. </w:t>
            </w:r>
          </w:p>
        </w:tc>
      </w:tr>
    </w:tbl>
    <w:p>
      <w:pPr>
        <w:pStyle w:val="TextBody"/>
        <w:bidi w:val="0"/>
        <w:spacing w:before="240" w:after="0"/>
        <w:jc w:val="left"/>
        <w:rPr>
          <w:rFonts w:ascii="arial" w:hAnsi="arial"/>
          <w:b/>
          <w:i/>
          <w:color w:val="003A5D"/>
          <w:sz w:val="24"/>
        </w:rPr>
      </w:pPr>
      <w:r>
        <w:rPr>
          <w:rFonts w:ascii="arial" w:hAnsi="arial"/>
          <w:b/>
          <w:i/>
          <w:color w:val="003A5D"/>
          <w:sz w:val="24"/>
        </w:rPr>
        <w:t xml:space="preserve">Our Community </w:t>
      </w:r>
    </w:p>
    <w:p>
      <w:pPr>
        <w:pStyle w:val="TextBody"/>
        <w:bidi w:val="0"/>
        <w:spacing w:before="240" w:after="0"/>
        <w:jc w:val="both"/>
        <w:rPr>
          <w:rFonts w:ascii="arial" w:hAnsi="arial"/>
          <w:sz w:val="20"/>
        </w:rPr>
      </w:pPr>
      <w:r>
        <w:rPr>
          <w:rFonts w:ascii="arial" w:hAnsi="arial"/>
          <w:sz w:val="20"/>
        </w:rPr>
        <w:t xml:space="preserve">The community programs and partnerships we pursue integrate Capital One’s core strengths with the skills, expertise, and experiences of others to make real and lasting change. We are an engaged partner with a network of nonprofit organizations and local leaders who develop workforce opportunity, support small and micro-businesses, develop affordable housing, and work to improve financial well-being. </w:t>
      </w:r>
    </w:p>
    <w:p>
      <w:pPr>
        <w:pStyle w:val="TextBody"/>
        <w:bidi w:val="0"/>
        <w:spacing w:before="0" w:after="0"/>
        <w:jc w:val="left"/>
        <w:rPr/>
      </w:pPr>
      <w:r>
        <w:rPr/>
        <w:t> </w:t>
      </w:r>
    </w:p>
    <w:tbl>
      <w:tblPr>
        <w:tblW w:w="9570" w:type="dxa"/>
        <w:jc w:val="left"/>
        <w:tblInd w:w="0" w:type="dxa"/>
        <w:tblLayout w:type="fixed"/>
        <w:tblCellMar>
          <w:top w:w="0" w:type="dxa"/>
          <w:left w:w="0" w:type="dxa"/>
          <w:bottom w:w="0" w:type="dxa"/>
          <w:right w:w="0" w:type="dxa"/>
        </w:tblCellMar>
      </w:tblPr>
      <w:tblGrid>
        <w:gridCol w:w="3320"/>
        <w:gridCol w:w="60"/>
        <w:gridCol w:w="3050"/>
        <w:gridCol w:w="60"/>
        <w:gridCol w:w="3080"/>
      </w:tblGrid>
      <w:tr>
        <w:trPr/>
        <w:tc>
          <w:tcPr>
            <w:tcW w:w="3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0"/>
              <w:jc w:val="center"/>
              <w:rPr/>
            </w:pPr>
            <w:r>
              <w:rPr/>
              <w:drawing>
                <wp:inline distT="0" distB="0" distL="0" distR="0">
                  <wp:extent cx="568960" cy="568960"/>
                  <wp:effectExtent l="0" t="0" r="0" b="0"/>
                  <wp:docPr id="5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2" descr=""/>
                          <pic:cNvPicPr>
                            <a:picLocks noChangeAspect="1" noChangeArrowheads="1"/>
                          </pic:cNvPicPr>
                        </pic:nvPicPr>
                        <pic:blipFill>
                          <a:blip r:embed="rId53"/>
                          <a:stretch>
                            <a:fillRect/>
                          </a:stretch>
                        </pic:blipFill>
                        <pic:spPr bwMode="auto">
                          <a:xfrm>
                            <a:off x="0" y="0"/>
                            <a:ext cx="568960" cy="56896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center"/>
              <w:rPr/>
            </w:pPr>
            <w:r>
              <w:rPr/>
              <w:drawing>
                <wp:inline distT="0" distB="0" distL="0" distR="0">
                  <wp:extent cx="568960" cy="568960"/>
                  <wp:effectExtent l="0" t="0" r="0" b="0"/>
                  <wp:docPr id="5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3" descr=""/>
                          <pic:cNvPicPr>
                            <a:picLocks noChangeAspect="1" noChangeArrowheads="1"/>
                          </pic:cNvPicPr>
                        </pic:nvPicPr>
                        <pic:blipFill>
                          <a:blip r:embed="rId54"/>
                          <a:stretch>
                            <a:fillRect/>
                          </a:stretch>
                        </pic:blipFill>
                        <pic:spPr bwMode="auto">
                          <a:xfrm>
                            <a:off x="0" y="0"/>
                            <a:ext cx="568960" cy="56896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jc w:val="center"/>
              <w:rPr/>
            </w:pPr>
            <w:r>
              <w:rPr/>
              <w:drawing>
                <wp:inline distT="0" distB="0" distL="0" distR="0">
                  <wp:extent cx="568960" cy="568960"/>
                  <wp:effectExtent l="0" t="0" r="0" b="0"/>
                  <wp:docPr id="6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4" descr=""/>
                          <pic:cNvPicPr>
                            <a:picLocks noChangeAspect="1" noChangeArrowheads="1"/>
                          </pic:cNvPicPr>
                        </pic:nvPicPr>
                        <pic:blipFill>
                          <a:blip r:embed="rId55"/>
                          <a:stretch>
                            <a:fillRect/>
                          </a:stretch>
                        </pic:blipFill>
                        <pic:spPr bwMode="auto">
                          <a:xfrm>
                            <a:off x="0" y="0"/>
                            <a:ext cx="568960" cy="56896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320"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More than 1,100 Capital One</w:t>
            </w:r>
          </w:p>
          <w:p>
            <w:pPr>
              <w:pStyle w:val="TableContents"/>
              <w:bidi w:val="0"/>
              <w:spacing w:before="0" w:after="0"/>
              <w:jc w:val="center"/>
              <w:rPr/>
            </w:pPr>
            <w:r>
              <w:rPr/>
              <w:t> </w:t>
            </w:r>
            <w:r>
              <w:rPr>
                <w:rFonts w:ascii="arial" w:hAnsi="arial"/>
                <w:sz w:val="20"/>
              </w:rPr>
              <w:t>associates engaged in pro bono</w:t>
            </w:r>
          </w:p>
          <w:p>
            <w:pPr>
              <w:pStyle w:val="TableContents"/>
              <w:bidi w:val="0"/>
              <w:spacing w:before="0" w:after="0"/>
              <w:jc w:val="center"/>
              <w:rPr/>
            </w:pPr>
            <w:r>
              <w:rPr/>
              <w:t> </w:t>
            </w:r>
            <w:r>
              <w:rPr>
                <w:rFonts w:ascii="arial" w:hAnsi="arial"/>
                <w:sz w:val="20"/>
              </w:rPr>
              <w:t>volunteerism — supporting 179</w:t>
            </w:r>
          </w:p>
          <w:p>
            <w:pPr>
              <w:pStyle w:val="TableContents"/>
              <w:bidi w:val="0"/>
              <w:spacing w:before="0" w:after="20"/>
              <w:jc w:val="center"/>
              <w:rPr/>
            </w:pPr>
            <w:r>
              <w:rPr/>
              <w:t> </w:t>
            </w:r>
            <w:r>
              <w:rPr>
                <w:rFonts w:ascii="arial" w:hAnsi="arial"/>
                <w:sz w:val="20"/>
              </w:rPr>
              <w:t>unique community partners in 2024</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Approximately $89 million donated</w:t>
            </w:r>
          </w:p>
          <w:p>
            <w:pPr>
              <w:pStyle w:val="TableContents"/>
              <w:bidi w:val="0"/>
              <w:spacing w:before="0" w:after="0"/>
              <w:jc w:val="center"/>
              <w:rPr>
                <w:rFonts w:ascii="arial" w:hAnsi="arial"/>
                <w:sz w:val="20"/>
              </w:rPr>
            </w:pPr>
            <w:r>
              <w:rPr>
                <w:rFonts w:ascii="arial" w:hAnsi="arial"/>
                <w:sz w:val="20"/>
              </w:rPr>
              <w:t>in 2024 to more than 950</w:t>
            </w:r>
          </w:p>
          <w:p>
            <w:pPr>
              <w:pStyle w:val="TableContents"/>
              <w:bidi w:val="0"/>
              <w:spacing w:before="0" w:after="0"/>
              <w:jc w:val="center"/>
              <w:rPr>
                <w:rFonts w:ascii="arial" w:hAnsi="arial"/>
                <w:sz w:val="20"/>
              </w:rPr>
            </w:pPr>
            <w:r>
              <w:rPr>
                <w:rFonts w:ascii="arial" w:hAnsi="arial"/>
                <w:sz w:val="20"/>
              </w:rPr>
              <w:t>nonprofits that help build economic</w:t>
            </w:r>
          </w:p>
          <w:p>
            <w:pPr>
              <w:pStyle w:val="TableContents"/>
              <w:bidi w:val="0"/>
              <w:spacing w:before="0" w:after="20"/>
              <w:jc w:val="center"/>
              <w:rPr>
                <w:rFonts w:ascii="arial" w:hAnsi="arial"/>
                <w:sz w:val="20"/>
              </w:rPr>
            </w:pPr>
            <w:r>
              <w:rPr>
                <w:rFonts w:ascii="arial" w:hAnsi="arial"/>
                <w:sz w:val="20"/>
              </w:rPr>
              <w:t>opportunity in our communities</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More than 18,000 associates</w:t>
            </w:r>
          </w:p>
          <w:p>
            <w:pPr>
              <w:pStyle w:val="TableContents"/>
              <w:bidi w:val="0"/>
              <w:spacing w:before="0" w:after="0"/>
              <w:jc w:val="center"/>
              <w:rPr>
                <w:rFonts w:ascii="arial" w:hAnsi="arial"/>
                <w:sz w:val="20"/>
              </w:rPr>
            </w:pPr>
            <w:r>
              <w:rPr>
                <w:rFonts w:ascii="arial" w:hAnsi="arial"/>
                <w:sz w:val="20"/>
              </w:rPr>
              <w:t>volunteered over 318,000 volunteer</w:t>
            </w:r>
          </w:p>
          <w:p>
            <w:pPr>
              <w:pStyle w:val="TableContents"/>
              <w:bidi w:val="0"/>
              <w:spacing w:before="0" w:after="20"/>
              <w:jc w:val="center"/>
              <w:rPr>
                <w:rFonts w:ascii="arial" w:hAnsi="arial"/>
                <w:sz w:val="20"/>
              </w:rPr>
            </w:pPr>
            <w:r>
              <w:rPr>
                <w:rFonts w:ascii="arial" w:hAnsi="arial"/>
                <w:sz w:val="20"/>
              </w:rPr>
              <w:t>hours in our communities in 2024</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48 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Further information about our customer products and about our community engagement efforts, including our pro bono volunteerism programs and community development initiatives, can be found on our website in our 2023 ESG Report. </w:t>
      </w:r>
    </w:p>
    <w:p>
      <w:pPr>
        <w:pStyle w:val="TextBody"/>
        <w:bidi w:val="0"/>
        <w:spacing w:before="240" w:after="0"/>
        <w:jc w:val="left"/>
        <w:rPr>
          <w:rFonts w:ascii="arial" w:hAnsi="arial"/>
          <w:b/>
          <w:color w:val="003A5D"/>
          <w:sz w:val="32"/>
        </w:rPr>
      </w:pPr>
      <w:bookmarkStart w:id="30" w:name="txa845790_14"/>
      <w:bookmarkEnd w:id="30"/>
      <w:r>
        <w:rPr>
          <w:rFonts w:ascii="arial" w:hAnsi="arial"/>
          <w:b/>
          <w:color w:val="003A5D"/>
          <w:sz w:val="32"/>
        </w:rPr>
        <w:t xml:space="preserve">How to Contact 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80"/>
        <w:gridCol w:w="120"/>
        <w:gridCol w:w="2505"/>
      </w:tblGrid>
      <w:tr>
        <w:trPr/>
        <w:tc>
          <w:tcPr>
            <w:tcW w:w="7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r>
      <w:tr>
        <w:trPr/>
        <w:tc>
          <w:tcPr>
            <w:tcW w:w="7580" w:type="dxa"/>
            <w:tcBorders/>
            <w:shd w:fill="003A5D" w:val="clear"/>
            <w:vAlign w:val="center"/>
          </w:tcPr>
          <w:p>
            <w:pPr>
              <w:pStyle w:val="TableContents"/>
              <w:bidi w:val="0"/>
              <w:spacing w:before="0" w:after="283"/>
              <w:jc w:val="left"/>
              <w:rPr>
                <w:sz w:val="4"/>
                <w:szCs w:val="4"/>
              </w:rPr>
            </w:pPr>
            <w:r>
              <w:rPr>
                <w:sz w:val="4"/>
                <w:szCs w:val="4"/>
              </w:rPr>
            </w:r>
          </w:p>
        </w:tc>
        <w:tc>
          <w:tcPr>
            <w:tcW w:w="262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7580" w:type="dxa"/>
            <w:tcBorders/>
            <w:shd w:fill="003A5D" w:val="clear"/>
            <w:vAlign w:val="center"/>
          </w:tcPr>
          <w:p>
            <w:pPr>
              <w:pStyle w:val="TableContents"/>
              <w:bidi w:val="0"/>
              <w:spacing w:before="0" w:after="0"/>
              <w:jc w:val="left"/>
              <w:rPr/>
            </w:pPr>
            <w:r>
              <w:rPr/>
              <w:t> </w:t>
            </w:r>
          </w:p>
          <w:p>
            <w:pPr>
              <w:pStyle w:val="TableContents"/>
              <w:bidi w:val="0"/>
              <w:spacing w:before="0" w:after="0"/>
              <w:jc w:val="both"/>
              <w:rPr>
                <w:color w:val="FFFFFF"/>
              </w:rPr>
            </w:pPr>
            <w:r>
              <w:rPr>
                <w:color w:val="FFFFFF"/>
              </w:rPr>
              <w:t> </w:t>
            </w:r>
            <w:r>
              <w:rPr>
                <w:rFonts w:ascii="arial" w:hAnsi="arial"/>
                <w:b/>
                <w:color w:val="FFFFFF"/>
                <w:sz w:val="24"/>
              </w:rPr>
              <w:t>Our Directors</w:t>
            </w:r>
          </w:p>
          <w:p>
            <w:pPr>
              <w:pStyle w:val="TableContents"/>
              <w:bidi w:val="0"/>
              <w:spacing w:before="0" w:after="20"/>
              <w:jc w:val="left"/>
              <w:rPr/>
            </w:pPr>
            <w:r>
              <w:rPr/>
              <w:t> </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505" w:type="dxa"/>
            <w:tcBorders/>
            <w:shd w:fill="E5EBEE" w:val="clear"/>
            <w:vAlign w:val="center"/>
          </w:tcPr>
          <w:p>
            <w:pPr>
              <w:pStyle w:val="TableContents"/>
              <w:bidi w:val="0"/>
              <w:spacing w:before="0" w:after="0"/>
              <w:jc w:val="left"/>
              <w:rPr/>
            </w:pPr>
            <w:r>
              <w:rPr/>
              <w:t> </w:t>
            </w:r>
          </w:p>
          <w:p>
            <w:pPr>
              <w:pStyle w:val="TableContents"/>
              <w:bidi w:val="0"/>
              <w:spacing w:before="0" w:after="0"/>
              <w:jc w:val="both"/>
              <w:rPr>
                <w:rFonts w:ascii="arial" w:hAnsi="arial"/>
                <w:b/>
                <w:color w:val="003A5D"/>
                <w:sz w:val="24"/>
              </w:rPr>
            </w:pPr>
            <w:r>
              <w:rPr>
                <w:rFonts w:ascii="arial" w:hAnsi="arial"/>
                <w:b/>
                <w:color w:val="003A5D"/>
                <w:sz w:val="24"/>
              </w:rPr>
              <w:t>Investor Relations</w:t>
            </w:r>
          </w:p>
          <w:p>
            <w:pPr>
              <w:pStyle w:val="TableContents"/>
              <w:bidi w:val="0"/>
              <w:spacing w:before="0" w:after="20"/>
              <w:jc w:val="left"/>
              <w:rPr/>
            </w:pPr>
            <w:r>
              <w:rPr/>
              <w:t> </w:t>
            </w:r>
          </w:p>
        </w:tc>
      </w:tr>
      <w:tr>
        <w:trPr/>
        <w:tc>
          <w:tcPr>
            <w:tcW w:w="7580" w:type="dxa"/>
            <w:tcBorders/>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Communicate with the Board, including individual directors, the Lead Independent Director, committee chairs, or the Independent Directors as a group.</w:t>
            </w:r>
          </w:p>
          <w:p>
            <w:pPr>
              <w:pStyle w:val="TableContents"/>
              <w:bidi w:val="0"/>
              <w:spacing w:before="0" w:after="0"/>
              <w:jc w:val="left"/>
              <w:rPr/>
            </w:pPr>
            <w:r>
              <w:rPr/>
              <w:t> </w:t>
            </w:r>
          </w:p>
          <w:p>
            <w:pPr>
              <w:pStyle w:val="TableContents"/>
              <w:bidi w:val="0"/>
              <w:spacing w:before="0" w:after="0"/>
              <w:jc w:val="both"/>
              <w:rPr>
                <w:rFonts w:ascii="arial" w:hAnsi="arial"/>
                <w:b/>
                <w:sz w:val="18"/>
              </w:rPr>
            </w:pPr>
            <w:r>
              <w:rPr>
                <w:rFonts w:ascii="arial" w:hAnsi="arial"/>
                <w:b/>
                <w:sz w:val="18"/>
              </w:rPr>
              <w:t>Mail correspondence to:</w:t>
            </w:r>
          </w:p>
          <w:p>
            <w:pPr>
              <w:pStyle w:val="TableContents"/>
              <w:bidi w:val="0"/>
              <w:spacing w:before="0" w:after="0"/>
              <w:jc w:val="left"/>
              <w:rPr/>
            </w:pPr>
            <w:r>
              <w:rPr/>
              <w:t> </w:t>
            </w:r>
          </w:p>
          <w:p>
            <w:pPr>
              <w:pStyle w:val="TableContents"/>
              <w:bidi w:val="0"/>
              <w:spacing w:before="0" w:after="0"/>
              <w:jc w:val="both"/>
              <w:rPr>
                <w:rFonts w:ascii="arial" w:hAnsi="arial"/>
                <w:b/>
                <w:sz w:val="18"/>
              </w:rPr>
            </w:pPr>
            <w:r>
              <w:rPr>
                <w:rFonts w:ascii="arial" w:hAnsi="arial"/>
                <w:b/>
                <w:sz w:val="18"/>
              </w:rPr>
              <w:t>Board of Directors</w:t>
            </w:r>
          </w:p>
          <w:p>
            <w:pPr>
              <w:pStyle w:val="TableContents"/>
              <w:bidi w:val="0"/>
              <w:spacing w:before="0" w:after="0"/>
              <w:jc w:val="both"/>
              <w:rPr>
                <w:rFonts w:ascii="arial" w:hAnsi="arial"/>
                <w:b/>
                <w:sz w:val="18"/>
              </w:rPr>
            </w:pPr>
            <w:r>
              <w:rPr>
                <w:rFonts w:ascii="arial" w:hAnsi="arial"/>
                <w:b/>
                <w:sz w:val="18"/>
              </w:rPr>
              <w:t>c/o Corporate Secretary’s Office</w:t>
            </w:r>
          </w:p>
          <w:p>
            <w:pPr>
              <w:pStyle w:val="TableContents"/>
              <w:bidi w:val="0"/>
              <w:spacing w:before="0" w:after="0"/>
              <w:jc w:val="both"/>
              <w:rPr>
                <w:rFonts w:ascii="arial" w:hAnsi="arial"/>
                <w:b/>
                <w:sz w:val="18"/>
              </w:rPr>
            </w:pPr>
            <w:r>
              <w:rPr>
                <w:rFonts w:ascii="arial" w:hAnsi="arial"/>
                <w:b/>
                <w:sz w:val="18"/>
              </w:rPr>
              <w:t>Capital One Financial Corporation</w:t>
            </w:r>
          </w:p>
          <w:p>
            <w:pPr>
              <w:pStyle w:val="TableContents"/>
              <w:bidi w:val="0"/>
              <w:spacing w:before="0" w:after="0"/>
              <w:jc w:val="both"/>
              <w:rPr>
                <w:rFonts w:ascii="arial" w:hAnsi="arial"/>
                <w:b/>
                <w:sz w:val="18"/>
              </w:rPr>
            </w:pPr>
            <w:r>
              <w:rPr>
                <w:rFonts w:ascii="arial" w:hAnsi="arial"/>
                <w:b/>
                <w:sz w:val="18"/>
              </w:rPr>
              <w:t>1600 Capital One Drive</w:t>
            </w:r>
          </w:p>
          <w:p>
            <w:pPr>
              <w:pStyle w:val="TableContents"/>
              <w:bidi w:val="0"/>
              <w:spacing w:before="0" w:after="20"/>
              <w:jc w:val="both"/>
              <w:rPr>
                <w:rFonts w:ascii="arial" w:hAnsi="arial"/>
                <w:b/>
                <w:sz w:val="18"/>
              </w:rPr>
            </w:pPr>
            <w:r>
              <w:rPr>
                <w:rFonts w:ascii="arial" w:hAnsi="arial"/>
                <w:b/>
                <w:sz w:val="18"/>
              </w:rPr>
              <w:t>McLean, Virginia 22102</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505" w:type="dxa"/>
            <w:tcBorders/>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Contact our Investor Relations team:</w:t>
            </w:r>
          </w:p>
          <w:p>
            <w:pPr>
              <w:pStyle w:val="TableContents"/>
              <w:bidi w:val="0"/>
              <w:spacing w:before="0" w:after="0"/>
              <w:jc w:val="left"/>
              <w:rPr/>
            </w:pPr>
            <w:r>
              <w:rPr/>
              <w:t> </w:t>
            </w:r>
          </w:p>
          <w:p>
            <w:pPr>
              <w:pStyle w:val="TableContents"/>
              <w:bidi w:val="0"/>
              <w:spacing w:before="0" w:after="20"/>
              <w:jc w:val="both"/>
              <w:rPr>
                <w:rFonts w:ascii="arial" w:hAnsi="arial"/>
                <w:b/>
                <w:sz w:val="18"/>
              </w:rPr>
            </w:pPr>
            <w:r>
              <w:rPr>
                <w:rFonts w:ascii="arial" w:hAnsi="arial"/>
                <w:b/>
                <w:sz w:val="18"/>
              </w:rPr>
              <w:t>Email: investorrelations@capitalone.com</w:t>
            </w:r>
          </w:p>
        </w:tc>
      </w:tr>
    </w:tbl>
    <w:p>
      <w:pPr>
        <w:pStyle w:val="TextBody"/>
        <w:bidi w:val="0"/>
        <w:spacing w:before="240" w:after="0"/>
        <w:jc w:val="both"/>
        <w:rPr>
          <w:rFonts w:ascii="arial" w:hAnsi="arial"/>
          <w:sz w:val="20"/>
        </w:rPr>
      </w:pPr>
      <w:r>
        <w:rPr>
          <w:rFonts w:ascii="arial" w:hAnsi="arial"/>
          <w:sz w:val="20"/>
        </w:rPr>
        <w:t xml:space="preserve">The Corporate Secretary will review all communications sent to the Board, the Lead Independent Director, committee chairs, the Independent Directors as a group, or individual directors and forward all substantive communications to the appropriate parties. Communications to the Board, the Independent Directors, or any individual director that relate to Capital One’s accounting, internal accounting controls, or auditing matters are referred to the Chair of the Audit Committee and Capital One’s Chief Audit Officer. Other communications are referred to the Lead Independent Director. Please continue to share your thoughts or concerns with us. We value your input and your investment.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49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lef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31" w:name="txa845790_15"/>
      <w:bookmarkEnd w:id="31"/>
      <w:r>
        <w:rPr>
          <w:rFonts w:ascii="arial" w:hAnsi="arial"/>
          <w:b/>
          <w:sz w:val="36"/>
        </w:rPr>
        <w:t xml:space="preserve">Section III - Director Compensation </w:t>
      </w:r>
    </w:p>
    <w:p>
      <w:pPr>
        <w:pStyle w:val="TextBody"/>
        <w:bidi w:val="0"/>
        <w:spacing w:before="0" w:after="0"/>
        <w:jc w:val="left"/>
        <w:rPr/>
      </w:pPr>
      <w:r>
        <w:rPr/>
        <w:t> </w:t>
      </w:r>
    </w:p>
    <w:p>
      <w:pPr>
        <w:pStyle w:val="TextBody"/>
        <w:pBdr>
          <w:bottom w:val="single" w:sz="8" w:space="1" w:color="000000"/>
        </w:pBdr>
        <w:bidi w:val="0"/>
        <w:spacing w:lineRule="atLeast" w:line="142" w:before="0" w:after="40"/>
        <w:jc w:val="left"/>
        <w:rPr/>
      </w:pPr>
      <w:r>
        <w:rPr/>
        <w:t> </w:t>
      </w:r>
    </w:p>
    <w:p>
      <w:pPr>
        <w:pStyle w:val="TextBody"/>
        <w:bidi w:val="0"/>
        <w:spacing w:before="160" w:after="0"/>
        <w:jc w:val="left"/>
        <w:rPr>
          <w:rFonts w:ascii="arial" w:hAnsi="arial"/>
          <w:b/>
          <w:color w:val="003A5D"/>
          <w:sz w:val="32"/>
        </w:rPr>
      </w:pPr>
      <w:bookmarkStart w:id="32" w:name="txa845790_16"/>
      <w:bookmarkEnd w:id="32"/>
      <w:r>
        <w:rPr>
          <w:rFonts w:ascii="arial" w:hAnsi="arial"/>
          <w:b/>
          <w:color w:val="003A5D"/>
          <w:sz w:val="32"/>
        </w:rPr>
        <w:t xml:space="preserve">Director Compensation Objectives </w:t>
      </w:r>
    </w:p>
    <w:p>
      <w:pPr>
        <w:pStyle w:val="TextBody"/>
        <w:bidi w:val="0"/>
        <w:spacing w:before="240" w:after="0"/>
        <w:jc w:val="both"/>
        <w:rPr>
          <w:rFonts w:ascii="arial" w:hAnsi="arial"/>
          <w:sz w:val="20"/>
        </w:rPr>
      </w:pPr>
      <w:r>
        <w:rPr>
          <w:rFonts w:ascii="arial" w:hAnsi="arial"/>
          <w:sz w:val="20"/>
        </w:rPr>
        <w:t xml:space="preserve">The Board approves the compensation for non-management directors based on recommendations made by the Compensation Committee. The Board has designed the director compensation program to achieve four primary objectives: </w:t>
      </w:r>
    </w:p>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215"/>
        <w:gridCol w:w="60"/>
        <w:gridCol w:w="903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both"/>
              <w:rPr>
                <w:rFonts w:ascii="arial" w:hAnsi="arial"/>
                <w:sz w:val="20"/>
              </w:rPr>
            </w:pPr>
            <w:r>
              <w:rPr>
                <w:rFonts w:ascii="arial" w:hAnsi="arial"/>
                <w:sz w:val="20"/>
              </w:rPr>
              <w:t xml:space="preserve">Attract and retain talented directors with the skills and capabilities to perpetuate Capital One’s success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215"/>
        <w:gridCol w:w="60"/>
        <w:gridCol w:w="927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275" w:type="dxa"/>
            <w:tcBorders/>
            <w:vAlign w:val="center"/>
          </w:tcPr>
          <w:p>
            <w:pPr>
              <w:pStyle w:val="TableContents"/>
              <w:bidi w:val="0"/>
              <w:spacing w:before="0" w:after="0"/>
              <w:jc w:val="both"/>
              <w:rPr>
                <w:rFonts w:ascii="arial" w:hAnsi="arial"/>
                <w:sz w:val="20"/>
              </w:rPr>
            </w:pPr>
            <w:r>
              <w:rPr>
                <w:rFonts w:ascii="arial" w:hAnsi="arial"/>
                <w:sz w:val="20"/>
              </w:rPr>
              <w:t xml:space="preserve">Fairly compensate directors for the work required in a company of Capital One’s size, industry, and scope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215"/>
        <w:gridCol w:w="60"/>
        <w:gridCol w:w="578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0"/>
              <w:jc w:val="both"/>
              <w:rPr>
                <w:rFonts w:ascii="arial" w:hAnsi="arial"/>
                <w:sz w:val="20"/>
              </w:rPr>
            </w:pPr>
            <w:r>
              <w:rPr>
                <w:rFonts w:ascii="arial" w:hAnsi="arial"/>
                <w:sz w:val="20"/>
              </w:rPr>
              <w:t xml:space="preserve">Recognize the individual roles and responsibilities of the directors </w:t>
            </w:r>
          </w:p>
        </w:tc>
      </w:tr>
    </w:tbl>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75"/>
        <w:gridCol w:w="215"/>
        <w:gridCol w:w="60"/>
        <w:gridCol w:w="633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both"/>
              <w:rPr>
                <w:rFonts w:ascii="arial" w:hAnsi="arial"/>
                <w:sz w:val="20"/>
              </w:rPr>
            </w:pPr>
            <w:r>
              <w:rPr>
                <w:rFonts w:ascii="arial" w:hAnsi="arial"/>
                <w:sz w:val="20"/>
              </w:rPr>
              <w:t xml:space="preserve">Align directors’ interests with the long-term interests of our stockholders </w:t>
            </w:r>
          </w:p>
        </w:tc>
      </w:tr>
    </w:tbl>
    <w:p>
      <w:pPr>
        <w:pStyle w:val="TextBody"/>
        <w:bidi w:val="0"/>
        <w:spacing w:before="240" w:after="0"/>
        <w:jc w:val="both"/>
        <w:rPr>
          <w:rFonts w:ascii="arial" w:hAnsi="arial"/>
          <w:sz w:val="20"/>
        </w:rPr>
      </w:pPr>
      <w:r>
        <w:rPr>
          <w:rFonts w:ascii="arial" w:hAnsi="arial"/>
          <w:sz w:val="20"/>
        </w:rPr>
        <w:t xml:space="preserve">Management directors do not receive compensation for their service on the Board. In 2024, Mr. Fairbank was Capital One’s only management director. </w:t>
      </w:r>
    </w:p>
    <w:p>
      <w:pPr>
        <w:pStyle w:val="TextBody"/>
        <w:bidi w:val="0"/>
        <w:spacing w:before="240" w:after="0"/>
        <w:jc w:val="left"/>
        <w:rPr>
          <w:rFonts w:ascii="arial" w:hAnsi="arial"/>
          <w:b/>
          <w:color w:val="003A5D"/>
          <w:sz w:val="32"/>
        </w:rPr>
      </w:pPr>
      <w:bookmarkStart w:id="33" w:name="txa845790_17"/>
      <w:bookmarkEnd w:id="33"/>
      <w:r>
        <w:rPr>
          <w:rFonts w:ascii="arial" w:hAnsi="arial"/>
          <w:b/>
          <w:color w:val="003A5D"/>
          <w:sz w:val="32"/>
        </w:rPr>
        <w:t xml:space="preserve">Director Compensation Procedures </w:t>
      </w:r>
    </w:p>
    <w:p>
      <w:pPr>
        <w:pStyle w:val="TextBody"/>
        <w:bidi w:val="0"/>
        <w:spacing w:before="240" w:after="0"/>
        <w:jc w:val="both"/>
        <w:rPr>
          <w:rFonts w:ascii="arial" w:hAnsi="arial"/>
          <w:sz w:val="20"/>
        </w:rPr>
      </w:pPr>
      <w:r>
        <w:rPr>
          <w:rFonts w:ascii="arial" w:hAnsi="arial"/>
          <w:sz w:val="20"/>
        </w:rPr>
        <w:t xml:space="preserve">The Compensation Committee annually reviews the compensation program for Capital One’s non-management directors. FW Cook provides competitive compensation data and director compensation program recommendations to the Compensation Committee. The competitive compensation data includes information regarding the compensation (cash, equity, and other benefits) of the non-management directors within Capital One’s peer comparator group. The Compensation Committee considers this information and FW Cook’s recommendations, and finalizes a proposed director compensation structure for review and approval by the full Board, typically in the second quarter of each year. See the discussion under “Compensation Committee Consultant” beginning on page 40 for further information on the role and responsibilities of FW Cook and “Peer Groups” beginning on page 90 for further information on the selection of the Company’s peer comparator group. </w:t>
      </w:r>
    </w:p>
    <w:p>
      <w:pPr>
        <w:pStyle w:val="TextBody"/>
        <w:bidi w:val="0"/>
        <w:spacing w:before="240" w:after="0"/>
        <w:jc w:val="both"/>
        <w:rPr>
          <w:rFonts w:ascii="arial" w:hAnsi="arial"/>
          <w:sz w:val="20"/>
        </w:rPr>
      </w:pPr>
      <w:r>
        <w:rPr>
          <w:rFonts w:ascii="arial" w:hAnsi="arial"/>
          <w:sz w:val="20"/>
        </w:rPr>
        <w:t xml:space="preserve">Based on its review of competitive market data and guidance from FW Cook in the second quarter of 2024, the Compensation Committee determined that the Company’s director compensation program meets the objectives listed above. </w:t>
      </w:r>
    </w:p>
    <w:p>
      <w:pPr>
        <w:pStyle w:val="TextBody"/>
        <w:bidi w:val="0"/>
        <w:spacing w:before="240" w:after="0"/>
        <w:jc w:val="left"/>
        <w:rPr>
          <w:rFonts w:ascii="arial" w:hAnsi="arial"/>
          <w:b/>
          <w:color w:val="003A5D"/>
          <w:sz w:val="32"/>
        </w:rPr>
      </w:pPr>
      <w:bookmarkStart w:id="34" w:name="txa845790_18"/>
      <w:bookmarkEnd w:id="34"/>
      <w:r>
        <w:rPr>
          <w:rFonts w:ascii="arial" w:hAnsi="arial"/>
          <w:b/>
          <w:color w:val="003A5D"/>
          <w:sz w:val="32"/>
        </w:rPr>
        <w:t xml:space="preserve">Director Compensation Structure </w:t>
      </w:r>
    </w:p>
    <w:p>
      <w:pPr>
        <w:pStyle w:val="TextBody"/>
        <w:bidi w:val="0"/>
        <w:spacing w:before="240" w:after="0"/>
        <w:jc w:val="both"/>
        <w:rPr>
          <w:rFonts w:ascii="arial" w:hAnsi="arial"/>
          <w:sz w:val="20"/>
        </w:rPr>
      </w:pPr>
      <w:r>
        <w:rPr>
          <w:rFonts w:ascii="arial" w:hAnsi="arial"/>
          <w:sz w:val="20"/>
        </w:rPr>
        <w:t xml:space="preserve">On May 2, 2024, the Board approved a compensation program for Capital One’s non-management directors for the period from May 2, 2024 through our 2025 Annual Stockholder Meeting that is similar to the program for the preceding year. The compensation program consists of an annual cash retainer of $100,000 for service on the Board. In addition, directors receive annual cash retainers for committee service and for service as committee chairs and Lead Independent Director. Under the most recently approved director compensation program, the annual cash retainers are as follows: </w:t>
      </w:r>
    </w:p>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215"/>
        <w:gridCol w:w="60"/>
        <w:gridCol w:w="329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0"/>
              <w:jc w:val="both"/>
              <w:rPr>
                <w:rFonts w:ascii="arial" w:hAnsi="arial"/>
                <w:sz w:val="20"/>
              </w:rPr>
            </w:pPr>
            <w:r>
              <w:rPr>
                <w:rFonts w:ascii="arial" w:hAnsi="arial"/>
                <w:sz w:val="20"/>
              </w:rPr>
              <w:t xml:space="preserve">Lead Independent Director: $100,000 </w:t>
            </w:r>
          </w:p>
        </w:tc>
      </w:tr>
    </w:tbl>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75"/>
        <w:gridCol w:w="215"/>
        <w:gridCol w:w="60"/>
        <w:gridCol w:w="510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0"/>
              <w:jc w:val="both"/>
              <w:rPr>
                <w:rFonts w:ascii="arial" w:hAnsi="arial"/>
                <w:sz w:val="20"/>
              </w:rPr>
            </w:pPr>
            <w:r>
              <w:rPr>
                <w:rFonts w:ascii="arial" w:hAnsi="arial"/>
                <w:sz w:val="20"/>
              </w:rPr>
              <w:t xml:space="preserve">Chair of the Audit Committee or Risk Committee: $70,000 </w:t>
            </w:r>
          </w:p>
        </w:tc>
      </w:tr>
    </w:tbl>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75"/>
        <w:gridCol w:w="215"/>
        <w:gridCol w:w="60"/>
        <w:gridCol w:w="422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jc w:val="both"/>
              <w:rPr>
                <w:rFonts w:ascii="arial" w:hAnsi="arial"/>
                <w:sz w:val="20"/>
              </w:rPr>
            </w:pPr>
            <w:r>
              <w:rPr>
                <w:rFonts w:ascii="arial" w:hAnsi="arial"/>
                <w:sz w:val="20"/>
              </w:rPr>
              <w:t xml:space="preserve">Chair of the Compensation Committee: $45,000 </w:t>
            </w:r>
          </w:p>
        </w:tc>
      </w:tr>
    </w:tbl>
    <w:p>
      <w:pPr>
        <w:pStyle w:val="TextBody"/>
        <w:bidi w:val="0"/>
        <w:spacing w:before="0" w:after="0"/>
        <w:jc w:val="left"/>
        <w:rPr/>
      </w:pPr>
      <w:r>
        <w:rPr/>
        <w:t> </w:t>
      </w:r>
    </w:p>
    <w:tbl>
      <w:tblPr>
        <w:tblW w:w="5785" w:type="dxa"/>
        <w:jc w:val="left"/>
        <w:tblInd w:w="0" w:type="dxa"/>
        <w:tblLayout w:type="fixed"/>
        <w:tblCellMar>
          <w:top w:w="0" w:type="dxa"/>
          <w:left w:w="0" w:type="dxa"/>
          <w:bottom w:w="0" w:type="dxa"/>
          <w:right w:w="0" w:type="dxa"/>
        </w:tblCellMar>
      </w:tblPr>
      <w:tblGrid>
        <w:gridCol w:w="75"/>
        <w:gridCol w:w="215"/>
        <w:gridCol w:w="60"/>
        <w:gridCol w:w="543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both"/>
              <w:rPr>
                <w:rFonts w:ascii="arial" w:hAnsi="arial"/>
                <w:sz w:val="20"/>
              </w:rPr>
            </w:pPr>
            <w:r>
              <w:rPr>
                <w:rFonts w:ascii="arial" w:hAnsi="arial"/>
                <w:sz w:val="20"/>
              </w:rPr>
              <w:t xml:space="preserve">Chair of the Governance and Nominating Committee: $45,000 </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50 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3695" w:type="dxa"/>
        <w:jc w:val="left"/>
        <w:tblInd w:w="0" w:type="dxa"/>
        <w:tblLayout w:type="fixed"/>
        <w:tblCellMar>
          <w:top w:w="0" w:type="dxa"/>
          <w:left w:w="0" w:type="dxa"/>
          <w:bottom w:w="0" w:type="dxa"/>
          <w:right w:w="0" w:type="dxa"/>
        </w:tblCellMar>
      </w:tblPr>
      <w:tblGrid>
        <w:gridCol w:w="3695"/>
      </w:tblGrid>
      <w:tr>
        <w:trPr/>
        <w:tc>
          <w:tcPr>
            <w:tcW w:w="3695" w:type="dxa"/>
            <w:tcBorders/>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283"/>
              <w:jc w:val="right"/>
              <w:rPr>
                <w:b/>
                <w:color w:val="003A5D"/>
              </w:rPr>
            </w:pPr>
            <w:r>
              <w:rPr>
                <w:b/>
                <w:color w:val="003A5D"/>
              </w:rPr>
              <w:t>Section III - Director Compensation</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215"/>
        <w:gridCol w:w="60"/>
        <w:gridCol w:w="722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0"/>
              <w:jc w:val="both"/>
              <w:rPr>
                <w:rFonts w:ascii="arial" w:hAnsi="arial"/>
                <w:sz w:val="20"/>
              </w:rPr>
            </w:pPr>
            <w:r>
              <w:rPr>
                <w:rFonts w:ascii="arial" w:hAnsi="arial"/>
                <w:sz w:val="20"/>
              </w:rPr>
              <w:t xml:space="preserve">Member of the Audit Committee or Risk Committee (other than the chair): $30,000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Member of the Compensation Committee or Governance and Nominating Committee (other than the chair): $15,000 </w:t>
            </w:r>
          </w:p>
        </w:tc>
      </w:tr>
    </w:tbl>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75"/>
        <w:gridCol w:w="215"/>
        <w:gridCol w:w="60"/>
        <w:gridCol w:w="666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both"/>
              <w:rPr>
                <w:rFonts w:ascii="arial" w:hAnsi="arial"/>
                <w:sz w:val="20"/>
              </w:rPr>
            </w:pPr>
            <w:r>
              <w:rPr>
                <w:rFonts w:ascii="arial" w:hAnsi="arial"/>
                <w:sz w:val="20"/>
              </w:rPr>
              <w:t xml:space="preserve">Member of the Capital One, National Association Trust Committee: $10,000 </w:t>
            </w:r>
          </w:p>
        </w:tc>
      </w:tr>
    </w:tbl>
    <w:p>
      <w:pPr>
        <w:pStyle w:val="TextBody"/>
        <w:bidi w:val="0"/>
        <w:spacing w:before="240" w:after="0"/>
        <w:jc w:val="both"/>
        <w:rPr>
          <w:rFonts w:ascii="arial" w:hAnsi="arial"/>
          <w:sz w:val="20"/>
        </w:rPr>
      </w:pPr>
      <w:r>
        <w:rPr>
          <w:rFonts w:ascii="arial" w:hAnsi="arial"/>
          <w:sz w:val="20"/>
        </w:rPr>
        <w:t xml:space="preserve">Pursuant to the annual compensation review process described above, the Compensation Committee recommended, and the Board approved, an increase in the annual RSU grant of $25,000 for service on the Board over the previous year. The increase to the annual RSU grant was in recognition of the demands of service for Board members and to further align compensation for such service with the Company’s peer comparator group. </w:t>
      </w:r>
    </w:p>
    <w:p>
      <w:pPr>
        <w:pStyle w:val="TextBody"/>
        <w:bidi w:val="0"/>
        <w:spacing w:before="240" w:after="0"/>
        <w:jc w:val="both"/>
        <w:rPr>
          <w:rFonts w:ascii="arial" w:hAnsi="arial"/>
          <w:sz w:val="20"/>
        </w:rPr>
      </w:pPr>
      <w:r>
        <w:rPr>
          <w:rFonts w:ascii="arial" w:hAnsi="arial"/>
          <w:sz w:val="20"/>
        </w:rPr>
        <w:t xml:space="preserve">Each non-management director serving on May 2, 2024, received on such date an award of 1,658 RSUs under the 2004 Stock Incentive Plan with a grant date fair value of $235,121, or $141.81 per share. The RSUs were valued based on the fair market value of a share of Capital One common stock on the date of grant and vest one year from the date of grant, with the delivery of the underlying shares deferred until the director’s service with the Board ends. </w:t>
      </w:r>
    </w:p>
    <w:p>
      <w:pPr>
        <w:pStyle w:val="TextBody"/>
        <w:bidi w:val="0"/>
        <w:spacing w:before="240" w:after="0"/>
        <w:jc w:val="left"/>
        <w:rPr>
          <w:rFonts w:ascii="arial" w:hAnsi="arial"/>
          <w:b/>
          <w:color w:val="003A5D"/>
          <w:sz w:val="32"/>
        </w:rPr>
      </w:pPr>
      <w:bookmarkStart w:id="35" w:name="txa845790_19"/>
      <w:bookmarkEnd w:id="35"/>
      <w:r>
        <w:rPr>
          <w:rFonts w:ascii="arial" w:hAnsi="arial"/>
          <w:b/>
          <w:color w:val="003A5D"/>
          <w:sz w:val="32"/>
        </w:rPr>
        <w:t xml:space="preserve">Other Benefits </w:t>
      </w:r>
    </w:p>
    <w:p>
      <w:pPr>
        <w:pStyle w:val="TextBody"/>
        <w:bidi w:val="0"/>
        <w:spacing w:before="240" w:after="0"/>
        <w:jc w:val="both"/>
        <w:rPr>
          <w:rFonts w:ascii="arial" w:hAnsi="arial"/>
          <w:sz w:val="20"/>
        </w:rPr>
      </w:pPr>
      <w:r>
        <w:rPr>
          <w:rFonts w:ascii="arial" w:hAnsi="arial"/>
          <w:sz w:val="20"/>
        </w:rPr>
        <w:t xml:space="preserve">Under the Capital One Financial Corporation Non-Employee Directors Deferred Compensation Plan (“NEDDCP”), non-management directors who reside in the United States may voluntarily defer all or a portion of their cash compensation and receive deferred income benefits. Participants in the plan can direct their individual cash deferrals among ten investments available through the plan. Beginning in 2023, under the NEDDCP, non-management directors who have met their stock ownership requirement may also elect to defer their entire annual RSU award issued for their service as a director. </w:t>
      </w:r>
    </w:p>
    <w:p>
      <w:pPr>
        <w:pStyle w:val="TextBody"/>
        <w:bidi w:val="0"/>
        <w:spacing w:before="240" w:after="0"/>
        <w:jc w:val="both"/>
        <w:rPr>
          <w:rFonts w:ascii="arial" w:hAnsi="arial"/>
          <w:sz w:val="20"/>
        </w:rPr>
      </w:pPr>
      <w:r>
        <w:rPr>
          <w:rFonts w:ascii="arial" w:hAnsi="arial"/>
          <w:sz w:val="20"/>
        </w:rPr>
        <w:t xml:space="preserve">Non-management directors participating in the NEDDCP receive their deferred cash income benefits and/or deferred stock benefits when they cease serving as directors, upon certain other distribution events specified in the plan, or at such earlier time as authorized by the Compensation Committee, in cash or in Capital One common stock, respectively. Upon a change of control, Capital One will pay each director within 30 days of the change of control. Those who elect to defer cash will receive a lump sum cash payment equal to the director’s cash account balance as of the date of the change of control. Those who elect to defer RSUs will receive shares of Capital One common stock or cash for each RSU in an amount equal to the per-share amount paid to Capital One’s stockholders in connection with the change of control. </w:t>
      </w:r>
    </w:p>
    <w:p>
      <w:pPr>
        <w:pStyle w:val="TextBody"/>
        <w:bidi w:val="0"/>
        <w:spacing w:before="240" w:after="0"/>
        <w:jc w:val="both"/>
        <w:rPr>
          <w:rFonts w:ascii="arial" w:hAnsi="arial"/>
          <w:sz w:val="20"/>
        </w:rPr>
      </w:pPr>
      <w:r>
        <w:rPr>
          <w:rFonts w:ascii="arial" w:hAnsi="arial"/>
          <w:sz w:val="20"/>
        </w:rPr>
        <w:t xml:space="preserve">Capital One also offers non-management directors the opportunity to direct a contribution of up to $10,000 annually from Capital One to a charitable organization of their choice. All of the non-management directors who served during 2024, other than Mr. Warner, elected to make such a charitable contribution in 2024. In addition, all directors who served during 2024 were eligible, and seven directors elected to participate, in a Capital One broad-based charitable contribution program, which is also available to Capital One associates, under which Capital One made a contribution of $5,000 per director to a charitable organization of their choice. Directors also occasionally have access to certain Capital One-sponsored events for which they receive tickets. </w:t>
      </w:r>
    </w:p>
    <w:p>
      <w:pPr>
        <w:pStyle w:val="TextBody"/>
        <w:bidi w:val="0"/>
        <w:spacing w:before="240" w:after="0"/>
        <w:jc w:val="both"/>
        <w:rPr>
          <w:rFonts w:ascii="arial" w:hAnsi="arial"/>
          <w:sz w:val="20"/>
        </w:rPr>
      </w:pPr>
      <w:r>
        <w:rPr>
          <w:rFonts w:ascii="arial" w:hAnsi="arial"/>
          <w:sz w:val="20"/>
        </w:rPr>
        <w:t xml:space="preserve">Directors also receive reimbursements for certain board-related expenses, including external educational seminars and travel-related costs incurred to attend Board meetings. Such reimbursements are not included as compensation for the directors in the table below.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51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3695" w:type="dxa"/>
        <w:jc w:val="left"/>
        <w:tblInd w:w="0" w:type="dxa"/>
        <w:tblLayout w:type="fixed"/>
        <w:tblCellMar>
          <w:top w:w="0" w:type="dxa"/>
          <w:left w:w="0" w:type="dxa"/>
          <w:bottom w:w="0" w:type="dxa"/>
          <w:right w:w="0" w:type="dxa"/>
        </w:tblCellMar>
      </w:tblPr>
      <w:tblGrid>
        <w:gridCol w:w="3695"/>
      </w:tblGrid>
      <w:tr>
        <w:trPr/>
        <w:tc>
          <w:tcPr>
            <w:tcW w:w="3695" w:type="dxa"/>
            <w:tcBorders/>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283"/>
              <w:jc w:val="left"/>
              <w:rPr>
                <w:b/>
                <w:color w:val="003A5D"/>
              </w:rPr>
            </w:pPr>
            <w:r>
              <w:rPr>
                <w:b/>
                <w:color w:val="003A5D"/>
              </w:rPr>
              <w:t>Section III - Director Compensation</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36" w:name="txa845790_20"/>
      <w:bookmarkEnd w:id="36"/>
      <w:r>
        <w:rPr>
          <w:rFonts w:ascii="arial" w:hAnsi="arial"/>
          <w:b/>
          <w:color w:val="003A5D"/>
          <w:sz w:val="32"/>
        </w:rPr>
        <w:t xml:space="preserve">Compensation of Directors </w:t>
      </w:r>
    </w:p>
    <w:p>
      <w:pPr>
        <w:pStyle w:val="TextBody"/>
        <w:bidi w:val="0"/>
        <w:spacing w:before="240" w:after="0"/>
        <w:jc w:val="both"/>
        <w:rPr>
          <w:rFonts w:ascii="arial" w:hAnsi="arial"/>
          <w:sz w:val="20"/>
        </w:rPr>
      </w:pPr>
      <w:r>
        <w:rPr>
          <w:rFonts w:ascii="arial" w:hAnsi="arial"/>
          <w:sz w:val="20"/>
        </w:rPr>
        <w:t xml:space="preserve">Directors of Capital One received the following compensation in 2024: </w:t>
      </w:r>
    </w:p>
    <w:p>
      <w:pPr>
        <w:pStyle w:val="TextBody"/>
        <w:bidi w:val="0"/>
        <w:spacing w:before="0" w:after="0"/>
        <w:jc w:val="left"/>
        <w:rPr/>
      </w:pPr>
      <w:r>
        <w:rPr/>
        <w:t> </w:t>
      </w:r>
    </w:p>
    <w:tbl>
      <w:tblPr>
        <w:tblW w:w="7258" w:type="dxa"/>
        <w:jc w:val="left"/>
        <w:tblInd w:w="0" w:type="dxa"/>
        <w:tblLayout w:type="fixed"/>
        <w:tblCellMar>
          <w:top w:w="0" w:type="dxa"/>
          <w:left w:w="0" w:type="dxa"/>
          <w:bottom w:w="0" w:type="dxa"/>
          <w:right w:w="0" w:type="dxa"/>
        </w:tblCellMar>
      </w:tblPr>
      <w:tblGrid>
        <w:gridCol w:w="2135"/>
        <w:gridCol w:w="23"/>
        <w:gridCol w:w="33"/>
        <w:gridCol w:w="86"/>
        <w:gridCol w:w="1190"/>
        <w:gridCol w:w="89"/>
        <w:gridCol w:w="23"/>
        <w:gridCol w:w="26"/>
        <w:gridCol w:w="69"/>
        <w:gridCol w:w="948"/>
        <w:gridCol w:w="69"/>
        <w:gridCol w:w="23"/>
        <w:gridCol w:w="41"/>
        <w:gridCol w:w="108"/>
        <w:gridCol w:w="1289"/>
        <w:gridCol w:w="110"/>
        <w:gridCol w:w="23"/>
        <w:gridCol w:w="23"/>
        <w:gridCol w:w="60"/>
        <w:gridCol w:w="815"/>
        <w:gridCol w:w="75"/>
      </w:tblGrid>
      <w:tr>
        <w:trPr/>
        <w:tc>
          <w:tcPr>
            <w:tcW w:w="213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35" w:type="dxa"/>
            <w:tcBorders/>
            <w:shd w:fill="003A5D" w:val="clear"/>
            <w:vAlign w:val="center"/>
          </w:tcPr>
          <w:p>
            <w:pPr>
              <w:pStyle w:val="TableContents"/>
              <w:bidi w:val="0"/>
              <w:spacing w:before="0" w:after="0"/>
              <w:jc w:val="left"/>
              <w:rPr>
                <w:color w:val="FFFFFF"/>
              </w:rPr>
            </w:pPr>
            <w:r>
              <w:rPr>
                <w:color w:val="FFFFFF"/>
              </w:rPr>
              <w:t> </w:t>
            </w:r>
            <w:r>
              <w:rPr>
                <w:rFonts w:ascii="arial" w:hAnsi="arial"/>
                <w:b/>
                <w:color w:val="FFFFFF"/>
                <w:sz w:val="18"/>
              </w:rPr>
              <w:t>Director Name</w:t>
            </w:r>
          </w:p>
          <w:p>
            <w:pPr>
              <w:pStyle w:val="TableContents"/>
              <w:bidi w:val="0"/>
              <w:spacing w:before="0" w:after="20"/>
              <w:jc w:val="left"/>
              <w:rPr/>
            </w:pPr>
            <w:r>
              <w:rPr/>
              <w:t> </w:t>
            </w:r>
          </w:p>
        </w:tc>
        <w:tc>
          <w:tcPr>
            <w:tcW w:w="23" w:type="dxa"/>
            <w:tcBorders>
              <w:left w:val="single" w:sz="32"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1398" w:type="dxa"/>
            <w:gridSpan w:val="4"/>
            <w:tcBorders>
              <w:right w:val="single" w:sz="32" w:space="0" w:color="FFFFFF"/>
            </w:tcBorders>
            <w:shd w:fill="003A5D" w:val="clear"/>
            <w:tcMar>
              <w:right w:w="28" w:type="dxa"/>
            </w:tcM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Fees Earned or </w:t>
              <w:br/>
              <w:t>Paid in Cash(1)</w:t>
            </w:r>
          </w:p>
          <w:p>
            <w:pPr>
              <w:pStyle w:val="TableContents"/>
              <w:bidi w:val="0"/>
              <w:spacing w:before="0" w:after="20"/>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112" w:type="dxa"/>
            <w:gridSpan w:val="4"/>
            <w:tcBorders/>
            <w:shd w:fill="003A5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Stock</w:t>
              <w:br/>
              <w:t> Awards(2) </w:t>
            </w:r>
          </w:p>
          <w:p>
            <w:pPr>
              <w:pStyle w:val="TableContents"/>
              <w:bidi w:val="0"/>
              <w:spacing w:before="0" w:after="20"/>
              <w:jc w:val="left"/>
              <w:rPr/>
            </w:pPr>
            <w:r>
              <w:rPr/>
              <w:t> </w:t>
            </w:r>
          </w:p>
        </w:tc>
        <w:tc>
          <w:tcPr>
            <w:tcW w:w="23" w:type="dxa"/>
            <w:tcBorders>
              <w:left w:val="single" w:sz="32"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1548" w:type="dxa"/>
            <w:gridSpan w:val="4"/>
            <w:tcBorders>
              <w:right w:val="single" w:sz="32" w:space="0" w:color="FFFFFF"/>
            </w:tcBorders>
            <w:shd w:fill="003A5D" w:val="clear"/>
            <w:tcMar>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All Other</w:t>
              <w:br/>
              <w:t> Compensation(3) </w:t>
            </w:r>
          </w:p>
          <w:p>
            <w:pPr>
              <w:pStyle w:val="TableContents"/>
              <w:bidi w:val="0"/>
              <w:spacing w:before="0" w:after="20"/>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973" w:type="dxa"/>
            <w:gridSpan w:val="4"/>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Total</w:t>
            </w:r>
          </w:p>
          <w:p>
            <w:pPr>
              <w:pStyle w:val="TableContents"/>
              <w:bidi w:val="0"/>
              <w:spacing w:before="0" w:after="20"/>
              <w:jc w:val="left"/>
              <w:rPr/>
            </w:pPr>
            <w:r>
              <w:rPr/>
              <w:t> </w:t>
            </w:r>
          </w:p>
        </w:tc>
      </w:tr>
      <w:tr>
        <w:trPr/>
        <w:tc>
          <w:tcPr>
            <w:tcW w:w="2135"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Richard D. Fairbank(4)</w:t>
            </w:r>
          </w:p>
          <w:p>
            <w:pPr>
              <w:pStyle w:val="TableContents"/>
              <w:bidi w:val="0"/>
              <w:spacing w:before="0" w:after="20"/>
              <w:jc w:val="left"/>
              <w:rPr/>
            </w:pPr>
            <w:r>
              <w:rPr/>
              <w:t> </w:t>
            </w:r>
          </w:p>
        </w:tc>
        <w:tc>
          <w:tcPr>
            <w:tcW w:w="23" w:type="dxa"/>
            <w:tcBorders>
              <w:top w:val="single" w:sz="8" w:space="0" w:color="FFFFFF"/>
              <w:left w:val="single" w:sz="32" w:space="0" w:color="FFFFFF"/>
              <w:bottom w:val="single" w:sz="8" w:space="0" w:color="003A5D"/>
            </w:tcBorders>
            <w:shd w:fill="E5EBEE"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86"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19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w:t>
            </w:r>
          </w:p>
          <w:p>
            <w:pPr>
              <w:pStyle w:val="TableContents"/>
              <w:bidi w:val="0"/>
              <w:spacing w:before="0" w:after="20"/>
              <w:jc w:val="left"/>
              <w:rPr/>
            </w:pPr>
            <w:r>
              <w:rPr/>
              <w:t> </w:t>
            </w:r>
          </w:p>
        </w:tc>
        <w:tc>
          <w:tcPr>
            <w:tcW w:w="89" w:type="dxa"/>
            <w:tcBorders>
              <w:top w:val="single" w:sz="8" w:space="0" w:color="FFFFFF"/>
              <w:bottom w:val="single" w:sz="8" w:space="0" w:color="003A5D"/>
              <w:right w:val="single" w:sz="32" w:space="0" w:color="FFFFFF"/>
            </w:tcBorders>
            <w:shd w:fill="E5EBEE" w:val="clear"/>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26"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69"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948"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w:t>
            </w:r>
          </w:p>
          <w:p>
            <w:pPr>
              <w:pStyle w:val="TableContents"/>
              <w:bidi w:val="0"/>
              <w:spacing w:before="0" w:after="20"/>
              <w:jc w:val="left"/>
              <w:rPr/>
            </w:pPr>
            <w:r>
              <w:rPr/>
              <w:t> </w:t>
            </w:r>
          </w:p>
        </w:tc>
        <w:tc>
          <w:tcPr>
            <w:tcW w:w="69"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top w:val="single" w:sz="8" w:space="0" w:color="FFFFFF"/>
              <w:left w:val="single" w:sz="32" w:space="0" w:color="FFFFFF"/>
              <w:bottom w:val="single" w:sz="8" w:space="0" w:color="003A5D"/>
            </w:tcBorders>
            <w:shd w:fill="E5EBEE"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108"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89"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w:t>
            </w:r>
          </w:p>
          <w:p>
            <w:pPr>
              <w:pStyle w:val="TableContents"/>
              <w:bidi w:val="0"/>
              <w:spacing w:before="0" w:after="20"/>
              <w:jc w:val="left"/>
              <w:rPr/>
            </w:pPr>
            <w:r>
              <w:rPr/>
              <w:t> </w:t>
            </w:r>
          </w:p>
        </w:tc>
        <w:tc>
          <w:tcPr>
            <w:tcW w:w="110" w:type="dxa"/>
            <w:tcBorders>
              <w:top w:val="single" w:sz="8" w:space="0" w:color="FFFFFF"/>
              <w:bottom w:val="single" w:sz="8" w:space="0" w:color="003A5D"/>
              <w:right w:val="single" w:sz="32" w:space="0" w:color="FFFFFF"/>
            </w:tcBorders>
            <w:shd w:fill="E5EBEE" w:val="clear"/>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15"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w:t>
            </w:r>
          </w:p>
          <w:p>
            <w:pPr>
              <w:pStyle w:val="TableContents"/>
              <w:bidi w:val="0"/>
              <w:spacing w:before="0" w:after="20"/>
              <w:jc w:val="left"/>
              <w:rPr/>
            </w:pPr>
            <w:r>
              <w:rPr/>
              <w:t> </w:t>
            </w:r>
          </w:p>
        </w:tc>
        <w:tc>
          <w:tcPr>
            <w:tcW w:w="75"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213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Ime Archibong</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19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$115,000</w:t>
            </w:r>
          </w:p>
          <w:p>
            <w:pPr>
              <w:pStyle w:val="TableContents"/>
              <w:bidi w:val="0"/>
              <w:spacing w:before="0" w:after="20"/>
              <w:jc w:val="left"/>
              <w:rPr/>
            </w:pPr>
            <w:r>
              <w:rPr/>
              <w:t> </w:t>
            </w:r>
          </w:p>
        </w:tc>
        <w:tc>
          <w:tcPr>
            <w:tcW w:w="89"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948"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$235,121</w:t>
            </w:r>
          </w:p>
          <w:p>
            <w:pPr>
              <w:pStyle w:val="TableContents"/>
              <w:bidi w:val="0"/>
              <w:spacing w:before="0" w:after="20"/>
              <w:jc w:val="left"/>
              <w:rPr/>
            </w:pPr>
            <w:r>
              <w:rPr/>
              <w:t> </w:t>
            </w:r>
          </w:p>
        </w:tc>
        <w:tc>
          <w:tcPr>
            <w:tcW w:w="69"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89"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$13,100</w:t>
            </w:r>
          </w:p>
          <w:p>
            <w:pPr>
              <w:pStyle w:val="TableContents"/>
              <w:bidi w:val="0"/>
              <w:spacing w:before="0" w:after="20"/>
              <w:jc w:val="left"/>
              <w:rPr/>
            </w:pPr>
            <w:r>
              <w:rPr/>
              <w:t> </w:t>
            </w:r>
          </w:p>
        </w:tc>
        <w:tc>
          <w:tcPr>
            <w:tcW w:w="110"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1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$363,221</w:t>
            </w:r>
          </w:p>
          <w:p>
            <w:pPr>
              <w:pStyle w:val="TableContents"/>
              <w:bidi w:val="0"/>
              <w:spacing w:before="0" w:after="20"/>
              <w:jc w:val="left"/>
              <w:rPr/>
            </w:pPr>
            <w:r>
              <w:rPr/>
              <w:t> </w:t>
            </w:r>
          </w:p>
        </w:tc>
        <w:tc>
          <w:tcPr>
            <w:tcW w:w="7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213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Christine Detrick</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19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$160,000</w:t>
            </w:r>
          </w:p>
          <w:p>
            <w:pPr>
              <w:pStyle w:val="TableContents"/>
              <w:bidi w:val="0"/>
              <w:spacing w:before="0" w:after="20"/>
              <w:jc w:val="left"/>
              <w:rPr/>
            </w:pPr>
            <w:r>
              <w:rPr/>
              <w:t> </w:t>
            </w:r>
          </w:p>
        </w:tc>
        <w:tc>
          <w:tcPr>
            <w:tcW w:w="89"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948"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$235,121</w:t>
            </w:r>
          </w:p>
          <w:p>
            <w:pPr>
              <w:pStyle w:val="TableContents"/>
              <w:bidi w:val="0"/>
              <w:spacing w:before="0" w:after="20"/>
              <w:jc w:val="left"/>
              <w:rPr/>
            </w:pPr>
            <w:r>
              <w:rPr/>
              <w:t> </w:t>
            </w:r>
          </w:p>
        </w:tc>
        <w:tc>
          <w:tcPr>
            <w:tcW w:w="69"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89"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$18,100</w:t>
            </w:r>
          </w:p>
          <w:p>
            <w:pPr>
              <w:pStyle w:val="TableContents"/>
              <w:bidi w:val="0"/>
              <w:spacing w:before="0" w:after="20"/>
              <w:jc w:val="left"/>
              <w:rPr/>
            </w:pPr>
            <w:r>
              <w:rPr/>
              <w:t> </w:t>
            </w:r>
          </w:p>
        </w:tc>
        <w:tc>
          <w:tcPr>
            <w:tcW w:w="11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1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$413,221</w:t>
            </w:r>
          </w:p>
          <w:p>
            <w:pPr>
              <w:pStyle w:val="TableContents"/>
              <w:bidi w:val="0"/>
              <w:spacing w:before="0" w:after="20"/>
              <w:jc w:val="left"/>
              <w:rPr/>
            </w:pPr>
            <w:r>
              <w:rPr/>
              <w:t> </w:t>
            </w:r>
          </w:p>
        </w:tc>
        <w:tc>
          <w:tcPr>
            <w:tcW w:w="7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213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Ann Fritz Hackett</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19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$290,000</w:t>
            </w:r>
          </w:p>
          <w:p>
            <w:pPr>
              <w:pStyle w:val="TableContents"/>
              <w:bidi w:val="0"/>
              <w:spacing w:before="0" w:after="20"/>
              <w:jc w:val="left"/>
              <w:rPr/>
            </w:pPr>
            <w:r>
              <w:rPr/>
              <w:t> </w:t>
            </w:r>
          </w:p>
        </w:tc>
        <w:tc>
          <w:tcPr>
            <w:tcW w:w="89"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948"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$235,121</w:t>
            </w:r>
          </w:p>
          <w:p>
            <w:pPr>
              <w:pStyle w:val="TableContents"/>
              <w:bidi w:val="0"/>
              <w:spacing w:before="0" w:after="20"/>
              <w:jc w:val="left"/>
              <w:rPr/>
            </w:pPr>
            <w:r>
              <w:rPr/>
              <w:t> </w:t>
            </w:r>
          </w:p>
        </w:tc>
        <w:tc>
          <w:tcPr>
            <w:tcW w:w="69"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89"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$18,100</w:t>
            </w:r>
          </w:p>
          <w:p>
            <w:pPr>
              <w:pStyle w:val="TableContents"/>
              <w:bidi w:val="0"/>
              <w:spacing w:before="0" w:after="20"/>
              <w:jc w:val="left"/>
              <w:rPr/>
            </w:pPr>
            <w:r>
              <w:rPr/>
              <w:t> </w:t>
            </w:r>
          </w:p>
        </w:tc>
        <w:tc>
          <w:tcPr>
            <w:tcW w:w="110"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1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$543,221</w:t>
            </w:r>
          </w:p>
          <w:p>
            <w:pPr>
              <w:pStyle w:val="TableContents"/>
              <w:bidi w:val="0"/>
              <w:spacing w:before="0" w:after="20"/>
              <w:jc w:val="left"/>
              <w:rPr/>
            </w:pPr>
            <w:r>
              <w:rPr/>
              <w:t> </w:t>
            </w:r>
          </w:p>
        </w:tc>
        <w:tc>
          <w:tcPr>
            <w:tcW w:w="7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213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Suni P. Harford(5)</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19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$93,333</w:t>
            </w:r>
          </w:p>
          <w:p>
            <w:pPr>
              <w:pStyle w:val="TableContents"/>
              <w:bidi w:val="0"/>
              <w:spacing w:before="0" w:after="20"/>
              <w:jc w:val="left"/>
              <w:rPr/>
            </w:pPr>
            <w:r>
              <w:rPr/>
              <w:t> </w:t>
            </w:r>
          </w:p>
        </w:tc>
        <w:tc>
          <w:tcPr>
            <w:tcW w:w="89"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948"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$252,702</w:t>
            </w:r>
          </w:p>
          <w:p>
            <w:pPr>
              <w:pStyle w:val="TableContents"/>
              <w:bidi w:val="0"/>
              <w:spacing w:before="0" w:after="20"/>
              <w:jc w:val="left"/>
              <w:rPr/>
            </w:pPr>
            <w:r>
              <w:rPr/>
              <w:t> </w:t>
            </w:r>
          </w:p>
        </w:tc>
        <w:tc>
          <w:tcPr>
            <w:tcW w:w="69"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89"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$17,064</w:t>
            </w:r>
          </w:p>
          <w:p>
            <w:pPr>
              <w:pStyle w:val="TableContents"/>
              <w:bidi w:val="0"/>
              <w:spacing w:before="0" w:after="20"/>
              <w:jc w:val="left"/>
              <w:rPr/>
            </w:pPr>
            <w:r>
              <w:rPr/>
              <w:t> </w:t>
            </w:r>
          </w:p>
        </w:tc>
        <w:tc>
          <w:tcPr>
            <w:tcW w:w="11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1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$363,099</w:t>
            </w:r>
          </w:p>
          <w:p>
            <w:pPr>
              <w:pStyle w:val="TableContents"/>
              <w:bidi w:val="0"/>
              <w:spacing w:before="0" w:after="20"/>
              <w:jc w:val="left"/>
              <w:rPr/>
            </w:pPr>
            <w:r>
              <w:rPr/>
              <w:t> </w:t>
            </w:r>
          </w:p>
        </w:tc>
        <w:tc>
          <w:tcPr>
            <w:tcW w:w="7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213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Peter T. Killalea</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19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$145,000</w:t>
            </w:r>
          </w:p>
          <w:p>
            <w:pPr>
              <w:pStyle w:val="TableContents"/>
              <w:bidi w:val="0"/>
              <w:spacing w:before="0" w:after="20"/>
              <w:jc w:val="left"/>
              <w:rPr/>
            </w:pPr>
            <w:r>
              <w:rPr/>
              <w:t> </w:t>
            </w:r>
          </w:p>
        </w:tc>
        <w:tc>
          <w:tcPr>
            <w:tcW w:w="89"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948"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$235,121</w:t>
            </w:r>
          </w:p>
          <w:p>
            <w:pPr>
              <w:pStyle w:val="TableContents"/>
              <w:bidi w:val="0"/>
              <w:spacing w:before="0" w:after="20"/>
              <w:jc w:val="left"/>
              <w:rPr/>
            </w:pPr>
            <w:r>
              <w:rPr/>
              <w:t> </w:t>
            </w:r>
          </w:p>
        </w:tc>
        <w:tc>
          <w:tcPr>
            <w:tcW w:w="69"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89"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$13,100</w:t>
            </w:r>
          </w:p>
          <w:p>
            <w:pPr>
              <w:pStyle w:val="TableContents"/>
              <w:bidi w:val="0"/>
              <w:spacing w:before="0" w:after="20"/>
              <w:jc w:val="left"/>
              <w:rPr/>
            </w:pPr>
            <w:r>
              <w:rPr/>
              <w:t> </w:t>
            </w:r>
          </w:p>
        </w:tc>
        <w:tc>
          <w:tcPr>
            <w:tcW w:w="110"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1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$393,221</w:t>
            </w:r>
          </w:p>
          <w:p>
            <w:pPr>
              <w:pStyle w:val="TableContents"/>
              <w:bidi w:val="0"/>
              <w:spacing w:before="0" w:after="20"/>
              <w:jc w:val="left"/>
              <w:rPr/>
            </w:pPr>
            <w:r>
              <w:rPr/>
              <w:t> </w:t>
            </w:r>
          </w:p>
        </w:tc>
        <w:tc>
          <w:tcPr>
            <w:tcW w:w="7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213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Eli Leenaars(6)</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19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$220,000</w:t>
            </w:r>
          </w:p>
          <w:p>
            <w:pPr>
              <w:pStyle w:val="TableContents"/>
              <w:bidi w:val="0"/>
              <w:spacing w:before="0" w:after="20"/>
              <w:jc w:val="left"/>
              <w:rPr/>
            </w:pPr>
            <w:r>
              <w:rPr/>
              <w:t> </w:t>
            </w:r>
          </w:p>
        </w:tc>
        <w:tc>
          <w:tcPr>
            <w:tcW w:w="89"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948"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$235,121</w:t>
            </w:r>
          </w:p>
          <w:p>
            <w:pPr>
              <w:pStyle w:val="TableContents"/>
              <w:bidi w:val="0"/>
              <w:spacing w:before="0" w:after="20"/>
              <w:jc w:val="left"/>
              <w:rPr/>
            </w:pPr>
            <w:r>
              <w:rPr/>
              <w:t> </w:t>
            </w:r>
          </w:p>
        </w:tc>
        <w:tc>
          <w:tcPr>
            <w:tcW w:w="69"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89"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$15,028</w:t>
            </w:r>
          </w:p>
          <w:p>
            <w:pPr>
              <w:pStyle w:val="TableContents"/>
              <w:bidi w:val="0"/>
              <w:spacing w:before="0" w:after="20"/>
              <w:jc w:val="left"/>
              <w:rPr/>
            </w:pPr>
            <w:r>
              <w:rPr/>
              <w:t> </w:t>
            </w:r>
          </w:p>
        </w:tc>
        <w:tc>
          <w:tcPr>
            <w:tcW w:w="11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1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$470,149</w:t>
            </w:r>
          </w:p>
          <w:p>
            <w:pPr>
              <w:pStyle w:val="TableContents"/>
              <w:bidi w:val="0"/>
              <w:spacing w:before="0" w:after="20"/>
              <w:jc w:val="left"/>
              <w:rPr/>
            </w:pPr>
            <w:r>
              <w:rPr/>
              <w:t> </w:t>
            </w:r>
          </w:p>
        </w:tc>
        <w:tc>
          <w:tcPr>
            <w:tcW w:w="7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213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François Locoh-Donou</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19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$160,000</w:t>
            </w:r>
          </w:p>
          <w:p>
            <w:pPr>
              <w:pStyle w:val="TableContents"/>
              <w:bidi w:val="0"/>
              <w:spacing w:before="0" w:after="20"/>
              <w:jc w:val="left"/>
              <w:rPr/>
            </w:pPr>
            <w:r>
              <w:rPr/>
              <w:t> </w:t>
            </w:r>
          </w:p>
        </w:tc>
        <w:tc>
          <w:tcPr>
            <w:tcW w:w="89"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948"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$235,121</w:t>
            </w:r>
          </w:p>
          <w:p>
            <w:pPr>
              <w:pStyle w:val="TableContents"/>
              <w:bidi w:val="0"/>
              <w:spacing w:before="0" w:after="20"/>
              <w:jc w:val="left"/>
              <w:rPr/>
            </w:pPr>
            <w:r>
              <w:rPr/>
              <w:t> </w:t>
            </w:r>
          </w:p>
        </w:tc>
        <w:tc>
          <w:tcPr>
            <w:tcW w:w="69"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89"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$19,348</w:t>
            </w:r>
          </w:p>
          <w:p>
            <w:pPr>
              <w:pStyle w:val="TableContents"/>
              <w:bidi w:val="0"/>
              <w:spacing w:before="0" w:after="20"/>
              <w:jc w:val="left"/>
              <w:rPr/>
            </w:pPr>
            <w:r>
              <w:rPr/>
              <w:t> </w:t>
            </w:r>
          </w:p>
        </w:tc>
        <w:tc>
          <w:tcPr>
            <w:tcW w:w="110"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1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$414,469</w:t>
            </w:r>
          </w:p>
          <w:p>
            <w:pPr>
              <w:pStyle w:val="TableContents"/>
              <w:bidi w:val="0"/>
              <w:spacing w:before="0" w:after="20"/>
              <w:jc w:val="left"/>
              <w:rPr/>
            </w:pPr>
            <w:r>
              <w:rPr/>
              <w:t> </w:t>
            </w:r>
          </w:p>
        </w:tc>
        <w:tc>
          <w:tcPr>
            <w:tcW w:w="7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213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Peter E. Raskind</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19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$165,000</w:t>
            </w:r>
          </w:p>
          <w:p>
            <w:pPr>
              <w:pStyle w:val="TableContents"/>
              <w:bidi w:val="0"/>
              <w:spacing w:before="0" w:after="20"/>
              <w:jc w:val="left"/>
              <w:rPr/>
            </w:pPr>
            <w:r>
              <w:rPr/>
              <w:t> </w:t>
            </w:r>
          </w:p>
        </w:tc>
        <w:tc>
          <w:tcPr>
            <w:tcW w:w="89"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948"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$235,121</w:t>
            </w:r>
          </w:p>
          <w:p>
            <w:pPr>
              <w:pStyle w:val="TableContents"/>
              <w:bidi w:val="0"/>
              <w:spacing w:before="0" w:after="20"/>
              <w:jc w:val="left"/>
              <w:rPr/>
            </w:pPr>
            <w:r>
              <w:rPr/>
              <w:t> </w:t>
            </w:r>
          </w:p>
        </w:tc>
        <w:tc>
          <w:tcPr>
            <w:tcW w:w="69"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89"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$18,100</w:t>
            </w:r>
          </w:p>
          <w:p>
            <w:pPr>
              <w:pStyle w:val="TableContents"/>
              <w:bidi w:val="0"/>
              <w:spacing w:before="0" w:after="20"/>
              <w:jc w:val="left"/>
              <w:rPr/>
            </w:pPr>
            <w:r>
              <w:rPr/>
              <w:t> </w:t>
            </w:r>
          </w:p>
        </w:tc>
        <w:tc>
          <w:tcPr>
            <w:tcW w:w="11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1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$418,221</w:t>
            </w:r>
          </w:p>
          <w:p>
            <w:pPr>
              <w:pStyle w:val="TableContents"/>
              <w:bidi w:val="0"/>
              <w:spacing w:before="0" w:after="20"/>
              <w:jc w:val="left"/>
              <w:rPr/>
            </w:pPr>
            <w:r>
              <w:rPr/>
              <w:t> </w:t>
            </w:r>
          </w:p>
        </w:tc>
        <w:tc>
          <w:tcPr>
            <w:tcW w:w="7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213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Eileen Serra</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19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$200,000</w:t>
            </w:r>
          </w:p>
          <w:p>
            <w:pPr>
              <w:pStyle w:val="TableContents"/>
              <w:bidi w:val="0"/>
              <w:spacing w:before="0" w:after="20"/>
              <w:jc w:val="left"/>
              <w:rPr/>
            </w:pPr>
            <w:r>
              <w:rPr/>
              <w:t> </w:t>
            </w:r>
          </w:p>
        </w:tc>
        <w:tc>
          <w:tcPr>
            <w:tcW w:w="89"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948"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$235,121</w:t>
            </w:r>
          </w:p>
          <w:p>
            <w:pPr>
              <w:pStyle w:val="TableContents"/>
              <w:bidi w:val="0"/>
              <w:spacing w:before="0" w:after="20"/>
              <w:jc w:val="left"/>
              <w:rPr/>
            </w:pPr>
            <w:r>
              <w:rPr/>
              <w:t> </w:t>
            </w:r>
          </w:p>
        </w:tc>
        <w:tc>
          <w:tcPr>
            <w:tcW w:w="69"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89"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$18,100</w:t>
            </w:r>
          </w:p>
          <w:p>
            <w:pPr>
              <w:pStyle w:val="TableContents"/>
              <w:bidi w:val="0"/>
              <w:spacing w:before="0" w:after="20"/>
              <w:jc w:val="left"/>
              <w:rPr/>
            </w:pPr>
            <w:r>
              <w:rPr/>
              <w:t> </w:t>
            </w:r>
          </w:p>
        </w:tc>
        <w:tc>
          <w:tcPr>
            <w:tcW w:w="110"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1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$453,221</w:t>
            </w:r>
          </w:p>
          <w:p>
            <w:pPr>
              <w:pStyle w:val="TableContents"/>
              <w:bidi w:val="0"/>
              <w:spacing w:before="0" w:after="20"/>
              <w:jc w:val="left"/>
              <w:rPr/>
            </w:pPr>
            <w:r>
              <w:rPr/>
              <w:t> </w:t>
            </w:r>
          </w:p>
        </w:tc>
        <w:tc>
          <w:tcPr>
            <w:tcW w:w="7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213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Mayo A. Shattuck III</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19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$140,000</w:t>
            </w:r>
          </w:p>
          <w:p>
            <w:pPr>
              <w:pStyle w:val="TableContents"/>
              <w:bidi w:val="0"/>
              <w:spacing w:before="0" w:after="20"/>
              <w:jc w:val="left"/>
              <w:rPr/>
            </w:pPr>
            <w:r>
              <w:rPr/>
              <w:t> </w:t>
            </w:r>
          </w:p>
        </w:tc>
        <w:tc>
          <w:tcPr>
            <w:tcW w:w="89"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948"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$235,121</w:t>
            </w:r>
          </w:p>
          <w:p>
            <w:pPr>
              <w:pStyle w:val="TableContents"/>
              <w:bidi w:val="0"/>
              <w:spacing w:before="0" w:after="20"/>
              <w:jc w:val="left"/>
              <w:rPr/>
            </w:pPr>
            <w:r>
              <w:rPr/>
              <w:t> </w:t>
            </w:r>
          </w:p>
        </w:tc>
        <w:tc>
          <w:tcPr>
            <w:tcW w:w="69"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89"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$19,500</w:t>
            </w:r>
          </w:p>
          <w:p>
            <w:pPr>
              <w:pStyle w:val="TableContents"/>
              <w:bidi w:val="0"/>
              <w:spacing w:before="0" w:after="20"/>
              <w:jc w:val="left"/>
              <w:rPr/>
            </w:pPr>
            <w:r>
              <w:rPr/>
              <w:t> </w:t>
            </w:r>
          </w:p>
        </w:tc>
        <w:tc>
          <w:tcPr>
            <w:tcW w:w="11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1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$394,621</w:t>
            </w:r>
          </w:p>
          <w:p>
            <w:pPr>
              <w:pStyle w:val="TableContents"/>
              <w:bidi w:val="0"/>
              <w:spacing w:before="0" w:after="20"/>
              <w:jc w:val="left"/>
              <w:rPr/>
            </w:pPr>
            <w:r>
              <w:rPr/>
              <w:t> </w:t>
            </w:r>
          </w:p>
        </w:tc>
        <w:tc>
          <w:tcPr>
            <w:tcW w:w="7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213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Bradford H. Warner(7)</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19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$80,000</w:t>
            </w:r>
          </w:p>
          <w:p>
            <w:pPr>
              <w:pStyle w:val="TableContents"/>
              <w:bidi w:val="0"/>
              <w:spacing w:before="0" w:after="20"/>
              <w:jc w:val="left"/>
              <w:rPr/>
            </w:pPr>
            <w:r>
              <w:rPr/>
              <w:t> </w:t>
            </w:r>
          </w:p>
        </w:tc>
        <w:tc>
          <w:tcPr>
            <w:tcW w:w="89"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948"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w:t>
            </w:r>
          </w:p>
          <w:p>
            <w:pPr>
              <w:pStyle w:val="TableContents"/>
              <w:bidi w:val="0"/>
              <w:spacing w:before="0" w:after="20"/>
              <w:jc w:val="left"/>
              <w:rPr/>
            </w:pPr>
            <w:r>
              <w:rPr/>
              <w:t> </w:t>
            </w:r>
          </w:p>
        </w:tc>
        <w:tc>
          <w:tcPr>
            <w:tcW w:w="69"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89"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$3,100</w:t>
            </w:r>
          </w:p>
          <w:p>
            <w:pPr>
              <w:pStyle w:val="TableContents"/>
              <w:bidi w:val="0"/>
              <w:spacing w:before="0" w:after="20"/>
              <w:jc w:val="left"/>
              <w:rPr/>
            </w:pPr>
            <w:r>
              <w:rPr/>
              <w:t> </w:t>
            </w:r>
          </w:p>
        </w:tc>
        <w:tc>
          <w:tcPr>
            <w:tcW w:w="110"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1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$83,100</w:t>
            </w:r>
          </w:p>
          <w:p>
            <w:pPr>
              <w:pStyle w:val="TableContents"/>
              <w:bidi w:val="0"/>
              <w:spacing w:before="0" w:after="20"/>
              <w:jc w:val="left"/>
              <w:rPr/>
            </w:pPr>
            <w:r>
              <w:rPr/>
              <w:t> </w:t>
            </w:r>
          </w:p>
        </w:tc>
        <w:tc>
          <w:tcPr>
            <w:tcW w:w="7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213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Craig Anthony Williams</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3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86"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19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$145,000</w:t>
            </w:r>
          </w:p>
          <w:p>
            <w:pPr>
              <w:pStyle w:val="TableContents"/>
              <w:bidi w:val="0"/>
              <w:spacing w:before="0" w:after="20"/>
              <w:jc w:val="left"/>
              <w:rPr/>
            </w:pPr>
            <w:r>
              <w:rPr/>
              <w:t> </w:t>
            </w:r>
          </w:p>
        </w:tc>
        <w:tc>
          <w:tcPr>
            <w:tcW w:w="89"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9"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948"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$235,121</w:t>
            </w:r>
          </w:p>
          <w:p>
            <w:pPr>
              <w:pStyle w:val="TableContents"/>
              <w:bidi w:val="0"/>
              <w:spacing w:before="0" w:after="20"/>
              <w:jc w:val="left"/>
              <w:rPr/>
            </w:pPr>
            <w:r>
              <w:rPr/>
              <w:t> </w:t>
            </w:r>
          </w:p>
        </w:tc>
        <w:tc>
          <w:tcPr>
            <w:tcW w:w="69"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41"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08"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89"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$13,100</w:t>
            </w:r>
          </w:p>
          <w:p>
            <w:pPr>
              <w:pStyle w:val="TableContents"/>
              <w:bidi w:val="0"/>
              <w:spacing w:before="0" w:after="20"/>
              <w:jc w:val="left"/>
              <w:rPr/>
            </w:pPr>
            <w:r>
              <w:rPr/>
              <w:t> </w:t>
            </w:r>
          </w:p>
        </w:tc>
        <w:tc>
          <w:tcPr>
            <w:tcW w:w="11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1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$393,221</w:t>
            </w:r>
          </w:p>
          <w:p>
            <w:pPr>
              <w:pStyle w:val="TableContents"/>
              <w:bidi w:val="0"/>
              <w:spacing w:before="0" w:after="20"/>
              <w:jc w:val="left"/>
              <w:rPr/>
            </w:pPr>
            <w:r>
              <w:rPr/>
              <w:t> </w:t>
            </w:r>
          </w:p>
        </w:tc>
        <w:tc>
          <w:tcPr>
            <w:tcW w:w="7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3" w:type="dxa"/>
            <w:tcBorders>
              <w:left w:val="single" w:sz="32" w:space="0" w:color="FFFFFF"/>
            </w:tcBorders>
            <w:tcMar>
              <w:left w:w="28" w:type="dxa"/>
            </w:tcMar>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89" w:type="dxa"/>
            <w:tcBorders>
              <w:right w:val="single" w:sz="32" w:space="0" w:color="FFFFFF"/>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3" w:type="dxa"/>
            <w:tcBorders>
              <w:left w:val="single" w:sz="32" w:space="0" w:color="FFFFFF"/>
            </w:tcBorders>
            <w:tcMar>
              <w:left w:w="28" w:type="dxa"/>
            </w:tcMar>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10" w:type="dxa"/>
            <w:tcBorders>
              <w:right w:val="single" w:sz="32" w:space="0" w:color="FFFFFF"/>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0"/>
              <w:jc w:val="both"/>
              <w:rPr>
                <w:rFonts w:ascii="arial" w:hAnsi="arial"/>
                <w:sz w:val="16"/>
              </w:rPr>
            </w:pPr>
            <w:r>
              <w:rPr>
                <w:rFonts w:ascii="arial" w:hAnsi="arial"/>
                <w:sz w:val="16"/>
              </w:rPr>
              <w:t xml:space="preserve">Represents cash payments made during 2024, which include half of the payments made under the compensation program for the period from May 2, 2024 through our 2025 Annual Stockholder Meeting and half of the payments made under the compensation program for the period from May 4, 2023 through the date of our 2024 Annual Stockholder Meeting.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305"/>
        <w:gridCol w:w="8735"/>
      </w:tblGrid>
      <w:tr>
        <w:trPr/>
        <w:tc>
          <w:tcPr>
            <w:tcW w:w="305" w:type="dxa"/>
            <w:tcBorders/>
            <w:vAlign w:val="center"/>
          </w:tcPr>
          <w:p>
            <w:pPr>
              <w:pStyle w:val="TableContents"/>
              <w:bidi w:val="0"/>
              <w:spacing w:before="0" w:after="283"/>
              <w:jc w:val="left"/>
              <w:rPr/>
            </w:pPr>
            <w:r>
              <w:rPr/>
              <w:t>(2)</w:t>
            </w:r>
          </w:p>
        </w:tc>
        <w:tc>
          <w:tcPr>
            <w:tcW w:w="8735" w:type="dxa"/>
            <w:tcBorders/>
            <w:vAlign w:val="center"/>
          </w:tcPr>
          <w:p>
            <w:pPr>
              <w:pStyle w:val="TableContents"/>
              <w:bidi w:val="0"/>
              <w:spacing w:before="0" w:after="0"/>
              <w:jc w:val="both"/>
              <w:rPr>
                <w:rFonts w:ascii="arial" w:hAnsi="arial"/>
                <w:sz w:val="16"/>
              </w:rPr>
            </w:pPr>
            <w:r>
              <w:rPr>
                <w:rFonts w:ascii="arial" w:hAnsi="arial"/>
                <w:sz w:val="16"/>
              </w:rPr>
              <w:t xml:space="preserve">Represents the grant date fair value of RSUs granted during 2024, calculated in accordance with FASB ASC Topic 718.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(3)</w:t>
            </w:r>
          </w:p>
        </w:tc>
        <w:tc>
          <w:tcPr>
            <w:tcW w:w="9950" w:type="dxa"/>
            <w:tcBorders/>
            <w:vAlign w:val="center"/>
          </w:tcPr>
          <w:p>
            <w:pPr>
              <w:pStyle w:val="TableContents"/>
              <w:bidi w:val="0"/>
              <w:spacing w:before="0" w:after="0"/>
              <w:jc w:val="both"/>
              <w:rPr>
                <w:rFonts w:ascii="arial" w:hAnsi="arial"/>
                <w:sz w:val="16"/>
              </w:rPr>
            </w:pPr>
            <w:r>
              <w:rPr>
                <w:rFonts w:ascii="arial" w:hAnsi="arial"/>
                <w:sz w:val="16"/>
              </w:rPr>
              <w:t xml:space="preserve">Amounts shown represent contributions made by Capital One on behalf of certain non-management directors serving during 2024 to charitable organization(s) of their choice. Amounts also include the value of tickets to Capital One-sponsored events and Capital One products that non-management directors received. See “Other Benefits” on page 51 for more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(4)</w:t>
            </w:r>
          </w:p>
        </w:tc>
        <w:tc>
          <w:tcPr>
            <w:tcW w:w="9909" w:type="dxa"/>
            <w:tcBorders/>
            <w:vAlign w:val="center"/>
          </w:tcPr>
          <w:p>
            <w:pPr>
              <w:pStyle w:val="TableContents"/>
              <w:bidi w:val="0"/>
              <w:spacing w:before="0" w:after="0"/>
              <w:jc w:val="both"/>
              <w:rPr>
                <w:rFonts w:ascii="arial" w:hAnsi="arial"/>
                <w:sz w:val="16"/>
              </w:rPr>
            </w:pPr>
            <w:r>
              <w:rPr>
                <w:rFonts w:ascii="arial" w:hAnsi="arial"/>
                <w:sz w:val="16"/>
              </w:rPr>
              <w:t xml:space="preserve">Management directors do not receive compensation for their service on the Board. In 2024, Mr. Fairbank was Capital One’s only management director.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(5)</w:t>
            </w:r>
          </w:p>
        </w:tc>
        <w:tc>
          <w:tcPr>
            <w:tcW w:w="9923" w:type="dxa"/>
            <w:tcBorders/>
            <w:vAlign w:val="center"/>
          </w:tcPr>
          <w:p>
            <w:pPr>
              <w:pStyle w:val="TableContents"/>
              <w:bidi w:val="0"/>
              <w:spacing w:before="0" w:after="0"/>
              <w:jc w:val="both"/>
              <w:rPr>
                <w:rFonts w:ascii="arial" w:hAnsi="arial"/>
                <w:sz w:val="16"/>
              </w:rPr>
            </w:pPr>
            <w:r>
              <w:rPr>
                <w:rFonts w:ascii="arial" w:hAnsi="arial"/>
                <w:sz w:val="16"/>
              </w:rPr>
              <w:t xml:space="preserve">In addition to the annual grant, Ms. Harford received a pro rated award relating to her service from April 1, 2024 to May 1, 2024. Ms. Harford was appointed to the Board effective April 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(6)</w:t>
            </w:r>
          </w:p>
        </w:tc>
        <w:tc>
          <w:tcPr>
            <w:tcW w:w="9941" w:type="dxa"/>
            <w:tcBorders/>
            <w:vAlign w:val="center"/>
          </w:tcPr>
          <w:p>
            <w:pPr>
              <w:pStyle w:val="TableContents"/>
              <w:bidi w:val="0"/>
              <w:spacing w:before="0" w:after="0"/>
              <w:jc w:val="both"/>
              <w:rPr>
                <w:rFonts w:ascii="arial" w:hAnsi="arial"/>
                <w:sz w:val="16"/>
              </w:rPr>
            </w:pPr>
            <w:r>
              <w:rPr>
                <w:rFonts w:ascii="arial" w:hAnsi="arial"/>
                <w:sz w:val="16"/>
              </w:rPr>
              <w:t xml:space="preserve">In addition to the standard compensatory arrangement described above, Mr. Leenaars received $25,000 in addition to the annual cash retainer in recognition of the extra time and effort that is required for Mr. Leenaars to travel internationally to attend Board and committee meetings. </w:t>
            </w:r>
          </w:p>
        </w:tc>
      </w:tr>
    </w:tbl>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305"/>
        <w:gridCol w:w="4205"/>
      </w:tblGrid>
      <w:tr>
        <w:trPr/>
        <w:tc>
          <w:tcPr>
            <w:tcW w:w="305" w:type="dxa"/>
            <w:tcBorders/>
            <w:vAlign w:val="center"/>
          </w:tcPr>
          <w:p>
            <w:pPr>
              <w:pStyle w:val="TableContents"/>
              <w:bidi w:val="0"/>
              <w:spacing w:before="0" w:after="283"/>
              <w:jc w:val="left"/>
              <w:rPr/>
            </w:pPr>
            <w:r>
              <w:rPr/>
              <w:t>(7)</w:t>
            </w:r>
          </w:p>
        </w:tc>
        <w:tc>
          <w:tcPr>
            <w:tcW w:w="4205" w:type="dxa"/>
            <w:tcBorders/>
            <w:vAlign w:val="center"/>
          </w:tcPr>
          <w:p>
            <w:pPr>
              <w:pStyle w:val="TableContents"/>
              <w:bidi w:val="0"/>
              <w:spacing w:before="0" w:after="0"/>
              <w:jc w:val="both"/>
              <w:rPr>
                <w:rFonts w:ascii="arial" w:hAnsi="arial"/>
                <w:sz w:val="16"/>
              </w:rPr>
            </w:pPr>
            <w:r>
              <w:rPr>
                <w:rFonts w:ascii="arial" w:hAnsi="arial"/>
                <w:sz w:val="16"/>
              </w:rPr>
              <w:t xml:space="preserve">Mr. Warner retired from our Board effective May 2, 2024. </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52 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3695" w:type="dxa"/>
        <w:jc w:val="left"/>
        <w:tblInd w:w="0" w:type="dxa"/>
        <w:tblLayout w:type="fixed"/>
        <w:tblCellMar>
          <w:top w:w="0" w:type="dxa"/>
          <w:left w:w="0" w:type="dxa"/>
          <w:bottom w:w="0" w:type="dxa"/>
          <w:right w:w="0" w:type="dxa"/>
        </w:tblCellMar>
      </w:tblPr>
      <w:tblGrid>
        <w:gridCol w:w="3695"/>
      </w:tblGrid>
      <w:tr>
        <w:trPr/>
        <w:tc>
          <w:tcPr>
            <w:tcW w:w="3695" w:type="dxa"/>
            <w:tcBorders/>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283"/>
              <w:jc w:val="right"/>
              <w:rPr>
                <w:b/>
                <w:color w:val="003A5D"/>
              </w:rPr>
            </w:pPr>
            <w:r>
              <w:rPr>
                <w:b/>
                <w:color w:val="003A5D"/>
              </w:rPr>
              <w:t>Section III - Director Compensation</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The following table shows the number of RSUs outstanding for each non-management director as of December 31, 2024: </w:t>
      </w:r>
    </w:p>
    <w:p>
      <w:pPr>
        <w:pStyle w:val="TextBody"/>
        <w:bidi w:val="0"/>
        <w:spacing w:before="0" w:after="0"/>
        <w:jc w:val="left"/>
        <w:rPr/>
      </w:pPr>
      <w:r>
        <w:rPr/>
        <w:t> </w:t>
      </w:r>
    </w:p>
    <w:tbl>
      <w:tblPr>
        <w:tblW w:w="4691" w:type="dxa"/>
        <w:jc w:val="left"/>
        <w:tblInd w:w="0" w:type="dxa"/>
        <w:tblLayout w:type="fixed"/>
        <w:tblCellMar>
          <w:top w:w="0" w:type="dxa"/>
          <w:left w:w="0" w:type="dxa"/>
          <w:bottom w:w="0" w:type="dxa"/>
          <w:right w:w="0" w:type="dxa"/>
        </w:tblCellMar>
      </w:tblPr>
      <w:tblGrid>
        <w:gridCol w:w="2060"/>
        <w:gridCol w:w="23"/>
        <w:gridCol w:w="23"/>
        <w:gridCol w:w="60"/>
        <w:gridCol w:w="2450"/>
        <w:gridCol w:w="75"/>
      </w:tblGrid>
      <w:tr>
        <w:trPr/>
        <w:tc>
          <w:tcPr>
            <w:tcW w:w="20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60" w:type="dxa"/>
            <w:tcBorders>
              <w:right w:val="single" w:sz="32" w:space="0" w:color="FFFFFF"/>
            </w:tcBorders>
            <w:shd w:fill="003A5D" w:val="clear"/>
            <w:tcMar>
              <w:right w:w="28" w:type="dxa"/>
            </w:tcMar>
            <w:vAlign w:val="center"/>
          </w:tcPr>
          <w:p>
            <w:pPr>
              <w:pStyle w:val="TableContents"/>
              <w:bidi w:val="0"/>
              <w:spacing w:before="0" w:after="283"/>
              <w:jc w:val="left"/>
              <w:rPr/>
            </w:pPr>
            <w:r>
              <w:rPr/>
              <w:t> </w:t>
            </w:r>
          </w:p>
        </w:tc>
        <w:tc>
          <w:tcPr>
            <w:tcW w:w="2631" w:type="dxa"/>
            <w:gridSpan w:val="5"/>
            <w:tcBorders>
              <w:right w:val="single" w:sz="32" w:space="0" w:color="FFFFFF"/>
            </w:tcBorders>
            <w:shd w:fill="003A5D" w:val="clear"/>
            <w:tcMar>
              <w:right w:w="28" w:type="dxa"/>
            </w:tcMar>
            <w:vAlign w:val="center"/>
          </w:tcPr>
          <w:p>
            <w:pPr>
              <w:pStyle w:val="TableContents"/>
              <w:bidi w:val="0"/>
              <w:spacing w:before="0" w:after="283"/>
              <w:jc w:val="left"/>
              <w:rPr/>
            </w:pPr>
            <w:r>
              <w:rPr/>
              <w:t> </w:t>
            </w:r>
          </w:p>
        </w:tc>
      </w:tr>
      <w:tr>
        <w:trPr/>
        <w:tc>
          <w:tcPr>
            <w:tcW w:w="2060" w:type="dxa"/>
            <w:tcBorders>
              <w:right w:val="single" w:sz="32" w:space="0" w:color="FFFFFF"/>
            </w:tcBorders>
            <w:shd w:fill="003A5D" w:val="clear"/>
            <w:tcMar>
              <w:right w:w="28" w:type="dxa"/>
            </w:tcMar>
            <w:vAlign w:val="center"/>
          </w:tcPr>
          <w:p>
            <w:pPr>
              <w:pStyle w:val="TableContents"/>
              <w:bidi w:val="0"/>
              <w:spacing w:before="0" w:after="0"/>
              <w:jc w:val="left"/>
              <w:rPr>
                <w:rFonts w:ascii="arial" w:hAnsi="arial"/>
                <w:b/>
                <w:color w:val="FFFFFF"/>
                <w:sz w:val="18"/>
              </w:rPr>
            </w:pPr>
            <w:r>
              <w:rPr>
                <w:rFonts w:ascii="arial" w:hAnsi="arial"/>
                <w:b/>
                <w:color w:val="FFFFFF"/>
                <w:sz w:val="18"/>
              </w:rPr>
              <w:t>Director Name</w:t>
            </w:r>
          </w:p>
          <w:p>
            <w:pPr>
              <w:pStyle w:val="TableContents"/>
              <w:bidi w:val="0"/>
              <w:spacing w:before="0" w:after="20"/>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60" w:type="dxa"/>
            <w:tcBorders/>
            <w:shd w:fill="003A5D" w:val="clear"/>
            <w:vAlign w:val="center"/>
          </w:tcPr>
          <w:p>
            <w:pPr>
              <w:pStyle w:val="TableContents"/>
              <w:bidi w:val="0"/>
              <w:jc w:val="left"/>
              <w:rPr>
                <w:color w:val="FFFFFF"/>
              </w:rPr>
            </w:pPr>
            <w:r>
              <w:rPr>
                <w:color w:val="FFFFFF"/>
              </w:rPr>
              <w:t> </w:t>
            </w:r>
          </w:p>
          <w:p>
            <w:pPr>
              <w:pStyle w:val="TableContents"/>
              <w:bidi w:val="0"/>
              <w:spacing w:before="0" w:after="20"/>
              <w:jc w:val="left"/>
              <w:rPr/>
            </w:pPr>
            <w:r>
              <w:rPr/>
              <w:t> </w:t>
            </w:r>
          </w:p>
        </w:tc>
        <w:tc>
          <w:tcPr>
            <w:tcW w:w="2450" w:type="dxa"/>
            <w:tcBorders/>
            <w:shd w:fill="003A5D" w:val="clear"/>
            <w:vAlign w:val="center"/>
          </w:tcPr>
          <w:p>
            <w:pPr>
              <w:pStyle w:val="TableContents"/>
              <w:bidi w:val="0"/>
              <w:jc w:val="center"/>
              <w:rPr>
                <w:b/>
                <w:color w:val="FFFFFF"/>
              </w:rPr>
            </w:pPr>
            <w:r>
              <w:rPr>
                <w:b/>
                <w:color w:val="FFFFFF"/>
              </w:rPr>
              <w:t>Number of Outstanding</w:t>
            </w:r>
          </w:p>
          <w:p>
            <w:pPr>
              <w:pStyle w:val="TableContents"/>
              <w:bidi w:val="0"/>
              <w:spacing w:before="0" w:after="0"/>
              <w:jc w:val="center"/>
              <w:rPr>
                <w:rFonts w:ascii="arial" w:hAnsi="arial"/>
                <w:b/>
                <w:color w:val="FFFFFF"/>
                <w:sz w:val="18"/>
              </w:rPr>
            </w:pPr>
            <w:r>
              <w:rPr>
                <w:rFonts w:ascii="arial" w:hAnsi="arial"/>
                <w:b/>
                <w:color w:val="FFFFFF"/>
                <w:sz w:val="18"/>
              </w:rPr>
              <w:t>RSUs</w:t>
            </w:r>
          </w:p>
          <w:p>
            <w:pPr>
              <w:pStyle w:val="TableContents"/>
              <w:bidi w:val="0"/>
              <w:spacing w:before="0" w:after="20"/>
              <w:jc w:val="left"/>
              <w:rPr/>
            </w:pPr>
            <w:r>
              <w:rPr/>
              <w:t> </w:t>
            </w:r>
          </w:p>
        </w:tc>
        <w:tc>
          <w:tcPr>
            <w:tcW w:w="75" w:type="dxa"/>
            <w:tcBorders>
              <w:right w:val="single" w:sz="32" w:space="0" w:color="FFFFFF"/>
            </w:tcBorders>
            <w:shd w:fill="003A5D" w:val="clear"/>
            <w:tcMar>
              <w:right w:w="40" w:type="dxa"/>
            </w:tcMar>
            <w:vAlign w:val="center"/>
          </w:tcPr>
          <w:p>
            <w:pPr>
              <w:pStyle w:val="TableContents"/>
              <w:bidi w:val="0"/>
              <w:jc w:val="left"/>
              <w:rPr>
                <w:color w:val="FFFFFF"/>
              </w:rPr>
            </w:pPr>
            <w:r>
              <w:rPr>
                <w:color w:val="FFFFFF"/>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r>
        <w:trPr/>
        <w:tc>
          <w:tcPr>
            <w:tcW w:w="206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Ime Archibong</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7,377</w:t>
            </w:r>
          </w:p>
        </w:tc>
        <w:tc>
          <w:tcPr>
            <w:tcW w:w="75" w:type="dxa"/>
            <w:tcBorders>
              <w:bottom w:val="single" w:sz="8" w:space="0" w:color="003A5D"/>
              <w:right w:val="single" w:sz="32" w:space="0" w:color="FFFFFF"/>
            </w:tcBorders>
            <w:shd w:fill="E5EBEE" w:val="clear"/>
            <w:tcMar>
              <w:bottom w:w="28" w:type="dxa"/>
              <w:right w:w="40" w:type="dxa"/>
            </w:tcMar>
            <w:vAlign w:val="center"/>
          </w:tcPr>
          <w:p>
            <w:pPr>
              <w:pStyle w:val="TableContents"/>
              <w:bidi w:val="0"/>
              <w:spacing w:before="0" w:after="0"/>
              <w:jc w:val="left"/>
              <w:rPr/>
            </w:pPr>
            <w:r>
              <w:rPr/>
              <w:t> </w:t>
            </w:r>
          </w:p>
        </w:tc>
      </w:tr>
      <w:tr>
        <w:trPr/>
        <w:tc>
          <w:tcPr>
            <w:tcW w:w="2060"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Christine Detrick</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6,369</w:t>
            </w:r>
          </w:p>
        </w:tc>
        <w:tc>
          <w:tcPr>
            <w:tcW w:w="75" w:type="dxa"/>
            <w:tcBorders>
              <w:bottom w:val="single" w:sz="8" w:space="0" w:color="003A5D"/>
              <w:right w:val="single" w:sz="32" w:space="0" w:color="FFFFFF"/>
            </w:tcBorders>
            <w:tcMar>
              <w:bottom w:w="28" w:type="dxa"/>
              <w:right w:w="40" w:type="dxa"/>
            </w:tcMar>
            <w:vAlign w:val="center"/>
          </w:tcPr>
          <w:p>
            <w:pPr>
              <w:pStyle w:val="TableContents"/>
              <w:bidi w:val="0"/>
              <w:spacing w:before="0" w:after="0"/>
              <w:jc w:val="left"/>
              <w:rPr/>
            </w:pPr>
            <w:r>
              <w:rPr/>
              <w:t> </w:t>
            </w:r>
          </w:p>
        </w:tc>
      </w:tr>
      <w:tr>
        <w:trPr/>
        <w:tc>
          <w:tcPr>
            <w:tcW w:w="206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Ann Fritz Hackett</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55,988</w:t>
            </w:r>
          </w:p>
        </w:tc>
        <w:tc>
          <w:tcPr>
            <w:tcW w:w="75" w:type="dxa"/>
            <w:tcBorders>
              <w:bottom w:val="single" w:sz="8" w:space="0" w:color="003A5D"/>
              <w:right w:val="single" w:sz="32" w:space="0" w:color="FFFFFF"/>
            </w:tcBorders>
            <w:shd w:fill="E5EBEE" w:val="clear"/>
            <w:tcMar>
              <w:bottom w:w="28" w:type="dxa"/>
              <w:right w:w="40" w:type="dxa"/>
            </w:tcMar>
            <w:vAlign w:val="center"/>
          </w:tcPr>
          <w:p>
            <w:pPr>
              <w:pStyle w:val="TableContents"/>
              <w:bidi w:val="0"/>
              <w:spacing w:before="0" w:after="0"/>
              <w:jc w:val="left"/>
              <w:rPr/>
            </w:pPr>
            <w:r>
              <w:rPr/>
              <w:t> </w:t>
            </w:r>
          </w:p>
        </w:tc>
      </w:tr>
      <w:tr>
        <w:trPr/>
        <w:tc>
          <w:tcPr>
            <w:tcW w:w="2060"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Suni P. Harford(1)</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1,779</w:t>
            </w:r>
          </w:p>
        </w:tc>
        <w:tc>
          <w:tcPr>
            <w:tcW w:w="75" w:type="dxa"/>
            <w:tcBorders>
              <w:bottom w:val="single" w:sz="8" w:space="0" w:color="003A5D"/>
              <w:right w:val="single" w:sz="32" w:space="0" w:color="FFFFFF"/>
            </w:tcBorders>
            <w:tcMar>
              <w:bottom w:w="28" w:type="dxa"/>
              <w:right w:w="40" w:type="dxa"/>
            </w:tcMar>
            <w:vAlign w:val="center"/>
          </w:tcPr>
          <w:p>
            <w:pPr>
              <w:pStyle w:val="TableContents"/>
              <w:bidi w:val="0"/>
              <w:spacing w:before="0" w:after="0"/>
              <w:jc w:val="left"/>
              <w:rPr/>
            </w:pPr>
            <w:r>
              <w:rPr/>
              <w:t> </w:t>
            </w:r>
          </w:p>
        </w:tc>
      </w:tr>
      <w:tr>
        <w:trPr/>
        <w:tc>
          <w:tcPr>
            <w:tcW w:w="206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Peter T. Killalea</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18,778</w:t>
            </w:r>
          </w:p>
        </w:tc>
        <w:tc>
          <w:tcPr>
            <w:tcW w:w="75" w:type="dxa"/>
            <w:tcBorders>
              <w:bottom w:val="single" w:sz="8" w:space="0" w:color="003A5D"/>
              <w:right w:val="single" w:sz="32" w:space="0" w:color="FFFFFF"/>
            </w:tcBorders>
            <w:shd w:fill="E5EBEE" w:val="clear"/>
            <w:tcMar>
              <w:bottom w:w="28" w:type="dxa"/>
              <w:right w:w="40" w:type="dxa"/>
            </w:tcMar>
            <w:vAlign w:val="center"/>
          </w:tcPr>
          <w:p>
            <w:pPr>
              <w:pStyle w:val="TableContents"/>
              <w:bidi w:val="0"/>
              <w:spacing w:before="0" w:after="0"/>
              <w:jc w:val="left"/>
              <w:rPr/>
            </w:pPr>
            <w:r>
              <w:rPr/>
              <w:t> </w:t>
            </w:r>
          </w:p>
        </w:tc>
      </w:tr>
      <w:tr>
        <w:trPr/>
        <w:tc>
          <w:tcPr>
            <w:tcW w:w="2060"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Eli Leenaars</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12,657</w:t>
            </w:r>
          </w:p>
        </w:tc>
        <w:tc>
          <w:tcPr>
            <w:tcW w:w="75" w:type="dxa"/>
            <w:tcBorders>
              <w:bottom w:val="single" w:sz="8" w:space="0" w:color="003A5D"/>
              <w:right w:val="single" w:sz="32" w:space="0" w:color="FFFFFF"/>
            </w:tcBorders>
            <w:tcMar>
              <w:bottom w:w="28" w:type="dxa"/>
              <w:right w:w="40" w:type="dxa"/>
            </w:tcMar>
            <w:vAlign w:val="center"/>
          </w:tcPr>
          <w:p>
            <w:pPr>
              <w:pStyle w:val="TableContents"/>
              <w:bidi w:val="0"/>
              <w:spacing w:before="0" w:after="0"/>
              <w:jc w:val="left"/>
              <w:rPr/>
            </w:pPr>
            <w:r>
              <w:rPr/>
              <w:t> </w:t>
            </w:r>
          </w:p>
        </w:tc>
      </w:tr>
      <w:tr>
        <w:trPr/>
        <w:tc>
          <w:tcPr>
            <w:tcW w:w="206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François Locoh-Donou</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12,225</w:t>
            </w:r>
          </w:p>
        </w:tc>
        <w:tc>
          <w:tcPr>
            <w:tcW w:w="75" w:type="dxa"/>
            <w:tcBorders>
              <w:bottom w:val="single" w:sz="8" w:space="0" w:color="003A5D"/>
              <w:right w:val="single" w:sz="32" w:space="0" w:color="FFFFFF"/>
            </w:tcBorders>
            <w:shd w:fill="E5EBEE" w:val="clear"/>
            <w:tcMar>
              <w:bottom w:w="28" w:type="dxa"/>
              <w:right w:w="40" w:type="dxa"/>
            </w:tcMar>
            <w:vAlign w:val="center"/>
          </w:tcPr>
          <w:p>
            <w:pPr>
              <w:pStyle w:val="TableContents"/>
              <w:bidi w:val="0"/>
              <w:spacing w:before="0" w:after="0"/>
              <w:jc w:val="left"/>
              <w:rPr/>
            </w:pPr>
            <w:r>
              <w:rPr/>
              <w:t> </w:t>
            </w:r>
          </w:p>
        </w:tc>
      </w:tr>
      <w:tr>
        <w:trPr/>
        <w:tc>
          <w:tcPr>
            <w:tcW w:w="2060"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Peter E. Raskind</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29,819</w:t>
            </w:r>
          </w:p>
        </w:tc>
        <w:tc>
          <w:tcPr>
            <w:tcW w:w="75" w:type="dxa"/>
            <w:tcBorders>
              <w:bottom w:val="single" w:sz="8" w:space="0" w:color="003A5D"/>
              <w:right w:val="single" w:sz="32" w:space="0" w:color="FFFFFF"/>
            </w:tcBorders>
            <w:tcMar>
              <w:bottom w:w="28" w:type="dxa"/>
              <w:right w:w="40" w:type="dxa"/>
            </w:tcMar>
            <w:vAlign w:val="center"/>
          </w:tcPr>
          <w:p>
            <w:pPr>
              <w:pStyle w:val="TableContents"/>
              <w:bidi w:val="0"/>
              <w:spacing w:before="0" w:after="0"/>
              <w:jc w:val="left"/>
              <w:rPr/>
            </w:pPr>
            <w:r>
              <w:rPr/>
              <w:t> </w:t>
            </w:r>
          </w:p>
        </w:tc>
      </w:tr>
      <w:tr>
        <w:trPr/>
        <w:tc>
          <w:tcPr>
            <w:tcW w:w="206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Eileen Serra</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10,267</w:t>
            </w:r>
          </w:p>
        </w:tc>
        <w:tc>
          <w:tcPr>
            <w:tcW w:w="75" w:type="dxa"/>
            <w:tcBorders>
              <w:bottom w:val="single" w:sz="8" w:space="0" w:color="003A5D"/>
              <w:right w:val="single" w:sz="32" w:space="0" w:color="FFFFFF"/>
            </w:tcBorders>
            <w:shd w:fill="E5EBEE" w:val="clear"/>
            <w:tcMar>
              <w:bottom w:w="28" w:type="dxa"/>
              <w:right w:w="40" w:type="dxa"/>
            </w:tcMar>
            <w:vAlign w:val="center"/>
          </w:tcPr>
          <w:p>
            <w:pPr>
              <w:pStyle w:val="TableContents"/>
              <w:bidi w:val="0"/>
              <w:spacing w:before="0" w:after="0"/>
              <w:jc w:val="left"/>
              <w:rPr/>
            </w:pPr>
            <w:r>
              <w:rPr/>
              <w:t> </w:t>
            </w:r>
          </w:p>
        </w:tc>
      </w:tr>
      <w:tr>
        <w:trPr/>
        <w:tc>
          <w:tcPr>
            <w:tcW w:w="2060"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Mayo A. Shattuck III</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55,988</w:t>
            </w:r>
          </w:p>
        </w:tc>
        <w:tc>
          <w:tcPr>
            <w:tcW w:w="75" w:type="dxa"/>
            <w:tcBorders>
              <w:bottom w:val="single" w:sz="8" w:space="0" w:color="003A5D"/>
              <w:right w:val="single" w:sz="32" w:space="0" w:color="FFFFFF"/>
            </w:tcBorders>
            <w:tcMar>
              <w:bottom w:w="28" w:type="dxa"/>
              <w:right w:w="40" w:type="dxa"/>
            </w:tcMar>
            <w:vAlign w:val="center"/>
          </w:tcPr>
          <w:p>
            <w:pPr>
              <w:pStyle w:val="TableContents"/>
              <w:bidi w:val="0"/>
              <w:spacing w:before="0" w:after="0"/>
              <w:jc w:val="left"/>
              <w:rPr/>
            </w:pPr>
            <w:r>
              <w:rPr/>
              <w:t> </w:t>
            </w:r>
          </w:p>
        </w:tc>
      </w:tr>
      <w:tr>
        <w:trPr/>
        <w:tc>
          <w:tcPr>
            <w:tcW w:w="206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Bradford H. Warner(2)</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75" w:type="dxa"/>
            <w:tcBorders>
              <w:bottom w:val="single" w:sz="8" w:space="0" w:color="003A5D"/>
              <w:right w:val="single" w:sz="32" w:space="0" w:color="FFFFFF"/>
            </w:tcBorders>
            <w:shd w:fill="E5EBEE" w:val="clear"/>
            <w:tcMar>
              <w:bottom w:w="28" w:type="dxa"/>
              <w:right w:w="40" w:type="dxa"/>
            </w:tcMar>
            <w:vAlign w:val="center"/>
          </w:tcPr>
          <w:p>
            <w:pPr>
              <w:pStyle w:val="TableContents"/>
              <w:bidi w:val="0"/>
              <w:spacing w:before="0" w:after="0"/>
              <w:jc w:val="left"/>
              <w:rPr/>
            </w:pPr>
            <w:r>
              <w:rPr/>
              <w:t> </w:t>
            </w:r>
          </w:p>
        </w:tc>
      </w:tr>
      <w:tr>
        <w:trPr/>
        <w:tc>
          <w:tcPr>
            <w:tcW w:w="2060"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Craig Anthony Williams</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7,377</w:t>
            </w:r>
          </w:p>
        </w:tc>
        <w:tc>
          <w:tcPr>
            <w:tcW w:w="75" w:type="dxa"/>
            <w:tcBorders>
              <w:bottom w:val="single" w:sz="8" w:space="0" w:color="003A5D"/>
              <w:right w:val="single" w:sz="32" w:space="0" w:color="FFFFFF"/>
            </w:tcBorders>
            <w:tcMar>
              <w:bottom w:w="28" w:type="dxa"/>
              <w:right w:w="40" w:type="dxa"/>
            </w:tcMar>
            <w:vAlign w:val="center"/>
          </w:tcPr>
          <w:p>
            <w:pPr>
              <w:pStyle w:val="TableContents"/>
              <w:bidi w:val="0"/>
              <w:spacing w:before="0" w:after="0"/>
              <w:jc w:val="left"/>
              <w:rPr/>
            </w:pPr>
            <w:r>
              <w:rPr/>
              <w:t> </w:t>
            </w:r>
          </w:p>
        </w:tc>
      </w:tr>
      <w:tr>
        <w:trPr/>
        <w:tc>
          <w:tcPr>
            <w:tcW w:w="2060" w:type="dxa"/>
            <w:tcBorders>
              <w:right w:val="single" w:sz="32" w:space="0" w:color="FFFFFF"/>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75" w:type="dxa"/>
            <w:tcBorders>
              <w:right w:val="single" w:sz="32" w:space="0" w:color="FFFFFF"/>
            </w:tcBorders>
            <w:tcMar>
              <w:right w:w="40" w:type="dxa"/>
            </w:tcMar>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4930" w:type="dxa"/>
        <w:jc w:val="left"/>
        <w:tblInd w:w="0" w:type="dxa"/>
        <w:tblLayout w:type="fixed"/>
        <w:tblCellMar>
          <w:top w:w="0" w:type="dxa"/>
          <w:left w:w="0" w:type="dxa"/>
          <w:bottom w:w="0" w:type="dxa"/>
          <w:right w:w="0" w:type="dxa"/>
        </w:tblCellMar>
      </w:tblPr>
      <w:tblGrid>
        <w:gridCol w:w="305"/>
        <w:gridCol w:w="4625"/>
      </w:tblGrid>
      <w:tr>
        <w:trPr/>
        <w:tc>
          <w:tcPr>
            <w:tcW w:w="305" w:type="dxa"/>
            <w:tcBorders/>
            <w:vAlign w:val="center"/>
          </w:tcPr>
          <w:p>
            <w:pPr>
              <w:pStyle w:val="TableContents"/>
              <w:bidi w:val="0"/>
              <w:spacing w:before="0" w:after="283"/>
              <w:jc w:val="left"/>
              <w:rPr/>
            </w:pPr>
            <w:r>
              <w:rPr/>
              <w:t>(1)</w:t>
            </w:r>
          </w:p>
        </w:tc>
        <w:tc>
          <w:tcPr>
            <w:tcW w:w="4625" w:type="dxa"/>
            <w:tcBorders/>
            <w:vAlign w:val="center"/>
          </w:tcPr>
          <w:p>
            <w:pPr>
              <w:pStyle w:val="TableContents"/>
              <w:bidi w:val="0"/>
              <w:spacing w:before="0" w:after="0"/>
              <w:jc w:val="both"/>
              <w:rPr>
                <w:rFonts w:ascii="arial" w:hAnsi="arial"/>
                <w:sz w:val="16"/>
              </w:rPr>
            </w:pPr>
            <w:r>
              <w:rPr>
                <w:rFonts w:ascii="arial" w:hAnsi="arial"/>
                <w:sz w:val="16"/>
              </w:rPr>
              <w:t xml:space="preserve">Ms. Harford was appointed to the Board effective April 1, 2024.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305"/>
        <w:gridCol w:w="6875"/>
      </w:tblGrid>
      <w:tr>
        <w:trPr/>
        <w:tc>
          <w:tcPr>
            <w:tcW w:w="305" w:type="dxa"/>
            <w:tcBorders/>
            <w:vAlign w:val="center"/>
          </w:tcPr>
          <w:p>
            <w:pPr>
              <w:pStyle w:val="TableContents"/>
              <w:bidi w:val="0"/>
              <w:spacing w:before="0" w:after="283"/>
              <w:jc w:val="left"/>
              <w:rPr/>
            </w:pPr>
            <w:r>
              <w:rPr/>
              <w:t>(2)</w:t>
            </w:r>
          </w:p>
        </w:tc>
        <w:tc>
          <w:tcPr>
            <w:tcW w:w="6875" w:type="dxa"/>
            <w:tcBorders/>
            <w:vAlign w:val="center"/>
          </w:tcPr>
          <w:p>
            <w:pPr>
              <w:pStyle w:val="TableContents"/>
              <w:bidi w:val="0"/>
              <w:spacing w:before="0" w:after="0"/>
              <w:jc w:val="both"/>
              <w:rPr>
                <w:rFonts w:ascii="arial" w:hAnsi="arial"/>
                <w:sz w:val="16"/>
              </w:rPr>
            </w:pPr>
            <w:r>
              <w:rPr>
                <w:rFonts w:ascii="arial" w:hAnsi="arial"/>
                <w:sz w:val="16"/>
              </w:rPr>
              <w:t xml:space="preserve">Mr. Warner retired from the Board on May 2, 2024, and as a result, has no outstanding RSUs. </w:t>
            </w:r>
          </w:p>
        </w:tc>
      </w:tr>
    </w:tbl>
    <w:p>
      <w:pPr>
        <w:pStyle w:val="TextBody"/>
        <w:bidi w:val="0"/>
        <w:spacing w:before="240" w:after="0"/>
        <w:jc w:val="left"/>
        <w:rPr>
          <w:rFonts w:ascii="arial" w:hAnsi="arial"/>
          <w:b/>
          <w:color w:val="003A5D"/>
          <w:sz w:val="32"/>
        </w:rPr>
      </w:pPr>
      <w:bookmarkStart w:id="37" w:name="txa845790_21"/>
      <w:bookmarkEnd w:id="37"/>
      <w:r>
        <w:rPr>
          <w:rFonts w:ascii="arial" w:hAnsi="arial"/>
          <w:b/>
          <w:color w:val="003A5D"/>
          <w:sz w:val="32"/>
        </w:rPr>
        <w:t xml:space="preserve">Stock Ownership Requirements </w:t>
      </w:r>
    </w:p>
    <w:p>
      <w:pPr>
        <w:pStyle w:val="TextBody"/>
        <w:bidi w:val="0"/>
        <w:spacing w:before="240" w:after="0"/>
        <w:jc w:val="both"/>
        <w:rPr>
          <w:rFonts w:ascii="arial" w:hAnsi="arial"/>
          <w:sz w:val="20"/>
        </w:rPr>
      </w:pPr>
      <w:r>
        <w:rPr>
          <w:rFonts w:ascii="arial" w:hAnsi="arial"/>
          <w:sz w:val="20"/>
        </w:rPr>
        <w:t xml:space="preserve">Capital One requires non-management directors to hold a number of shares of Capital One common stock with a fair market value of at least five times the director’s annual cash retainer for Board service. The Board may grant an exception for any case where this requirement would impose a financial hardship on a director. In 2024, no directors were granted an exception to this requirement. Directors are given five years from the date of appointment as a director to comply with our stock ownership requirements. For purposes of this policy, shares owned without restriction, unvested RSUs and vested deferred RSUs held by a Board member are counted as shares when determining the number of shares owned. All of the directors are currently in compliance with this requirement.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53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lef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38" w:name="txa845790_22"/>
      <w:bookmarkEnd w:id="38"/>
      <w:r>
        <w:rPr>
          <w:rFonts w:ascii="arial" w:hAnsi="arial"/>
          <w:b/>
          <w:sz w:val="36"/>
        </w:rPr>
        <w:t xml:space="preserve">Section IV - Advisory Vote on Our Named Executive Officer Compensation (“Say On Pay”) (Item 2 on Proxy Card) </w:t>
      </w:r>
    </w:p>
    <w:p>
      <w:pPr>
        <w:pStyle w:val="TextBody"/>
        <w:bidi w:val="0"/>
        <w:spacing w:before="0" w:after="0"/>
        <w:jc w:val="left"/>
        <w:rPr/>
      </w:pPr>
      <w:r>
        <w:rPr/>
        <w:t> </w:t>
      </w:r>
    </w:p>
    <w:p>
      <w:pPr>
        <w:pStyle w:val="TextBody"/>
        <w:pBdr>
          <w:bottom w:val="single" w:sz="8" w:space="1" w:color="000000"/>
        </w:pBdr>
        <w:bidi w:val="0"/>
        <w:spacing w:lineRule="atLeast" w:line="142" w:before="0" w:after="40"/>
        <w:jc w:val="left"/>
        <w:rPr/>
      </w:pPr>
      <w:r>
        <w:rPr/>
        <w:t> </w:t>
      </w:r>
    </w:p>
    <w:p>
      <w:pPr>
        <w:pStyle w:val="TextBody"/>
        <w:bidi w:val="0"/>
        <w:spacing w:before="160" w:after="0"/>
        <w:jc w:val="both"/>
        <w:rPr>
          <w:rFonts w:ascii="arial" w:hAnsi="arial"/>
          <w:sz w:val="20"/>
        </w:rPr>
      </w:pPr>
      <w:r>
        <w:rPr>
          <w:rFonts w:ascii="arial" w:hAnsi="arial"/>
          <w:sz w:val="20"/>
        </w:rPr>
        <w:t xml:space="preserve">We are offering to our stockholders a non-binding advisory vote to approve our 2024 NEO compensation, pursuant to Section 14A of the Exchange Act. While the vote is non-binding, the Board values the opinions that stockholders express through their votes and in any additional dialogue. The Board will consider the outcome of the vote when making future compensation decisions. </w:t>
      </w:r>
    </w:p>
    <w:p>
      <w:pPr>
        <w:pStyle w:val="TextBody"/>
        <w:bidi w:val="0"/>
        <w:spacing w:before="240" w:after="0"/>
        <w:jc w:val="both"/>
        <w:rPr>
          <w:rFonts w:ascii="arial" w:hAnsi="arial"/>
          <w:sz w:val="20"/>
        </w:rPr>
      </w:pPr>
      <w:r>
        <w:rPr>
          <w:rFonts w:ascii="arial" w:hAnsi="arial"/>
          <w:sz w:val="20"/>
        </w:rPr>
        <w:t xml:space="preserve">As discussed in the “Compensation Discussion and Analysis” section beginning on page 55, our Board has provided compensation programs for the CEO and the other NEOs that are competitive with the market, performance-based, and transparent and that align with our stockholders’ interests over multiple time horizons. Our CEO’s and other NEOs’ compensation programs have consisted primarily of performance-based incentive opportunities, including multiple types of equity instruments with multi-year vesting schedules. The ultimate value of these equity-based awards is subject to Capital One’s sustained performance over time, both on an absolute basis and relative to our peers. </w:t>
      </w:r>
    </w:p>
    <w:p>
      <w:pPr>
        <w:pStyle w:val="TextBody"/>
        <w:bidi w:val="0"/>
        <w:spacing w:before="240" w:after="0"/>
        <w:jc w:val="both"/>
        <w:rPr>
          <w:rFonts w:ascii="arial" w:hAnsi="arial"/>
          <w:sz w:val="20"/>
        </w:rPr>
      </w:pPr>
      <w:r>
        <w:rPr>
          <w:rFonts w:ascii="arial" w:hAnsi="arial"/>
          <w:sz w:val="20"/>
        </w:rPr>
        <w:t xml:space="preserve">For the 2024 performance year, approximately 84% of the CEO’s total compensation is equity-based and at-risk to the Company’s performance and 100% of his compensation is deferred for a three-year period. As discussed under “NEO Compensation” beginning on page 81, under the 2024 NEO compensation program applicable to our other NEOs, approximately 50% of total compensation is provided through equity-based vehicles, which were all at-risk based on the Company’s performance and subject to vesting over multiple time horizons. </w:t>
      </w:r>
    </w:p>
    <w:p>
      <w:pPr>
        <w:pStyle w:val="TextBody"/>
        <w:bidi w:val="0"/>
        <w:spacing w:before="240" w:after="0"/>
        <w:jc w:val="both"/>
        <w:rPr>
          <w:rFonts w:ascii="arial" w:hAnsi="arial"/>
          <w:sz w:val="20"/>
        </w:rPr>
      </w:pPr>
      <w:r>
        <w:rPr>
          <w:rFonts w:ascii="arial" w:hAnsi="arial"/>
          <w:sz w:val="20"/>
        </w:rPr>
        <w:t xml:space="preserve">Additional information relevant to your vote can be found in the “Compensation Discussion and Analysis” section on pages 55 to 95 and the “Named Executive Officer Compensation” section on pages 96 to 116. </w:t>
      </w:r>
    </w:p>
    <w:p>
      <w:pPr>
        <w:pStyle w:val="TextBody"/>
        <w:bidi w:val="0"/>
        <w:spacing w:before="240" w:after="0"/>
        <w:jc w:val="both"/>
        <w:rPr>
          <w:rFonts w:ascii="arial" w:hAnsi="arial"/>
          <w:sz w:val="20"/>
        </w:rPr>
      </w:pPr>
      <w:r>
        <w:rPr>
          <w:rFonts w:ascii="arial" w:hAnsi="arial"/>
          <w:sz w:val="20"/>
        </w:rPr>
        <w:t xml:space="preserve">We ask for your approval of the following resolution: </w:t>
      </w:r>
    </w:p>
    <w:p>
      <w:pPr>
        <w:pStyle w:val="TextBody"/>
        <w:bidi w:val="0"/>
        <w:spacing w:before="360" w:after="0"/>
        <w:jc w:val="both"/>
        <w:rPr/>
      </w:pPr>
      <w:r>
        <w:rPr/>
        <w:t>“</w:t>
      </w:r>
      <w:r>
        <w:rPr>
          <w:rFonts w:ascii="arial" w:hAnsi="arial"/>
          <w:b/>
          <w:sz w:val="20"/>
        </w:rPr>
        <w:t xml:space="preserve">Resolved, that Capital One’s stockholders hereby provide their advisory approval of the 2024 Named Executive Officer compensation as disclosed pursuant to the rules of the SEC in the Compensation Discussion and Analysis, the Summary Compensation Table, the other compensation tables and the related notes and narratives in this proxy statement.” </w:t>
      </w:r>
    </w:p>
    <w:p>
      <w:pPr>
        <w:pStyle w:val="TextBody"/>
        <w:bidi w:val="0"/>
        <w:spacing w:before="240" w:after="0"/>
        <w:jc w:val="both"/>
        <w:rPr>
          <w:rFonts w:ascii="arial" w:hAnsi="arial"/>
          <w:sz w:val="20"/>
        </w:rPr>
      </w:pPr>
      <w:r>
        <w:rPr>
          <w:rFonts w:ascii="arial" w:hAnsi="arial"/>
          <w:sz w:val="20"/>
        </w:rPr>
        <w:t xml:space="preserve">The Board has resolved to hold annual advisory votes to approve executive compensation. Accordingly, the next advisory vote to approve executive compensation will occur at the 2026 Annual Stockholder Meeting, unless the Board modifies its policy on the frequency of holding such advisory votes. </w:t>
      </w:r>
    </w:p>
    <w:p>
      <w:pPr>
        <w:pStyle w:val="TextBody"/>
        <w:bidi w:val="0"/>
        <w:spacing w:before="240" w:after="0"/>
        <w:jc w:val="center"/>
        <w:rPr>
          <w:rFonts w:ascii="arial" w:hAnsi="arial"/>
          <w:sz w:val="20"/>
        </w:rPr>
      </w:pPr>
      <w:r>
        <w:rPr>
          <w:rFonts w:ascii="arial" w:hAnsi="arial"/>
          <w:sz w:val="20"/>
        </w:rPr>
        <w:t xml:space="preserve">*** </w:t>
      </w:r>
    </w:p>
    <w:p>
      <w:pPr>
        <w:pStyle w:val="TextBody"/>
        <w:bidi w:val="0"/>
        <w:spacing w:before="160" w:after="0"/>
        <w:jc w:val="center"/>
        <w:rPr>
          <w:rFonts w:ascii="arial" w:hAnsi="arial"/>
          <w:b/>
          <w:sz w:val="20"/>
        </w:rPr>
      </w:pPr>
      <w:r>
        <w:rPr>
          <w:rFonts w:ascii="arial" w:hAnsi="arial"/>
          <w:b/>
          <w:sz w:val="20"/>
        </w:rPr>
        <w:t xml:space="preserve">The Board unanimously recommends that you vote “FOR” the approval, on an advisory basis, of our 2024 Named Executive Officer compensation as disclosed in this proxy statement.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54 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righ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39" w:name="cd_1"/>
      <w:bookmarkStart w:id="40" w:name="txa845790_23"/>
      <w:bookmarkEnd w:id="39"/>
      <w:bookmarkEnd w:id="40"/>
      <w:r>
        <w:rPr>
          <w:rFonts w:ascii="arial" w:hAnsi="arial"/>
          <w:b/>
          <w:sz w:val="36"/>
        </w:rPr>
        <w:t xml:space="preserve">Section V - Compensation Discussion and Analysis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left"/>
        <w:rPr/>
      </w:pPr>
      <w:r>
        <w:rPr/>
        <w:t> </w:t>
      </w:r>
    </w:p>
    <w:p>
      <w:pPr>
        <w:pStyle w:val="TextBody"/>
        <w:bidi w:val="0"/>
        <w:spacing w:before="240" w:after="0"/>
        <w:jc w:val="left"/>
        <w:rPr>
          <w:rFonts w:ascii="arial" w:hAnsi="arial"/>
          <w:b/>
          <w:i/>
          <w:color w:val="003A5D"/>
          <w:sz w:val="24"/>
        </w:rPr>
      </w:pPr>
      <w:r>
        <w:rPr>
          <w:rFonts w:ascii="arial" w:hAnsi="arial"/>
          <w:b/>
          <w:i/>
          <w:color w:val="003A5D"/>
          <w:sz w:val="24"/>
        </w:rPr>
        <w:t xml:space="preserve">Key Topics Covered in our Compensation Discussion and Analysis </w:t>
      </w:r>
    </w:p>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5900"/>
        <w:gridCol w:w="120"/>
        <w:gridCol w:w="120"/>
        <w:gridCol w:w="320"/>
        <w:gridCol w:w="135"/>
      </w:tblGrid>
      <w:tr>
        <w:trPr/>
        <w:tc>
          <w:tcPr>
            <w:tcW w:w="5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5900" w:type="dxa"/>
            <w:tcBorders>
              <w:bottom w:val="single" w:sz="8" w:space="0" w:color="003A5D"/>
            </w:tcBorders>
            <w:tcMar>
              <w:bottom w:w="28" w:type="dxa"/>
            </w:tcMar>
            <w:vAlign w:val="center"/>
          </w:tcPr>
          <w:p>
            <w:pPr>
              <w:pStyle w:val="TableContents"/>
              <w:bidi w:val="0"/>
              <w:spacing w:before="0" w:after="0"/>
              <w:jc w:val="left"/>
              <w:rPr/>
            </w:pPr>
            <w:hyperlink w:anchor="txa845790_201">
              <w:r>
                <w:rPr>
                  <w:rStyle w:val="InternetLink"/>
                  <w:rFonts w:ascii="arial" w:hAnsi="arial"/>
                  <w:b/>
                  <w:color w:val="003A5D"/>
                  <w:sz w:val="20"/>
                </w:rPr>
                <w:t>Executive Summary</w:t>
              </w:r>
            </w:hyperlink>
          </w:p>
          <w:p>
            <w:pPr>
              <w:pStyle w:val="TableContents"/>
              <w:bidi w:val="0"/>
              <w:spacing w:before="0" w:after="20"/>
              <w:jc w:val="left"/>
              <w:rPr/>
            </w:pPr>
            <w:r>
              <w:rPr/>
              <w:t> </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120" w:type="dxa"/>
            <w:tcBorders>
              <w:bottom w:val="single" w:sz="8" w:space="0" w:color="003A5D"/>
            </w:tcBorders>
            <w:tcMar>
              <w:bottom w:w="28" w:type="dxa"/>
            </w:tcMar>
            <w:vAlign w:val="center"/>
          </w:tcPr>
          <w:p>
            <w:pPr>
              <w:pStyle w:val="TableContents"/>
              <w:bidi w:val="0"/>
              <w:jc w:val="left"/>
              <w:rPr/>
            </w:pPr>
            <w:r>
              <w:rPr>
                <w:color w:val="003A5D"/>
              </w:rPr>
              <w:t> </w:t>
            </w:r>
            <w:r>
              <w:rPr/>
              <w:t xml:space="preserve"> </w:t>
            </w:r>
          </w:p>
          <w:p>
            <w:pPr>
              <w:pStyle w:val="TableContents"/>
              <w:bidi w:val="0"/>
              <w:spacing w:before="0" w:after="20"/>
              <w:jc w:val="left"/>
              <w:rPr/>
            </w:pPr>
            <w:r>
              <w:rPr/>
              <w:t> </w:t>
            </w:r>
          </w:p>
        </w:tc>
        <w:tc>
          <w:tcPr>
            <w:tcW w:w="320" w:type="dxa"/>
            <w:tcBorders>
              <w:bottom w:val="single" w:sz="8" w:space="0" w:color="003A5D"/>
            </w:tcBorders>
            <w:tcMar>
              <w:bottom w:w="28" w:type="dxa"/>
            </w:tcMar>
            <w:vAlign w:val="center"/>
          </w:tcPr>
          <w:p>
            <w:pPr>
              <w:pStyle w:val="TableContents"/>
              <w:bidi w:val="0"/>
              <w:jc w:val="right"/>
              <w:rPr/>
            </w:pPr>
            <w:r>
              <w:rPr>
                <w:b/>
                <w:color w:val="003A5D"/>
              </w:rPr>
              <w:t>56</w:t>
            </w:r>
            <w:r>
              <w:rPr/>
              <w:t xml:space="preserve"> </w:t>
            </w:r>
          </w:p>
          <w:p>
            <w:pPr>
              <w:pStyle w:val="TableContents"/>
              <w:bidi w:val="0"/>
              <w:spacing w:before="0" w:after="20"/>
              <w:jc w:val="left"/>
              <w:rPr/>
            </w:pPr>
            <w:r>
              <w:rPr/>
              <w:t> </w:t>
            </w:r>
          </w:p>
        </w:tc>
        <w:tc>
          <w:tcPr>
            <w:tcW w:w="135" w:type="dxa"/>
            <w:tcBorders>
              <w:bottom w:val="single" w:sz="8" w:space="0" w:color="003A5D"/>
            </w:tcBorders>
            <w:tcMar>
              <w:bottom w:w="28" w:type="dxa"/>
            </w:tcMar>
            <w:vAlign w:val="center"/>
          </w:tcPr>
          <w:p>
            <w:pPr>
              <w:pStyle w:val="TableContents"/>
              <w:bidi w:val="0"/>
              <w:jc w:val="left"/>
              <w:rPr/>
            </w:pPr>
            <w:r>
              <w:rPr>
                <w:color w:val="003A5D"/>
              </w:rPr>
              <w:t> </w:t>
            </w:r>
            <w:r>
              <w:rPr/>
              <w:t xml:space="preserve"> </w:t>
            </w:r>
          </w:p>
          <w:p>
            <w:pPr>
              <w:pStyle w:val="TableContents"/>
              <w:bidi w:val="0"/>
              <w:spacing w:before="0" w:after="20"/>
              <w:jc w:val="left"/>
              <w:rPr/>
            </w:pPr>
            <w:r>
              <w:rPr/>
              <w:t> </w:t>
            </w:r>
          </w:p>
        </w:tc>
      </w:tr>
      <w:tr>
        <w:trPr/>
        <w:tc>
          <w:tcPr>
            <w:tcW w:w="590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hyperlink w:anchor="txa845790_202">
              <w:r>
                <w:rPr>
                  <w:rStyle w:val="InternetLink"/>
                  <w:rFonts w:ascii="arial" w:hAnsi="arial"/>
                  <w:b/>
                  <w:color w:val="003A5D"/>
                  <w:sz w:val="20"/>
                </w:rPr>
                <w:t>Our Compensation Principles and Objectives</w:t>
              </w:r>
            </w:hyperlink>
          </w:p>
          <w:p>
            <w:pPr>
              <w:pStyle w:val="TableContents"/>
              <w:bidi w:val="0"/>
              <w:spacing w:before="0" w:after="20"/>
              <w:jc w:val="left"/>
              <w:rPr/>
            </w:pPr>
            <w:r>
              <w:rPr/>
              <w:t> </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120" w:type="dxa"/>
            <w:tcBorders>
              <w:bottom w:val="single" w:sz="8" w:space="0" w:color="003A5D"/>
            </w:tcBorders>
            <w:tcMar>
              <w:bottom w:w="28" w:type="dxa"/>
            </w:tcMar>
            <w:vAlign w:val="center"/>
          </w:tcPr>
          <w:p>
            <w:pPr>
              <w:pStyle w:val="TableContents"/>
              <w:bidi w:val="0"/>
              <w:jc w:val="left"/>
              <w:rPr/>
            </w:pPr>
            <w:r>
              <w:rPr>
                <w:color w:val="003A5D"/>
              </w:rPr>
              <w:t> </w:t>
            </w:r>
            <w:r>
              <w:rPr/>
              <w:t xml:space="preserve"> </w:t>
            </w:r>
          </w:p>
          <w:p>
            <w:pPr>
              <w:pStyle w:val="TableContents"/>
              <w:bidi w:val="0"/>
              <w:spacing w:before="0" w:after="20"/>
              <w:jc w:val="left"/>
              <w:rPr/>
            </w:pPr>
            <w:r>
              <w:rPr/>
              <w:t> </w:t>
            </w:r>
          </w:p>
        </w:tc>
        <w:tc>
          <w:tcPr>
            <w:tcW w:w="320" w:type="dxa"/>
            <w:tcBorders>
              <w:bottom w:val="single" w:sz="8" w:space="0" w:color="003A5D"/>
            </w:tcBorders>
            <w:tcMar>
              <w:bottom w:w="28" w:type="dxa"/>
            </w:tcMar>
            <w:vAlign w:val="center"/>
          </w:tcPr>
          <w:p>
            <w:pPr>
              <w:pStyle w:val="TableContents"/>
              <w:bidi w:val="0"/>
              <w:jc w:val="right"/>
              <w:rPr/>
            </w:pPr>
            <w:r>
              <w:rPr>
                <w:b/>
                <w:color w:val="003A5D"/>
              </w:rPr>
              <w:t>64</w:t>
            </w:r>
            <w:r>
              <w:rPr/>
              <w:t xml:space="preserve"> </w:t>
            </w:r>
          </w:p>
          <w:p>
            <w:pPr>
              <w:pStyle w:val="TableContents"/>
              <w:bidi w:val="0"/>
              <w:spacing w:before="0" w:after="20"/>
              <w:jc w:val="left"/>
              <w:rPr/>
            </w:pPr>
            <w:r>
              <w:rPr/>
              <w:t> </w:t>
            </w:r>
          </w:p>
        </w:tc>
        <w:tc>
          <w:tcPr>
            <w:tcW w:w="135" w:type="dxa"/>
            <w:tcBorders>
              <w:bottom w:val="single" w:sz="8" w:space="0" w:color="003A5D"/>
            </w:tcBorders>
            <w:tcMar>
              <w:bottom w:w="28" w:type="dxa"/>
            </w:tcMar>
            <w:vAlign w:val="center"/>
          </w:tcPr>
          <w:p>
            <w:pPr>
              <w:pStyle w:val="TableContents"/>
              <w:bidi w:val="0"/>
              <w:jc w:val="left"/>
              <w:rPr/>
            </w:pPr>
            <w:r>
              <w:rPr>
                <w:color w:val="003A5D"/>
              </w:rPr>
              <w:t> </w:t>
            </w:r>
            <w:r>
              <w:rPr/>
              <w:t xml:space="preserve"> </w:t>
            </w:r>
          </w:p>
          <w:p>
            <w:pPr>
              <w:pStyle w:val="TableContents"/>
              <w:bidi w:val="0"/>
              <w:spacing w:before="0" w:after="20"/>
              <w:jc w:val="left"/>
              <w:rPr/>
            </w:pPr>
            <w:r>
              <w:rPr/>
              <w:t> </w:t>
            </w:r>
          </w:p>
        </w:tc>
      </w:tr>
      <w:tr>
        <w:trPr/>
        <w:tc>
          <w:tcPr>
            <w:tcW w:w="590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hyperlink w:anchor="txa845790_203">
              <w:r>
                <w:rPr>
                  <w:rStyle w:val="InternetLink"/>
                  <w:rFonts w:ascii="arial" w:hAnsi="arial"/>
                  <w:b/>
                  <w:color w:val="003A5D"/>
                  <w:sz w:val="20"/>
                </w:rPr>
                <w:t>Our Compensation Governance Cycle</w:t>
              </w:r>
            </w:hyperlink>
          </w:p>
          <w:p>
            <w:pPr>
              <w:pStyle w:val="TableContents"/>
              <w:bidi w:val="0"/>
              <w:spacing w:before="0" w:after="20"/>
              <w:jc w:val="left"/>
              <w:rPr/>
            </w:pPr>
            <w:r>
              <w:rPr/>
              <w:t> </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120" w:type="dxa"/>
            <w:tcBorders>
              <w:bottom w:val="single" w:sz="8" w:space="0" w:color="003A5D"/>
            </w:tcBorders>
            <w:tcMar>
              <w:bottom w:w="28" w:type="dxa"/>
            </w:tcMar>
            <w:vAlign w:val="center"/>
          </w:tcPr>
          <w:p>
            <w:pPr>
              <w:pStyle w:val="TableContents"/>
              <w:bidi w:val="0"/>
              <w:jc w:val="left"/>
              <w:rPr/>
            </w:pPr>
            <w:r>
              <w:rPr>
                <w:color w:val="003A5D"/>
              </w:rPr>
              <w:t> </w:t>
            </w:r>
            <w:r>
              <w:rPr/>
              <w:t xml:space="preserve"> </w:t>
            </w:r>
          </w:p>
          <w:p>
            <w:pPr>
              <w:pStyle w:val="TableContents"/>
              <w:bidi w:val="0"/>
              <w:spacing w:before="0" w:after="20"/>
              <w:jc w:val="left"/>
              <w:rPr/>
            </w:pPr>
            <w:r>
              <w:rPr/>
              <w:t> </w:t>
            </w:r>
          </w:p>
        </w:tc>
        <w:tc>
          <w:tcPr>
            <w:tcW w:w="320" w:type="dxa"/>
            <w:tcBorders>
              <w:bottom w:val="single" w:sz="8" w:space="0" w:color="003A5D"/>
            </w:tcBorders>
            <w:tcMar>
              <w:bottom w:w="28" w:type="dxa"/>
            </w:tcMar>
            <w:vAlign w:val="center"/>
          </w:tcPr>
          <w:p>
            <w:pPr>
              <w:pStyle w:val="TableContents"/>
              <w:bidi w:val="0"/>
              <w:jc w:val="right"/>
              <w:rPr/>
            </w:pPr>
            <w:r>
              <w:rPr>
                <w:b/>
                <w:color w:val="003A5D"/>
              </w:rPr>
              <w:t>66</w:t>
            </w:r>
            <w:r>
              <w:rPr/>
              <w:t xml:space="preserve"> </w:t>
            </w:r>
          </w:p>
          <w:p>
            <w:pPr>
              <w:pStyle w:val="TableContents"/>
              <w:bidi w:val="0"/>
              <w:spacing w:before="0" w:after="20"/>
              <w:jc w:val="left"/>
              <w:rPr/>
            </w:pPr>
            <w:r>
              <w:rPr/>
              <w:t> </w:t>
            </w:r>
          </w:p>
        </w:tc>
        <w:tc>
          <w:tcPr>
            <w:tcW w:w="135" w:type="dxa"/>
            <w:tcBorders>
              <w:bottom w:val="single" w:sz="8" w:space="0" w:color="003A5D"/>
            </w:tcBorders>
            <w:tcMar>
              <w:bottom w:w="28" w:type="dxa"/>
            </w:tcMar>
            <w:vAlign w:val="center"/>
          </w:tcPr>
          <w:p>
            <w:pPr>
              <w:pStyle w:val="TableContents"/>
              <w:bidi w:val="0"/>
              <w:jc w:val="left"/>
              <w:rPr/>
            </w:pPr>
            <w:r>
              <w:rPr>
                <w:color w:val="003A5D"/>
              </w:rPr>
              <w:t> </w:t>
            </w:r>
            <w:r>
              <w:rPr/>
              <w:t xml:space="preserve"> </w:t>
            </w:r>
          </w:p>
          <w:p>
            <w:pPr>
              <w:pStyle w:val="TableContents"/>
              <w:bidi w:val="0"/>
              <w:spacing w:before="0" w:after="20"/>
              <w:jc w:val="left"/>
              <w:rPr/>
            </w:pPr>
            <w:r>
              <w:rPr/>
              <w:t> </w:t>
            </w:r>
          </w:p>
        </w:tc>
      </w:tr>
      <w:tr>
        <w:trPr/>
        <w:tc>
          <w:tcPr>
            <w:tcW w:w="590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hyperlink w:anchor="txa845790_204">
              <w:r>
                <w:rPr>
                  <w:rStyle w:val="InternetLink"/>
                  <w:rFonts w:ascii="arial" w:hAnsi="arial"/>
                  <w:b/>
                  <w:color w:val="003A5D"/>
                  <w:sz w:val="20"/>
                </w:rPr>
                <w:t>Chief Executive Officer Compensation</w:t>
              </w:r>
            </w:hyperlink>
          </w:p>
          <w:p>
            <w:pPr>
              <w:pStyle w:val="TableContents"/>
              <w:bidi w:val="0"/>
              <w:spacing w:before="0" w:after="20"/>
              <w:jc w:val="left"/>
              <w:rPr/>
            </w:pPr>
            <w:r>
              <w:rPr/>
              <w:t> </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120" w:type="dxa"/>
            <w:tcBorders>
              <w:bottom w:val="single" w:sz="8" w:space="0" w:color="003A5D"/>
            </w:tcBorders>
            <w:tcMar>
              <w:bottom w:w="28" w:type="dxa"/>
            </w:tcMar>
            <w:vAlign w:val="center"/>
          </w:tcPr>
          <w:p>
            <w:pPr>
              <w:pStyle w:val="TableContents"/>
              <w:bidi w:val="0"/>
              <w:jc w:val="left"/>
              <w:rPr/>
            </w:pPr>
            <w:r>
              <w:rPr>
                <w:color w:val="003A5D"/>
              </w:rPr>
              <w:t> </w:t>
            </w:r>
            <w:r>
              <w:rPr/>
              <w:t xml:space="preserve"> </w:t>
            </w:r>
          </w:p>
          <w:p>
            <w:pPr>
              <w:pStyle w:val="TableContents"/>
              <w:bidi w:val="0"/>
              <w:spacing w:before="0" w:after="20"/>
              <w:jc w:val="left"/>
              <w:rPr/>
            </w:pPr>
            <w:r>
              <w:rPr/>
              <w:t> </w:t>
            </w:r>
          </w:p>
        </w:tc>
        <w:tc>
          <w:tcPr>
            <w:tcW w:w="320" w:type="dxa"/>
            <w:tcBorders>
              <w:bottom w:val="single" w:sz="8" w:space="0" w:color="003A5D"/>
            </w:tcBorders>
            <w:tcMar>
              <w:bottom w:w="28" w:type="dxa"/>
            </w:tcMar>
            <w:vAlign w:val="center"/>
          </w:tcPr>
          <w:p>
            <w:pPr>
              <w:pStyle w:val="TableContents"/>
              <w:bidi w:val="0"/>
              <w:jc w:val="right"/>
              <w:rPr/>
            </w:pPr>
            <w:r>
              <w:rPr>
                <w:b/>
                <w:color w:val="003A5D"/>
              </w:rPr>
              <w:t>67</w:t>
            </w:r>
            <w:r>
              <w:rPr/>
              <w:t xml:space="preserve"> </w:t>
            </w:r>
          </w:p>
          <w:p>
            <w:pPr>
              <w:pStyle w:val="TableContents"/>
              <w:bidi w:val="0"/>
              <w:spacing w:before="0" w:after="20"/>
              <w:jc w:val="left"/>
              <w:rPr/>
            </w:pPr>
            <w:r>
              <w:rPr/>
              <w:t> </w:t>
            </w:r>
          </w:p>
        </w:tc>
        <w:tc>
          <w:tcPr>
            <w:tcW w:w="135" w:type="dxa"/>
            <w:tcBorders>
              <w:bottom w:val="single" w:sz="8" w:space="0" w:color="003A5D"/>
            </w:tcBorders>
            <w:tcMar>
              <w:bottom w:w="28" w:type="dxa"/>
            </w:tcMar>
            <w:vAlign w:val="center"/>
          </w:tcPr>
          <w:p>
            <w:pPr>
              <w:pStyle w:val="TableContents"/>
              <w:bidi w:val="0"/>
              <w:jc w:val="left"/>
              <w:rPr/>
            </w:pPr>
            <w:r>
              <w:rPr>
                <w:color w:val="003A5D"/>
              </w:rPr>
              <w:t> </w:t>
            </w:r>
            <w:r>
              <w:rPr/>
              <w:t xml:space="preserve">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05">
              <w:r>
                <w:rPr>
                  <w:rStyle w:val="InternetLink"/>
                  <w:rFonts w:ascii="arial" w:hAnsi="arial"/>
                  <w:sz w:val="20"/>
                </w:rPr>
                <w:t>2024 CEO Compensation Program and Components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67</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06">
              <w:r>
                <w:rPr>
                  <w:rStyle w:val="InternetLink"/>
                  <w:rFonts w:ascii="arial" w:hAnsi="arial"/>
                  <w:sz w:val="20"/>
                </w:rPr>
                <w:t>2024 CEO Compensation Decisions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73</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07">
              <w:r>
                <w:rPr>
                  <w:rStyle w:val="InternetLink"/>
                  <w:rFonts w:ascii="arial" w:hAnsi="arial"/>
                  <w:sz w:val="20"/>
                </w:rPr>
                <w:t>CEO Compensation by Performance Year</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78</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08">
              <w:r>
                <w:rPr>
                  <w:rStyle w:val="InternetLink"/>
                  <w:rFonts w:ascii="arial" w:hAnsi="arial"/>
                  <w:sz w:val="20"/>
                </w:rPr>
                <w:t>Additional Pay Elements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80</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09">
              <w:r>
                <w:rPr>
                  <w:rStyle w:val="InternetLink"/>
                  <w:rFonts w:ascii="arial" w:hAnsi="arial"/>
                  <w:sz w:val="20"/>
                </w:rPr>
                <w:t>2025 CEO Compensation Program</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80</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5900" w:type="dxa"/>
            <w:tcBorders>
              <w:bottom w:val="single" w:sz="8" w:space="0" w:color="003A5D"/>
            </w:tcBorders>
            <w:tcMar>
              <w:bottom w:w="28" w:type="dxa"/>
            </w:tcMar>
            <w:vAlign w:val="center"/>
          </w:tcPr>
          <w:p>
            <w:pPr>
              <w:pStyle w:val="TableContents"/>
              <w:bidi w:val="0"/>
              <w:spacing w:before="0" w:after="0"/>
              <w:jc w:val="left"/>
              <w:rPr/>
            </w:pPr>
            <w:hyperlink w:anchor="txa845790_210a">
              <w:r>
                <w:rPr>
                  <w:rStyle w:val="InternetLink"/>
                  <w:rFonts w:ascii="arial" w:hAnsi="arial"/>
                  <w:b/>
                  <w:color w:val="003A5D"/>
                  <w:sz w:val="20"/>
                </w:rPr>
                <w:t>NEO Compensation</w:t>
              </w:r>
            </w:hyperlink>
          </w:p>
          <w:p>
            <w:pPr>
              <w:pStyle w:val="TableContents"/>
              <w:bidi w:val="0"/>
              <w:spacing w:before="0" w:after="20"/>
              <w:jc w:val="left"/>
              <w:rPr/>
            </w:pPr>
            <w:r>
              <w:rPr/>
              <w:t> </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120" w:type="dxa"/>
            <w:tcBorders>
              <w:bottom w:val="single" w:sz="8" w:space="0" w:color="003A5D"/>
            </w:tcBorders>
            <w:tcMar>
              <w:bottom w:w="28" w:type="dxa"/>
            </w:tcMar>
            <w:vAlign w:val="center"/>
          </w:tcPr>
          <w:p>
            <w:pPr>
              <w:pStyle w:val="TableContents"/>
              <w:bidi w:val="0"/>
              <w:jc w:val="left"/>
              <w:rPr/>
            </w:pPr>
            <w:r>
              <w:rPr>
                <w:color w:val="003A5D"/>
              </w:rPr>
              <w:t> </w:t>
            </w:r>
            <w:r>
              <w:rPr/>
              <w:t xml:space="preserve"> </w:t>
            </w:r>
          </w:p>
          <w:p>
            <w:pPr>
              <w:pStyle w:val="TableContents"/>
              <w:bidi w:val="0"/>
              <w:spacing w:before="0" w:after="20"/>
              <w:jc w:val="left"/>
              <w:rPr/>
            </w:pPr>
            <w:r>
              <w:rPr/>
              <w:t> </w:t>
            </w:r>
          </w:p>
        </w:tc>
        <w:tc>
          <w:tcPr>
            <w:tcW w:w="320" w:type="dxa"/>
            <w:tcBorders>
              <w:bottom w:val="single" w:sz="8" w:space="0" w:color="003A5D"/>
            </w:tcBorders>
            <w:tcMar>
              <w:bottom w:w="28" w:type="dxa"/>
            </w:tcMar>
            <w:vAlign w:val="center"/>
          </w:tcPr>
          <w:p>
            <w:pPr>
              <w:pStyle w:val="TableContents"/>
              <w:bidi w:val="0"/>
              <w:jc w:val="right"/>
              <w:rPr/>
            </w:pPr>
            <w:r>
              <w:rPr>
                <w:b/>
                <w:color w:val="003A5D"/>
              </w:rPr>
              <w:t>81</w:t>
            </w:r>
            <w:r>
              <w:rPr/>
              <w:t xml:space="preserve"> </w:t>
            </w:r>
          </w:p>
          <w:p>
            <w:pPr>
              <w:pStyle w:val="TableContents"/>
              <w:bidi w:val="0"/>
              <w:spacing w:before="0" w:after="20"/>
              <w:jc w:val="left"/>
              <w:rPr/>
            </w:pPr>
            <w:r>
              <w:rPr/>
              <w:t> </w:t>
            </w:r>
          </w:p>
        </w:tc>
        <w:tc>
          <w:tcPr>
            <w:tcW w:w="135" w:type="dxa"/>
            <w:tcBorders>
              <w:bottom w:val="single" w:sz="8" w:space="0" w:color="003A5D"/>
            </w:tcBorders>
            <w:tcMar>
              <w:bottom w:w="28" w:type="dxa"/>
            </w:tcMar>
            <w:vAlign w:val="center"/>
          </w:tcPr>
          <w:p>
            <w:pPr>
              <w:pStyle w:val="TableContents"/>
              <w:bidi w:val="0"/>
              <w:jc w:val="left"/>
              <w:rPr/>
            </w:pPr>
            <w:r>
              <w:rPr>
                <w:color w:val="003A5D"/>
              </w:rPr>
              <w:t> </w:t>
            </w:r>
            <w:r>
              <w:rPr/>
              <w:t xml:space="preserve">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11">
              <w:r>
                <w:rPr>
                  <w:rStyle w:val="InternetLink"/>
                  <w:rFonts w:ascii="arial" w:hAnsi="arial"/>
                  <w:sz w:val="20"/>
                </w:rPr>
                <w:t>2024 NEO Compensation Program and Components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81</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12">
              <w:r>
                <w:rPr>
                  <w:rStyle w:val="InternetLink"/>
                  <w:rFonts w:ascii="arial" w:hAnsi="arial"/>
                  <w:sz w:val="20"/>
                </w:rPr>
                <w:t>2024 NEO Year-End Incentive Compensation Decisions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84</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13">
              <w:r>
                <w:rPr>
                  <w:rStyle w:val="InternetLink"/>
                  <w:rFonts w:ascii="arial" w:hAnsi="arial"/>
                  <w:sz w:val="20"/>
                </w:rPr>
                <w:t>NEO Compensation by Performance Year</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85</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14">
              <w:r>
                <w:rPr>
                  <w:rStyle w:val="InternetLink"/>
                  <w:rFonts w:ascii="arial" w:hAnsi="arial"/>
                  <w:sz w:val="20"/>
                </w:rPr>
                <w:t>Additional Pay Elements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86</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15">
              <w:r>
                <w:rPr>
                  <w:rStyle w:val="InternetLink"/>
                  <w:rFonts w:ascii="arial" w:hAnsi="arial"/>
                  <w:sz w:val="20"/>
                </w:rPr>
                <w:t>2025 NEO Compensation Program</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86</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5900" w:type="dxa"/>
            <w:tcBorders>
              <w:bottom w:val="single" w:sz="8" w:space="0" w:color="003A5D"/>
            </w:tcBorders>
            <w:tcMar>
              <w:bottom w:w="28" w:type="dxa"/>
            </w:tcMar>
            <w:vAlign w:val="center"/>
          </w:tcPr>
          <w:p>
            <w:pPr>
              <w:pStyle w:val="TableContents"/>
              <w:bidi w:val="0"/>
              <w:spacing w:before="0" w:after="0"/>
              <w:jc w:val="left"/>
              <w:rPr/>
            </w:pPr>
            <w:hyperlink w:anchor="txa845790_216">
              <w:r>
                <w:rPr>
                  <w:rStyle w:val="InternetLink"/>
                  <w:rFonts w:ascii="arial" w:hAnsi="arial"/>
                  <w:b/>
                  <w:color w:val="003A5D"/>
                  <w:sz w:val="20"/>
                </w:rPr>
                <w:t>Additional Performance Conditions and Recovery Provisions</w:t>
              </w:r>
            </w:hyperlink>
          </w:p>
          <w:p>
            <w:pPr>
              <w:pStyle w:val="TableContents"/>
              <w:bidi w:val="0"/>
              <w:spacing w:before="0" w:after="20"/>
              <w:jc w:val="left"/>
              <w:rPr/>
            </w:pPr>
            <w:r>
              <w:rPr/>
              <w:t> </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120" w:type="dxa"/>
            <w:tcBorders>
              <w:bottom w:val="single" w:sz="8" w:space="0" w:color="003A5D"/>
            </w:tcBorders>
            <w:tcMar>
              <w:bottom w:w="28" w:type="dxa"/>
            </w:tcMar>
            <w:vAlign w:val="center"/>
          </w:tcPr>
          <w:p>
            <w:pPr>
              <w:pStyle w:val="TableContents"/>
              <w:bidi w:val="0"/>
              <w:jc w:val="left"/>
              <w:rPr/>
            </w:pPr>
            <w:r>
              <w:rPr>
                <w:color w:val="003A5D"/>
              </w:rPr>
              <w:t> </w:t>
            </w:r>
            <w:r>
              <w:rPr/>
              <w:t xml:space="preserve"> </w:t>
            </w:r>
          </w:p>
          <w:p>
            <w:pPr>
              <w:pStyle w:val="TableContents"/>
              <w:bidi w:val="0"/>
              <w:spacing w:before="0" w:after="20"/>
              <w:jc w:val="left"/>
              <w:rPr/>
            </w:pPr>
            <w:r>
              <w:rPr/>
              <w:t> </w:t>
            </w:r>
          </w:p>
        </w:tc>
        <w:tc>
          <w:tcPr>
            <w:tcW w:w="320" w:type="dxa"/>
            <w:tcBorders>
              <w:bottom w:val="single" w:sz="8" w:space="0" w:color="003A5D"/>
            </w:tcBorders>
            <w:tcMar>
              <w:bottom w:w="28" w:type="dxa"/>
            </w:tcMar>
            <w:vAlign w:val="center"/>
          </w:tcPr>
          <w:p>
            <w:pPr>
              <w:pStyle w:val="TableContents"/>
              <w:bidi w:val="0"/>
              <w:jc w:val="right"/>
              <w:rPr/>
            </w:pPr>
            <w:r>
              <w:rPr>
                <w:b/>
                <w:color w:val="003A5D"/>
              </w:rPr>
              <w:t>87</w:t>
            </w:r>
            <w:r>
              <w:rPr/>
              <w:t xml:space="preserve"> </w:t>
            </w:r>
          </w:p>
          <w:p>
            <w:pPr>
              <w:pStyle w:val="TableContents"/>
              <w:bidi w:val="0"/>
              <w:spacing w:before="0" w:after="20"/>
              <w:jc w:val="left"/>
              <w:rPr/>
            </w:pPr>
            <w:r>
              <w:rPr/>
              <w:t> </w:t>
            </w:r>
          </w:p>
        </w:tc>
        <w:tc>
          <w:tcPr>
            <w:tcW w:w="135" w:type="dxa"/>
            <w:tcBorders>
              <w:bottom w:val="single" w:sz="8" w:space="0" w:color="003A5D"/>
            </w:tcBorders>
            <w:tcMar>
              <w:bottom w:w="28" w:type="dxa"/>
            </w:tcMar>
            <w:vAlign w:val="center"/>
          </w:tcPr>
          <w:p>
            <w:pPr>
              <w:pStyle w:val="TableContents"/>
              <w:bidi w:val="0"/>
              <w:jc w:val="left"/>
              <w:rPr/>
            </w:pPr>
            <w:r>
              <w:rPr>
                <w:color w:val="003A5D"/>
              </w:rPr>
              <w:t> </w:t>
            </w:r>
            <w:r>
              <w:rPr/>
              <w:t xml:space="preserve">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17">
              <w:r>
                <w:rPr>
                  <w:rStyle w:val="InternetLink"/>
                  <w:rFonts w:ascii="arial" w:hAnsi="arial"/>
                  <w:sz w:val="20"/>
                </w:rPr>
                <w:t>Performance-Based Vesting Provisions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87</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18">
              <w:r>
                <w:rPr>
                  <w:rStyle w:val="InternetLink"/>
                  <w:rFonts w:ascii="arial" w:hAnsi="arial"/>
                  <w:sz w:val="20"/>
                </w:rPr>
                <w:t>Performance Share Reduction</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88</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19">
              <w:r>
                <w:rPr>
                  <w:rStyle w:val="InternetLink"/>
                  <w:rFonts w:ascii="arial" w:hAnsi="arial"/>
                  <w:sz w:val="20"/>
                </w:rPr>
                <w:t>Misconduct Clawback</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89</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20">
              <w:r>
                <w:rPr>
                  <w:rStyle w:val="InternetLink"/>
                  <w:rFonts w:ascii="arial" w:hAnsi="arial"/>
                  <w:sz w:val="20"/>
                </w:rPr>
                <w:t>Financial Restatement Clawback</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89</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5900" w:type="dxa"/>
            <w:tcBorders>
              <w:bottom w:val="single" w:sz="8" w:space="0" w:color="003A5D"/>
            </w:tcBorders>
            <w:tcMar>
              <w:bottom w:w="28" w:type="dxa"/>
            </w:tcMar>
            <w:vAlign w:val="center"/>
          </w:tcPr>
          <w:p>
            <w:pPr>
              <w:pStyle w:val="TableContents"/>
              <w:bidi w:val="0"/>
              <w:spacing w:before="0" w:after="0"/>
              <w:jc w:val="left"/>
              <w:rPr/>
            </w:pPr>
            <w:hyperlink w:anchor="txa845790_221">
              <w:r>
                <w:rPr>
                  <w:rStyle w:val="InternetLink"/>
                  <w:rFonts w:ascii="arial" w:hAnsi="arial"/>
                  <w:b/>
                  <w:color w:val="003A5D"/>
                  <w:sz w:val="20"/>
                </w:rPr>
                <w:t>Process and Criteria for Compensation Decisions</w:t>
              </w:r>
            </w:hyperlink>
          </w:p>
          <w:p>
            <w:pPr>
              <w:pStyle w:val="TableContents"/>
              <w:bidi w:val="0"/>
              <w:spacing w:before="0" w:after="20"/>
              <w:jc w:val="left"/>
              <w:rPr/>
            </w:pPr>
            <w:r>
              <w:rPr/>
              <w:t> </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120" w:type="dxa"/>
            <w:tcBorders>
              <w:bottom w:val="single" w:sz="8" w:space="0" w:color="003A5D"/>
            </w:tcBorders>
            <w:tcMar>
              <w:bottom w:w="28" w:type="dxa"/>
            </w:tcMar>
            <w:vAlign w:val="center"/>
          </w:tcPr>
          <w:p>
            <w:pPr>
              <w:pStyle w:val="TableContents"/>
              <w:bidi w:val="0"/>
              <w:jc w:val="left"/>
              <w:rPr/>
            </w:pPr>
            <w:r>
              <w:rPr>
                <w:color w:val="003A5D"/>
              </w:rPr>
              <w:t> </w:t>
            </w:r>
            <w:r>
              <w:rPr/>
              <w:t xml:space="preserve"> </w:t>
            </w:r>
          </w:p>
          <w:p>
            <w:pPr>
              <w:pStyle w:val="TableContents"/>
              <w:bidi w:val="0"/>
              <w:spacing w:before="0" w:after="20"/>
              <w:jc w:val="left"/>
              <w:rPr/>
            </w:pPr>
            <w:r>
              <w:rPr/>
              <w:t> </w:t>
            </w:r>
          </w:p>
        </w:tc>
        <w:tc>
          <w:tcPr>
            <w:tcW w:w="320" w:type="dxa"/>
            <w:tcBorders>
              <w:bottom w:val="single" w:sz="8" w:space="0" w:color="003A5D"/>
            </w:tcBorders>
            <w:tcMar>
              <w:bottom w:w="28" w:type="dxa"/>
            </w:tcMar>
            <w:vAlign w:val="center"/>
          </w:tcPr>
          <w:p>
            <w:pPr>
              <w:pStyle w:val="TableContents"/>
              <w:bidi w:val="0"/>
              <w:jc w:val="right"/>
              <w:rPr/>
            </w:pPr>
            <w:r>
              <w:rPr>
                <w:b/>
                <w:color w:val="003A5D"/>
              </w:rPr>
              <w:t>89</w:t>
            </w:r>
            <w:r>
              <w:rPr/>
              <w:t xml:space="preserve"> </w:t>
            </w:r>
          </w:p>
          <w:p>
            <w:pPr>
              <w:pStyle w:val="TableContents"/>
              <w:bidi w:val="0"/>
              <w:spacing w:before="0" w:after="20"/>
              <w:jc w:val="left"/>
              <w:rPr/>
            </w:pPr>
            <w:r>
              <w:rPr/>
              <w:t> </w:t>
            </w:r>
          </w:p>
        </w:tc>
        <w:tc>
          <w:tcPr>
            <w:tcW w:w="135" w:type="dxa"/>
            <w:tcBorders>
              <w:bottom w:val="single" w:sz="8" w:space="0" w:color="003A5D"/>
            </w:tcBorders>
            <w:tcMar>
              <w:bottom w:w="28" w:type="dxa"/>
            </w:tcMar>
            <w:vAlign w:val="center"/>
          </w:tcPr>
          <w:p>
            <w:pPr>
              <w:pStyle w:val="TableContents"/>
              <w:bidi w:val="0"/>
              <w:jc w:val="left"/>
              <w:rPr/>
            </w:pPr>
            <w:r>
              <w:rPr>
                <w:color w:val="003A5D"/>
              </w:rPr>
              <w:t> </w:t>
            </w:r>
            <w:r>
              <w:rPr/>
              <w:t xml:space="preserve">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22">
              <w:r>
                <w:rPr>
                  <w:rStyle w:val="InternetLink"/>
                  <w:rFonts w:ascii="arial" w:hAnsi="arial"/>
                  <w:sz w:val="20"/>
                </w:rPr>
                <w:t>Use of Outside Consultants for NEO Compensation</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89</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23">
              <w:r>
                <w:rPr>
                  <w:rStyle w:val="InternetLink"/>
                  <w:rFonts w:ascii="arial" w:hAnsi="arial"/>
                  <w:sz w:val="20"/>
                </w:rPr>
                <w:t>Peer Groups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90</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24">
              <w:r>
                <w:rPr>
                  <w:rStyle w:val="InternetLink"/>
                  <w:rFonts w:ascii="arial" w:hAnsi="arial"/>
                  <w:sz w:val="20"/>
                </w:rPr>
                <w:t>Tally Sheets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91</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5900" w:type="dxa"/>
            <w:tcBorders>
              <w:bottom w:val="single" w:sz="8" w:space="0" w:color="003A5D"/>
            </w:tcBorders>
            <w:tcMar>
              <w:bottom w:w="28" w:type="dxa"/>
            </w:tcMar>
            <w:vAlign w:val="center"/>
          </w:tcPr>
          <w:p>
            <w:pPr>
              <w:pStyle w:val="TableContents"/>
              <w:bidi w:val="0"/>
              <w:spacing w:before="0" w:after="0"/>
              <w:jc w:val="left"/>
              <w:rPr/>
            </w:pPr>
            <w:hyperlink w:anchor="txa845790_225">
              <w:r>
                <w:rPr>
                  <w:rStyle w:val="InternetLink"/>
                  <w:rFonts w:ascii="arial" w:hAnsi="arial"/>
                  <w:b/>
                  <w:color w:val="003A5D"/>
                  <w:sz w:val="20"/>
                </w:rPr>
                <w:t>Other Compensation Arrangements</w:t>
              </w:r>
            </w:hyperlink>
          </w:p>
          <w:p>
            <w:pPr>
              <w:pStyle w:val="TableContents"/>
              <w:bidi w:val="0"/>
              <w:spacing w:before="0" w:after="20"/>
              <w:jc w:val="left"/>
              <w:rPr/>
            </w:pPr>
            <w:r>
              <w:rPr/>
              <w:t> </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120" w:type="dxa"/>
            <w:tcBorders>
              <w:bottom w:val="single" w:sz="8" w:space="0" w:color="003A5D"/>
            </w:tcBorders>
            <w:tcMar>
              <w:bottom w:w="28" w:type="dxa"/>
            </w:tcMar>
            <w:vAlign w:val="center"/>
          </w:tcPr>
          <w:p>
            <w:pPr>
              <w:pStyle w:val="TableContents"/>
              <w:bidi w:val="0"/>
              <w:jc w:val="left"/>
              <w:rPr/>
            </w:pPr>
            <w:r>
              <w:rPr>
                <w:color w:val="003A5D"/>
              </w:rPr>
              <w:t> </w:t>
            </w:r>
            <w:r>
              <w:rPr/>
              <w:t xml:space="preserve"> </w:t>
            </w:r>
          </w:p>
          <w:p>
            <w:pPr>
              <w:pStyle w:val="TableContents"/>
              <w:bidi w:val="0"/>
              <w:spacing w:before="0" w:after="20"/>
              <w:jc w:val="left"/>
              <w:rPr/>
            </w:pPr>
            <w:r>
              <w:rPr/>
              <w:t> </w:t>
            </w:r>
          </w:p>
        </w:tc>
        <w:tc>
          <w:tcPr>
            <w:tcW w:w="320" w:type="dxa"/>
            <w:tcBorders>
              <w:bottom w:val="single" w:sz="8" w:space="0" w:color="003A5D"/>
            </w:tcBorders>
            <w:tcMar>
              <w:bottom w:w="28" w:type="dxa"/>
            </w:tcMar>
            <w:vAlign w:val="center"/>
          </w:tcPr>
          <w:p>
            <w:pPr>
              <w:pStyle w:val="TableContents"/>
              <w:bidi w:val="0"/>
              <w:jc w:val="right"/>
              <w:rPr/>
            </w:pPr>
            <w:r>
              <w:rPr>
                <w:b/>
                <w:color w:val="003A5D"/>
              </w:rPr>
              <w:t>91</w:t>
            </w:r>
            <w:r>
              <w:rPr/>
              <w:t xml:space="preserve"> </w:t>
            </w:r>
          </w:p>
          <w:p>
            <w:pPr>
              <w:pStyle w:val="TableContents"/>
              <w:bidi w:val="0"/>
              <w:spacing w:before="0" w:after="20"/>
              <w:jc w:val="left"/>
              <w:rPr/>
            </w:pPr>
            <w:r>
              <w:rPr/>
              <w:t> </w:t>
            </w:r>
          </w:p>
        </w:tc>
        <w:tc>
          <w:tcPr>
            <w:tcW w:w="135" w:type="dxa"/>
            <w:tcBorders>
              <w:bottom w:val="single" w:sz="8" w:space="0" w:color="003A5D"/>
            </w:tcBorders>
            <w:tcMar>
              <w:bottom w:w="28" w:type="dxa"/>
            </w:tcMar>
            <w:vAlign w:val="center"/>
          </w:tcPr>
          <w:p>
            <w:pPr>
              <w:pStyle w:val="TableContents"/>
              <w:bidi w:val="0"/>
              <w:jc w:val="left"/>
              <w:rPr/>
            </w:pPr>
            <w:r>
              <w:rPr>
                <w:color w:val="003A5D"/>
              </w:rPr>
              <w:t> </w:t>
            </w:r>
            <w:r>
              <w:rPr/>
              <w:t xml:space="preserve">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26">
              <w:r>
                <w:rPr>
                  <w:rStyle w:val="InternetLink"/>
                  <w:rFonts w:ascii="arial" w:hAnsi="arial"/>
                  <w:sz w:val="20"/>
                </w:rPr>
                <w:t>Pension and Non-Qualified Deferred Compensation Plans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91</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27">
              <w:r>
                <w:rPr>
                  <w:rStyle w:val="InternetLink"/>
                  <w:rFonts w:ascii="arial" w:hAnsi="arial"/>
                  <w:sz w:val="20"/>
                </w:rPr>
                <w:t>Employment Agreements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92</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28">
              <w:r>
                <w:rPr>
                  <w:rStyle w:val="InternetLink"/>
                  <w:rFonts w:ascii="arial" w:hAnsi="arial"/>
                  <w:sz w:val="20"/>
                </w:rPr>
                <w:t>Change of Control Agreements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92</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29">
              <w:r>
                <w:rPr>
                  <w:rStyle w:val="InternetLink"/>
                  <w:rFonts w:ascii="arial" w:hAnsi="arial"/>
                  <w:sz w:val="20"/>
                </w:rPr>
                <w:t>Post-Employment Compensation Practices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92</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5900" w:type="dxa"/>
            <w:tcBorders>
              <w:bottom w:val="single" w:sz="8" w:space="0" w:color="003A5D"/>
            </w:tcBorders>
            <w:tcMar>
              <w:bottom w:w="28" w:type="dxa"/>
            </w:tcMar>
            <w:vAlign w:val="center"/>
          </w:tcPr>
          <w:p>
            <w:pPr>
              <w:pStyle w:val="TableContents"/>
              <w:bidi w:val="0"/>
              <w:spacing w:before="0" w:after="0"/>
              <w:jc w:val="left"/>
              <w:rPr/>
            </w:pPr>
            <w:hyperlink w:anchor="txa845790_230">
              <w:r>
                <w:rPr>
                  <w:rStyle w:val="InternetLink"/>
                  <w:rFonts w:ascii="arial" w:hAnsi="arial"/>
                  <w:b/>
                  <w:color w:val="003A5D"/>
                  <w:sz w:val="20"/>
                </w:rPr>
                <w:t>Other Aspects of Executive Compensation</w:t>
              </w:r>
            </w:hyperlink>
          </w:p>
          <w:p>
            <w:pPr>
              <w:pStyle w:val="TableContents"/>
              <w:bidi w:val="0"/>
              <w:spacing w:before="0" w:after="20"/>
              <w:jc w:val="left"/>
              <w:rPr/>
            </w:pPr>
            <w:r>
              <w:rPr/>
              <w:t> </w:t>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120" w:type="dxa"/>
            <w:tcBorders>
              <w:bottom w:val="single" w:sz="8" w:space="0" w:color="003A5D"/>
            </w:tcBorders>
            <w:tcMar>
              <w:bottom w:w="28" w:type="dxa"/>
            </w:tcMar>
            <w:vAlign w:val="center"/>
          </w:tcPr>
          <w:p>
            <w:pPr>
              <w:pStyle w:val="TableContents"/>
              <w:bidi w:val="0"/>
              <w:jc w:val="left"/>
              <w:rPr/>
            </w:pPr>
            <w:r>
              <w:rPr>
                <w:color w:val="003A5D"/>
              </w:rPr>
              <w:t> </w:t>
            </w:r>
            <w:r>
              <w:rPr/>
              <w:t xml:space="preserve"> </w:t>
            </w:r>
          </w:p>
          <w:p>
            <w:pPr>
              <w:pStyle w:val="TableContents"/>
              <w:bidi w:val="0"/>
              <w:spacing w:before="0" w:after="20"/>
              <w:jc w:val="left"/>
              <w:rPr/>
            </w:pPr>
            <w:r>
              <w:rPr/>
              <w:t> </w:t>
            </w:r>
          </w:p>
        </w:tc>
        <w:tc>
          <w:tcPr>
            <w:tcW w:w="320" w:type="dxa"/>
            <w:tcBorders>
              <w:bottom w:val="single" w:sz="8" w:space="0" w:color="003A5D"/>
            </w:tcBorders>
            <w:tcMar>
              <w:bottom w:w="28" w:type="dxa"/>
            </w:tcMar>
            <w:vAlign w:val="center"/>
          </w:tcPr>
          <w:p>
            <w:pPr>
              <w:pStyle w:val="TableContents"/>
              <w:bidi w:val="0"/>
              <w:jc w:val="right"/>
              <w:rPr/>
            </w:pPr>
            <w:r>
              <w:rPr>
                <w:b/>
                <w:color w:val="003A5D"/>
              </w:rPr>
              <w:t>93</w:t>
            </w:r>
            <w:r>
              <w:rPr/>
              <w:t xml:space="preserve"> </w:t>
            </w:r>
          </w:p>
          <w:p>
            <w:pPr>
              <w:pStyle w:val="TableContents"/>
              <w:bidi w:val="0"/>
              <w:spacing w:before="0" w:after="20"/>
              <w:jc w:val="left"/>
              <w:rPr/>
            </w:pPr>
            <w:r>
              <w:rPr/>
              <w:t> </w:t>
            </w:r>
          </w:p>
        </w:tc>
        <w:tc>
          <w:tcPr>
            <w:tcW w:w="135" w:type="dxa"/>
            <w:tcBorders>
              <w:bottom w:val="single" w:sz="8" w:space="0" w:color="003A5D"/>
            </w:tcBorders>
            <w:tcMar>
              <w:bottom w:w="28" w:type="dxa"/>
            </w:tcMar>
            <w:vAlign w:val="center"/>
          </w:tcPr>
          <w:p>
            <w:pPr>
              <w:pStyle w:val="TableContents"/>
              <w:bidi w:val="0"/>
              <w:jc w:val="left"/>
              <w:rPr/>
            </w:pPr>
            <w:r>
              <w:rPr>
                <w:color w:val="003A5D"/>
              </w:rPr>
              <w:t> </w:t>
            </w:r>
            <w:r>
              <w:rPr/>
              <w:t xml:space="preserve">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31">
              <w:r>
                <w:rPr>
                  <w:rStyle w:val="InternetLink"/>
                  <w:rFonts w:ascii="arial" w:hAnsi="arial"/>
                  <w:sz w:val="20"/>
                </w:rPr>
                <w:t>Stock Ownership and Retention Requirements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93</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32">
              <w:r>
                <w:rPr>
                  <w:rStyle w:val="InternetLink"/>
                  <w:rFonts w:ascii="arial" w:hAnsi="arial"/>
                  <w:sz w:val="20"/>
                </w:rPr>
                <w:t>Prohibition of Hedging, Speculative Trading Activities, and Pledging</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94</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33">
              <w:r>
                <w:rPr>
                  <w:rStyle w:val="InternetLink"/>
                  <w:rFonts w:ascii="arial" w:hAnsi="arial"/>
                  <w:sz w:val="20"/>
                </w:rPr>
                <w:t>Insider Trading Policy</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94</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34">
              <w:r>
                <w:rPr>
                  <w:rStyle w:val="InternetLink"/>
                  <w:rFonts w:ascii="arial" w:hAnsi="arial"/>
                  <w:sz w:val="20"/>
                </w:rPr>
                <w:t>Equity Grant Practices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94</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900" w:type="dxa"/>
            <w:tcBorders/>
            <w:vAlign w:val="center"/>
          </w:tcPr>
          <w:p>
            <w:pPr>
              <w:pStyle w:val="TableContents"/>
              <w:bidi w:val="0"/>
              <w:spacing w:before="0" w:after="0"/>
              <w:jc w:val="left"/>
              <w:rPr/>
            </w:pPr>
            <w:hyperlink w:anchor="txa845790_235">
              <w:r>
                <w:rPr>
                  <w:rStyle w:val="InternetLink"/>
                  <w:rFonts w:ascii="arial" w:hAnsi="arial"/>
                  <w:sz w:val="20"/>
                </w:rPr>
                <w:t>Tax Considerations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jc w:val="left"/>
              <w:rPr/>
            </w:pPr>
            <w:r>
              <w:rPr/>
              <w:t> </w:t>
            </w:r>
          </w:p>
          <w:p>
            <w:pPr>
              <w:pStyle w:val="TableContents"/>
              <w:bidi w:val="0"/>
              <w:spacing w:before="0" w:after="20"/>
              <w:jc w:val="left"/>
              <w:rPr/>
            </w:pPr>
            <w:r>
              <w:rPr/>
              <w:t> </w:t>
            </w:r>
          </w:p>
        </w:tc>
        <w:tc>
          <w:tcPr>
            <w:tcW w:w="320" w:type="dxa"/>
            <w:tcBorders/>
            <w:vAlign w:val="center"/>
          </w:tcPr>
          <w:p>
            <w:pPr>
              <w:pStyle w:val="TableContents"/>
              <w:bidi w:val="0"/>
              <w:jc w:val="right"/>
              <w:rPr/>
            </w:pPr>
            <w:r>
              <w:rPr/>
              <w:t>95</w:t>
            </w:r>
          </w:p>
          <w:p>
            <w:pPr>
              <w:pStyle w:val="TableContents"/>
              <w:bidi w:val="0"/>
              <w:spacing w:before="0" w:after="20"/>
              <w:jc w:val="left"/>
              <w:rPr/>
            </w:pPr>
            <w:r>
              <w:rPr/>
              <w:t> </w:t>
            </w:r>
          </w:p>
        </w:tc>
        <w:tc>
          <w:tcPr>
            <w:tcW w:w="135" w:type="dxa"/>
            <w:tcBorders/>
            <w:vAlign w:val="center"/>
          </w:tcPr>
          <w:p>
            <w:pPr>
              <w:pStyle w:val="TableContents"/>
              <w:bidi w:val="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55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lef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41" w:name="txa845790_24"/>
      <w:bookmarkStart w:id="42" w:name="txa845790_201"/>
      <w:bookmarkEnd w:id="41"/>
      <w:bookmarkEnd w:id="42"/>
      <w:r>
        <w:rPr>
          <w:rFonts w:ascii="arial" w:hAnsi="arial"/>
          <w:b/>
          <w:color w:val="003A5D"/>
          <w:sz w:val="32"/>
        </w:rPr>
        <w:t xml:space="preserve">Executive Summary </w:t>
      </w:r>
    </w:p>
    <w:p>
      <w:pPr>
        <w:pStyle w:val="TextBody"/>
        <w:bidi w:val="0"/>
        <w:spacing w:before="240" w:after="0"/>
        <w:jc w:val="both"/>
        <w:rPr>
          <w:rFonts w:ascii="arial" w:hAnsi="arial"/>
          <w:sz w:val="20"/>
        </w:rPr>
      </w:pPr>
      <w:r>
        <w:rPr>
          <w:rFonts w:ascii="arial" w:hAnsi="arial"/>
          <w:sz w:val="20"/>
        </w:rPr>
        <w:t xml:space="preserve">Capital One’s executive compensation program is designed to attract, retain, motivate, and reward leaders who drive growth and innovation, deliver strong business results, and facilitate the long-term success of the Company. The Committee is responsible for, among other matters, developing, approving, monitoring, and managing the compensation of all our executive officers, including the named executive officers defined below. Final decisions regarding the compensation of our executive officers, including our CEO, are made by the Committee and the Independent Directors. This Compensation Discussion and Analysis will review the compensation of the following executive officers for 2024: </w:t>
      </w:r>
    </w:p>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2180"/>
        <w:gridCol w:w="60"/>
        <w:gridCol w:w="5525"/>
      </w:tblGrid>
      <w:tr>
        <w:trPr/>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25" w:type="dxa"/>
            <w:tcBorders/>
            <w:vAlign w:val="center"/>
          </w:tcPr>
          <w:p>
            <w:pPr>
              <w:pStyle w:val="TableContents"/>
              <w:bidi w:val="0"/>
              <w:spacing w:before="0" w:after="283"/>
              <w:jc w:val="left"/>
              <w:rPr>
                <w:sz w:val="4"/>
                <w:szCs w:val="4"/>
              </w:rPr>
            </w:pPr>
            <w:r>
              <w:rPr>
                <w:sz w:val="4"/>
                <w:szCs w:val="4"/>
              </w:rPr>
            </w:r>
          </w:p>
        </w:tc>
      </w:tr>
      <w:tr>
        <w:trPr/>
        <w:tc>
          <w:tcPr>
            <w:tcW w:w="2180" w:type="dxa"/>
            <w:tcBorders>
              <w:right w:val="single" w:sz="32" w:space="0" w:color="FFFFFF"/>
            </w:tcBorders>
            <w:shd w:fill="003A5D" w:val="clear"/>
            <w:tcMar>
              <w:right w:w="28" w:type="dxa"/>
            </w:tcMar>
            <w:vAlign w:val="center"/>
          </w:tcPr>
          <w:p>
            <w:pPr>
              <w:pStyle w:val="TableContents"/>
              <w:bidi w:val="0"/>
              <w:spacing w:before="0" w:after="283"/>
              <w:jc w:val="left"/>
              <w:rPr/>
            </w:pPr>
            <w:r>
              <w:rPr/>
              <w:t> </w:t>
            </w:r>
          </w:p>
        </w:tc>
        <w:tc>
          <w:tcPr>
            <w:tcW w:w="5585"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2180" w:type="dxa"/>
            <w:tcBorders>
              <w:right w:val="single" w:sz="32" w:space="0" w:color="FFFFFF"/>
            </w:tcBorders>
            <w:shd w:fill="003A5D" w:val="clear"/>
            <w:tcMar>
              <w:right w:w="28" w:type="dxa"/>
            </w:tcMar>
            <w:vAlign w:val="center"/>
          </w:tcPr>
          <w:p>
            <w:pPr>
              <w:pStyle w:val="TableContents"/>
              <w:bidi w:val="0"/>
              <w:spacing w:before="0" w:after="0"/>
              <w:jc w:val="left"/>
              <w:rPr>
                <w:rFonts w:ascii="arial" w:hAnsi="arial"/>
                <w:b/>
                <w:color w:val="FFFFFF"/>
                <w:sz w:val="18"/>
              </w:rPr>
            </w:pPr>
            <w:r>
              <w:rPr>
                <w:rFonts w:ascii="arial" w:hAnsi="arial"/>
                <w:b/>
                <w:color w:val="FFFFFF"/>
                <w:sz w:val="18"/>
              </w:rPr>
              <w:t>Named Executive Officer</w:t>
            </w:r>
          </w:p>
          <w:p>
            <w:pPr>
              <w:pStyle w:val="TableContents"/>
              <w:bidi w:val="0"/>
              <w:spacing w:before="0" w:after="20"/>
              <w:jc w:val="left"/>
              <w:rPr/>
            </w:pPr>
            <w:r>
              <w:rPr/>
              <w:t> </w:t>
            </w:r>
          </w:p>
        </w:tc>
        <w:tc>
          <w:tcPr>
            <w:tcW w:w="60" w:type="dxa"/>
            <w:tcBorders/>
            <w:shd w:fill="003A5D" w:val="clear"/>
            <w:vAlign w:val="center"/>
          </w:tcPr>
          <w:p>
            <w:pPr>
              <w:pStyle w:val="TableContents"/>
              <w:bidi w:val="0"/>
              <w:spacing w:before="0" w:after="283"/>
              <w:jc w:val="left"/>
              <w:rPr/>
            </w:pPr>
            <w:r>
              <w:rPr/>
              <w:t> </w:t>
            </w:r>
          </w:p>
        </w:tc>
        <w:tc>
          <w:tcPr>
            <w:tcW w:w="5525" w:type="dxa"/>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Position</w:t>
            </w:r>
          </w:p>
          <w:p>
            <w:pPr>
              <w:pStyle w:val="TableContents"/>
              <w:bidi w:val="0"/>
              <w:spacing w:before="0" w:after="20"/>
              <w:jc w:val="left"/>
              <w:rPr/>
            </w:pPr>
            <w:r>
              <w:rPr/>
              <w:t> </w:t>
            </w:r>
          </w:p>
        </w:tc>
      </w:tr>
      <w:tr>
        <w:trPr/>
        <w:tc>
          <w:tcPr>
            <w:tcW w:w="2180" w:type="dxa"/>
            <w:tcBorders>
              <w:top w:val="single" w:sz="8" w:space="0" w:color="FFFFFF"/>
              <w:right w:val="single" w:sz="32" w:space="0" w:color="FFFFFF"/>
            </w:tcBorders>
            <w:shd w:fill="E5EBEE" w:val="clear"/>
            <w:tcMar>
              <w:top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Richard D. Fairbank</w:t>
            </w:r>
          </w:p>
          <w:p>
            <w:pPr>
              <w:pStyle w:val="TableContents"/>
              <w:bidi w:val="0"/>
              <w:spacing w:before="0" w:after="20"/>
              <w:jc w:val="left"/>
              <w:rPr/>
            </w:pPr>
            <w:r>
              <w:rPr/>
              <w:t> </w:t>
            </w:r>
          </w:p>
        </w:tc>
        <w:tc>
          <w:tcPr>
            <w:tcW w:w="60" w:type="dxa"/>
            <w:tcBorders>
              <w:top w:val="single" w:sz="8" w:space="0" w:color="FFFFFF"/>
            </w:tcBorders>
            <w:shd w:fill="E5EBEE" w:val="clear"/>
            <w:tcMar>
              <w:top w:w="28" w:type="dxa"/>
            </w:tcMar>
            <w:vAlign w:val="center"/>
          </w:tcPr>
          <w:p>
            <w:pPr>
              <w:pStyle w:val="TableContents"/>
              <w:bidi w:val="0"/>
              <w:spacing w:before="0" w:after="283"/>
              <w:jc w:val="left"/>
              <w:rPr/>
            </w:pPr>
            <w:r>
              <w:rPr/>
              <w:t> </w:t>
            </w:r>
          </w:p>
        </w:tc>
        <w:tc>
          <w:tcPr>
            <w:tcW w:w="5525" w:type="dxa"/>
            <w:tcBorders>
              <w:top w:val="single" w:sz="8" w:space="0" w:color="FFFFFF"/>
            </w:tcBorders>
            <w:shd w:fill="E5EBEE" w:val="clear"/>
            <w:tcMar>
              <w:top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Chairman and Chief Executive Officer</w:t>
            </w:r>
          </w:p>
          <w:p>
            <w:pPr>
              <w:pStyle w:val="TableContents"/>
              <w:bidi w:val="0"/>
              <w:spacing w:before="0" w:after="20"/>
              <w:jc w:val="left"/>
              <w:rPr/>
            </w:pPr>
            <w:r>
              <w:rPr/>
              <w:t> </w:t>
            </w:r>
          </w:p>
        </w:tc>
      </w:tr>
      <w:tr>
        <w:trPr/>
        <w:tc>
          <w:tcPr>
            <w:tcW w:w="2180" w:type="dxa"/>
            <w:tcBorders>
              <w:right w:val="single" w:sz="32" w:space="0" w:color="FFFFFF"/>
            </w:tcBorders>
            <w:tcMar>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Andrew M. Young</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Chief Financial Officer</w:t>
            </w:r>
          </w:p>
          <w:p>
            <w:pPr>
              <w:pStyle w:val="TableContents"/>
              <w:bidi w:val="0"/>
              <w:spacing w:before="0" w:after="20"/>
              <w:jc w:val="left"/>
              <w:rPr/>
            </w:pPr>
            <w:r>
              <w:rPr/>
              <w:t> </w:t>
            </w:r>
          </w:p>
        </w:tc>
      </w:tr>
      <w:tr>
        <w:trPr/>
        <w:tc>
          <w:tcPr>
            <w:tcW w:w="2180" w:type="dxa"/>
            <w:tcBorders>
              <w:top w:val="single" w:sz="8" w:space="0" w:color="FFFFFF"/>
              <w:right w:val="single" w:sz="32" w:space="0" w:color="FFFFFF"/>
            </w:tcBorders>
            <w:shd w:fill="E5EBEE" w:val="clear"/>
            <w:tcMar>
              <w:top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Frank G. LaPrade, III</w:t>
            </w:r>
          </w:p>
          <w:p>
            <w:pPr>
              <w:pStyle w:val="TableContents"/>
              <w:bidi w:val="0"/>
              <w:spacing w:before="0" w:after="20"/>
              <w:jc w:val="left"/>
              <w:rPr/>
            </w:pPr>
            <w:r>
              <w:rPr/>
              <w:t> </w:t>
            </w:r>
          </w:p>
        </w:tc>
        <w:tc>
          <w:tcPr>
            <w:tcW w:w="60" w:type="dxa"/>
            <w:tcBorders>
              <w:top w:val="single" w:sz="8" w:space="0" w:color="FFFFFF"/>
            </w:tcBorders>
            <w:shd w:fill="E5EBEE" w:val="clear"/>
            <w:tcMar>
              <w:top w:w="28" w:type="dxa"/>
            </w:tcMar>
            <w:vAlign w:val="center"/>
          </w:tcPr>
          <w:p>
            <w:pPr>
              <w:pStyle w:val="TableContents"/>
              <w:bidi w:val="0"/>
              <w:spacing w:before="0" w:after="283"/>
              <w:jc w:val="left"/>
              <w:rPr/>
            </w:pPr>
            <w:r>
              <w:rPr/>
              <w:t> </w:t>
            </w:r>
          </w:p>
        </w:tc>
        <w:tc>
          <w:tcPr>
            <w:tcW w:w="5525" w:type="dxa"/>
            <w:tcBorders>
              <w:top w:val="single" w:sz="8" w:space="0" w:color="FFFFFF"/>
            </w:tcBorders>
            <w:shd w:fill="E5EBEE" w:val="clear"/>
            <w:tcMar>
              <w:top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Chief Enterprise Services Officer and Chief of Staff to the CEO</w:t>
            </w:r>
          </w:p>
          <w:p>
            <w:pPr>
              <w:pStyle w:val="TableContents"/>
              <w:bidi w:val="0"/>
              <w:spacing w:before="0" w:after="20"/>
              <w:jc w:val="left"/>
              <w:rPr/>
            </w:pPr>
            <w:r>
              <w:rPr/>
              <w:t> </w:t>
            </w:r>
          </w:p>
        </w:tc>
      </w:tr>
      <w:tr>
        <w:trPr/>
        <w:tc>
          <w:tcPr>
            <w:tcW w:w="2180" w:type="dxa"/>
            <w:tcBorders>
              <w:right w:val="single" w:sz="32" w:space="0" w:color="FFFFFF"/>
            </w:tcBorders>
            <w:tcMar>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Matthew W. Cooper</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General Counsel and Corporate Secretary</w:t>
            </w:r>
          </w:p>
          <w:p>
            <w:pPr>
              <w:pStyle w:val="TableContents"/>
              <w:bidi w:val="0"/>
              <w:spacing w:before="0" w:after="20"/>
              <w:jc w:val="left"/>
              <w:rPr/>
            </w:pPr>
            <w:r>
              <w:rPr/>
              <w:t> </w:t>
            </w:r>
          </w:p>
        </w:tc>
      </w:tr>
      <w:tr>
        <w:trPr/>
        <w:tc>
          <w:tcPr>
            <w:tcW w:w="2180" w:type="dxa"/>
            <w:tcBorders>
              <w:top w:val="single" w:sz="8" w:space="0" w:color="FFFFFF"/>
              <w:right w:val="single" w:sz="32" w:space="0" w:color="FFFFFF"/>
            </w:tcBorders>
            <w:shd w:fill="E5EBEE" w:val="clear"/>
            <w:tcMar>
              <w:top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Sanjiv Yajnik</w:t>
            </w:r>
          </w:p>
          <w:p>
            <w:pPr>
              <w:pStyle w:val="TableContents"/>
              <w:bidi w:val="0"/>
              <w:spacing w:before="0" w:after="20"/>
              <w:jc w:val="left"/>
              <w:rPr/>
            </w:pPr>
            <w:r>
              <w:rPr/>
              <w:t> </w:t>
            </w:r>
          </w:p>
        </w:tc>
        <w:tc>
          <w:tcPr>
            <w:tcW w:w="60" w:type="dxa"/>
            <w:tcBorders>
              <w:top w:val="single" w:sz="8" w:space="0" w:color="FFFFFF"/>
            </w:tcBorders>
            <w:shd w:fill="E5EBEE" w:val="clear"/>
            <w:tcMar>
              <w:top w:w="28" w:type="dxa"/>
            </w:tcMar>
            <w:vAlign w:val="center"/>
          </w:tcPr>
          <w:p>
            <w:pPr>
              <w:pStyle w:val="TableContents"/>
              <w:bidi w:val="0"/>
              <w:spacing w:before="0" w:after="283"/>
              <w:jc w:val="left"/>
              <w:rPr/>
            </w:pPr>
            <w:r>
              <w:rPr/>
              <w:t> </w:t>
            </w:r>
          </w:p>
        </w:tc>
        <w:tc>
          <w:tcPr>
            <w:tcW w:w="5525" w:type="dxa"/>
            <w:tcBorders>
              <w:top w:val="single" w:sz="8" w:space="0" w:color="FFFFFF"/>
            </w:tcBorders>
            <w:shd w:fill="E5EBEE" w:val="clear"/>
            <w:tcMar>
              <w:top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President, Financial Services</w:t>
            </w:r>
          </w:p>
          <w:p>
            <w:pPr>
              <w:pStyle w:val="TableContents"/>
              <w:bidi w:val="0"/>
              <w:spacing w:before="0" w:after="20"/>
              <w:jc w:val="left"/>
              <w:rPr/>
            </w:pPr>
            <w:r>
              <w:rPr/>
              <w:t> </w:t>
            </w:r>
          </w:p>
        </w:tc>
      </w:tr>
    </w:tbl>
    <w:p>
      <w:pPr>
        <w:pStyle w:val="TextBody"/>
        <w:bidi w:val="0"/>
        <w:spacing w:before="240" w:after="0"/>
        <w:jc w:val="both"/>
        <w:rPr>
          <w:rFonts w:ascii="arial" w:hAnsi="arial"/>
          <w:sz w:val="20"/>
        </w:rPr>
      </w:pPr>
      <w:r>
        <w:rPr>
          <w:rFonts w:ascii="arial" w:hAnsi="arial"/>
          <w:sz w:val="20"/>
        </w:rPr>
        <w:t xml:space="preserve">Unless otherwise indicated, “NEOs” will be used throughout this proxy statement to mean the CEO and the four executive officers listed above, collectively. </w:t>
      </w:r>
    </w:p>
    <w:p>
      <w:pPr>
        <w:pStyle w:val="TextBody"/>
        <w:bidi w:val="0"/>
        <w:spacing w:before="240" w:after="0"/>
        <w:jc w:val="left"/>
        <w:rPr>
          <w:rFonts w:ascii="arial" w:hAnsi="arial"/>
          <w:b/>
          <w:i/>
          <w:color w:val="003A5D"/>
          <w:sz w:val="24"/>
        </w:rPr>
      </w:pPr>
      <w:r>
        <w:rPr>
          <w:rFonts w:ascii="arial" w:hAnsi="arial"/>
          <w:b/>
          <w:i/>
          <w:color w:val="003A5D"/>
          <w:sz w:val="24"/>
        </w:rPr>
        <w:t xml:space="preserve">2024 Company Performance and Compensation Highlights </w:t>
      </w:r>
    </w:p>
    <w:p>
      <w:pPr>
        <w:pStyle w:val="TextBody"/>
        <w:bidi w:val="0"/>
        <w:spacing w:before="240" w:after="0"/>
        <w:jc w:val="both"/>
        <w:rPr>
          <w:rFonts w:ascii="arial" w:hAnsi="arial"/>
          <w:sz w:val="20"/>
        </w:rPr>
      </w:pPr>
      <w:r>
        <w:rPr>
          <w:rFonts w:ascii="arial" w:hAnsi="arial"/>
          <w:sz w:val="20"/>
        </w:rPr>
        <w:t xml:space="preserve">Each year the Committee and the Independent Directors review and evaluate the Company’s qualitative and quantitative performance to make determinations regarding the compensation of our NEOs based on Capital One’s pay-for-performance philosophy. The Committee seeks to directly link the compensation of the NEOs with the Company’s performance and the executives’ contributions to that performance. </w:t>
      </w:r>
    </w:p>
    <w:p>
      <w:pPr>
        <w:pStyle w:val="TextBody"/>
        <w:bidi w:val="0"/>
        <w:spacing w:before="240" w:after="0"/>
        <w:jc w:val="both"/>
        <w:rPr>
          <w:rFonts w:ascii="arial" w:hAnsi="arial"/>
          <w:sz w:val="20"/>
        </w:rPr>
      </w:pPr>
      <w:r>
        <w:rPr>
          <w:rFonts w:ascii="arial" w:hAnsi="arial"/>
          <w:sz w:val="20"/>
        </w:rPr>
        <w:t xml:space="preserve">In 2024, Capital One delivered strong financial results and made significant progress on our long-term strategic initiatives, enabled by years of transformation and growth as well as key investments in talent, technology, and risk management. The Company also announced the Discover Transaction in February 2024. The proposed transaction is subject to regulatory approval and closing conditions and we anticipate the Discover Transaction will close in early 2025. </w:t>
      </w:r>
    </w:p>
    <w:p>
      <w:pPr>
        <w:pStyle w:val="TextBody"/>
        <w:bidi w:val="0"/>
        <w:spacing w:before="240" w:after="0"/>
        <w:jc w:val="both"/>
        <w:rPr>
          <w:rFonts w:ascii="arial" w:hAnsi="arial"/>
          <w:sz w:val="20"/>
        </w:rPr>
      </w:pPr>
      <w:r>
        <w:rPr>
          <w:rFonts w:ascii="arial" w:hAnsi="arial"/>
          <w:sz w:val="20"/>
        </w:rPr>
        <w:t xml:space="preserve">Financial and business line financial results in 2024 were strong. The combination of strong top-line growth and disciplined expense management drove solid profitability and capital generation. Consumer credit losses continued to be impacted by delayed charge-offs from the pandemic. However, Capital One’s ability to monitor and analyze portfolio and competitive trends coming out of the pandemic, as well as management’s actions in response to these insights, has enabled the Company to successfully navigate the post-pandemic credit environment and drive favorable momentum on consumer credit results versus industry peers. Our Domestic Card business delivered strong and resilient returns and record account originations. We continued to expand our digital-first national retail bank, grow insured deposits, and drive very strong growth in checking accounts. Our Auto Finance business continued to deliver strong returns and credit performance. The Commercial Bank delivered solid results, improved credit losses and resilience amid challenging industry headwinds. </w:t>
      </w:r>
    </w:p>
    <w:p>
      <w:pPr>
        <w:pStyle w:val="TextBody"/>
        <w:bidi w:val="0"/>
        <w:spacing w:before="240" w:after="0"/>
        <w:jc w:val="both"/>
        <w:rPr>
          <w:rFonts w:ascii="arial" w:hAnsi="arial"/>
          <w:sz w:val="20"/>
        </w:rPr>
      </w:pPr>
      <w:r>
        <w:rPr>
          <w:rFonts w:ascii="arial" w:hAnsi="arial"/>
          <w:sz w:val="20"/>
        </w:rPr>
        <w:t xml:space="preserve">Capital One’s stock price ended 2024 at $178.32, up 36% from year-end 2023 and outperformed the KBW Bank Index by 3.2 percentage points. Capital One’s TSR, which includes the combined effect of share price change plus common dividends, was 38.3% in 2024, outpacing the KBW Bank Index and significantly outperforming the S&amp;P 500. </w:t>
      </w:r>
    </w:p>
    <w:p>
      <w:pPr>
        <w:pStyle w:val="TextBody"/>
        <w:bidi w:val="0"/>
        <w:spacing w:before="240" w:after="0"/>
        <w:jc w:val="both"/>
        <w:rPr>
          <w:rFonts w:ascii="arial" w:hAnsi="arial"/>
          <w:sz w:val="20"/>
        </w:rPr>
      </w:pPr>
      <w:r>
        <w:rPr>
          <w:rFonts w:ascii="arial" w:hAnsi="arial"/>
          <w:sz w:val="20"/>
        </w:rPr>
        <w:t xml:space="preserve">Net revenue increased 6% to $39.1 billion, driven by strong Card growth and improved net interest margin. We improved our operating efficiency ratio(1) by 106 bps to 43.3%, while our adjusted operating efficiency ratio(2)(3)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56 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righ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improved 119 bps to 42.4%. We seized marketing opportunities to support attractive and resilient long-term growth, particularly in Card and Retail Bank. Our efficiency ratio(1) improved 30 bps to 54.9% and our adjusted efficiency ratio(2)(3) improved to 54.0%. Diluted EPS for the year was $11.59, with adjusted diluted EPS of $13.96(2)(3). We returned $1.5 billion of capital to stockholders, as we completed $553 million in common stock repurchases and paid $937 million in common dividends. </w:t>
      </w:r>
    </w:p>
    <w:p>
      <w:pPr>
        <w:pStyle w:val="TextBody"/>
        <w:bidi w:val="0"/>
        <w:spacing w:before="240" w:after="0"/>
        <w:jc w:val="both"/>
        <w:rPr>
          <w:rFonts w:ascii="arial" w:hAnsi="arial"/>
          <w:sz w:val="20"/>
        </w:rPr>
      </w:pPr>
      <w:r>
        <w:rPr>
          <w:rFonts w:ascii="arial" w:hAnsi="arial"/>
          <w:sz w:val="20"/>
        </w:rPr>
        <w:t xml:space="preserve">We continued to build, enhance, and operate strong and effective risk management programs across the Company. We strengthened our risk and control environment and continued to enhance our cybersecurity capabilities. We maintained very strong liquidity, capital, and credit risk management programs and results. Our enterprise risk management programs delivered outstanding outcomes across compliance, operational, and regulatory risk. </w:t>
      </w:r>
    </w:p>
    <w:p>
      <w:pPr>
        <w:pStyle w:val="TextBody"/>
        <w:bidi w:val="0"/>
        <w:spacing w:before="240" w:after="0"/>
        <w:jc w:val="both"/>
        <w:rPr>
          <w:rFonts w:ascii="arial" w:hAnsi="arial"/>
          <w:sz w:val="20"/>
        </w:rPr>
      </w:pPr>
      <w:r>
        <w:rPr>
          <w:rFonts w:ascii="arial" w:hAnsi="arial"/>
          <w:sz w:val="20"/>
        </w:rPr>
        <w:t xml:space="preserve">In 2024, Capital One launched new products, signed new partners, and expanded its suite of innovative digital tools and experiences. We also earned a number of external awards and accolades related to our products and customer experiences, including flagship banking awards for excellence in customer experience and satisfaction. Net Promoter Scores, which measure how likely our customers are to recommend Capital One products and services, remained high across all of our major businesses. </w:t>
      </w:r>
    </w:p>
    <w:p>
      <w:pPr>
        <w:pStyle w:val="TextBody"/>
        <w:bidi w:val="0"/>
        <w:spacing w:before="240" w:after="0"/>
        <w:jc w:val="both"/>
        <w:rPr>
          <w:rFonts w:ascii="arial" w:hAnsi="arial"/>
          <w:sz w:val="20"/>
        </w:rPr>
      </w:pPr>
      <w:r>
        <w:rPr>
          <w:rFonts w:ascii="arial" w:hAnsi="arial"/>
          <w:sz w:val="20"/>
        </w:rPr>
        <w:t xml:space="preserve">We maintained strong associate morale and engagement as measured through our internal surveys and invested heavily in recruiting, developing, and retaining exceptional talent. In 2024, we welcomed thousands of new associates and continued to increase our representation of skills, experiences, and backgrounds among campus, professional, and executive hires. We also invested in the communities in which we live and work, including through significant grants disbursements and the combination of philanthropic support and skills-based associate volunteerism to serve and support nonprofits across our footprint.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57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lef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color w:val="003A5D"/>
          <w:sz w:val="20"/>
        </w:rPr>
      </w:pPr>
      <w:r>
        <w:rPr>
          <w:rFonts w:ascii="arial" w:hAnsi="arial"/>
          <w:b/>
          <w:color w:val="003A5D"/>
          <w:sz w:val="20"/>
        </w:rPr>
        <w:t xml:space="preserve">Company Performance Highlights </w:t>
      </w:r>
    </w:p>
    <w:p>
      <w:pPr>
        <w:pStyle w:val="TextBody"/>
        <w:bidi w:val="0"/>
        <w:spacing w:before="240" w:after="0"/>
        <w:jc w:val="both"/>
        <w:rPr>
          <w:rFonts w:ascii="arial" w:hAnsi="arial"/>
          <w:sz w:val="20"/>
        </w:rPr>
      </w:pPr>
      <w:r>
        <w:rPr>
          <w:rFonts w:ascii="arial" w:hAnsi="arial"/>
          <w:sz w:val="20"/>
        </w:rPr>
        <w:t xml:space="preserve">The tables below show our reported year-over-year performance across select financial metrics (dollar amounts in billions other than per share amounts): </w:t>
      </w:r>
    </w:p>
    <w:p>
      <w:pPr>
        <w:pStyle w:val="TextBody"/>
        <w:bidi w:val="0"/>
        <w:spacing w:before="0" w:after="0"/>
        <w:jc w:val="left"/>
        <w:rPr/>
      </w:pPr>
      <w:r>
        <w:rPr/>
        <w:t> </w:t>
      </w:r>
    </w:p>
    <w:tbl>
      <w:tblPr>
        <w:tblW w:w="8490" w:type="dxa"/>
        <w:jc w:val="left"/>
        <w:tblInd w:w="0" w:type="dxa"/>
        <w:tblLayout w:type="fixed"/>
        <w:tblCellMar>
          <w:top w:w="0" w:type="dxa"/>
          <w:left w:w="0" w:type="dxa"/>
          <w:bottom w:w="0" w:type="dxa"/>
          <w:right w:w="0" w:type="dxa"/>
        </w:tblCellMar>
      </w:tblPr>
      <w:tblGrid>
        <w:gridCol w:w="4185"/>
        <w:gridCol w:w="120"/>
        <w:gridCol w:w="4185"/>
      </w:tblGrid>
      <w:tr>
        <w:trPr/>
        <w:tc>
          <w:tcPr>
            <w:tcW w:w="4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c>
          <w:tcPr>
            <w:tcW w:w="4185" w:type="dxa"/>
            <w:tcBorders/>
            <w:vAlign w:val="center"/>
          </w:tcPr>
          <w:p>
            <w:pPr>
              <w:pStyle w:val="TableContents"/>
              <w:bidi w:val="0"/>
              <w:spacing w:before="0" w:after="283"/>
              <w:jc w:val="center"/>
              <w:rPr>
                <w:b/>
              </w:rPr>
            </w:pPr>
            <w:r>
              <w:rPr>
                <w:b/>
              </w:rPr>
              <w:t>Diluted EPS(2)(3)</w:t>
            </w:r>
          </w:p>
        </w:tc>
        <w:tc>
          <w:tcPr>
            <w:tcW w:w="120" w:type="dxa"/>
            <w:tcBorders/>
            <w:vAlign w:val="center"/>
          </w:tcPr>
          <w:p>
            <w:pPr>
              <w:pStyle w:val="TableContents"/>
              <w:bidi w:val="0"/>
              <w:spacing w:before="0" w:after="283"/>
              <w:jc w:val="left"/>
              <w:rPr/>
            </w:pPr>
            <w:r>
              <w:rPr/>
              <w:t>  </w:t>
            </w:r>
          </w:p>
        </w:tc>
        <w:tc>
          <w:tcPr>
            <w:tcW w:w="4185" w:type="dxa"/>
            <w:tcBorders/>
            <w:vAlign w:val="center"/>
          </w:tcPr>
          <w:p>
            <w:pPr>
              <w:pStyle w:val="TableContents"/>
              <w:bidi w:val="0"/>
              <w:spacing w:before="0" w:after="283"/>
              <w:jc w:val="center"/>
              <w:rPr>
                <w:b/>
              </w:rPr>
            </w:pPr>
            <w:r>
              <w:rPr>
                <w:b/>
              </w:rPr>
              <w:t>Average Loans Held for Investment</w:t>
            </w:r>
          </w:p>
        </w:tc>
      </w:tr>
      <w:tr>
        <w:trPr/>
        <w:tc>
          <w:tcPr>
            <w:tcW w:w="4185" w:type="dxa"/>
            <w:tcBorders/>
            <w:vAlign w:val="center"/>
          </w:tcPr>
          <w:p>
            <w:pPr>
              <w:pStyle w:val="TableContents"/>
              <w:bidi w:val="0"/>
              <w:spacing w:before="0" w:after="283"/>
              <w:jc w:val="left"/>
              <w:rPr>
                <w:sz w:val="4"/>
                <w:szCs w:val="4"/>
              </w:rPr>
            </w:pPr>
            <w:r>
              <w:rPr>
                <w:sz w:val="4"/>
                <w:szCs w:val="4"/>
              </w:rPr>
            </w:r>
          </w:p>
        </w:tc>
        <w:tc>
          <w:tcPr>
            <w:tcW w:w="4305" w:type="dxa"/>
            <w:gridSpan w:val="2"/>
            <w:tcBorders/>
            <w:vAlign w:val="center"/>
          </w:tcPr>
          <w:p>
            <w:pPr>
              <w:pStyle w:val="TableContents"/>
              <w:bidi w:val="0"/>
              <w:spacing w:before="0" w:after="283"/>
              <w:jc w:val="left"/>
              <w:rPr>
                <w:sz w:val="4"/>
                <w:szCs w:val="4"/>
              </w:rPr>
            </w:pPr>
            <w:r>
              <w:rPr>
                <w:sz w:val="4"/>
                <w:szCs w:val="4"/>
              </w:rPr>
            </w:r>
          </w:p>
        </w:tc>
      </w:tr>
      <w:tr>
        <w:trPr/>
        <w:tc>
          <w:tcPr>
            <w:tcW w:w="4185" w:type="dxa"/>
            <w:tcBorders/>
            <w:vAlign w:val="center"/>
          </w:tcPr>
          <w:p>
            <w:pPr>
              <w:pStyle w:val="TableContents"/>
              <w:bidi w:val="0"/>
              <w:spacing w:before="0" w:after="283"/>
              <w:jc w:val="center"/>
              <w:rPr/>
            </w:pPr>
            <w:r>
              <w:rPr/>
              <w:drawing>
                <wp:inline distT="0" distB="0" distL="0" distR="0">
                  <wp:extent cx="2607945" cy="1689735"/>
                  <wp:effectExtent l="0" t="0" r="0" b="0"/>
                  <wp:docPr id="6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5" descr=""/>
                          <pic:cNvPicPr>
                            <a:picLocks noChangeAspect="1" noChangeArrowheads="1"/>
                          </pic:cNvPicPr>
                        </pic:nvPicPr>
                        <pic:blipFill>
                          <a:blip r:embed="rId56"/>
                          <a:stretch>
                            <a:fillRect/>
                          </a:stretch>
                        </pic:blipFill>
                        <pic:spPr bwMode="auto">
                          <a:xfrm>
                            <a:off x="0" y="0"/>
                            <a:ext cx="2607945" cy="168973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85" w:type="dxa"/>
            <w:tcBorders/>
            <w:vAlign w:val="center"/>
          </w:tcPr>
          <w:p>
            <w:pPr>
              <w:pStyle w:val="TableContents"/>
              <w:bidi w:val="0"/>
              <w:spacing w:before="0" w:after="283"/>
              <w:jc w:val="center"/>
              <w:rPr/>
            </w:pPr>
            <w:r>
              <w:rPr/>
              <w:drawing>
                <wp:inline distT="0" distB="0" distL="0" distR="0">
                  <wp:extent cx="2609850" cy="1723390"/>
                  <wp:effectExtent l="0" t="0" r="0" b="0"/>
                  <wp:docPr id="6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6" descr=""/>
                          <pic:cNvPicPr>
                            <a:picLocks noChangeAspect="1" noChangeArrowheads="1"/>
                          </pic:cNvPicPr>
                        </pic:nvPicPr>
                        <pic:blipFill>
                          <a:blip r:embed="rId57"/>
                          <a:stretch>
                            <a:fillRect/>
                          </a:stretch>
                        </pic:blipFill>
                        <pic:spPr bwMode="auto">
                          <a:xfrm>
                            <a:off x="0" y="0"/>
                            <a:ext cx="2609850" cy="1723390"/>
                          </a:xfrm>
                          <a:prstGeom prst="rect">
                            <a:avLst/>
                          </a:prstGeom>
                        </pic:spPr>
                      </pic:pic>
                    </a:graphicData>
                  </a:graphic>
                </wp:inline>
              </w:drawing>
            </w:r>
            <w:r>
              <w:rPr/>
              <w:t xml:space="preserve"> </w:t>
            </w:r>
          </w:p>
        </w:tc>
      </w:tr>
      <w:tr>
        <w:trPr/>
        <w:tc>
          <w:tcPr>
            <w:tcW w:w="418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b/>
                <w:sz w:val="20"/>
              </w:rPr>
            </w:pPr>
            <w:r>
              <w:rPr>
                <w:rFonts w:ascii="arial" w:hAnsi="arial"/>
                <w:b/>
                <w:sz w:val="20"/>
              </w:rPr>
              <w:t>Net Revenue</w:t>
            </w:r>
          </w:p>
        </w:tc>
        <w:tc>
          <w:tcPr>
            <w:tcW w:w="120" w:type="dxa"/>
            <w:tcBorders/>
            <w:vAlign w:val="center"/>
          </w:tcPr>
          <w:p>
            <w:pPr>
              <w:pStyle w:val="TableContents"/>
              <w:bidi w:val="0"/>
              <w:spacing w:before="0" w:after="283"/>
              <w:jc w:val="left"/>
              <w:rPr/>
            </w:pPr>
            <w:r>
              <w:rPr/>
              <w:t>  </w:t>
            </w:r>
          </w:p>
        </w:tc>
        <w:tc>
          <w:tcPr>
            <w:tcW w:w="418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b/>
                <w:sz w:val="20"/>
              </w:rPr>
            </w:pPr>
            <w:r>
              <w:rPr>
                <w:rFonts w:ascii="arial" w:hAnsi="arial"/>
                <w:b/>
                <w:sz w:val="20"/>
              </w:rPr>
              <w:t>Operating Efficiency Ratio(1)(2)(3)</w:t>
            </w:r>
          </w:p>
        </w:tc>
      </w:tr>
      <w:tr>
        <w:trPr/>
        <w:tc>
          <w:tcPr>
            <w:tcW w:w="4185" w:type="dxa"/>
            <w:tcBorders/>
            <w:vAlign w:val="center"/>
          </w:tcPr>
          <w:p>
            <w:pPr>
              <w:pStyle w:val="TableContents"/>
              <w:bidi w:val="0"/>
              <w:spacing w:before="0" w:after="283"/>
              <w:jc w:val="left"/>
              <w:rPr>
                <w:sz w:val="4"/>
                <w:szCs w:val="4"/>
              </w:rPr>
            </w:pPr>
            <w:r>
              <w:rPr>
                <w:sz w:val="4"/>
                <w:szCs w:val="4"/>
              </w:rPr>
            </w:r>
          </w:p>
        </w:tc>
        <w:tc>
          <w:tcPr>
            <w:tcW w:w="4305" w:type="dxa"/>
            <w:gridSpan w:val="2"/>
            <w:tcBorders/>
            <w:vAlign w:val="center"/>
          </w:tcPr>
          <w:p>
            <w:pPr>
              <w:pStyle w:val="TableContents"/>
              <w:bidi w:val="0"/>
              <w:spacing w:before="0" w:after="283"/>
              <w:jc w:val="left"/>
              <w:rPr>
                <w:sz w:val="4"/>
                <w:szCs w:val="4"/>
              </w:rPr>
            </w:pPr>
            <w:r>
              <w:rPr>
                <w:sz w:val="4"/>
                <w:szCs w:val="4"/>
              </w:rPr>
            </w:r>
          </w:p>
        </w:tc>
      </w:tr>
      <w:tr>
        <w:trPr/>
        <w:tc>
          <w:tcPr>
            <w:tcW w:w="4185" w:type="dxa"/>
            <w:tcBorders/>
            <w:vAlign w:val="center"/>
          </w:tcPr>
          <w:p>
            <w:pPr>
              <w:pStyle w:val="TableContents"/>
              <w:bidi w:val="0"/>
              <w:spacing w:before="0" w:after="283"/>
              <w:jc w:val="center"/>
              <w:rPr/>
            </w:pPr>
            <w:r>
              <w:rPr/>
              <w:drawing>
                <wp:inline distT="0" distB="0" distL="0" distR="0">
                  <wp:extent cx="2609850" cy="1798320"/>
                  <wp:effectExtent l="0" t="0" r="0" b="0"/>
                  <wp:docPr id="6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7" descr=""/>
                          <pic:cNvPicPr>
                            <a:picLocks noChangeAspect="1" noChangeArrowheads="1"/>
                          </pic:cNvPicPr>
                        </pic:nvPicPr>
                        <pic:blipFill>
                          <a:blip r:embed="rId58"/>
                          <a:stretch>
                            <a:fillRect/>
                          </a:stretch>
                        </pic:blipFill>
                        <pic:spPr bwMode="auto">
                          <a:xfrm>
                            <a:off x="0" y="0"/>
                            <a:ext cx="2609850" cy="179832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85" w:type="dxa"/>
            <w:tcBorders/>
            <w:vAlign w:val="center"/>
          </w:tcPr>
          <w:p>
            <w:pPr>
              <w:pStyle w:val="TableContents"/>
              <w:bidi w:val="0"/>
              <w:spacing w:before="0" w:after="283"/>
              <w:jc w:val="center"/>
              <w:rPr/>
            </w:pPr>
            <w:r>
              <w:rPr/>
              <w:drawing>
                <wp:inline distT="0" distB="0" distL="0" distR="0">
                  <wp:extent cx="2609850" cy="1693545"/>
                  <wp:effectExtent l="0" t="0" r="0" b="0"/>
                  <wp:docPr id="6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8" descr=""/>
                          <pic:cNvPicPr>
                            <a:picLocks noChangeAspect="1" noChangeArrowheads="1"/>
                          </pic:cNvPicPr>
                        </pic:nvPicPr>
                        <pic:blipFill>
                          <a:blip r:embed="rId59"/>
                          <a:stretch>
                            <a:fillRect/>
                          </a:stretch>
                        </pic:blipFill>
                        <pic:spPr bwMode="auto">
                          <a:xfrm>
                            <a:off x="0" y="0"/>
                            <a:ext cx="2609850" cy="1693545"/>
                          </a:xfrm>
                          <a:prstGeom prst="rect">
                            <a:avLst/>
                          </a:prstGeom>
                        </pic:spPr>
                      </pic:pic>
                    </a:graphicData>
                  </a:graphic>
                </wp:inline>
              </w:drawing>
            </w:r>
            <w:r>
              <w:rPr/>
              <w:t xml:space="preserve"> </w:t>
            </w:r>
          </w:p>
        </w:tc>
      </w:tr>
      <w:tr>
        <w:trPr/>
        <w:tc>
          <w:tcPr>
            <w:tcW w:w="418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b/>
                <w:sz w:val="20"/>
              </w:rPr>
            </w:pPr>
            <w:r>
              <w:rPr>
                <w:rFonts w:ascii="arial" w:hAnsi="arial"/>
                <w:b/>
                <w:sz w:val="20"/>
              </w:rPr>
              <w:t>ROTCE(4)</w:t>
            </w:r>
          </w:p>
        </w:tc>
        <w:tc>
          <w:tcPr>
            <w:tcW w:w="120" w:type="dxa"/>
            <w:tcBorders/>
            <w:vAlign w:val="center"/>
          </w:tcPr>
          <w:p>
            <w:pPr>
              <w:pStyle w:val="TableContents"/>
              <w:bidi w:val="0"/>
              <w:spacing w:before="0" w:after="283"/>
              <w:jc w:val="left"/>
              <w:rPr/>
            </w:pPr>
            <w:r>
              <w:rPr/>
              <w:t>  </w:t>
            </w:r>
          </w:p>
        </w:tc>
        <w:tc>
          <w:tcPr>
            <w:tcW w:w="418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b/>
                <w:sz w:val="20"/>
              </w:rPr>
            </w:pPr>
            <w:r>
              <w:rPr>
                <w:rFonts w:ascii="arial" w:hAnsi="arial"/>
                <w:b/>
                <w:sz w:val="20"/>
              </w:rPr>
              <w:t>Tangible Book Value / Common Share(6)</w:t>
            </w:r>
          </w:p>
        </w:tc>
      </w:tr>
      <w:tr>
        <w:trPr/>
        <w:tc>
          <w:tcPr>
            <w:tcW w:w="4185" w:type="dxa"/>
            <w:tcBorders/>
            <w:vAlign w:val="center"/>
          </w:tcPr>
          <w:p>
            <w:pPr>
              <w:pStyle w:val="TableContents"/>
              <w:bidi w:val="0"/>
              <w:spacing w:before="0" w:after="283"/>
              <w:jc w:val="left"/>
              <w:rPr>
                <w:sz w:val="4"/>
                <w:szCs w:val="4"/>
              </w:rPr>
            </w:pPr>
            <w:r>
              <w:rPr>
                <w:sz w:val="4"/>
                <w:szCs w:val="4"/>
              </w:rPr>
            </w:r>
          </w:p>
        </w:tc>
        <w:tc>
          <w:tcPr>
            <w:tcW w:w="4305" w:type="dxa"/>
            <w:gridSpan w:val="2"/>
            <w:tcBorders/>
            <w:vAlign w:val="center"/>
          </w:tcPr>
          <w:p>
            <w:pPr>
              <w:pStyle w:val="TableContents"/>
              <w:bidi w:val="0"/>
              <w:spacing w:before="0" w:after="283"/>
              <w:jc w:val="left"/>
              <w:rPr>
                <w:sz w:val="4"/>
                <w:szCs w:val="4"/>
              </w:rPr>
            </w:pPr>
            <w:r>
              <w:rPr>
                <w:sz w:val="4"/>
                <w:szCs w:val="4"/>
              </w:rPr>
            </w:r>
          </w:p>
        </w:tc>
      </w:tr>
      <w:tr>
        <w:trPr/>
        <w:tc>
          <w:tcPr>
            <w:tcW w:w="4185" w:type="dxa"/>
            <w:tcBorders/>
            <w:vAlign w:val="center"/>
          </w:tcPr>
          <w:p>
            <w:pPr>
              <w:pStyle w:val="TableContents"/>
              <w:bidi w:val="0"/>
              <w:spacing w:before="0" w:after="283"/>
              <w:jc w:val="center"/>
              <w:rPr/>
            </w:pPr>
            <w:r>
              <w:rPr/>
              <w:drawing>
                <wp:inline distT="0" distB="0" distL="0" distR="0">
                  <wp:extent cx="2609850" cy="1491615"/>
                  <wp:effectExtent l="0" t="0" r="0" b="0"/>
                  <wp:docPr id="6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9" descr=""/>
                          <pic:cNvPicPr>
                            <a:picLocks noChangeAspect="1" noChangeArrowheads="1"/>
                          </pic:cNvPicPr>
                        </pic:nvPicPr>
                        <pic:blipFill>
                          <a:blip r:embed="rId60"/>
                          <a:stretch>
                            <a:fillRect/>
                          </a:stretch>
                        </pic:blipFill>
                        <pic:spPr bwMode="auto">
                          <a:xfrm>
                            <a:off x="0" y="0"/>
                            <a:ext cx="2609850" cy="149161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85" w:type="dxa"/>
            <w:tcBorders/>
            <w:vAlign w:val="center"/>
          </w:tcPr>
          <w:p>
            <w:pPr>
              <w:pStyle w:val="TableContents"/>
              <w:bidi w:val="0"/>
              <w:jc w:val="right"/>
              <w:rPr>
                <w:color w:val="FFFFFF"/>
                <w:sz w:val="2"/>
              </w:rPr>
            </w:pPr>
            <w:r>
              <w:rPr>
                <w:color w:val="FFFFFF"/>
                <w:sz w:val="2"/>
              </w:rPr>
              <w:t xml:space="preserve">Diluted EPS (1)(3) Reported Results Adjusted Results $17.91 $17.71 2022 $11.95 $12.52 2023 $11.59 $13.96 2024 Average Loans Held for investment $292.2 2022 $311.5 2023 $317.4 2024 Net Revenue $34.3 2022 $36.8 2023 $39.1 2024 Operating Efficiency Ratio (1)(2)(3) Reported Results Adjusted Results 44.2% 44.5% 2022 44.3% 43.5% 2023 43.3% 42.4% 2024 ROTCE (4) 19.9% 2022 13.0% 2023 11.2% 2024 Tangible Book Value / Common Share (6) $86.11 2022 $99.78 2023 $106.97 2024 </w:t>
            </w:r>
          </w:p>
          <w:p>
            <w:pPr>
              <w:pStyle w:val="TableContents"/>
              <w:bidi w:val="0"/>
              <w:spacing w:before="0" w:after="20"/>
              <w:jc w:val="center"/>
              <w:rPr/>
            </w:pPr>
            <w:r>
              <w:rPr/>
              <w:drawing>
                <wp:inline distT="0" distB="0" distL="0" distR="0">
                  <wp:extent cx="2603500" cy="1550035"/>
                  <wp:effectExtent l="0" t="0" r="0" b="0"/>
                  <wp:docPr id="6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0" descr=""/>
                          <pic:cNvPicPr>
                            <a:picLocks noChangeAspect="1" noChangeArrowheads="1"/>
                          </pic:cNvPicPr>
                        </pic:nvPicPr>
                        <pic:blipFill>
                          <a:blip r:embed="rId61"/>
                          <a:stretch>
                            <a:fillRect/>
                          </a:stretch>
                        </pic:blipFill>
                        <pic:spPr bwMode="auto">
                          <a:xfrm>
                            <a:off x="0" y="0"/>
                            <a:ext cx="2603500" cy="1550035"/>
                          </a:xfrm>
                          <a:prstGeom prst="rect">
                            <a:avLst/>
                          </a:prstGeom>
                        </pic:spPr>
                      </pic:pic>
                    </a:graphicData>
                  </a:graphic>
                </wp:inline>
              </w:drawing>
            </w:r>
            <w:r>
              <w:rPr/>
              <w:t xml:space="preserve"> </w:t>
            </w:r>
          </w:p>
        </w:tc>
      </w:tr>
    </w:tbl>
    <w:p>
      <w:pPr>
        <w:pStyle w:val="TextBody"/>
        <w:bidi w:val="0"/>
        <w:jc w:val="both"/>
        <w:rPr>
          <w:rFonts w:ascii="arial" w:hAnsi="arial"/>
          <w:color w:val="FFFFFF"/>
          <w:sz w:val="2"/>
        </w:rPr>
      </w:pPr>
      <w:r>
        <w:rPr>
          <w:rFonts w:ascii="arial" w:hAnsi="arial"/>
          <w:color w:val="FFFFFF"/>
          <w:sz w:val="2"/>
        </w:rPr>
        <w:t xml:space="preserve">Diluted EPS(2)(3) Reported Results Adjusted Results $26.94 $27.11 $17.91 $17.71 $11.95 $12.52 2021 2022 2023 Average Loans Held for Investment $252.7 $292.2 $311.5 2021 2022 2023 Net Revenue $30.4 $34.3 $36.8 2021 2022 2023 Operating Efficiency Ratio(1)(2)(3) Reported Results Adjusted Results 45.0% 44.7% 44.2% 44.5% 44.3% 43.5% 2021 2022 2023 ROTCE(2)(4) 28.4% 19.9% 13.0% 2021 2022 2023 Tangible Book Value / Common Share(2)(5) 9.74 $86.11 $99.78 2021 2022 2023 </w:t>
      </w:r>
    </w:p>
    <w:p>
      <w:pPr>
        <w:pStyle w:val="TextBody"/>
        <w:bidi w:val="0"/>
        <w:spacing w:before="240" w:after="0"/>
        <w:jc w:val="both"/>
        <w:rPr>
          <w:rFonts w:ascii="arial" w:hAnsi="arial"/>
          <w:sz w:val="20"/>
        </w:rPr>
      </w:pPr>
      <w:r>
        <w:rPr>
          <w:rFonts w:ascii="arial" w:hAnsi="arial"/>
          <w:sz w:val="20"/>
        </w:rPr>
        <w:t xml:space="preserve">The Committee and the Independent Directors specifically considered the following quantitative and qualitative Company performance when awarding NEO compensation for the 2024 performance year(2):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Net Revenue</w:t>
            </w:r>
            <w:r>
              <w:rPr>
                <w:rFonts w:ascii="arial" w:hAnsi="arial"/>
                <w:sz w:val="20"/>
              </w:rPr>
              <w:t xml:space="preserve"> of $39.1 billion, an increase of 6% from 2023, driven by strong loan growth in Domestic Card. Total loans as of December 31, 2024 were $328 billion, an increase of 2% from 2023. </w:t>
            </w:r>
          </w:p>
        </w:tc>
      </w:tr>
    </w:tbl>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75"/>
        <w:gridCol w:w="215"/>
        <w:gridCol w:w="60"/>
        <w:gridCol w:w="534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both"/>
              <w:rPr>
                <w:rFonts w:ascii="arial" w:hAnsi="arial"/>
                <w:sz w:val="20"/>
              </w:rPr>
            </w:pPr>
            <w:r>
              <w:rPr>
                <w:rFonts w:ascii="arial" w:hAnsi="arial"/>
                <w:b/>
                <w:color w:val="003A5D"/>
                <w:sz w:val="20"/>
              </w:rPr>
              <w:t>Net Interest Margin</w:t>
            </w:r>
            <w:r>
              <w:rPr>
                <w:rFonts w:ascii="arial" w:hAnsi="arial"/>
                <w:sz w:val="20"/>
              </w:rPr>
              <w:t xml:space="preserve"> of 6.88%, a 25 bps increase from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Operating Efficiency Ratio</w:t>
            </w:r>
            <w:r>
              <w:rPr>
                <w:rFonts w:ascii="arial" w:hAnsi="arial"/>
                <w:b/>
                <w:color w:val="003A5D"/>
                <w:sz w:val="13"/>
              </w:rPr>
              <w:t>(1)</w:t>
            </w:r>
            <w:r>
              <w:rPr>
                <w:rFonts w:ascii="arial" w:hAnsi="arial"/>
                <w:sz w:val="20"/>
              </w:rPr>
              <w:t xml:space="preserve"> of 43.3%, an improvement from 44.3% in 2023. Adjusted operating efficiency ratio(2)(3) improved to 42.4% in 2024 from 43.5% in 2023. </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58 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right"/>
              <w:rPr>
                <w:b/>
                <w:color w:val="003A5D"/>
              </w:rPr>
            </w:pPr>
            <w:r>
              <w:rPr>
                <w:b/>
                <w:color w:val="003A5D"/>
              </w:rPr>
              <w:t>Section V - Compensation Discussion and Analysis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Efficiency Ratio(1)</w:t>
            </w:r>
            <w:r>
              <w:rPr>
                <w:rFonts w:ascii="arial" w:hAnsi="arial"/>
                <w:sz w:val="20"/>
              </w:rPr>
              <w:t xml:space="preserve"> of 54.9% in 2024, an improvement from 55.2% in 2023 despite an increase in our marketing investments. Adjusted efficiency ratio(2)(3) was 54.0% in 2024 compared to 54.4% in 2023. </w:t>
            </w:r>
          </w:p>
        </w:tc>
      </w:tr>
    </w:tbl>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5"/>
        <w:gridCol w:w="215"/>
        <w:gridCol w:w="60"/>
        <w:gridCol w:w="818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0"/>
              <w:jc w:val="both"/>
              <w:rPr>
                <w:rFonts w:ascii="arial" w:hAnsi="arial"/>
                <w:sz w:val="20"/>
              </w:rPr>
            </w:pPr>
            <w:r>
              <w:rPr>
                <w:rFonts w:ascii="arial" w:hAnsi="arial"/>
                <w:b/>
                <w:color w:val="003A5D"/>
                <w:sz w:val="20"/>
              </w:rPr>
              <w:t>Diluted EPS</w:t>
            </w:r>
            <w:r>
              <w:rPr>
                <w:rFonts w:ascii="arial" w:hAnsi="arial"/>
                <w:sz w:val="20"/>
              </w:rPr>
              <w:t xml:space="preserve"> of $11.59. Adjusted diluted EPS(2)(3) of $13.96, an increase of 12% from 2023. </w:t>
            </w:r>
          </w:p>
        </w:tc>
      </w:tr>
    </w:tbl>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75"/>
        <w:gridCol w:w="215"/>
        <w:gridCol w:w="60"/>
        <w:gridCol w:w="440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both"/>
              <w:rPr>
                <w:rFonts w:ascii="arial" w:hAnsi="arial"/>
                <w:sz w:val="20"/>
              </w:rPr>
            </w:pPr>
            <w:r>
              <w:rPr>
                <w:rFonts w:ascii="arial" w:hAnsi="arial"/>
                <w:b/>
                <w:color w:val="003A5D"/>
                <w:sz w:val="20"/>
              </w:rPr>
              <w:t>ROTCE(4)</w:t>
            </w:r>
            <w:r>
              <w:rPr>
                <w:rFonts w:ascii="arial" w:hAnsi="arial"/>
                <w:sz w:val="20"/>
              </w:rPr>
              <w:t xml:space="preserve"> of 11.2%, compared to 13.0% in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Potential Acquisition of Discover.</w:t>
            </w:r>
            <w:r>
              <w:rPr>
                <w:rFonts w:ascii="arial" w:hAnsi="arial"/>
                <w:color w:val="003A5D"/>
                <w:sz w:val="20"/>
              </w:rPr>
              <w:t xml:space="preserve"> </w:t>
            </w:r>
            <w:r>
              <w:rPr>
                <w:rFonts w:ascii="arial" w:hAnsi="arial"/>
                <w:sz w:val="20"/>
              </w:rPr>
              <w:t xml:space="preserve">We announced the Discover Transaction in February 2024 with strong market and investor reaction.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Strong Liquidity and Capital Management</w:t>
            </w:r>
            <w:r>
              <w:rPr>
                <w:rFonts w:ascii="arial" w:hAnsi="arial"/>
                <w:color w:val="003A5D"/>
                <w:sz w:val="20"/>
              </w:rPr>
              <w:t xml:space="preserve"> </w:t>
            </w:r>
            <w:r>
              <w:rPr>
                <w:rFonts w:ascii="arial" w:hAnsi="arial"/>
                <w:sz w:val="20"/>
              </w:rPr>
              <w:t xml:space="preserve">with continued balance sheet strength. Total deposits of $363 billion, an increase of 4% from 2023, with approximately 82% of total deposits being FDIC insured. Common equity Tier 1 capital ratio(5) was at 13.5% at year end, an increase from 12.9% in 2023 and significantly above regulatory requirements.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Strong Credit Risk Management</w:t>
            </w:r>
            <w:r>
              <w:rPr>
                <w:rFonts w:ascii="arial" w:hAnsi="arial"/>
                <w:color w:val="003A5D"/>
                <w:sz w:val="20"/>
              </w:rPr>
              <w:t xml:space="preserve"> </w:t>
            </w:r>
            <w:r>
              <w:rPr>
                <w:rFonts w:ascii="arial" w:hAnsi="arial"/>
                <w:sz w:val="20"/>
              </w:rPr>
              <w:t xml:space="preserve">with a net charge-off rate of 3.4%, compared to 2.7% in 2023. Business line credit trends in Card, Auto, and Commercial were favorable to market and industry peers, primarily as a result of management’s choices and actions to successfully navigate the pandemic and post-pandemic credit environment. </w:t>
            </w:r>
          </w:p>
        </w:tc>
      </w:tr>
    </w:tbl>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75"/>
        <w:gridCol w:w="215"/>
        <w:gridCol w:w="60"/>
        <w:gridCol w:w="884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0"/>
              <w:jc w:val="both"/>
              <w:rPr>
                <w:rFonts w:ascii="arial" w:hAnsi="arial"/>
                <w:sz w:val="20"/>
              </w:rPr>
            </w:pPr>
            <w:r>
              <w:rPr>
                <w:rFonts w:ascii="arial" w:hAnsi="arial"/>
                <w:b/>
                <w:color w:val="003A5D"/>
                <w:sz w:val="20"/>
              </w:rPr>
              <w:t>Tangible Book Value Per Common Share(6)</w:t>
            </w:r>
            <w:r>
              <w:rPr>
                <w:rFonts w:ascii="arial" w:hAnsi="arial"/>
                <w:sz w:val="20"/>
              </w:rPr>
              <w:t xml:space="preserve"> was $106.97, an increase of 7% from $99.78 in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TSR</w:t>
            </w:r>
            <w:r>
              <w:rPr>
                <w:rFonts w:ascii="arial" w:hAnsi="arial"/>
                <w:color w:val="003A5D"/>
                <w:sz w:val="20"/>
              </w:rPr>
              <w:t xml:space="preserve"> </w:t>
            </w:r>
            <w:r>
              <w:rPr>
                <w:rFonts w:ascii="arial" w:hAnsi="arial"/>
                <w:sz w:val="20"/>
              </w:rPr>
              <w:t xml:space="preserve">of 38.3% for the one-year period ended December 31, 2024, outpacing the KBW Bank Index TSR of 37.2%, and the S&amp;P 500 TSR of 25%. Capital One’s three-year and five-year TSR for the periods ended December 31, 2024 were 30.4%, and 89.4%, respectively, significantly outperforming the TSR of the KBW Bank Index, which was 6.9%, and 32.6% over the same time periods.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Strong Enterprise Risk Management.</w:t>
            </w:r>
            <w:r>
              <w:rPr>
                <w:rFonts w:ascii="arial" w:hAnsi="arial"/>
                <w:sz w:val="20"/>
              </w:rPr>
              <w:t xml:space="preserve"> We continued to deliver high-quality foundational risk management activities and achieve strong results on our critical regulatory exams and engagements.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Customer Service and Advocacy.</w:t>
            </w:r>
            <w:r>
              <w:rPr>
                <w:rFonts w:ascii="arial" w:hAnsi="arial"/>
                <w:sz w:val="20"/>
              </w:rPr>
              <w:t xml:space="preserve"> We continued to enjoy strong customer advocacy; high Net Promoter Scores across our businesses, products and digital experiences; and earn external accolades for our customer service.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0"/>
              <w:jc w:val="both"/>
              <w:rPr>
                <w:rFonts w:ascii="arial" w:hAnsi="arial"/>
                <w:sz w:val="16"/>
              </w:rPr>
            </w:pPr>
            <w:r>
              <w:rPr>
                <w:rFonts w:ascii="arial" w:hAnsi="arial"/>
                <w:sz w:val="16"/>
              </w:rPr>
              <w:t xml:space="preserve">Operating efficiency ratio is calculated based on operating expense for the period divided by total net revenue for the period and reflects as-reported results in accordance with GAAP. Efficiency ratio is calculated based on total non-interest expense for the period divided by total net revenue for the period and reflects as-reported results in accordance with GAAP.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(2)</w:t>
            </w:r>
          </w:p>
        </w:tc>
        <w:tc>
          <w:tcPr>
            <w:tcW w:w="9959" w:type="dxa"/>
            <w:tcBorders/>
            <w:vAlign w:val="center"/>
          </w:tcPr>
          <w:p>
            <w:pPr>
              <w:pStyle w:val="TableContents"/>
              <w:bidi w:val="0"/>
              <w:spacing w:before="0" w:after="0"/>
              <w:jc w:val="both"/>
              <w:rPr>
                <w:rFonts w:ascii="arial" w:hAnsi="arial"/>
                <w:sz w:val="16"/>
              </w:rPr>
            </w:pPr>
            <w:r>
              <w:rPr>
                <w:rFonts w:ascii="arial" w:hAnsi="arial"/>
                <w:sz w:val="16"/>
              </w:rPr>
              <w:t xml:space="preserve">The Committee considers these metrics to be key financial performance measures in its assessment of the Company’s performance, including certain non-GAAP measures. We believe our non-GAAP measures help investors and other users of our financial information understand the effect of adjusting items on our selected reported results. These measures may not be comparable to similarly titled measures reported by other companies. See Appendix A for our definition and reconciliation of these non-GAAP measures to the applicable amounts measured in accordance with GAAP.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(3)</w:t>
            </w:r>
          </w:p>
        </w:tc>
        <w:tc>
          <w:tcPr>
            <w:tcW w:w="9935" w:type="dxa"/>
            <w:tcBorders/>
            <w:vAlign w:val="center"/>
          </w:tcPr>
          <w:p>
            <w:pPr>
              <w:pStyle w:val="TableContents"/>
              <w:bidi w:val="0"/>
              <w:spacing w:before="0" w:after="0"/>
              <w:jc w:val="both"/>
              <w:rPr>
                <w:rFonts w:ascii="arial" w:hAnsi="arial"/>
                <w:sz w:val="16"/>
              </w:rPr>
            </w:pPr>
            <w:r>
              <w:rPr>
                <w:rFonts w:ascii="arial" w:hAnsi="arial"/>
                <w:sz w:val="16"/>
              </w:rPr>
              <w:t xml:space="preserve">Adjusted diluted EPS, adjusted operating efficiency ratio, and adjusted efficiency ratio are non-GAAP measures. See Appendix A for our reconciliation of these non-GAAP measures to the applicable amounts measured in accordance with GAAP.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(4)</w:t>
            </w:r>
          </w:p>
        </w:tc>
        <w:tc>
          <w:tcPr>
            <w:tcW w:w="9964" w:type="dxa"/>
            <w:tcBorders/>
            <w:vAlign w:val="center"/>
          </w:tcPr>
          <w:p>
            <w:pPr>
              <w:pStyle w:val="TableContents"/>
              <w:bidi w:val="0"/>
              <w:spacing w:before="0" w:after="0"/>
              <w:jc w:val="both"/>
              <w:rPr>
                <w:rFonts w:ascii="arial" w:hAnsi="arial"/>
                <w:sz w:val="16"/>
              </w:rPr>
            </w:pPr>
            <w:r>
              <w:rPr>
                <w:rFonts w:ascii="arial" w:hAnsi="arial"/>
                <w:sz w:val="16"/>
              </w:rPr>
              <w:t xml:space="preserve">ROTCE is a non-GAAP measure calculated based on annualized net income (loss) available to common stockholders less income (loss) from discontinued operations, net of tax, for the period, divided by average tangible common equity. We consider this metric to be a key financial performance measure that management uses in assessing capital adequacy and the level of returns generated. While this non-GAAP measure is widely used by investors, analysts, and bank regulatory agencies to assess the operating performance and capital position of financial services companies, it may not be comparable to similarly-titled measures reported by other companies. See Appendix A for our reconciliation of this non-GAAP measure to the applicable amounts measured in accordance with GAAP.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(5)</w:t>
            </w:r>
          </w:p>
        </w:tc>
        <w:tc>
          <w:tcPr>
            <w:tcW w:w="9908" w:type="dxa"/>
            <w:tcBorders/>
            <w:vAlign w:val="center"/>
          </w:tcPr>
          <w:p>
            <w:pPr>
              <w:pStyle w:val="TableContents"/>
              <w:bidi w:val="0"/>
              <w:spacing w:before="0" w:after="0"/>
              <w:jc w:val="both"/>
              <w:rPr>
                <w:rFonts w:ascii="arial" w:hAnsi="arial"/>
                <w:sz w:val="16"/>
              </w:rPr>
            </w:pPr>
            <w:r>
              <w:rPr>
                <w:rFonts w:ascii="arial" w:hAnsi="arial"/>
                <w:sz w:val="16"/>
              </w:rPr>
              <w:t xml:space="preserve">Common equity Tier 1 capital ratio is a regulatory capital measure calculated based on common equity Tier 1 capital divided by risk-weighted assets.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(6)</w:t>
            </w:r>
          </w:p>
        </w:tc>
        <w:tc>
          <w:tcPr>
            <w:tcW w:w="9962" w:type="dxa"/>
            <w:tcBorders/>
            <w:vAlign w:val="center"/>
          </w:tcPr>
          <w:p>
            <w:pPr>
              <w:pStyle w:val="TableContents"/>
              <w:bidi w:val="0"/>
              <w:spacing w:before="0" w:after="0"/>
              <w:jc w:val="both"/>
              <w:rPr>
                <w:rFonts w:ascii="arial" w:hAnsi="arial"/>
                <w:sz w:val="16"/>
              </w:rPr>
            </w:pPr>
            <w:r>
              <w:rPr>
                <w:rFonts w:ascii="arial" w:hAnsi="arial"/>
                <w:sz w:val="16"/>
              </w:rPr>
              <w:t xml:space="preserve">Tangible book value per common share is a non-GAAP measure calculated based on tangible common equity divided by common shares outstanding. We consider this metric to be a key financial performance measure that management uses in assessing capital adequacy and the level of returns generated. While this non-GAAP measure is widely used by investors, analysts and bank regulatory agencies to assess the operating performance and capital position of financial services companies, it may not be comparable to similarly-titled measures reported by other companies. See Appendix A for our reconciliation of this non-GAAP measure to the applicable amounts measured in accordance with GAAP.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59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lef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color w:val="003A5D"/>
          <w:sz w:val="20"/>
        </w:rPr>
      </w:pPr>
      <w:r>
        <w:rPr>
          <w:rFonts w:ascii="arial" w:hAnsi="arial"/>
          <w:b/>
          <w:color w:val="003A5D"/>
          <w:sz w:val="20"/>
        </w:rPr>
        <w:t xml:space="preserve">Compensation Highlights </w:t>
      </w:r>
    </w:p>
    <w:p>
      <w:pPr>
        <w:pStyle w:val="TextBody"/>
        <w:bidi w:val="0"/>
        <w:spacing w:before="240" w:after="0"/>
        <w:jc w:val="both"/>
        <w:rPr>
          <w:rFonts w:ascii="arial" w:hAnsi="arial"/>
          <w:sz w:val="20"/>
        </w:rPr>
      </w:pPr>
      <w:r>
        <w:rPr>
          <w:rFonts w:ascii="arial" w:hAnsi="arial"/>
          <w:sz w:val="20"/>
        </w:rPr>
        <w:t xml:space="preserve">We believe that our NEO compensation programs balance risk and financial results, reward NEOs for their achievements, promote our overall compensation objectives, and encourage appropriate but not excessive risk-taking. Our compensation programs are structured to encourage our executives to deliver strong results over the short-term while making decisions that create sustained value for our stockholders over the long term.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113"/>
        <w:gridCol w:w="120"/>
        <w:gridCol w:w="4972"/>
      </w:tblGrid>
      <w:tr>
        <w:trPr/>
        <w:tc>
          <w:tcPr>
            <w:tcW w:w="51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72" w:type="dxa"/>
            <w:tcBorders/>
            <w:vAlign w:val="center"/>
          </w:tcPr>
          <w:p>
            <w:pPr>
              <w:pStyle w:val="TableContents"/>
              <w:bidi w:val="0"/>
              <w:spacing w:before="0" w:after="283"/>
              <w:jc w:val="left"/>
              <w:rPr>
                <w:sz w:val="4"/>
                <w:szCs w:val="4"/>
              </w:rPr>
            </w:pPr>
            <w:r>
              <w:rPr>
                <w:sz w:val="4"/>
                <w:szCs w:val="4"/>
              </w:rPr>
            </w:r>
          </w:p>
        </w:tc>
      </w:tr>
      <w:tr>
        <w:trPr/>
        <w:tc>
          <w:tcPr>
            <w:tcW w:w="5113" w:type="dxa"/>
            <w:tcBorders/>
            <w:vAlign w:val="center"/>
          </w:tcPr>
          <w:p>
            <w:pPr>
              <w:pStyle w:val="TableContents"/>
              <w:bidi w:val="0"/>
              <w:spacing w:before="0" w:after="283"/>
              <w:jc w:val="center"/>
              <w:rPr>
                <w:b/>
              </w:rPr>
            </w:pPr>
            <w:r>
              <w:rPr>
                <w:b/>
              </w:rPr>
              <w:t>CEO 2024 Compensation</w:t>
            </w:r>
          </w:p>
        </w:tc>
        <w:tc>
          <w:tcPr>
            <w:tcW w:w="120" w:type="dxa"/>
            <w:tcBorders/>
            <w:vAlign w:val="center"/>
          </w:tcPr>
          <w:p>
            <w:pPr>
              <w:pStyle w:val="TableContents"/>
              <w:bidi w:val="0"/>
              <w:spacing w:before="0" w:after="283"/>
              <w:jc w:val="left"/>
              <w:rPr/>
            </w:pPr>
            <w:r>
              <w:rPr/>
              <w:t>  </w:t>
            </w:r>
          </w:p>
        </w:tc>
        <w:tc>
          <w:tcPr>
            <w:tcW w:w="4972" w:type="dxa"/>
            <w:tcBorders/>
            <w:vAlign w:val="center"/>
          </w:tcPr>
          <w:p>
            <w:pPr>
              <w:pStyle w:val="TableContents"/>
              <w:bidi w:val="0"/>
              <w:spacing w:before="0" w:after="283"/>
              <w:jc w:val="center"/>
              <w:rPr>
                <w:b/>
              </w:rPr>
            </w:pPr>
            <w:r>
              <w:rPr>
                <w:b/>
              </w:rPr>
              <w:t>NEO (other than CEO) 2024 Compensation</w:t>
            </w:r>
          </w:p>
        </w:tc>
      </w:tr>
      <w:tr>
        <w:trPr/>
        <w:tc>
          <w:tcPr>
            <w:tcW w:w="5113"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081655" cy="1348740"/>
                  <wp:effectExtent l="0" t="0" r="0" b="0"/>
                  <wp:docPr id="6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1" descr=""/>
                          <pic:cNvPicPr>
                            <a:picLocks noChangeAspect="1" noChangeArrowheads="1"/>
                          </pic:cNvPicPr>
                        </pic:nvPicPr>
                        <pic:blipFill>
                          <a:blip r:embed="rId62"/>
                          <a:stretch>
                            <a:fillRect/>
                          </a:stretch>
                        </pic:blipFill>
                        <pic:spPr bwMode="auto">
                          <a:xfrm>
                            <a:off x="0" y="0"/>
                            <a:ext cx="3081655" cy="134874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972"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983865" cy="1343660"/>
                  <wp:effectExtent l="0" t="0" r="0" b="0"/>
                  <wp:docPr id="6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2" descr=""/>
                          <pic:cNvPicPr>
                            <a:picLocks noChangeAspect="1" noChangeArrowheads="1"/>
                          </pic:cNvPicPr>
                        </pic:nvPicPr>
                        <pic:blipFill>
                          <a:blip r:embed="rId63"/>
                          <a:stretch>
                            <a:fillRect/>
                          </a:stretch>
                        </pic:blipFill>
                        <pic:spPr bwMode="auto">
                          <a:xfrm>
                            <a:off x="0" y="0"/>
                            <a:ext cx="2983865" cy="1343660"/>
                          </a:xfrm>
                          <a:prstGeom prst="rect">
                            <a:avLst/>
                          </a:prstGeom>
                        </pic:spPr>
                      </pic:pic>
                    </a:graphicData>
                  </a:graphic>
                </wp:inline>
              </w:drawing>
            </w:r>
            <w:r>
              <w:rPr/>
              <w:t xml:space="preserve"> </w:t>
            </w:r>
          </w:p>
          <w:p>
            <w:pPr>
              <w:pStyle w:val="TableContents"/>
              <w:bidi w:val="0"/>
              <w:spacing w:before="0" w:after="0"/>
              <w:jc w:val="right"/>
              <w:rPr>
                <w:rFonts w:ascii="arial" w:hAnsi="arial"/>
                <w:color w:val="FFFFFF"/>
                <w:sz w:val="2"/>
              </w:rPr>
            </w:pPr>
            <w:r>
              <w:rPr>
                <w:rFonts w:ascii="arial" w:hAnsi="arial"/>
                <w:color w:val="FFFFFF"/>
                <w:sz w:val="2"/>
              </w:rPr>
              <w:t>CEO 2024 COMPENSATION Deferred Cash 16% Deferred Cash Bonus $5.5 million RSUs $2.5 million Year-End Incentive RSUs $5.0 million Total Compensation $33.5 million Equity-Based 84% Performance Shares $20.5 million NEO (other than CEO) 2024 Compensation Base Salary 17% Cash-Based 50% Cash Incentive 33% Total Compensation Range $5.8 million - $7.8 million RSUs 23% Equity-Based 50% Performance shares 27%</w:t>
            </w:r>
          </w:p>
        </w:tc>
      </w:tr>
      <w:tr>
        <w:trPr/>
        <w:tc>
          <w:tcPr>
            <w:tcW w:w="5113"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b/>
                <w:color w:val="003A5D"/>
                <w:sz w:val="20"/>
              </w:rPr>
              <w:t>No CEO Cash Salary.</w:t>
            </w:r>
            <w:r>
              <w:rPr>
                <w:rFonts w:ascii="arial" w:hAnsi="arial"/>
                <w:sz w:val="20"/>
              </w:rPr>
              <w:t xml:space="preserve"> Our CEO does not receive a cash salary and 100% of his compensation is deferred for at least three years.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b/>
                <w:color w:val="003A5D"/>
                <w:sz w:val="20"/>
              </w:rPr>
              <w:t xml:space="preserve">The Payout of a Majority of CEO Year-End Incentive Compensation Determined by Formula. </w:t>
            </w:r>
            <w:r>
              <w:rPr>
                <w:rFonts w:ascii="arial" w:hAnsi="arial"/>
                <w:sz w:val="20"/>
              </w:rPr>
              <w:t>A majority of our CEO’s year-end incentive compensation for the 2024 performance year was awarded in the form of performance share awards that vest based entirely on the Company’s performance on an absolute basis and/or relative to the Performance Share Peers over a three-year period (2025 to 2028).</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b/>
                <w:color w:val="003A5D"/>
                <w:sz w:val="20"/>
              </w:rPr>
              <w:t xml:space="preserve">A Portion of CEO 2024 Performance Share Awards Linked to Relative TSR. </w:t>
            </w:r>
            <w:r>
              <w:rPr>
                <w:rFonts w:ascii="arial" w:hAnsi="arial"/>
                <w:sz w:val="20"/>
              </w:rPr>
              <w:t>A portion of our CEO year-end incentive performance share awards will vest based entirely on the Company’s TSR performance relative to the Performance Share Peers over a three-year period.</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b/>
                <w:color w:val="003A5D"/>
                <w:sz w:val="20"/>
              </w:rPr>
              <w:t xml:space="preserve">Awards Based on Company and Individual Performance. </w:t>
            </w:r>
            <w:r>
              <w:rPr>
                <w:rFonts w:ascii="arial" w:hAnsi="arial"/>
                <w:sz w:val="20"/>
              </w:rPr>
              <w:t>All NEOs receive incentive awards based on Company and/or individual performance. For 2024, 100% of CEO compensation and 82% of the compensation for the other NEOs was based on Company and/or individual performance.</w:t>
            </w:r>
          </w:p>
        </w:tc>
        <w:tc>
          <w:tcPr>
            <w:tcW w:w="120" w:type="dxa"/>
            <w:tcBorders/>
            <w:vAlign w:val="center"/>
          </w:tcPr>
          <w:p>
            <w:pPr>
              <w:pStyle w:val="TableContents"/>
              <w:bidi w:val="0"/>
              <w:spacing w:before="0" w:after="283"/>
              <w:jc w:val="left"/>
              <w:rPr/>
            </w:pPr>
            <w:r>
              <w:rPr/>
              <w:t>  </w:t>
            </w:r>
          </w:p>
        </w:tc>
        <w:tc>
          <w:tcPr>
            <w:tcW w:w="4972"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b/>
                <w:color w:val="003A5D"/>
                <w:sz w:val="20"/>
              </w:rPr>
              <w:t xml:space="preserve">The Majority of CEO Compensation and Nearly Half of NEO Compensation is Equity-Based and Determined After Performance Year-End. </w:t>
            </w:r>
            <w:r>
              <w:rPr>
                <w:rFonts w:ascii="arial" w:hAnsi="arial"/>
                <w:sz w:val="20"/>
              </w:rPr>
              <w:t>84% of our CEO’s and 50% of all other NEOs’ total compensation for the 2024 performance year was equity-based to align with stockholder interests. 93% of CEO compensation and the majority of all other NEO compensation was determined after the performance year-end.</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b/>
                <w:color w:val="003A5D"/>
                <w:sz w:val="20"/>
              </w:rPr>
              <w:t xml:space="preserve">All Equity and Equity-Based Awards Contain Performance and Recovery Provisions. </w:t>
            </w:r>
            <w:r>
              <w:rPr>
                <w:rFonts w:ascii="arial" w:hAnsi="arial"/>
                <w:sz w:val="20"/>
              </w:rPr>
              <w:t>All equity awards contain performance and recovery provisions that are designed to further enhance alignment between pay and performance, balance appropriate risk taking, and align with the best interest of stockholders. See “Additional Performance Conditions and Recovery Provisions” beginning on page 87 for more information.</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60 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righ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b/>
          <w:i/>
          <w:color w:val="003A5D"/>
          <w:sz w:val="20"/>
        </w:rPr>
      </w:pPr>
      <w:r>
        <w:rPr>
          <w:rFonts w:ascii="arial" w:hAnsi="arial"/>
          <w:b/>
          <w:i/>
          <w:color w:val="003A5D"/>
          <w:sz w:val="20"/>
        </w:rPr>
        <w:t xml:space="preserve">2024 Compensation Decisions </w:t>
      </w:r>
    </w:p>
    <w:p>
      <w:pPr>
        <w:pStyle w:val="TextBody"/>
        <w:bidi w:val="0"/>
        <w:spacing w:before="240" w:after="0"/>
        <w:jc w:val="both"/>
        <w:rPr>
          <w:rFonts w:ascii="arial" w:hAnsi="arial"/>
          <w:sz w:val="20"/>
        </w:rPr>
      </w:pPr>
      <w:r>
        <w:rPr>
          <w:rFonts w:ascii="arial" w:hAnsi="arial"/>
          <w:sz w:val="20"/>
        </w:rPr>
        <w:t xml:space="preserve">The information below is presented to show how the Committee and the Independent Directors viewed compensation awarded for 2024 and is not intended as a substitute for the Summary Compensation Table, which is required by the SEC. See “2024 Summary Compensation Table” beginning on page 96 for a description of how the information below differs from the Summary Compensation Table. The Committee and the Independent Directors approved the following awards attributable to the 2024 performance year for our NEOs: </w:t>
      </w:r>
    </w:p>
    <w:p>
      <w:pPr>
        <w:pStyle w:val="TextBody"/>
        <w:bidi w:val="0"/>
        <w:spacing w:before="240" w:after="0"/>
        <w:jc w:val="both"/>
        <w:rPr>
          <w:rFonts w:ascii="arial" w:hAnsi="arial"/>
          <w:sz w:val="20"/>
        </w:rPr>
      </w:pPr>
      <w:r>
        <w:rPr>
          <w:rFonts w:ascii="arial" w:hAnsi="arial"/>
          <w:b/>
          <w:i/>
          <w:color w:val="003A5D"/>
          <w:sz w:val="20"/>
        </w:rPr>
        <w:t xml:space="preserve">2024 CEO Performance Year Compensation. </w:t>
      </w:r>
      <w:r>
        <w:rPr>
          <w:rFonts w:ascii="arial" w:hAnsi="arial"/>
          <w:sz w:val="20"/>
        </w:rPr>
        <w:t xml:space="preserve">Mr. Fairbank’s total compensation for performance year 2024 was approximately $33.5 million and consisted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RSUs </w:t>
            </w:r>
            <w:r>
              <w:rPr>
                <w:rFonts w:ascii="arial" w:hAnsi="arial"/>
                <w:sz w:val="20"/>
              </w:rPr>
              <w:t xml:space="preserve">granted in February 2024, which had a total grant date value of approximately $2.5 million, totaling 18,580 RSUs. The RSUs will vest in full on February 15, 2027, settle in cash based on the Company’s average stock price over the 15 trading days preceding the vesting date, and are subject to performance-based vesting provisions. See “Performance-Based Vesting Provisions” on page 87 for a description of the performance-based vesting provisions.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Year-End Incentive Award </w:t>
            </w:r>
            <w:r>
              <w:rPr>
                <w:rFonts w:ascii="arial" w:hAnsi="arial"/>
                <w:sz w:val="20"/>
              </w:rPr>
              <w:t xml:space="preserve">totaling approximately $31.0 million granted in February 2025 in recognition of the Company’s and the CEO’s performance in 2024 and consisting 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i/>
                <w:color w:val="003A5D"/>
                <w:sz w:val="20"/>
              </w:rPr>
              <w:t>Performance Shares.</w:t>
            </w:r>
            <w:r>
              <w:rPr>
                <w:rFonts w:ascii="arial" w:hAnsi="arial"/>
                <w:sz w:val="20"/>
              </w:rPr>
              <w:t xml:space="preserve"> Performance share awards with an aggregate value of approximately $20.5 million, for which the CEO may receive from 0% to 150% of a total target number of 102,440 shares of the Company’s common stock based on the Company’s financial performance (with respect to 91,196 shares, or $18.25 million of the awards) and TSR (with respect to 11,244 shares, or approximately $2.25 million of the awards) over a three-year period from January 1, 2025 through December 31,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i/>
                <w:color w:val="003A5D"/>
                <w:sz w:val="20"/>
              </w:rPr>
              <w:t>RSUs.</w:t>
            </w:r>
            <w:r>
              <w:rPr>
                <w:rFonts w:ascii="arial" w:hAnsi="arial"/>
                <w:sz w:val="20"/>
              </w:rPr>
              <w:t xml:space="preserve"> 24,986 RSUs (“Year-End Incentive RSUs”) valued at $5.0 million, which vest in full on February 15, 2028 and settle in cash based on the Company’s average stock price over the 15 trading days preceding the vesting date, and are subject to performance-based vesting provisions.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i/>
                <w:color w:val="003A5D"/>
                <w:sz w:val="20"/>
              </w:rPr>
              <w:t>Deferred Cash Bonus.</w:t>
            </w:r>
            <w:r>
              <w:rPr>
                <w:rFonts w:ascii="arial" w:hAnsi="arial"/>
                <w:sz w:val="20"/>
              </w:rPr>
              <w:t xml:space="preserve"> A deferred cash bonus of $5.5 million, which is mandatorily deferred for three years into the Company’s Voluntary Non-Qualified Deferred Compensation Plan (“VNQDCP”) and will pay out in the first calendar quarter of 2028. </w:t>
            </w:r>
          </w:p>
        </w:tc>
      </w:tr>
    </w:tbl>
    <w:p>
      <w:pPr>
        <w:pStyle w:val="TextBody"/>
        <w:bidi w:val="0"/>
        <w:spacing w:before="0" w:after="0"/>
        <w:jc w:val="left"/>
        <w:rPr/>
      </w:pPr>
      <w:r>
        <w:rPr/>
        <w:t> </w:t>
      </w:r>
    </w:p>
    <w:p>
      <w:pPr>
        <w:pStyle w:val="TextBody"/>
        <w:bidi w:val="0"/>
        <w:spacing w:before="0" w:after="0"/>
        <w:jc w:val="left"/>
        <w:rPr/>
      </w:pPr>
      <w:r>
        <w:rPr/>
        <w:t> </w:t>
      </w:r>
    </w:p>
    <w:tbl>
      <w:tblPr>
        <w:tblW w:w="8964" w:type="dxa"/>
        <w:jc w:val="left"/>
        <w:tblInd w:w="0" w:type="dxa"/>
        <w:tblLayout w:type="fixed"/>
        <w:tblCellMar>
          <w:top w:w="0" w:type="dxa"/>
          <w:left w:w="0" w:type="dxa"/>
          <w:bottom w:w="0" w:type="dxa"/>
          <w:right w:w="0" w:type="dxa"/>
        </w:tblCellMar>
      </w:tblPr>
      <w:tblGrid>
        <w:gridCol w:w="1715"/>
        <w:gridCol w:w="23"/>
        <w:gridCol w:w="46"/>
        <w:gridCol w:w="123"/>
        <w:gridCol w:w="535"/>
        <w:gridCol w:w="48"/>
        <w:gridCol w:w="23"/>
        <w:gridCol w:w="23"/>
        <w:gridCol w:w="60"/>
        <w:gridCol w:w="1100"/>
        <w:gridCol w:w="23"/>
        <w:gridCol w:w="23"/>
        <w:gridCol w:w="24"/>
        <w:gridCol w:w="63"/>
        <w:gridCol w:w="1167"/>
        <w:gridCol w:w="26"/>
        <w:gridCol w:w="23"/>
        <w:gridCol w:w="23"/>
        <w:gridCol w:w="60"/>
        <w:gridCol w:w="1100"/>
        <w:gridCol w:w="23"/>
        <w:gridCol w:w="23"/>
        <w:gridCol w:w="23"/>
        <w:gridCol w:w="60"/>
        <w:gridCol w:w="1220"/>
        <w:gridCol w:w="23"/>
        <w:gridCol w:w="23"/>
        <w:gridCol w:w="23"/>
        <w:gridCol w:w="60"/>
        <w:gridCol w:w="1220"/>
        <w:gridCol w:w="38"/>
      </w:tblGrid>
      <w:tr>
        <w:trPr/>
        <w:tc>
          <w:tcPr>
            <w:tcW w:w="17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15" w:type="dxa"/>
            <w:tcBorders/>
            <w:shd w:fill="003A5D" w:val="clear"/>
            <w:vAlign w:val="center"/>
          </w:tcPr>
          <w:p>
            <w:pPr>
              <w:pStyle w:val="TableContents"/>
              <w:bidi w:val="0"/>
              <w:spacing w:before="0" w:after="283"/>
              <w:jc w:val="left"/>
              <w:rPr>
                <w:sz w:val="4"/>
                <w:szCs w:val="4"/>
              </w:rPr>
            </w:pPr>
            <w:r>
              <w:rPr>
                <w:sz w:val="4"/>
                <w:szCs w:val="4"/>
              </w:rPr>
            </w:r>
          </w:p>
        </w:tc>
        <w:tc>
          <w:tcPr>
            <w:tcW w:w="775" w:type="dxa"/>
            <w:gridSpan w:val="5"/>
            <w:tcBorders>
              <w:left w:val="single" w:sz="24" w:space="0" w:color="FFFFFF"/>
              <w:right w:val="single" w:sz="24" w:space="0" w:color="FFFFFF"/>
            </w:tcBorders>
            <w:shd w:fill="003A5D" w:val="clear"/>
            <w:tcMar>
              <w:left w:w="28" w:type="dxa"/>
              <w:right w:w="28" w:type="dxa"/>
            </w:tcMar>
            <w:vAlign w:val="center"/>
          </w:tcPr>
          <w:p>
            <w:pPr>
              <w:pStyle w:val="TableContents"/>
              <w:bidi w:val="0"/>
              <w:spacing w:before="0" w:after="283"/>
              <w:jc w:val="left"/>
              <w:rPr/>
            </w:pPr>
            <w:r>
              <w:rPr/>
              <w:t> </w:t>
            </w:r>
          </w:p>
        </w:tc>
        <w:tc>
          <w:tcPr>
            <w:tcW w:w="1229" w:type="dxa"/>
            <w:gridSpan w:val="5"/>
            <w:tcBorders/>
            <w:shd w:fill="003A5D" w:val="clear"/>
            <w:vAlign w:val="center"/>
          </w:tcPr>
          <w:p>
            <w:pPr>
              <w:pStyle w:val="TableContents"/>
              <w:bidi w:val="0"/>
              <w:spacing w:before="0" w:after="283"/>
              <w:jc w:val="left"/>
              <w:rPr>
                <w:sz w:val="4"/>
                <w:szCs w:val="4"/>
              </w:rPr>
            </w:pPr>
            <w:r>
              <w:rPr>
                <w:sz w:val="4"/>
                <w:szCs w:val="4"/>
              </w:rPr>
            </w:r>
          </w:p>
        </w:tc>
        <w:tc>
          <w:tcPr>
            <w:tcW w:w="3881" w:type="dxa"/>
            <w:gridSpan w:val="15"/>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364" w:type="dxa"/>
            <w:gridSpan w:val="5"/>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1715" w:type="dxa"/>
            <w:vMerge w:val="restart"/>
            <w:tcBorders/>
            <w:shd w:fill="003A5D" w:val="clear"/>
            <w:vAlign w:val="center"/>
          </w:tcPr>
          <w:p>
            <w:pPr>
              <w:pStyle w:val="TableContents"/>
              <w:bidi w:val="0"/>
              <w:spacing w:before="0" w:after="0"/>
              <w:jc w:val="left"/>
              <w:rPr>
                <w:color w:val="FFFFFF"/>
              </w:rPr>
            </w:pPr>
            <w:r>
              <w:rPr>
                <w:color w:val="FFFFFF"/>
              </w:rPr>
              <w:t> </w:t>
            </w:r>
            <w:r>
              <w:rPr>
                <w:rFonts w:ascii="arial" w:hAnsi="arial"/>
                <w:b/>
                <w:color w:val="FFFFFF"/>
                <w:sz w:val="18"/>
              </w:rPr>
              <w:t>Name</w:t>
            </w:r>
          </w:p>
          <w:p>
            <w:pPr>
              <w:pStyle w:val="TableContents"/>
              <w:bidi w:val="0"/>
              <w:spacing w:before="0" w:after="20"/>
              <w:jc w:val="left"/>
              <w:rPr/>
            </w:pPr>
            <w:r>
              <w:rPr/>
              <w:t> </w:t>
            </w:r>
          </w:p>
        </w:tc>
        <w:tc>
          <w:tcPr>
            <w:tcW w:w="23" w:type="dxa"/>
            <w:vMerge w:val="restart"/>
            <w:tcBorders>
              <w:left w:val="single" w:sz="24"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752" w:type="dxa"/>
            <w:gridSpan w:val="4"/>
            <w:vMerge w:val="restart"/>
            <w:tcBorders>
              <w:right w:val="single" w:sz="24" w:space="0" w:color="FFFFFF"/>
            </w:tcBorders>
            <w:shd w:fill="003A5D" w:val="clear"/>
            <w:tcMar>
              <w:right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Cash</w:t>
              <w:br/>
              <w:t> Salary </w:t>
            </w:r>
          </w:p>
          <w:p>
            <w:pPr>
              <w:pStyle w:val="TableContents"/>
              <w:bidi w:val="0"/>
              <w:spacing w:before="0" w:after="20"/>
              <w:jc w:val="left"/>
              <w:rPr/>
            </w:pPr>
            <w:r>
              <w:rPr/>
              <w:t> </w:t>
            </w:r>
          </w:p>
        </w:tc>
        <w:tc>
          <w:tcPr>
            <w:tcW w:w="23" w:type="dxa"/>
            <w:tcBorders>
              <w:bottom w:val="single" w:sz="24" w:space="0" w:color="FFFFFF"/>
            </w:tcBorders>
            <w:shd w:fill="003A5D" w:val="clear"/>
            <w:tcMar>
              <w:bottom w:w="28" w:type="dxa"/>
            </w:tcMar>
            <w:vAlign w:val="center"/>
          </w:tcPr>
          <w:p>
            <w:pPr>
              <w:pStyle w:val="TableContents"/>
              <w:bidi w:val="0"/>
              <w:spacing w:before="0" w:after="283"/>
              <w:jc w:val="left"/>
              <w:rPr>
                <w:sz w:val="4"/>
                <w:szCs w:val="4"/>
              </w:rPr>
            </w:pPr>
            <w:r>
              <w:rPr>
                <w:sz w:val="4"/>
                <w:szCs w:val="4"/>
              </w:rPr>
            </w:r>
          </w:p>
        </w:tc>
        <w:tc>
          <w:tcPr>
            <w:tcW w:w="1206" w:type="dxa"/>
            <w:gridSpan w:val="4"/>
            <w:tcBorders>
              <w:bottom w:val="single" w:sz="24" w:space="0" w:color="FFFFFF"/>
            </w:tcBorders>
            <w:shd w:fill="003A5D" w:val="clear"/>
            <w:tcMar>
              <w:bottom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Long-Term</w:t>
              <w:br/>
              <w:t>Incentive</w:t>
            </w:r>
          </w:p>
          <w:p>
            <w:pPr>
              <w:pStyle w:val="TableContents"/>
              <w:bidi w:val="0"/>
              <w:spacing w:before="0" w:after="20"/>
              <w:jc w:val="left"/>
              <w:rPr/>
            </w:pPr>
            <w:r>
              <w:rPr/>
              <w:t> </w:t>
            </w:r>
          </w:p>
        </w:tc>
        <w:tc>
          <w:tcPr>
            <w:tcW w:w="23" w:type="dxa"/>
            <w:tcBorders>
              <w:left w:val="single" w:sz="24" w:space="0" w:color="FFFFFF"/>
              <w:bottom w:val="single" w:sz="24" w:space="0" w:color="FFFFFF"/>
            </w:tcBorders>
            <w:shd w:fill="003A5D" w:val="clear"/>
            <w:tcMar>
              <w:left w:w="28" w:type="dxa"/>
              <w:bottom w:w="28" w:type="dxa"/>
            </w:tcMar>
            <w:vAlign w:val="center"/>
          </w:tcPr>
          <w:p>
            <w:pPr>
              <w:pStyle w:val="TableContents"/>
              <w:bidi w:val="0"/>
              <w:spacing w:before="0" w:after="283"/>
              <w:jc w:val="left"/>
              <w:rPr>
                <w:sz w:val="4"/>
                <w:szCs w:val="4"/>
              </w:rPr>
            </w:pPr>
            <w:r>
              <w:rPr>
                <w:sz w:val="4"/>
                <w:szCs w:val="4"/>
              </w:rPr>
            </w:r>
          </w:p>
        </w:tc>
        <w:tc>
          <w:tcPr>
            <w:tcW w:w="3858" w:type="dxa"/>
            <w:gridSpan w:val="14"/>
            <w:tcBorders>
              <w:bottom w:val="single" w:sz="24" w:space="0" w:color="FFFFFF"/>
            </w:tcBorders>
            <w:shd w:fill="003A5D" w:val="clear"/>
            <w:tcMar>
              <w:bottom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Year-End Incentive</w:t>
            </w:r>
          </w:p>
          <w:p>
            <w:pPr>
              <w:pStyle w:val="TableContents"/>
              <w:bidi w:val="0"/>
              <w:spacing w:before="0" w:after="20"/>
              <w:jc w:val="left"/>
              <w:rPr/>
            </w:pPr>
            <w:r>
              <w:rPr/>
              <w:t> </w:t>
            </w:r>
          </w:p>
        </w:tc>
        <w:tc>
          <w:tcPr>
            <w:tcW w:w="23" w:type="dxa"/>
            <w:vMerge w:val="restart"/>
            <w:tcBorders>
              <w:left w:val="single" w:sz="24"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1341" w:type="dxa"/>
            <w:gridSpan w:val="4"/>
            <w:vMerge w:val="restart"/>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Total</w:t>
            </w:r>
          </w:p>
          <w:p>
            <w:pPr>
              <w:pStyle w:val="TableContents"/>
              <w:bidi w:val="0"/>
              <w:spacing w:before="0" w:after="20"/>
              <w:jc w:val="left"/>
              <w:rPr/>
            </w:pPr>
            <w:r>
              <w:rPr/>
              <w:t> </w:t>
            </w:r>
          </w:p>
        </w:tc>
      </w:tr>
      <w:tr>
        <w:trPr/>
        <w:tc>
          <w:tcPr>
            <w:tcW w:w="1715" w:type="dxa"/>
            <w:vMerge w:val="continue"/>
            <w:tcBorders/>
            <w:shd w:fill="003A5D" w:val="clear"/>
            <w:vAlign w:val="center"/>
          </w:tcPr>
          <w:p>
            <w:pPr>
              <w:pStyle w:val="Normal"/>
              <w:bidi w:val="0"/>
              <w:jc w:val="left"/>
              <w:rPr/>
            </w:pPr>
            <w:r>
              <w:rPr/>
            </w:r>
          </w:p>
        </w:tc>
        <w:tc>
          <w:tcPr>
            <w:tcW w:w="23" w:type="dxa"/>
            <w:vMerge w:val="continue"/>
            <w:tcBorders>
              <w:left w:val="single" w:sz="24" w:space="0" w:color="FFFFFF"/>
            </w:tcBorders>
            <w:shd w:fill="003A5D" w:val="clear"/>
            <w:tcMar>
              <w:left w:w="28" w:type="dxa"/>
            </w:tcMar>
            <w:vAlign w:val="center"/>
          </w:tcPr>
          <w:p>
            <w:pPr>
              <w:pStyle w:val="Normal"/>
              <w:bidi w:val="0"/>
              <w:jc w:val="left"/>
              <w:rPr/>
            </w:pPr>
            <w:r>
              <w:rPr/>
            </w:r>
          </w:p>
        </w:tc>
        <w:tc>
          <w:tcPr>
            <w:tcW w:w="752" w:type="dxa"/>
            <w:gridSpan w:val="4"/>
            <w:vMerge w:val="continue"/>
            <w:tcBorders>
              <w:right w:val="single" w:sz="24" w:space="0" w:color="FFFFFF"/>
            </w:tcBorders>
            <w:shd w:fill="003A5D" w:val="clear"/>
            <w:tcMar>
              <w:right w:w="28" w:type="dxa"/>
            </w:tcMar>
            <w:vAlign w:val="center"/>
          </w:tcPr>
          <w:p>
            <w:pPr>
              <w:pStyle w:val="Normal"/>
              <w:bidi w:val="0"/>
              <w:jc w:val="left"/>
              <w:rPr/>
            </w:pPr>
            <w:r>
              <w:rPr/>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206" w:type="dxa"/>
            <w:gridSpan w:val="4"/>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Cash-Settled</w:t>
              <w:br/>
              <w:t>RSUs</w:t>
            </w:r>
          </w:p>
          <w:p>
            <w:pPr>
              <w:pStyle w:val="TableContents"/>
              <w:bidi w:val="0"/>
              <w:spacing w:before="0" w:after="20"/>
              <w:jc w:val="left"/>
              <w:rPr/>
            </w:pPr>
            <w:r>
              <w:rPr/>
              <w:t> </w:t>
            </w:r>
          </w:p>
        </w:tc>
        <w:tc>
          <w:tcPr>
            <w:tcW w:w="23" w:type="dxa"/>
            <w:tcBorders>
              <w:left w:val="single" w:sz="24"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1280" w:type="dxa"/>
            <w:gridSpan w:val="4"/>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Deferred Cash</w:t>
              <w:br/>
              <w:t>Bonus</w:t>
            </w:r>
          </w:p>
          <w:p>
            <w:pPr>
              <w:pStyle w:val="TableContents"/>
              <w:bidi w:val="0"/>
              <w:spacing w:before="0" w:after="20"/>
              <w:jc w:val="left"/>
              <w:rPr/>
            </w:pPr>
            <w:r>
              <w:rPr/>
              <w:t> </w:t>
            </w:r>
          </w:p>
        </w:tc>
        <w:tc>
          <w:tcPr>
            <w:tcW w:w="23" w:type="dxa"/>
            <w:tcBorders>
              <w:left w:val="single" w:sz="24"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1206" w:type="dxa"/>
            <w:gridSpan w:val="4"/>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Cash-Settled</w:t>
              <w:br/>
              <w:t>RSUs</w:t>
            </w:r>
          </w:p>
          <w:p>
            <w:pPr>
              <w:pStyle w:val="TableContents"/>
              <w:bidi w:val="0"/>
              <w:spacing w:before="0" w:after="20"/>
              <w:jc w:val="left"/>
              <w:rPr/>
            </w:pPr>
            <w:r>
              <w:rPr/>
              <w:t> </w:t>
            </w:r>
          </w:p>
        </w:tc>
        <w:tc>
          <w:tcPr>
            <w:tcW w:w="23" w:type="dxa"/>
            <w:tcBorders>
              <w:left w:val="single" w:sz="24"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1326" w:type="dxa"/>
            <w:gridSpan w:val="4"/>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Performance</w:t>
              <w:br/>
              <w:t>Shares(1)</w:t>
            </w:r>
          </w:p>
          <w:p>
            <w:pPr>
              <w:pStyle w:val="TableContents"/>
              <w:bidi w:val="0"/>
              <w:spacing w:before="0" w:after="20"/>
              <w:jc w:val="left"/>
              <w:rPr/>
            </w:pPr>
            <w:r>
              <w:rPr/>
              <w:t> </w:t>
            </w:r>
          </w:p>
        </w:tc>
        <w:tc>
          <w:tcPr>
            <w:tcW w:w="23" w:type="dxa"/>
            <w:vMerge w:val="continue"/>
            <w:tcBorders>
              <w:left w:val="single" w:sz="24" w:space="0" w:color="FFFFFF"/>
            </w:tcBorders>
            <w:shd w:fill="003A5D" w:val="clear"/>
            <w:tcMar>
              <w:left w:w="28" w:type="dxa"/>
            </w:tcMar>
            <w:vAlign w:val="center"/>
          </w:tcPr>
          <w:p>
            <w:pPr>
              <w:pStyle w:val="Normal"/>
              <w:bidi w:val="0"/>
              <w:jc w:val="left"/>
              <w:rPr/>
            </w:pPr>
            <w:r>
              <w:rPr/>
            </w:r>
          </w:p>
        </w:tc>
        <w:tc>
          <w:tcPr>
            <w:tcW w:w="1341" w:type="dxa"/>
            <w:gridSpan w:val="4"/>
            <w:vMerge w:val="continue"/>
            <w:tcBorders/>
            <w:shd w:fill="003A5D" w:val="clear"/>
            <w:vAlign w:val="center"/>
          </w:tcPr>
          <w:p>
            <w:pPr>
              <w:pStyle w:val="Normal"/>
              <w:bidi w:val="0"/>
              <w:jc w:val="left"/>
              <w:rPr/>
            </w:pPr>
            <w:r>
              <w:rPr/>
            </w:r>
          </w:p>
        </w:tc>
      </w:tr>
      <w:tr>
        <w:trPr/>
        <w:tc>
          <w:tcPr>
            <w:tcW w:w="1715" w:type="dxa"/>
            <w:tcBorders>
              <w:bottom w:val="single" w:sz="8" w:space="0" w:color="003A5D"/>
            </w:tcBorders>
            <w:shd w:fill="E5EBEE" w:val="clear"/>
            <w:tcMar>
              <w:bottom w:w="60"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t>Richard D. Fairbank</w:t>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46"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23"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535"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48"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100" w:type="dxa"/>
            <w:tcBorders>
              <w:bottom w:val="single" w:sz="8" w:space="0" w:color="003A5D"/>
            </w:tcBorders>
            <w:shd w:fill="E5EBEE" w:val="clear"/>
            <w:tcMar>
              <w:bottom w:w="60" w:type="dxa"/>
            </w:tcMar>
            <w:vAlign w:val="center"/>
          </w:tcPr>
          <w:p>
            <w:pPr>
              <w:pStyle w:val="TableContents"/>
              <w:bidi w:val="0"/>
              <w:spacing w:before="0" w:after="283"/>
              <w:jc w:val="center"/>
              <w:rPr/>
            </w:pPr>
            <w:r>
              <w:rPr/>
              <w:t>$2,500,125</w:t>
            </w:r>
          </w:p>
        </w:tc>
        <w:tc>
          <w:tcPr>
            <w:tcW w:w="23"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167" w:type="dxa"/>
            <w:tcBorders>
              <w:bottom w:val="single" w:sz="8" w:space="0" w:color="003A5D"/>
            </w:tcBorders>
            <w:shd w:fill="E5EBEE" w:val="clear"/>
            <w:tcMar>
              <w:bottom w:w="60" w:type="dxa"/>
            </w:tcMar>
            <w:vAlign w:val="center"/>
          </w:tcPr>
          <w:p>
            <w:pPr>
              <w:pStyle w:val="TableContents"/>
              <w:bidi w:val="0"/>
              <w:spacing w:before="0" w:after="283"/>
              <w:jc w:val="center"/>
              <w:rPr/>
            </w:pPr>
            <w:r>
              <w:rPr/>
              <w:t>$5,500,000</w:t>
            </w:r>
          </w:p>
        </w:tc>
        <w:tc>
          <w:tcPr>
            <w:tcW w:w="26"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100" w:type="dxa"/>
            <w:tcBorders>
              <w:bottom w:val="single" w:sz="8" w:space="0" w:color="003A5D"/>
            </w:tcBorders>
            <w:shd w:fill="E5EBEE" w:val="clear"/>
            <w:tcMar>
              <w:bottom w:w="60" w:type="dxa"/>
            </w:tcMar>
            <w:vAlign w:val="center"/>
          </w:tcPr>
          <w:p>
            <w:pPr>
              <w:pStyle w:val="TableContents"/>
              <w:bidi w:val="0"/>
              <w:spacing w:before="0" w:after="283"/>
              <w:jc w:val="center"/>
              <w:rPr/>
            </w:pPr>
            <w:r>
              <w:rPr/>
              <w:t>$5,000,198</w:t>
            </w:r>
          </w:p>
        </w:tc>
        <w:tc>
          <w:tcPr>
            <w:tcW w:w="23"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$20,500,293</w:t>
            </w:r>
          </w:p>
        </w:tc>
        <w:tc>
          <w:tcPr>
            <w:tcW w:w="23"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$33,500,616</w:t>
            </w:r>
          </w:p>
        </w:tc>
        <w:tc>
          <w:tcPr>
            <w:tcW w:w="38"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(1)</w:t>
            </w:r>
          </w:p>
        </w:tc>
        <w:tc>
          <w:tcPr>
            <w:tcW w:w="9902" w:type="dxa"/>
            <w:tcBorders/>
            <w:vAlign w:val="center"/>
          </w:tcPr>
          <w:p>
            <w:pPr>
              <w:pStyle w:val="TableContents"/>
              <w:bidi w:val="0"/>
              <w:spacing w:before="0" w:after="0"/>
              <w:jc w:val="both"/>
              <w:rPr>
                <w:rFonts w:ascii="arial" w:hAnsi="arial"/>
                <w:sz w:val="16"/>
              </w:rPr>
            </w:pPr>
            <w:r>
              <w:rPr>
                <w:rFonts w:ascii="arial" w:hAnsi="arial"/>
                <w:sz w:val="16"/>
              </w:rPr>
              <w:t xml:space="preserve">See “Performance Share Award Formula” on page 71 for a description of the vesting criteria applicable to the performance share awards.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61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lef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bookmarkStart w:id="43" w:name="txa845790_212a"/>
      <w:bookmarkEnd w:id="43"/>
      <w:r>
        <w:rPr>
          <w:rFonts w:ascii="arial" w:hAnsi="arial"/>
          <w:b/>
          <w:i/>
          <w:color w:val="003A5D"/>
          <w:sz w:val="20"/>
        </w:rPr>
        <w:t>2024 NEO Performance Year Compensation.</w:t>
      </w:r>
      <w:r>
        <w:rPr>
          <w:rFonts w:ascii="arial" w:hAnsi="arial"/>
          <w:sz w:val="20"/>
        </w:rPr>
        <w:t xml:space="preserve"> The compensation for NEOs (other than the CEO) for 2024 performance is set forth below. The compensation received by these NEOs consisted of: (i) cash salary and (ii) a year-end incentive granted in February 2025 in recognition of the Company’s and each executive’s performance in 2024. The year-end incentive consisted of a cash incentive and a long-term incentive comprised of stock-settled RSUs and performance shares. The performance shares provide an opportunity for the executive to receive from 0% to 150% of a target number of shares of the Company’s common stock based on the Company’s performance over a three-year period beginning January 1, 2025. </w:t>
      </w:r>
    </w:p>
    <w:p>
      <w:pPr>
        <w:pStyle w:val="TextBody"/>
        <w:bidi w:val="0"/>
        <w:spacing w:before="0" w:after="0"/>
        <w:jc w:val="left"/>
        <w:rPr/>
      </w:pPr>
      <w:r>
        <w:rPr/>
        <w:t> </w:t>
      </w:r>
    </w:p>
    <w:tbl>
      <w:tblPr>
        <w:tblW w:w="8085" w:type="dxa"/>
        <w:jc w:val="left"/>
        <w:tblInd w:w="0" w:type="dxa"/>
        <w:tblLayout w:type="fixed"/>
        <w:tblCellMar>
          <w:top w:w="0" w:type="dxa"/>
          <w:left w:w="0" w:type="dxa"/>
          <w:bottom w:w="0" w:type="dxa"/>
          <w:right w:w="0" w:type="dxa"/>
        </w:tblCellMar>
      </w:tblPr>
      <w:tblGrid>
        <w:gridCol w:w="1925"/>
        <w:gridCol w:w="23"/>
        <w:gridCol w:w="23"/>
        <w:gridCol w:w="60"/>
        <w:gridCol w:w="1100"/>
        <w:gridCol w:w="23"/>
        <w:gridCol w:w="23"/>
        <w:gridCol w:w="23"/>
        <w:gridCol w:w="60"/>
        <w:gridCol w:w="1100"/>
        <w:gridCol w:w="23"/>
        <w:gridCol w:w="23"/>
        <w:gridCol w:w="23"/>
        <w:gridCol w:w="60"/>
        <w:gridCol w:w="1100"/>
        <w:gridCol w:w="23"/>
        <w:gridCol w:w="23"/>
        <w:gridCol w:w="23"/>
        <w:gridCol w:w="60"/>
        <w:gridCol w:w="1100"/>
        <w:gridCol w:w="23"/>
        <w:gridCol w:w="23"/>
        <w:gridCol w:w="23"/>
        <w:gridCol w:w="60"/>
        <w:gridCol w:w="1100"/>
        <w:gridCol w:w="38"/>
      </w:tblGrid>
      <w:tr>
        <w:trPr/>
        <w:tc>
          <w:tcPr>
            <w:tcW w:w="192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925" w:type="dxa"/>
            <w:tcBorders/>
            <w:shd w:fill="003A5D" w:val="clear"/>
            <w:vAlign w:val="center"/>
          </w:tcPr>
          <w:p>
            <w:pPr>
              <w:pStyle w:val="TableContents"/>
              <w:bidi w:val="0"/>
              <w:spacing w:before="0" w:after="283"/>
              <w:jc w:val="left"/>
              <w:rPr>
                <w:sz w:val="4"/>
                <w:szCs w:val="4"/>
              </w:rPr>
            </w:pPr>
            <w:r>
              <w:rPr>
                <w:sz w:val="4"/>
                <w:szCs w:val="4"/>
              </w:rPr>
            </w:r>
          </w:p>
        </w:tc>
        <w:tc>
          <w:tcPr>
            <w:tcW w:w="1229" w:type="dxa"/>
            <w:gridSpan w:val="5"/>
            <w:tcBorders>
              <w:left w:val="single" w:sz="24" w:space="0" w:color="FFFFFF"/>
              <w:right w:val="single" w:sz="24" w:space="0" w:color="FFFFFF"/>
            </w:tcBorders>
            <w:shd w:fill="003A5D" w:val="clear"/>
            <w:tcMar>
              <w:left w:w="28" w:type="dxa"/>
              <w:right w:w="28" w:type="dxa"/>
            </w:tcMar>
            <w:vAlign w:val="center"/>
          </w:tcPr>
          <w:p>
            <w:pPr>
              <w:pStyle w:val="TableContents"/>
              <w:bidi w:val="0"/>
              <w:spacing w:before="0" w:after="283"/>
              <w:jc w:val="left"/>
              <w:rPr/>
            </w:pPr>
            <w:r>
              <w:rPr/>
              <w:t> </w:t>
            </w:r>
          </w:p>
        </w:tc>
        <w:tc>
          <w:tcPr>
            <w:tcW w:w="1229" w:type="dxa"/>
            <w:gridSpan w:val="5"/>
            <w:tcBorders/>
            <w:shd w:fill="003A5D" w:val="clear"/>
            <w:vAlign w:val="center"/>
          </w:tcPr>
          <w:p>
            <w:pPr>
              <w:pStyle w:val="TableContents"/>
              <w:bidi w:val="0"/>
              <w:spacing w:before="0" w:after="283"/>
              <w:jc w:val="left"/>
              <w:rPr>
                <w:sz w:val="4"/>
                <w:szCs w:val="4"/>
              </w:rPr>
            </w:pPr>
            <w:r>
              <w:rPr>
                <w:sz w:val="4"/>
                <w:szCs w:val="4"/>
              </w:rPr>
            </w:r>
          </w:p>
        </w:tc>
        <w:tc>
          <w:tcPr>
            <w:tcW w:w="2458" w:type="dxa"/>
            <w:gridSpan w:val="10"/>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244" w:type="dxa"/>
            <w:gridSpan w:val="5"/>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1925" w:type="dxa"/>
            <w:vMerge w:val="restart"/>
            <w:tcBorders/>
            <w:shd w:fill="003A5D" w:val="clear"/>
            <w:vAlign w:val="center"/>
          </w:tcPr>
          <w:p>
            <w:pPr>
              <w:pStyle w:val="TableContents"/>
              <w:bidi w:val="0"/>
              <w:spacing w:before="0" w:after="0"/>
              <w:jc w:val="left"/>
              <w:rPr>
                <w:color w:val="FFFFFF"/>
              </w:rPr>
            </w:pPr>
            <w:r>
              <w:rPr>
                <w:color w:val="FFFFFF"/>
              </w:rPr>
              <w:t> </w:t>
            </w:r>
            <w:r>
              <w:rPr>
                <w:rFonts w:ascii="arial" w:hAnsi="arial"/>
                <w:b/>
                <w:color w:val="FFFFFF"/>
                <w:sz w:val="18"/>
              </w:rPr>
              <w:t>Name</w:t>
            </w:r>
          </w:p>
          <w:p>
            <w:pPr>
              <w:pStyle w:val="TableContents"/>
              <w:bidi w:val="0"/>
              <w:spacing w:before="0" w:after="20"/>
              <w:jc w:val="left"/>
              <w:rPr/>
            </w:pPr>
            <w:r>
              <w:rPr/>
              <w:t> </w:t>
            </w:r>
          </w:p>
        </w:tc>
        <w:tc>
          <w:tcPr>
            <w:tcW w:w="23" w:type="dxa"/>
            <w:vMerge w:val="restart"/>
            <w:tcBorders>
              <w:left w:val="single" w:sz="24"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1206" w:type="dxa"/>
            <w:gridSpan w:val="4"/>
            <w:vMerge w:val="restart"/>
            <w:tcBorders>
              <w:right w:val="single" w:sz="24" w:space="0" w:color="FFFFFF"/>
            </w:tcBorders>
            <w:shd w:fill="003A5D" w:val="clear"/>
            <w:tcMar>
              <w:right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Cash</w:t>
              <w:br/>
              <w:t>Salary</w:t>
            </w:r>
          </w:p>
          <w:p>
            <w:pPr>
              <w:pStyle w:val="TableContents"/>
              <w:bidi w:val="0"/>
              <w:spacing w:before="0" w:after="20"/>
              <w:jc w:val="left"/>
              <w:rPr/>
            </w:pPr>
            <w:r>
              <w:rPr/>
              <w:t> </w:t>
            </w:r>
          </w:p>
        </w:tc>
        <w:tc>
          <w:tcPr>
            <w:tcW w:w="23" w:type="dxa"/>
            <w:vMerge w:val="restart"/>
            <w:tcBorders/>
            <w:shd w:fill="003A5D" w:val="clear"/>
            <w:vAlign w:val="center"/>
          </w:tcPr>
          <w:p>
            <w:pPr>
              <w:pStyle w:val="TableContents"/>
              <w:bidi w:val="0"/>
              <w:spacing w:before="0" w:after="283"/>
              <w:jc w:val="left"/>
              <w:rPr>
                <w:sz w:val="4"/>
                <w:szCs w:val="4"/>
              </w:rPr>
            </w:pPr>
            <w:r>
              <w:rPr>
                <w:sz w:val="4"/>
                <w:szCs w:val="4"/>
              </w:rPr>
            </w:r>
          </w:p>
        </w:tc>
        <w:tc>
          <w:tcPr>
            <w:tcW w:w="1206" w:type="dxa"/>
            <w:gridSpan w:val="4"/>
            <w:vMerge w:val="restart"/>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Cash</w:t>
              <w:br/>
              <w:t>Incentive(1)</w:t>
            </w:r>
          </w:p>
          <w:p>
            <w:pPr>
              <w:pStyle w:val="TableContents"/>
              <w:bidi w:val="0"/>
              <w:spacing w:before="0" w:after="20"/>
              <w:jc w:val="left"/>
              <w:rPr/>
            </w:pPr>
            <w:r>
              <w:rPr/>
              <w:t> </w:t>
            </w:r>
          </w:p>
        </w:tc>
        <w:tc>
          <w:tcPr>
            <w:tcW w:w="23" w:type="dxa"/>
            <w:tcBorders>
              <w:left w:val="single" w:sz="24" w:space="0" w:color="FFFFFF"/>
              <w:bottom w:val="single" w:sz="24" w:space="0" w:color="FFFFFF"/>
            </w:tcBorders>
            <w:shd w:fill="003A5D" w:val="clear"/>
            <w:tcMar>
              <w:left w:w="28" w:type="dxa"/>
              <w:bottom w:w="28" w:type="dxa"/>
            </w:tcMar>
            <w:vAlign w:val="center"/>
          </w:tcPr>
          <w:p>
            <w:pPr>
              <w:pStyle w:val="TableContents"/>
              <w:bidi w:val="0"/>
              <w:spacing w:before="0" w:after="283"/>
              <w:jc w:val="left"/>
              <w:rPr>
                <w:sz w:val="4"/>
                <w:szCs w:val="4"/>
              </w:rPr>
            </w:pPr>
            <w:r>
              <w:rPr>
                <w:sz w:val="4"/>
                <w:szCs w:val="4"/>
              </w:rPr>
            </w:r>
          </w:p>
        </w:tc>
        <w:tc>
          <w:tcPr>
            <w:tcW w:w="2435" w:type="dxa"/>
            <w:gridSpan w:val="9"/>
            <w:tcBorders>
              <w:bottom w:val="single" w:sz="24" w:space="0" w:color="FFFFFF"/>
            </w:tcBorders>
            <w:shd w:fill="003A5D" w:val="clear"/>
            <w:tcMar>
              <w:bottom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Long-Term Incentive</w:t>
            </w:r>
          </w:p>
          <w:p>
            <w:pPr>
              <w:pStyle w:val="TableContents"/>
              <w:bidi w:val="0"/>
              <w:spacing w:before="0" w:after="20"/>
              <w:jc w:val="left"/>
              <w:rPr/>
            </w:pPr>
            <w:r>
              <w:rPr/>
              <w:t> </w:t>
            </w:r>
          </w:p>
        </w:tc>
        <w:tc>
          <w:tcPr>
            <w:tcW w:w="23" w:type="dxa"/>
            <w:vMerge w:val="restart"/>
            <w:tcBorders>
              <w:left w:val="single" w:sz="24"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1221" w:type="dxa"/>
            <w:gridSpan w:val="4"/>
            <w:vMerge w:val="restart"/>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Total</w:t>
            </w:r>
          </w:p>
          <w:p>
            <w:pPr>
              <w:pStyle w:val="TableContents"/>
              <w:bidi w:val="0"/>
              <w:spacing w:before="0" w:after="20"/>
              <w:jc w:val="left"/>
              <w:rPr/>
            </w:pPr>
            <w:r>
              <w:rPr/>
              <w:t> </w:t>
            </w:r>
          </w:p>
        </w:tc>
      </w:tr>
      <w:tr>
        <w:trPr/>
        <w:tc>
          <w:tcPr>
            <w:tcW w:w="1925" w:type="dxa"/>
            <w:vMerge w:val="continue"/>
            <w:tcBorders/>
            <w:shd w:fill="003A5D" w:val="clear"/>
            <w:vAlign w:val="center"/>
          </w:tcPr>
          <w:p>
            <w:pPr>
              <w:pStyle w:val="Normal"/>
              <w:bidi w:val="0"/>
              <w:jc w:val="left"/>
              <w:rPr/>
            </w:pPr>
            <w:r>
              <w:rPr/>
            </w:r>
          </w:p>
        </w:tc>
        <w:tc>
          <w:tcPr>
            <w:tcW w:w="23" w:type="dxa"/>
            <w:vMerge w:val="continue"/>
            <w:tcBorders>
              <w:left w:val="single" w:sz="24" w:space="0" w:color="FFFFFF"/>
            </w:tcBorders>
            <w:shd w:fill="003A5D" w:val="clear"/>
            <w:tcMar>
              <w:left w:w="28" w:type="dxa"/>
            </w:tcMar>
            <w:vAlign w:val="center"/>
          </w:tcPr>
          <w:p>
            <w:pPr>
              <w:pStyle w:val="Normal"/>
              <w:bidi w:val="0"/>
              <w:jc w:val="left"/>
              <w:rPr/>
            </w:pPr>
            <w:r>
              <w:rPr/>
            </w:r>
          </w:p>
        </w:tc>
        <w:tc>
          <w:tcPr>
            <w:tcW w:w="1206" w:type="dxa"/>
            <w:gridSpan w:val="4"/>
            <w:vMerge w:val="continue"/>
            <w:tcBorders>
              <w:right w:val="single" w:sz="24" w:space="0" w:color="FFFFFF"/>
            </w:tcBorders>
            <w:shd w:fill="003A5D" w:val="clear"/>
            <w:tcMar>
              <w:right w:w="28" w:type="dxa"/>
            </w:tcMar>
            <w:vAlign w:val="center"/>
          </w:tcPr>
          <w:p>
            <w:pPr>
              <w:pStyle w:val="Normal"/>
              <w:bidi w:val="0"/>
              <w:jc w:val="left"/>
              <w:rPr/>
            </w:pPr>
            <w:r>
              <w:rPr/>
            </w:r>
          </w:p>
        </w:tc>
        <w:tc>
          <w:tcPr>
            <w:tcW w:w="23" w:type="dxa"/>
            <w:vMerge w:val="continue"/>
            <w:tcBorders/>
            <w:shd w:fill="003A5D" w:val="clear"/>
            <w:vAlign w:val="center"/>
          </w:tcPr>
          <w:p>
            <w:pPr>
              <w:pStyle w:val="Normal"/>
              <w:bidi w:val="0"/>
              <w:jc w:val="left"/>
              <w:rPr/>
            </w:pPr>
            <w:r>
              <w:rPr/>
            </w:r>
          </w:p>
        </w:tc>
        <w:tc>
          <w:tcPr>
            <w:tcW w:w="1206" w:type="dxa"/>
            <w:gridSpan w:val="4"/>
            <w:vMerge w:val="continue"/>
            <w:tcBorders/>
            <w:shd w:fill="003A5D" w:val="clear"/>
            <w:vAlign w:val="center"/>
          </w:tcPr>
          <w:p>
            <w:pPr>
              <w:pStyle w:val="Normal"/>
              <w:bidi w:val="0"/>
              <w:jc w:val="left"/>
              <w:rPr/>
            </w:pPr>
            <w:r>
              <w:rPr/>
            </w:r>
          </w:p>
        </w:tc>
        <w:tc>
          <w:tcPr>
            <w:tcW w:w="23" w:type="dxa"/>
            <w:tcBorders>
              <w:left w:val="single" w:sz="24"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1206" w:type="dxa"/>
            <w:gridSpan w:val="4"/>
            <w:tcBorders>
              <w:right w:val="single" w:sz="24" w:space="0" w:color="FFFFFF"/>
            </w:tcBorders>
            <w:shd w:fill="003A5D" w:val="clear"/>
            <w:tcMar>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Stock-</w:t>
              <w:br/>
              <w:t>Settled</w:t>
              <w:br/>
              <w:t>RSUs</w:t>
            </w:r>
          </w:p>
          <w:p>
            <w:pPr>
              <w:pStyle w:val="TableContents"/>
              <w:bidi w:val="0"/>
              <w:spacing w:before="0" w:after="20"/>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206" w:type="dxa"/>
            <w:gridSpan w:val="4"/>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Performance</w:t>
              <w:br/>
              <w:t>Shares</w:t>
            </w:r>
          </w:p>
          <w:p>
            <w:pPr>
              <w:pStyle w:val="TableContents"/>
              <w:bidi w:val="0"/>
              <w:spacing w:before="0" w:after="20"/>
              <w:jc w:val="left"/>
              <w:rPr/>
            </w:pPr>
            <w:r>
              <w:rPr/>
              <w:t> </w:t>
            </w:r>
          </w:p>
        </w:tc>
        <w:tc>
          <w:tcPr>
            <w:tcW w:w="23" w:type="dxa"/>
            <w:vMerge w:val="continue"/>
            <w:tcBorders>
              <w:left w:val="single" w:sz="24" w:space="0" w:color="FFFFFF"/>
            </w:tcBorders>
            <w:shd w:fill="003A5D" w:val="clear"/>
            <w:tcMar>
              <w:left w:w="28" w:type="dxa"/>
            </w:tcMar>
            <w:vAlign w:val="center"/>
          </w:tcPr>
          <w:p>
            <w:pPr>
              <w:pStyle w:val="Normal"/>
              <w:bidi w:val="0"/>
              <w:jc w:val="left"/>
              <w:rPr/>
            </w:pPr>
            <w:r>
              <w:rPr/>
            </w:r>
          </w:p>
        </w:tc>
        <w:tc>
          <w:tcPr>
            <w:tcW w:w="1221" w:type="dxa"/>
            <w:gridSpan w:val="4"/>
            <w:vMerge w:val="continue"/>
            <w:tcBorders/>
            <w:shd w:fill="003A5D" w:val="clear"/>
            <w:vAlign w:val="center"/>
          </w:tcPr>
          <w:p>
            <w:pPr>
              <w:pStyle w:val="Normal"/>
              <w:bidi w:val="0"/>
              <w:jc w:val="left"/>
              <w:rPr/>
            </w:pPr>
            <w:r>
              <w:rPr/>
            </w:r>
          </w:p>
        </w:tc>
      </w:tr>
      <w:tr>
        <w:trPr/>
        <w:tc>
          <w:tcPr>
            <w:tcW w:w="1925"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r>
              <w:rPr>
                <w:rFonts w:ascii="arial" w:hAnsi="arial"/>
                <w:sz w:val="20"/>
              </w:rPr>
              <w:t>Andrew M. Young</w:t>
            </w:r>
          </w:p>
        </w:tc>
        <w:tc>
          <w:tcPr>
            <w:tcW w:w="23" w:type="dxa"/>
            <w:tcBorders>
              <w:top w:val="single" w:sz="8" w:space="0" w:color="FFFFFF"/>
              <w:left w:val="single" w:sz="24" w:space="0" w:color="FFFFFF"/>
              <w:bottom w:val="single" w:sz="8" w:space="0" w:color="003A5D"/>
            </w:tcBorders>
            <w:shd w:fill="E5EBEE"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pPr>
            <w:r>
              <w:rPr/>
              <w:t> </w:t>
            </w:r>
          </w:p>
        </w:tc>
        <w:tc>
          <w:tcPr>
            <w:tcW w:w="110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center"/>
              <w:rPr/>
            </w:pPr>
            <w:r>
              <w:rPr/>
              <w:t>$1,034,577</w:t>
            </w:r>
          </w:p>
        </w:tc>
        <w:tc>
          <w:tcPr>
            <w:tcW w:w="23" w:type="dxa"/>
            <w:tcBorders>
              <w:top w:val="single" w:sz="8" w:space="0" w:color="FFFFFF"/>
              <w:bottom w:val="single" w:sz="8" w:space="0" w:color="003A5D"/>
              <w:right w:val="single" w:sz="24" w:space="0" w:color="FFFFFF"/>
            </w:tcBorders>
            <w:shd w:fill="E5EBEE" w:val="clear"/>
            <w:tcMar>
              <w:top w:w="28" w:type="dxa"/>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pPr>
            <w:r>
              <w:rPr/>
              <w:t> </w:t>
            </w:r>
          </w:p>
        </w:tc>
        <w:tc>
          <w:tcPr>
            <w:tcW w:w="110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center"/>
              <w:rPr/>
            </w:pPr>
            <w:r>
              <w:rPr/>
              <w:t>$1,950,000</w:t>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left w:val="single" w:sz="24" w:space="0" w:color="FFFFFF"/>
              <w:bottom w:val="single" w:sz="8" w:space="0" w:color="003A5D"/>
            </w:tcBorders>
            <w:shd w:fill="E5EBEE"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pPr>
            <w:r>
              <w:rPr/>
              <w:t> </w:t>
            </w:r>
          </w:p>
        </w:tc>
        <w:tc>
          <w:tcPr>
            <w:tcW w:w="110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center"/>
              <w:rPr/>
            </w:pPr>
            <w:r>
              <w:rPr/>
              <w:t>$1,300,180</w:t>
            </w:r>
          </w:p>
        </w:tc>
        <w:tc>
          <w:tcPr>
            <w:tcW w:w="23" w:type="dxa"/>
            <w:tcBorders>
              <w:top w:val="single" w:sz="8" w:space="0" w:color="FFFFFF"/>
              <w:bottom w:val="single" w:sz="8" w:space="0" w:color="003A5D"/>
              <w:right w:val="single" w:sz="24" w:space="0" w:color="FFFFFF"/>
            </w:tcBorders>
            <w:shd w:fill="E5EBEE" w:val="clear"/>
            <w:tcMar>
              <w:top w:w="28" w:type="dxa"/>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pPr>
            <w:r>
              <w:rPr/>
              <w:t> </w:t>
            </w:r>
          </w:p>
        </w:tc>
        <w:tc>
          <w:tcPr>
            <w:tcW w:w="110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center"/>
              <w:rPr/>
            </w:pPr>
            <w:r>
              <w:rPr/>
              <w:t>$1,560,136</w:t>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left w:val="single" w:sz="24" w:space="0" w:color="FFFFFF"/>
              <w:bottom w:val="single" w:sz="8" w:space="0" w:color="003A5D"/>
            </w:tcBorders>
            <w:shd w:fill="E5EBEE" w:val="clear"/>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pPr>
            <w:r>
              <w:rPr/>
              <w:t> </w:t>
            </w:r>
          </w:p>
        </w:tc>
        <w:tc>
          <w:tcPr>
            <w:tcW w:w="110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center"/>
              <w:rPr/>
            </w:pPr>
            <w:r>
              <w:rPr/>
              <w:t>$5,844,892</w:t>
            </w:r>
          </w:p>
        </w:tc>
        <w:tc>
          <w:tcPr>
            <w:tcW w:w="38"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92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r>
              <w:rPr>
                <w:rFonts w:ascii="arial" w:hAnsi="arial"/>
                <w:sz w:val="20"/>
              </w:rPr>
              <w:t>Frank G. LaPrade, III</w:t>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tcMar>
              <w:bottom w:w="28" w:type="dxa"/>
            </w:tcMar>
            <w:vAlign w:val="center"/>
          </w:tcPr>
          <w:p>
            <w:pPr>
              <w:pStyle w:val="TableContents"/>
              <w:bidi w:val="0"/>
              <w:spacing w:before="0" w:after="283"/>
              <w:jc w:val="center"/>
              <w:rPr/>
            </w:pPr>
            <w:r>
              <w:rPr/>
              <w:t>$1,383,154</w:t>
            </w:r>
          </w:p>
        </w:tc>
        <w:tc>
          <w:tcPr>
            <w:tcW w:w="23" w:type="dxa"/>
            <w:tcBorders>
              <w:bottom w:val="single" w:sz="8" w:space="0" w:color="003A5D"/>
              <w:right w:val="single" w:sz="24" w:space="0" w:color="FFFFFF"/>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shd w:fill="FFFFFF" w:val="clear"/>
            <w:tcMar>
              <w:bottom w:w="28" w:type="dxa"/>
            </w:tcMar>
            <w:vAlign w:val="center"/>
          </w:tcPr>
          <w:p>
            <w:pPr>
              <w:pStyle w:val="TableContents"/>
              <w:bidi w:val="0"/>
              <w:spacing w:before="0" w:after="283"/>
              <w:jc w:val="center"/>
              <w:rPr/>
            </w:pPr>
            <w:r>
              <w:rPr/>
              <w:t>$2,602,500</w:t>
            </w:r>
          </w:p>
        </w:tc>
        <w:tc>
          <w:tcPr>
            <w:tcW w:w="23" w:type="dxa"/>
            <w:tcBorders>
              <w:bottom w:val="single" w:sz="8" w:space="0" w:color="003A5D"/>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tcMar>
              <w:bottom w:w="28" w:type="dxa"/>
            </w:tcMar>
            <w:vAlign w:val="center"/>
          </w:tcPr>
          <w:p>
            <w:pPr>
              <w:pStyle w:val="TableContents"/>
              <w:bidi w:val="0"/>
              <w:spacing w:before="0" w:after="283"/>
              <w:jc w:val="center"/>
              <w:rPr/>
            </w:pPr>
            <w:r>
              <w:rPr/>
              <w:t>$1,735,040</w:t>
            </w:r>
          </w:p>
        </w:tc>
        <w:tc>
          <w:tcPr>
            <w:tcW w:w="23" w:type="dxa"/>
            <w:tcBorders>
              <w:bottom w:val="single" w:sz="8" w:space="0" w:color="003A5D"/>
              <w:right w:val="single" w:sz="24" w:space="0" w:color="FFFFFF"/>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tcMar>
              <w:bottom w:w="28" w:type="dxa"/>
            </w:tcMar>
            <w:vAlign w:val="center"/>
          </w:tcPr>
          <w:p>
            <w:pPr>
              <w:pStyle w:val="TableContents"/>
              <w:bidi w:val="0"/>
              <w:spacing w:before="0" w:after="283"/>
              <w:jc w:val="center"/>
              <w:rPr/>
            </w:pPr>
            <w:r>
              <w:rPr/>
              <w:t>$2,082,048</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tcMar>
              <w:bottom w:w="28" w:type="dxa"/>
            </w:tcMar>
            <w:vAlign w:val="center"/>
          </w:tcPr>
          <w:p>
            <w:pPr>
              <w:pStyle w:val="TableContents"/>
              <w:bidi w:val="0"/>
              <w:spacing w:before="0" w:after="283"/>
              <w:jc w:val="center"/>
              <w:rPr/>
            </w:pPr>
            <w:r>
              <w:rPr/>
              <w:t>$7,802,743</w:t>
            </w:r>
          </w:p>
        </w:tc>
        <w:tc>
          <w:tcPr>
            <w:tcW w:w="38"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r>
      <w:tr>
        <w:trPr/>
        <w:tc>
          <w:tcPr>
            <w:tcW w:w="192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r>
              <w:rPr>
                <w:rFonts w:ascii="arial" w:hAnsi="arial"/>
                <w:sz w:val="20"/>
              </w:rPr>
              <w:t>Matthew W. Cooper</w:t>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shd w:fill="E5EBEE" w:val="clear"/>
            <w:tcMar>
              <w:bottom w:w="28" w:type="dxa"/>
            </w:tcMar>
            <w:vAlign w:val="center"/>
          </w:tcPr>
          <w:p>
            <w:pPr>
              <w:pStyle w:val="TableContents"/>
              <w:bidi w:val="0"/>
              <w:spacing w:before="0" w:after="283"/>
              <w:jc w:val="center"/>
              <w:rPr/>
            </w:pPr>
            <w:r>
              <w:rPr/>
              <w:t>$1,110,077</w:t>
            </w:r>
          </w:p>
        </w:tc>
        <w:tc>
          <w:tcPr>
            <w:tcW w:w="23" w:type="dxa"/>
            <w:tcBorders>
              <w:bottom w:val="single" w:sz="8" w:space="0" w:color="003A5D"/>
              <w:right w:val="single" w:sz="24" w:space="0" w:color="FFFFFF"/>
            </w:tcBorders>
            <w:shd w:fill="E5EBEE" w:val="clear"/>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shd w:fill="E5EBEE" w:val="clear"/>
            <w:tcMar>
              <w:bottom w:w="28" w:type="dxa"/>
            </w:tcMar>
            <w:vAlign w:val="center"/>
          </w:tcPr>
          <w:p>
            <w:pPr>
              <w:pStyle w:val="TableContents"/>
              <w:bidi w:val="0"/>
              <w:spacing w:before="0" w:after="283"/>
              <w:jc w:val="center"/>
              <w:rPr/>
            </w:pPr>
            <w:r>
              <w:rPr/>
              <w:t>$2,089,500</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shd w:fill="E5EBEE" w:val="clear"/>
            <w:tcMar>
              <w:bottom w:w="28" w:type="dxa"/>
            </w:tcMar>
            <w:vAlign w:val="center"/>
          </w:tcPr>
          <w:p>
            <w:pPr>
              <w:pStyle w:val="TableContents"/>
              <w:bidi w:val="0"/>
              <w:spacing w:before="0" w:after="283"/>
              <w:jc w:val="center"/>
              <w:rPr/>
            </w:pPr>
            <w:r>
              <w:rPr/>
              <w:t>$1,601,160</w:t>
            </w:r>
          </w:p>
        </w:tc>
        <w:tc>
          <w:tcPr>
            <w:tcW w:w="23" w:type="dxa"/>
            <w:tcBorders>
              <w:bottom w:val="single" w:sz="8" w:space="0" w:color="003A5D"/>
              <w:right w:val="single" w:sz="24" w:space="0" w:color="FFFFFF"/>
            </w:tcBorders>
            <w:shd w:fill="E5EBEE" w:val="clear"/>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shd w:fill="E5EBEE" w:val="clear"/>
            <w:tcMar>
              <w:bottom w:w="28" w:type="dxa"/>
            </w:tcMar>
            <w:vAlign w:val="center"/>
          </w:tcPr>
          <w:p>
            <w:pPr>
              <w:pStyle w:val="TableContents"/>
              <w:bidi w:val="0"/>
              <w:spacing w:before="0" w:after="283"/>
              <w:jc w:val="center"/>
              <w:rPr/>
            </w:pPr>
            <w:r>
              <w:rPr/>
              <w:t>$1,921,352</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shd w:fill="E5EBEE" w:val="clear"/>
            <w:tcMar>
              <w:bottom w:w="28" w:type="dxa"/>
            </w:tcMar>
            <w:vAlign w:val="center"/>
          </w:tcPr>
          <w:p>
            <w:pPr>
              <w:pStyle w:val="TableContents"/>
              <w:bidi w:val="0"/>
              <w:spacing w:before="0" w:after="283"/>
              <w:jc w:val="center"/>
              <w:rPr/>
            </w:pPr>
            <w:r>
              <w:rPr/>
              <w:t>$6,722,089</w:t>
            </w:r>
          </w:p>
        </w:tc>
        <w:tc>
          <w:tcPr>
            <w:tcW w:w="38"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r>
      <w:tr>
        <w:trPr/>
        <w:tc>
          <w:tcPr>
            <w:tcW w:w="192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Sanjiv Yajnik</w:t>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tcMar>
              <w:bottom w:w="28" w:type="dxa"/>
            </w:tcMar>
            <w:vAlign w:val="center"/>
          </w:tcPr>
          <w:p>
            <w:pPr>
              <w:pStyle w:val="TableContents"/>
              <w:bidi w:val="0"/>
              <w:spacing w:before="0" w:after="283"/>
              <w:jc w:val="center"/>
              <w:rPr/>
            </w:pPr>
            <w:r>
              <w:rPr/>
              <w:t>$1,297,615</w:t>
            </w:r>
          </w:p>
        </w:tc>
        <w:tc>
          <w:tcPr>
            <w:tcW w:w="23" w:type="dxa"/>
            <w:tcBorders>
              <w:bottom w:val="single" w:sz="8" w:space="0" w:color="003A5D"/>
              <w:right w:val="single" w:sz="24" w:space="0" w:color="FFFFFF"/>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shd w:fill="FFFFFF" w:val="clear"/>
            <w:tcMar>
              <w:bottom w:w="28" w:type="dxa"/>
            </w:tcMar>
            <w:vAlign w:val="center"/>
          </w:tcPr>
          <w:p>
            <w:pPr>
              <w:pStyle w:val="TableContents"/>
              <w:bidi w:val="0"/>
              <w:spacing w:before="0" w:after="283"/>
              <w:jc w:val="center"/>
              <w:rPr/>
            </w:pPr>
            <w:r>
              <w:rPr/>
              <w:t>$2,442,000</w:t>
            </w:r>
          </w:p>
        </w:tc>
        <w:tc>
          <w:tcPr>
            <w:tcW w:w="23" w:type="dxa"/>
            <w:tcBorders>
              <w:bottom w:val="single" w:sz="8" w:space="0" w:color="003A5D"/>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tcMar>
              <w:bottom w:w="28" w:type="dxa"/>
            </w:tcMar>
            <w:vAlign w:val="center"/>
          </w:tcPr>
          <w:p>
            <w:pPr>
              <w:pStyle w:val="TableContents"/>
              <w:bidi w:val="0"/>
              <w:spacing w:before="0" w:after="283"/>
              <w:jc w:val="center"/>
              <w:rPr/>
            </w:pPr>
            <w:r>
              <w:rPr/>
              <w:t>$1,627,376</w:t>
            </w:r>
          </w:p>
        </w:tc>
        <w:tc>
          <w:tcPr>
            <w:tcW w:w="23" w:type="dxa"/>
            <w:tcBorders>
              <w:bottom w:val="single" w:sz="8" w:space="0" w:color="003A5D"/>
              <w:right w:val="single" w:sz="24" w:space="0" w:color="FFFFFF"/>
            </w:tcBorders>
            <w:tcMar>
              <w:bottom w:w="28"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tcMar>
              <w:bottom w:w="28" w:type="dxa"/>
            </w:tcMar>
            <w:vAlign w:val="center"/>
          </w:tcPr>
          <w:p>
            <w:pPr>
              <w:pStyle w:val="TableContents"/>
              <w:bidi w:val="0"/>
              <w:spacing w:before="0" w:after="283"/>
              <w:jc w:val="center"/>
              <w:rPr/>
            </w:pPr>
            <w:r>
              <w:rPr/>
              <w:t>$1,952,771</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tcMar>
              <w:bottom w:w="28" w:type="dxa"/>
            </w:tcMar>
            <w:vAlign w:val="center"/>
          </w:tcPr>
          <w:p>
            <w:pPr>
              <w:pStyle w:val="TableContents"/>
              <w:bidi w:val="0"/>
              <w:spacing w:before="0" w:after="283"/>
              <w:jc w:val="center"/>
              <w:rPr/>
            </w:pPr>
            <w:r>
              <w:rPr/>
              <w:t>$7,319,762</w:t>
            </w:r>
          </w:p>
        </w:tc>
        <w:tc>
          <w:tcPr>
            <w:tcW w:w="38"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3790" w:type="dxa"/>
        <w:jc w:val="left"/>
        <w:tblInd w:w="0" w:type="dxa"/>
        <w:tblLayout w:type="fixed"/>
        <w:tblCellMar>
          <w:top w:w="0" w:type="dxa"/>
          <w:left w:w="0" w:type="dxa"/>
          <w:bottom w:w="0" w:type="dxa"/>
          <w:right w:w="0" w:type="dxa"/>
        </w:tblCellMar>
      </w:tblPr>
      <w:tblGrid>
        <w:gridCol w:w="305"/>
        <w:gridCol w:w="3485"/>
      </w:tblGrid>
      <w:tr>
        <w:trPr/>
        <w:tc>
          <w:tcPr>
            <w:tcW w:w="305" w:type="dxa"/>
            <w:tcBorders/>
            <w:vAlign w:val="center"/>
          </w:tcPr>
          <w:p>
            <w:pPr>
              <w:pStyle w:val="TableContents"/>
              <w:bidi w:val="0"/>
              <w:spacing w:before="0" w:after="283"/>
              <w:jc w:val="left"/>
              <w:rPr/>
            </w:pPr>
            <w:r>
              <w:rPr/>
              <w:t>(1)</w:t>
            </w:r>
          </w:p>
        </w:tc>
        <w:tc>
          <w:tcPr>
            <w:tcW w:w="3485" w:type="dxa"/>
            <w:tcBorders/>
            <w:vAlign w:val="center"/>
          </w:tcPr>
          <w:p>
            <w:pPr>
              <w:pStyle w:val="TableContents"/>
              <w:bidi w:val="0"/>
              <w:spacing w:before="0" w:after="0"/>
              <w:jc w:val="both"/>
              <w:rPr>
                <w:rFonts w:ascii="arial" w:hAnsi="arial"/>
                <w:sz w:val="16"/>
              </w:rPr>
            </w:pPr>
            <w:r>
              <w:rPr>
                <w:rFonts w:ascii="arial" w:hAnsi="arial"/>
                <w:sz w:val="16"/>
              </w:rPr>
              <w:t xml:space="preserve">Amounts do not include discretionary bonuses. </w:t>
            </w:r>
          </w:p>
        </w:tc>
      </w:tr>
    </w:tbl>
    <w:p>
      <w:pPr>
        <w:pStyle w:val="TextBody"/>
        <w:bidi w:val="0"/>
        <w:spacing w:before="240" w:after="0"/>
        <w:jc w:val="left"/>
        <w:rPr>
          <w:rFonts w:ascii="arial" w:hAnsi="arial"/>
          <w:b/>
          <w:i/>
          <w:color w:val="003A5D"/>
          <w:sz w:val="24"/>
        </w:rPr>
      </w:pPr>
      <w:bookmarkStart w:id="44" w:name="txa845790_1weht"/>
      <w:bookmarkEnd w:id="44"/>
      <w:r>
        <w:rPr>
          <w:rFonts w:ascii="arial" w:hAnsi="arial"/>
          <w:b/>
          <w:i/>
          <w:color w:val="003A5D"/>
          <w:sz w:val="24"/>
        </w:rPr>
        <w:t xml:space="preserve">Consideration of Stockholder Feedback and 2024 Say on Pay Vote </w:t>
      </w:r>
    </w:p>
    <w:p>
      <w:pPr>
        <w:pStyle w:val="TextBody"/>
        <w:bidi w:val="0"/>
        <w:spacing w:before="240" w:after="0"/>
        <w:jc w:val="both"/>
        <w:rPr>
          <w:rFonts w:ascii="arial" w:hAnsi="arial"/>
          <w:sz w:val="20"/>
        </w:rPr>
      </w:pPr>
      <w:r>
        <w:rPr>
          <w:rFonts w:ascii="arial" w:hAnsi="arial"/>
          <w:sz w:val="20"/>
        </w:rPr>
        <w:t xml:space="preserve">The Committee and the Board value the input of our stockholders and strive to foster a constructive dialogue with stockholders on matters of executive compensation and corporate governance. At our 2024 Annual Stockholder Meeting, 95% of our stockholders supported our executive compensation program by approving our non-binding advisory vote on executive compensation (“2024 Say on Pay Vote”). Though the Committee recognized the 2024 Say on Pay Vote reflected strong support for the Company’s executive compensation programs, the Committee remains committed to stockholder engagement. In 2024, we continued to strengthen our outreach to stockholders to maintain strong lines of communication with our stockholders and shared stockholders’ perspectives with the Committee and the Board. </w:t>
      </w:r>
    </w:p>
    <w:p>
      <w:pPr>
        <w:pStyle w:val="TextBody"/>
        <w:bidi w:val="0"/>
        <w:spacing w:before="240" w:after="0"/>
        <w:jc w:val="both"/>
        <w:rPr>
          <w:rFonts w:ascii="arial" w:hAnsi="arial"/>
          <w:sz w:val="20"/>
        </w:rPr>
      </w:pPr>
      <w:r>
        <w:rPr>
          <w:rFonts w:ascii="arial" w:hAnsi="arial"/>
          <w:sz w:val="20"/>
        </w:rPr>
        <w:t xml:space="preserve">Management and our Investor Relations team engaged in direct outreach and discussions with stockholders in a variety of forums. In 2024, our teams attended 17 investor conferences and hosted over 300 investor engagements. See “Stockholder Engagement Program” beginning on page 34 for more information. From this outreach, the Committee and the Board gained valuable insight into our investors’ views about the Company, including our executive compensation programs. The Committee and the Independent Directors considered these views and feedback in approving year-end incentive awards for 2024 and structuring and approving the 2025 compensation programs for the NEOs. </w:t>
      </w:r>
    </w:p>
    <w:p>
      <w:pPr>
        <w:pStyle w:val="TextBody"/>
        <w:bidi w:val="0"/>
        <w:spacing w:before="240" w:after="0"/>
        <w:jc w:val="both"/>
        <w:rPr>
          <w:rFonts w:ascii="arial" w:hAnsi="arial"/>
          <w:sz w:val="20"/>
        </w:rPr>
      </w:pPr>
      <w:r>
        <w:rPr>
          <w:rFonts w:ascii="arial" w:hAnsi="arial"/>
          <w:sz w:val="20"/>
        </w:rPr>
        <w:t xml:space="preserve">In recent years, as a result of the feedback received from investors, the Committee made the following enhancements to our executive compensation programs and disclosure: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Disclosure of Performance Share Awards Realized Compensation.</w:t>
            </w:r>
            <w:r>
              <w:rPr>
                <w:rFonts w:ascii="arial" w:hAnsi="arial"/>
                <w:sz w:val="20"/>
              </w:rPr>
              <w:t xml:space="preserve"> Stockholders have expressed a desire for clearer information regarding the realized pay associated with the performance share awards granted to the NEOs. We added disclosure regarding the settlement value resulting from the performance share awards that vested during the performance year based on the Company’s performance for the associated three-year performance period. See “Settlement of Performance Shares Granted in February 2022” on page 79.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Linked a Portion of CEO Compensation to Relative TSR.</w:t>
            </w:r>
            <w:r>
              <w:rPr>
                <w:rFonts w:ascii="arial" w:hAnsi="arial"/>
                <w:color w:val="003A5D"/>
                <w:sz w:val="20"/>
              </w:rPr>
              <w:t xml:space="preserve"> </w:t>
            </w:r>
            <w:r>
              <w:rPr>
                <w:rFonts w:ascii="arial" w:hAnsi="arial"/>
                <w:sz w:val="20"/>
              </w:rPr>
              <w:t xml:space="preserve">Some stockholders asked that the Company consider a stronger link between CEO compensation and the Company’s TSR over time. Beginning with the 2020 performance year, the Committee and the Independent Directors determined to award a portion of </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62 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right"/>
              <w:rPr>
                <w:b/>
                <w:color w:val="003A5D"/>
              </w:rPr>
            </w:pPr>
            <w:r>
              <w:rPr>
                <w:b/>
                <w:color w:val="003A5D"/>
              </w:rPr>
              <w:t>Section V - Compensation Discussion and Analysis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20"/>
              </w:rPr>
            </w:pPr>
            <w:r>
              <w:rPr>
                <w:rFonts w:ascii="arial" w:hAnsi="arial"/>
                <w:sz w:val="20"/>
              </w:rPr>
              <w:t xml:space="preserve">the CEO’s year-end incentive in the form of a performance share award that vests based on the Company’s TSR over a three-year performance period relative to the Performance Share Peers.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Enhanced Disclosure of Committee Decision Processes.</w:t>
            </w:r>
            <w:r>
              <w:rPr>
                <w:rFonts w:ascii="arial" w:hAnsi="arial"/>
                <w:sz w:val="20"/>
              </w:rPr>
              <w:t xml:space="preserve"> We received suggestions from stockholders that we provide additional details regarding the processes utilized by the Committee to make compensation decisions. We enhanced our description of the Committee and the Independent Directors’ processes for considering Company performance throughout the year and determining the level and pay mix associated with the year-end incentive awards granted to our NEOs. See “Compensation Committee Process to Determine Year-End Incentive” on page 73 and “Our Compensation Governance Cycle” on page 66 for more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Increased the Size and Diversity of Our Peer Group.</w:t>
            </w:r>
            <w:r>
              <w:rPr>
                <w:rFonts w:ascii="arial" w:hAnsi="arial"/>
                <w:color w:val="003A5D"/>
                <w:sz w:val="20"/>
              </w:rPr>
              <w:t xml:space="preserve"> </w:t>
            </w:r>
            <w:r>
              <w:rPr>
                <w:rFonts w:ascii="arial" w:hAnsi="arial"/>
                <w:sz w:val="20"/>
              </w:rPr>
              <w:t xml:space="preserve">We received feedback from stockholders regarding the composition of our Board-approved peer group used to determine the level and components of NEO compensation. The Committee and the Independent Directors increased the size and diversity of the Company’s peer group to add seven additional peers, including diversified financial institutions and payment companies with whom we compete for executive talent. See “Peer Groups” beginning on page 90 for more information. </w:t>
            </w:r>
          </w:p>
        </w:tc>
      </w:tr>
    </w:tbl>
    <w:p>
      <w:pPr>
        <w:pStyle w:val="TextBody"/>
        <w:bidi w:val="0"/>
        <w:spacing w:before="240" w:after="0"/>
        <w:jc w:val="both"/>
        <w:rPr>
          <w:rFonts w:ascii="arial" w:hAnsi="arial"/>
          <w:sz w:val="20"/>
        </w:rPr>
      </w:pPr>
      <w:r>
        <w:rPr>
          <w:rFonts w:ascii="arial" w:hAnsi="arial"/>
          <w:sz w:val="20"/>
        </w:rPr>
        <w:t xml:space="preserve">The Committee remains committed to active and ongoing stockholder engagement and continues to engage with our stockholders with respect to executive compensation matters and other governance matters.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63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lef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45" w:name="txa845790_25"/>
      <w:bookmarkStart w:id="46" w:name="txa845790_202"/>
      <w:bookmarkEnd w:id="45"/>
      <w:bookmarkEnd w:id="46"/>
      <w:r>
        <w:rPr>
          <w:rFonts w:ascii="arial" w:hAnsi="arial"/>
          <w:b/>
          <w:color w:val="003A5D"/>
          <w:sz w:val="32"/>
        </w:rPr>
        <w:t xml:space="preserve">Our Compensation Principles and Objectives </w:t>
      </w:r>
    </w:p>
    <w:p>
      <w:pPr>
        <w:pStyle w:val="TextBody"/>
        <w:bidi w:val="0"/>
        <w:spacing w:before="240" w:after="0"/>
        <w:jc w:val="left"/>
        <w:rPr>
          <w:rFonts w:ascii="arial" w:hAnsi="arial"/>
          <w:b/>
          <w:i/>
          <w:color w:val="003A5D"/>
          <w:sz w:val="24"/>
        </w:rPr>
      </w:pPr>
      <w:r>
        <w:rPr>
          <w:rFonts w:ascii="arial" w:hAnsi="arial"/>
          <w:b/>
          <w:i/>
          <w:color w:val="003A5D"/>
          <w:sz w:val="24"/>
        </w:rPr>
        <w:t xml:space="preserve">Highlights of Our 2024 Compensation Programs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08"/>
        <w:gridCol w:w="120"/>
        <w:gridCol w:w="200"/>
        <w:gridCol w:w="60"/>
        <w:gridCol w:w="4918"/>
        <w:gridCol w:w="60"/>
        <w:gridCol w:w="39"/>
      </w:tblGrid>
      <w:tr>
        <w:trPr/>
        <w:tc>
          <w:tcPr>
            <w:tcW w:w="48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shd w:fill="003A5D" w:val="clear"/>
            <w:vAlign w:val="center"/>
          </w:tcPr>
          <w:p>
            <w:pPr>
              <w:pStyle w:val="TableContents"/>
              <w:bidi w:val="0"/>
              <w:spacing w:before="0" w:after="283"/>
              <w:jc w:val="left"/>
              <w:rPr>
                <w:sz w:val="4"/>
                <w:szCs w:val="4"/>
              </w:rPr>
            </w:pPr>
            <w:r>
              <w:rPr>
                <w:sz w:val="4"/>
                <w:szCs w:val="4"/>
              </w:rPr>
            </w:r>
          </w:p>
        </w:tc>
        <w:tc>
          <w:tcPr>
            <w:tcW w:w="5298"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99"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4808" w:type="dxa"/>
            <w:tcBorders/>
            <w:shd w:fill="003A5D" w:val="clear"/>
            <w:vAlign w:val="center"/>
          </w:tcPr>
          <w:p>
            <w:pPr>
              <w:pStyle w:val="TableContents"/>
              <w:bidi w:val="0"/>
              <w:spacing w:before="0" w:after="0"/>
              <w:jc w:val="left"/>
              <w:rPr/>
            </w:pPr>
            <w:r>
              <w:rPr/>
              <w:t> </w:t>
            </w:r>
          </w:p>
          <w:p>
            <w:pPr>
              <w:pStyle w:val="TableContents"/>
              <w:bidi w:val="0"/>
              <w:spacing w:before="0" w:after="20"/>
              <w:jc w:val="both"/>
              <w:rPr>
                <w:color w:val="FFFFFF"/>
              </w:rPr>
            </w:pPr>
            <w:r>
              <w:rPr>
                <w:color w:val="FFFFFF"/>
              </w:rPr>
              <w:t> </w:t>
            </w:r>
            <w:r>
              <w:rPr>
                <w:rFonts w:ascii="arial" w:hAnsi="arial"/>
                <w:b/>
                <w:color w:val="FFFFFF"/>
                <w:sz w:val="18"/>
              </w:rPr>
              <w:t>What We Do</w:t>
            </w:r>
          </w:p>
        </w:tc>
        <w:tc>
          <w:tcPr>
            <w:tcW w:w="12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5178" w:type="dxa"/>
            <w:gridSpan w:val="3"/>
            <w:tcBorders/>
            <w:shd w:fill="003A5D" w:val="clear"/>
            <w:vAlign w:val="center"/>
          </w:tcPr>
          <w:p>
            <w:pPr>
              <w:pStyle w:val="TableContents"/>
              <w:bidi w:val="0"/>
              <w:spacing w:before="0" w:after="0"/>
              <w:jc w:val="both"/>
              <w:rPr>
                <w:rFonts w:ascii="arial" w:hAnsi="arial"/>
                <w:b/>
                <w:color w:val="FFFFFF"/>
                <w:sz w:val="18"/>
              </w:rPr>
            </w:pPr>
            <w:r>
              <w:rPr>
                <w:rFonts w:ascii="arial" w:hAnsi="arial"/>
                <w:b/>
                <w:color w:val="FFFFFF"/>
                <w:sz w:val="18"/>
              </w:rPr>
              <w:t>What We Don’t Do</w:t>
            </w:r>
          </w:p>
        </w:tc>
        <w:tc>
          <w:tcPr>
            <w:tcW w:w="60" w:type="dxa"/>
            <w:tcBorders/>
            <w:shd w:fill="003A5D" w:val="clear"/>
            <w:vAlign w:val="center"/>
          </w:tcPr>
          <w:p>
            <w:pPr>
              <w:pStyle w:val="TableContents"/>
              <w:bidi w:val="0"/>
              <w:spacing w:before="0" w:after="283"/>
              <w:jc w:val="left"/>
              <w:rPr/>
            </w:pPr>
            <w:r>
              <w:rPr/>
              <w:t> </w:t>
            </w:r>
          </w:p>
        </w:tc>
        <w:tc>
          <w:tcPr>
            <w:tcW w:w="39" w:type="dxa"/>
            <w:tcBorders/>
            <w:shd w:fill="003A5D" w:val="clear"/>
            <w:vAlign w:val="center"/>
          </w:tcPr>
          <w:p>
            <w:pPr>
              <w:pStyle w:val="TableContents"/>
              <w:bidi w:val="0"/>
              <w:spacing w:before="0" w:after="283"/>
              <w:jc w:val="left"/>
              <w:rPr>
                <w:sz w:val="4"/>
                <w:szCs w:val="4"/>
              </w:rPr>
            </w:pPr>
            <w:r>
              <w:rPr>
                <w:sz w:val="4"/>
                <w:szCs w:val="4"/>
              </w:rPr>
            </w:r>
          </w:p>
        </w:tc>
      </w:tr>
      <w:tr>
        <w:trPr/>
        <w:tc>
          <w:tcPr>
            <w:tcW w:w="4808" w:type="dxa"/>
            <w:tcBorders/>
            <w:shd w:fill="E5EBEE" w:val="clear"/>
            <w:vAlign w:val="center"/>
          </w:tcPr>
          <w:p>
            <w:pPr>
              <w:pStyle w:val="TableContents"/>
              <w:bidi w:val="0"/>
              <w:spacing w:before="0" w:after="0"/>
              <w:jc w:val="left"/>
              <w:rPr/>
            </w:pPr>
            <w:r>
              <w:rPr/>
              <w:t> </w:t>
            </w:r>
          </w:p>
          <w:p>
            <w:pPr>
              <w:pStyle w:val="TableContents"/>
              <w:bidi w:val="0"/>
              <w:spacing w:before="0" w:after="20"/>
              <w:jc w:val="left"/>
              <w:rPr/>
            </w:pPr>
            <w:r>
              <w:rPr>
                <w:color w:val="003A5D"/>
              </w:rPr>
              <w:t>✓</w:t>
            </w:r>
            <w:r>
              <w:rPr/>
              <w:t>   </w:t>
            </w:r>
            <w:r>
              <w:rPr>
                <w:rFonts w:ascii="arial" w:hAnsi="arial"/>
                <w:sz w:val="20"/>
              </w:rPr>
              <w:t xml:space="preserve">We provide the majority of NEO compensation as </w:t>
            </w:r>
            <w:r>
              <w:rPr>
                <w:rFonts w:ascii="arial" w:hAnsi="arial"/>
                <w:b/>
                <w:sz w:val="20"/>
              </w:rPr>
              <w:t>long-term, equity, or equity-based compensation</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0" w:type="dxa"/>
            <w:tcBorders/>
            <w:shd w:fill="E5EBEE"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both"/>
              <w:rPr>
                <w:rFonts w:ascii="WINGDINGS" w:hAnsi="WINGDINGS"/>
                <w:color w:val="003A5D"/>
                <w:sz w:val="28"/>
              </w:rPr>
            </w:pPr>
            <w:r>
              <w:rPr>
                <w:rFonts w:ascii="WINGDINGS" w:hAnsi="WINGDINGS"/>
                <w:color w:val="003A5D"/>
                <w:sz w:val="28"/>
              </w:rPr>
              <w:t>û</w:t>
            </w:r>
          </w:p>
        </w:tc>
        <w:tc>
          <w:tcPr>
            <w:tcW w:w="60" w:type="dxa"/>
            <w:tcBorders/>
            <w:shd w:fill="E5EBEE" w:val="clear"/>
            <w:vAlign w:val="center"/>
          </w:tcPr>
          <w:p>
            <w:pPr>
              <w:pStyle w:val="TableContents"/>
              <w:bidi w:val="0"/>
              <w:spacing w:before="0" w:after="283"/>
              <w:jc w:val="left"/>
              <w:rPr/>
            </w:pPr>
            <w:r>
              <w:rPr/>
              <w:t> </w:t>
            </w:r>
          </w:p>
        </w:tc>
        <w:tc>
          <w:tcPr>
            <w:tcW w:w="4918" w:type="dxa"/>
            <w:tcBorders/>
            <w:shd w:fill="E5EBEE"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 xml:space="preserve">We do not pay a </w:t>
            </w:r>
            <w:r>
              <w:rPr>
                <w:rFonts w:ascii="arial" w:hAnsi="arial"/>
                <w:b/>
                <w:sz w:val="20"/>
              </w:rPr>
              <w:t>cash salary</w:t>
            </w:r>
            <w:r>
              <w:rPr>
                <w:rFonts w:ascii="arial" w:hAnsi="arial"/>
                <w:sz w:val="20"/>
              </w:rPr>
              <w:t xml:space="preserve"> to our CEO</w:t>
            </w:r>
          </w:p>
        </w:tc>
        <w:tc>
          <w:tcPr>
            <w:tcW w:w="60" w:type="dxa"/>
            <w:tcBorders/>
            <w:shd w:fill="E5EBEE" w:val="clear"/>
            <w:vAlign w:val="center"/>
          </w:tcPr>
          <w:p>
            <w:pPr>
              <w:pStyle w:val="TableContents"/>
              <w:bidi w:val="0"/>
              <w:spacing w:before="0" w:after="283"/>
              <w:jc w:val="left"/>
              <w:rPr/>
            </w:pPr>
            <w:r>
              <w:rPr/>
              <w:t> </w:t>
            </w:r>
          </w:p>
        </w:tc>
        <w:tc>
          <w:tcPr>
            <w:tcW w:w="39" w:type="dxa"/>
            <w:tcBorders/>
            <w:shd w:fill="E5EBEE" w:val="clear"/>
            <w:vAlign w:val="center"/>
          </w:tcPr>
          <w:p>
            <w:pPr>
              <w:pStyle w:val="TableContents"/>
              <w:bidi w:val="0"/>
              <w:spacing w:before="0" w:after="283"/>
              <w:jc w:val="left"/>
              <w:rPr>
                <w:sz w:val="4"/>
                <w:szCs w:val="4"/>
              </w:rPr>
            </w:pPr>
            <w:r>
              <w:rPr>
                <w:sz w:val="4"/>
                <w:szCs w:val="4"/>
              </w:rPr>
            </w:r>
          </w:p>
        </w:tc>
      </w:tr>
      <w:tr>
        <w:trPr/>
        <w:tc>
          <w:tcPr>
            <w:tcW w:w="4808"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vAlign w:val="center"/>
          </w:tcPr>
          <w:p>
            <w:pPr>
              <w:pStyle w:val="TableContents"/>
              <w:bidi w:val="0"/>
              <w:spacing w:before="0" w:after="0"/>
              <w:jc w:val="left"/>
              <w:rPr/>
            </w:pPr>
            <w:r>
              <w:rPr>
                <w:color w:val="003A5D"/>
              </w:rPr>
              <w:t>✓</w:t>
            </w:r>
            <w:r>
              <w:rPr/>
              <w:t>   </w:t>
            </w:r>
            <w:r>
              <w:rPr>
                <w:rFonts w:ascii="arial" w:hAnsi="arial"/>
                <w:sz w:val="20"/>
              </w:rPr>
              <w:t xml:space="preserve">We provide our CEO with compensation consisting </w:t>
            </w:r>
            <w:r>
              <w:rPr>
                <w:rFonts w:ascii="arial" w:hAnsi="arial"/>
                <w:b/>
                <w:sz w:val="20"/>
              </w:rPr>
              <w:t>entirely</w:t>
            </w:r>
            <w:r>
              <w:rPr>
                <w:rFonts w:ascii="arial" w:hAnsi="arial"/>
                <w:sz w:val="20"/>
              </w:rPr>
              <w:t xml:space="preserve"> of </w:t>
            </w:r>
            <w:r>
              <w:rPr>
                <w:rFonts w:ascii="arial" w:hAnsi="arial"/>
                <w:b/>
                <w:sz w:val="20"/>
              </w:rPr>
              <w:t>equity or equity-based awards</w:t>
            </w:r>
            <w:r>
              <w:rPr>
                <w:rFonts w:ascii="arial" w:hAnsi="arial"/>
                <w:sz w:val="20"/>
              </w:rPr>
              <w:t xml:space="preserve"> and </w:t>
            </w:r>
            <w:r>
              <w:rPr>
                <w:rFonts w:ascii="arial" w:hAnsi="arial"/>
                <w:b/>
                <w:sz w:val="20"/>
              </w:rPr>
              <w:t>deferred payouts</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pPr>
            <w:r>
              <w:rPr/>
              <w:t> </w:t>
            </w:r>
          </w:p>
          <w:p>
            <w:pPr>
              <w:pStyle w:val="TableContents"/>
              <w:bidi w:val="0"/>
              <w:spacing w:before="0" w:after="20"/>
              <w:jc w:val="both"/>
              <w:rPr>
                <w:rFonts w:ascii="WINGDINGS" w:hAnsi="WINGDINGS"/>
                <w:color w:val="003A5D"/>
                <w:sz w:val="28"/>
              </w:rPr>
            </w:pPr>
            <w:r>
              <w:rPr>
                <w:rFonts w:ascii="WINGDINGS" w:hAnsi="WINGDINGS"/>
                <w:color w:val="003A5D"/>
                <w:sz w:val="28"/>
              </w:rPr>
              <w:t>û</w:t>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 xml:space="preserve">We </w:t>
            </w:r>
            <w:r>
              <w:rPr>
                <w:rFonts w:ascii="arial" w:hAnsi="arial"/>
                <w:b/>
                <w:sz w:val="20"/>
              </w:rPr>
              <w:t>do not guarantee</w:t>
            </w:r>
            <w:r>
              <w:rPr>
                <w:rFonts w:ascii="arial" w:hAnsi="arial"/>
                <w:sz w:val="20"/>
              </w:rPr>
              <w:t xml:space="preserve"> incentive awards</w:t>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4918"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39" w:type="dxa"/>
            <w:tcBorders/>
            <w:shd w:fill="E5EBEE" w:val="clear"/>
            <w:vAlign w:val="center"/>
          </w:tcPr>
          <w:p>
            <w:pPr>
              <w:pStyle w:val="TableContents"/>
              <w:bidi w:val="0"/>
              <w:spacing w:before="0" w:after="283"/>
              <w:jc w:val="left"/>
              <w:rPr>
                <w:sz w:val="4"/>
                <w:szCs w:val="4"/>
              </w:rPr>
            </w:pPr>
            <w:r>
              <w:rPr>
                <w:sz w:val="4"/>
                <w:szCs w:val="4"/>
              </w:rPr>
            </w:r>
          </w:p>
        </w:tc>
      </w:tr>
      <w:tr>
        <w:trPr/>
        <w:tc>
          <w:tcPr>
            <w:tcW w:w="4808" w:type="dxa"/>
            <w:tcBorders/>
            <w:shd w:fill="E5EBEE" w:val="clear"/>
            <w:vAlign w:val="center"/>
          </w:tcPr>
          <w:p>
            <w:pPr>
              <w:pStyle w:val="TableContents"/>
              <w:bidi w:val="0"/>
              <w:spacing w:before="0" w:after="0"/>
              <w:jc w:val="left"/>
              <w:rPr/>
            </w:pPr>
            <w:r>
              <w:rPr>
                <w:color w:val="003A5D"/>
              </w:rPr>
              <w:t>✓</w:t>
            </w:r>
            <w:r>
              <w:rPr/>
              <w:t>   </w:t>
            </w:r>
            <w:r>
              <w:rPr>
                <w:rFonts w:ascii="arial" w:hAnsi="arial"/>
                <w:sz w:val="20"/>
              </w:rPr>
              <w:t xml:space="preserve">We link a portion of our CEO year-end incentive to relative </w:t>
            </w:r>
            <w:r>
              <w:rPr>
                <w:rFonts w:ascii="arial" w:hAnsi="arial"/>
                <w:b/>
                <w:sz w:val="20"/>
              </w:rPr>
              <w:t>TSR</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0" w:type="dxa"/>
            <w:tcBorders/>
            <w:shd w:fill="E5EBEE" w:val="clear"/>
            <w:vAlign w:val="center"/>
          </w:tcPr>
          <w:p>
            <w:pPr>
              <w:pStyle w:val="TableContents"/>
              <w:bidi w:val="0"/>
              <w:spacing w:before="0" w:after="0"/>
              <w:jc w:val="left"/>
              <w:rPr/>
            </w:pPr>
            <w:r>
              <w:rPr/>
              <w:t> </w:t>
            </w:r>
          </w:p>
          <w:p>
            <w:pPr>
              <w:pStyle w:val="TableContents"/>
              <w:bidi w:val="0"/>
              <w:spacing w:before="0" w:after="20"/>
              <w:jc w:val="both"/>
              <w:rPr>
                <w:rFonts w:ascii="WINGDINGS" w:hAnsi="WINGDINGS"/>
                <w:color w:val="003A5D"/>
                <w:sz w:val="28"/>
              </w:rPr>
            </w:pPr>
            <w:r>
              <w:rPr>
                <w:rFonts w:ascii="WINGDINGS" w:hAnsi="WINGDINGS"/>
                <w:color w:val="003A5D"/>
                <w:sz w:val="28"/>
              </w:rPr>
              <w:t>û</w:t>
            </w:r>
          </w:p>
        </w:tc>
        <w:tc>
          <w:tcPr>
            <w:tcW w:w="60" w:type="dxa"/>
            <w:tcBorders/>
            <w:shd w:fill="E5EBEE" w:val="clear"/>
            <w:vAlign w:val="center"/>
          </w:tcPr>
          <w:p>
            <w:pPr>
              <w:pStyle w:val="TableContents"/>
              <w:bidi w:val="0"/>
              <w:spacing w:before="0" w:after="283"/>
              <w:jc w:val="left"/>
              <w:rPr/>
            </w:pPr>
            <w:r>
              <w:rPr/>
              <w:t> </w:t>
            </w:r>
          </w:p>
        </w:tc>
        <w:tc>
          <w:tcPr>
            <w:tcW w:w="4918" w:type="dxa"/>
            <w:tcBorders/>
            <w:shd w:fill="E5EBEE" w:val="cle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 xml:space="preserve">We do not permit our NEOs to place their Company securities in a </w:t>
            </w:r>
            <w:r>
              <w:rPr>
                <w:rFonts w:ascii="arial" w:hAnsi="arial"/>
                <w:b/>
                <w:sz w:val="20"/>
              </w:rPr>
              <w:t>margin</w:t>
            </w:r>
            <w:r>
              <w:rPr>
                <w:rFonts w:ascii="arial" w:hAnsi="arial"/>
                <w:sz w:val="20"/>
              </w:rPr>
              <w:t xml:space="preserve"> account or to </w:t>
            </w:r>
            <w:r>
              <w:rPr>
                <w:rFonts w:ascii="arial" w:hAnsi="arial"/>
                <w:b/>
                <w:sz w:val="20"/>
              </w:rPr>
              <w:t xml:space="preserve">pledge </w:t>
            </w:r>
            <w:r>
              <w:rPr>
                <w:rFonts w:ascii="arial" w:hAnsi="arial"/>
                <w:sz w:val="20"/>
              </w:rPr>
              <w:t>their Company securities as collateral for a loan</w:t>
            </w:r>
          </w:p>
        </w:tc>
        <w:tc>
          <w:tcPr>
            <w:tcW w:w="60" w:type="dxa"/>
            <w:tcBorders/>
            <w:shd w:fill="E5EBEE" w:val="clear"/>
            <w:vAlign w:val="center"/>
          </w:tcPr>
          <w:p>
            <w:pPr>
              <w:pStyle w:val="TableContents"/>
              <w:bidi w:val="0"/>
              <w:spacing w:before="0" w:after="283"/>
              <w:jc w:val="left"/>
              <w:rPr/>
            </w:pPr>
            <w:r>
              <w:rPr/>
              <w:t> </w:t>
            </w:r>
          </w:p>
        </w:tc>
        <w:tc>
          <w:tcPr>
            <w:tcW w:w="39" w:type="dxa"/>
            <w:tcBorders/>
            <w:shd w:fill="E5EBEE" w:val="clear"/>
            <w:vAlign w:val="center"/>
          </w:tcPr>
          <w:p>
            <w:pPr>
              <w:pStyle w:val="TableContents"/>
              <w:bidi w:val="0"/>
              <w:spacing w:before="0" w:after="283"/>
              <w:jc w:val="left"/>
              <w:rPr>
                <w:sz w:val="4"/>
                <w:szCs w:val="4"/>
              </w:rPr>
            </w:pPr>
            <w:r>
              <w:rPr>
                <w:sz w:val="4"/>
                <w:szCs w:val="4"/>
              </w:rPr>
            </w:r>
          </w:p>
        </w:tc>
      </w:tr>
      <w:tr>
        <w:trPr/>
        <w:tc>
          <w:tcPr>
            <w:tcW w:w="4808"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vAlign w:val="center"/>
          </w:tcPr>
          <w:p>
            <w:pPr>
              <w:pStyle w:val="TableContents"/>
              <w:bidi w:val="0"/>
              <w:spacing w:before="0" w:after="0"/>
              <w:jc w:val="left"/>
              <w:rPr/>
            </w:pPr>
            <w:r>
              <w:rPr>
                <w:color w:val="003A5D"/>
              </w:rPr>
              <w:t>✓</w:t>
            </w:r>
            <w:r>
              <w:rPr/>
              <w:t>   </w:t>
            </w:r>
            <w:r>
              <w:rPr>
                <w:rFonts w:ascii="arial" w:hAnsi="arial"/>
                <w:sz w:val="20"/>
              </w:rPr>
              <w:t xml:space="preserve">We grant our NEOs </w:t>
            </w:r>
            <w:r>
              <w:rPr>
                <w:rFonts w:ascii="arial" w:hAnsi="arial"/>
                <w:b/>
                <w:sz w:val="20"/>
              </w:rPr>
              <w:t>performance-based</w:t>
            </w:r>
            <w:r>
              <w:rPr>
                <w:rFonts w:ascii="arial" w:hAnsi="arial"/>
                <w:sz w:val="20"/>
              </w:rPr>
              <w:t xml:space="preserve"> cash incentive and equity-based awards</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pPr>
            <w:r>
              <w:rPr/>
              <w:t> </w:t>
            </w:r>
          </w:p>
          <w:p>
            <w:pPr>
              <w:pStyle w:val="TableContents"/>
              <w:bidi w:val="0"/>
              <w:spacing w:before="0" w:after="20"/>
              <w:jc w:val="both"/>
              <w:rPr>
                <w:rFonts w:ascii="WINGDINGS" w:hAnsi="WINGDINGS"/>
                <w:color w:val="003A5D"/>
                <w:sz w:val="28"/>
              </w:rPr>
            </w:pPr>
            <w:r>
              <w:rPr>
                <w:rFonts w:ascii="WINGDINGS" w:hAnsi="WINGDINGS"/>
                <w:color w:val="003A5D"/>
                <w:sz w:val="28"/>
              </w:rPr>
              <w:t>û</w:t>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 xml:space="preserve">We </w:t>
            </w:r>
            <w:r>
              <w:rPr>
                <w:rFonts w:ascii="arial" w:hAnsi="arial"/>
                <w:b/>
                <w:sz w:val="20"/>
              </w:rPr>
              <w:t>do not</w:t>
            </w:r>
            <w:r>
              <w:rPr>
                <w:rFonts w:ascii="arial" w:hAnsi="arial"/>
                <w:sz w:val="20"/>
              </w:rPr>
              <w:t xml:space="preserve"> provide compensation or awards to our NEOs on terms and conditions that are </w:t>
            </w:r>
            <w:r>
              <w:rPr>
                <w:rFonts w:ascii="arial" w:hAnsi="arial"/>
                <w:b/>
                <w:sz w:val="20"/>
              </w:rPr>
              <w:t>more favorable</w:t>
            </w:r>
            <w:r>
              <w:rPr>
                <w:rFonts w:ascii="arial" w:hAnsi="arial"/>
                <w:sz w:val="20"/>
              </w:rPr>
              <w:t xml:space="preserve"> than compensation and awards granted to other executive officers</w:t>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4918"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39" w:type="dxa"/>
            <w:tcBorders/>
            <w:shd w:fill="E5EBEE" w:val="clear"/>
            <w:vAlign w:val="center"/>
          </w:tcPr>
          <w:p>
            <w:pPr>
              <w:pStyle w:val="TableContents"/>
              <w:bidi w:val="0"/>
              <w:spacing w:before="0" w:after="283"/>
              <w:jc w:val="left"/>
              <w:rPr>
                <w:sz w:val="4"/>
                <w:szCs w:val="4"/>
              </w:rPr>
            </w:pPr>
            <w:r>
              <w:rPr>
                <w:sz w:val="4"/>
                <w:szCs w:val="4"/>
              </w:rPr>
            </w:r>
          </w:p>
        </w:tc>
      </w:tr>
      <w:tr>
        <w:trPr/>
        <w:tc>
          <w:tcPr>
            <w:tcW w:w="4808" w:type="dxa"/>
            <w:tcBorders/>
            <w:shd w:fill="E5EBEE" w:val="clear"/>
            <w:vAlign w:val="center"/>
          </w:tcPr>
          <w:p>
            <w:pPr>
              <w:pStyle w:val="TableContents"/>
              <w:bidi w:val="0"/>
              <w:spacing w:before="0" w:after="0"/>
              <w:jc w:val="left"/>
              <w:rPr/>
            </w:pPr>
            <w:r>
              <w:rPr>
                <w:color w:val="003A5D"/>
              </w:rPr>
              <w:t>✓</w:t>
            </w:r>
            <w:r>
              <w:rPr/>
              <w:t>   </w:t>
            </w:r>
            <w:r>
              <w:rPr>
                <w:rFonts w:ascii="arial" w:hAnsi="arial"/>
                <w:sz w:val="20"/>
              </w:rPr>
              <w:t xml:space="preserve">We apply </w:t>
            </w:r>
            <w:r>
              <w:rPr>
                <w:rFonts w:ascii="arial" w:hAnsi="arial"/>
                <w:b/>
                <w:sz w:val="20"/>
              </w:rPr>
              <w:t>risk balancing</w:t>
            </w:r>
            <w:r>
              <w:rPr>
                <w:rFonts w:ascii="arial" w:hAnsi="arial"/>
                <w:sz w:val="20"/>
              </w:rPr>
              <w:t xml:space="preserve"> so as not to jeopardize the safety and soundness of Capital One</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0" w:type="dxa"/>
            <w:tcBorders/>
            <w:shd w:fill="E5EBEE" w:val="clear"/>
            <w:vAlign w:val="center"/>
          </w:tcPr>
          <w:p>
            <w:pPr>
              <w:pStyle w:val="TableContents"/>
              <w:bidi w:val="0"/>
              <w:spacing w:before="0" w:after="0"/>
              <w:jc w:val="left"/>
              <w:rPr/>
            </w:pPr>
            <w:r>
              <w:rPr/>
              <w:t> </w:t>
            </w:r>
          </w:p>
          <w:p>
            <w:pPr>
              <w:pStyle w:val="TableContents"/>
              <w:bidi w:val="0"/>
              <w:spacing w:before="0" w:after="20"/>
              <w:jc w:val="both"/>
              <w:rPr>
                <w:rFonts w:ascii="WINGDINGS" w:hAnsi="WINGDINGS"/>
                <w:color w:val="003A5D"/>
                <w:sz w:val="28"/>
              </w:rPr>
            </w:pPr>
            <w:r>
              <w:rPr>
                <w:rFonts w:ascii="WINGDINGS" w:hAnsi="WINGDINGS"/>
                <w:color w:val="003A5D"/>
                <w:sz w:val="28"/>
              </w:rPr>
              <w:t>û</w:t>
            </w:r>
          </w:p>
        </w:tc>
        <w:tc>
          <w:tcPr>
            <w:tcW w:w="60" w:type="dxa"/>
            <w:tcBorders/>
            <w:shd w:fill="E5EBEE" w:val="clear"/>
            <w:vAlign w:val="center"/>
          </w:tcPr>
          <w:p>
            <w:pPr>
              <w:pStyle w:val="TableContents"/>
              <w:bidi w:val="0"/>
              <w:spacing w:before="0" w:after="283"/>
              <w:jc w:val="left"/>
              <w:rPr/>
            </w:pPr>
            <w:r>
              <w:rPr/>
              <w:t> </w:t>
            </w:r>
          </w:p>
        </w:tc>
        <w:tc>
          <w:tcPr>
            <w:tcW w:w="4918" w:type="dxa"/>
            <w:tcBorders/>
            <w:shd w:fill="E5EBEE" w:val="cle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 xml:space="preserve">We do not permit our NEOs to engage in </w:t>
            </w:r>
            <w:r>
              <w:rPr>
                <w:rFonts w:ascii="arial" w:hAnsi="arial"/>
                <w:b/>
                <w:sz w:val="20"/>
              </w:rPr>
              <w:t>short sales, hedging</w:t>
            </w:r>
            <w:r>
              <w:rPr>
                <w:rFonts w:ascii="arial" w:hAnsi="arial"/>
                <w:sz w:val="20"/>
              </w:rPr>
              <w:t xml:space="preserve"> </w:t>
            </w:r>
            <w:r>
              <w:rPr>
                <w:rFonts w:ascii="arial" w:hAnsi="arial"/>
                <w:b/>
                <w:sz w:val="20"/>
              </w:rPr>
              <w:t>transactions,</w:t>
            </w:r>
            <w:r>
              <w:rPr>
                <w:rFonts w:ascii="arial" w:hAnsi="arial"/>
                <w:sz w:val="20"/>
              </w:rPr>
              <w:t xml:space="preserve"> </w:t>
            </w:r>
            <w:r>
              <w:rPr>
                <w:rFonts w:ascii="arial" w:hAnsi="arial"/>
                <w:b/>
                <w:sz w:val="20"/>
              </w:rPr>
              <w:t>or</w:t>
            </w:r>
            <w:r>
              <w:rPr>
                <w:rFonts w:ascii="arial" w:hAnsi="arial"/>
                <w:sz w:val="20"/>
              </w:rPr>
              <w:t xml:space="preserve"> </w:t>
            </w:r>
            <w:r>
              <w:rPr>
                <w:rFonts w:ascii="arial" w:hAnsi="arial"/>
                <w:b/>
                <w:sz w:val="20"/>
              </w:rPr>
              <w:t>speculative trading</w:t>
            </w:r>
            <w:r>
              <w:rPr>
                <w:rFonts w:ascii="arial" w:hAnsi="arial"/>
                <w:sz w:val="20"/>
              </w:rPr>
              <w:t xml:space="preserve"> in derivatives of our securities</w:t>
            </w:r>
          </w:p>
        </w:tc>
        <w:tc>
          <w:tcPr>
            <w:tcW w:w="60" w:type="dxa"/>
            <w:tcBorders/>
            <w:shd w:fill="E5EBEE" w:val="clear"/>
            <w:vAlign w:val="center"/>
          </w:tcPr>
          <w:p>
            <w:pPr>
              <w:pStyle w:val="TableContents"/>
              <w:bidi w:val="0"/>
              <w:spacing w:before="0" w:after="283"/>
              <w:jc w:val="left"/>
              <w:rPr/>
            </w:pPr>
            <w:r>
              <w:rPr/>
              <w:t> </w:t>
            </w:r>
          </w:p>
        </w:tc>
        <w:tc>
          <w:tcPr>
            <w:tcW w:w="39" w:type="dxa"/>
            <w:tcBorders/>
            <w:shd w:fill="E5EBEE" w:val="clear"/>
            <w:vAlign w:val="center"/>
          </w:tcPr>
          <w:p>
            <w:pPr>
              <w:pStyle w:val="TableContents"/>
              <w:bidi w:val="0"/>
              <w:spacing w:before="0" w:after="283"/>
              <w:jc w:val="left"/>
              <w:rPr>
                <w:sz w:val="4"/>
                <w:szCs w:val="4"/>
              </w:rPr>
            </w:pPr>
            <w:r>
              <w:rPr>
                <w:sz w:val="4"/>
                <w:szCs w:val="4"/>
              </w:rPr>
            </w:r>
          </w:p>
        </w:tc>
      </w:tr>
      <w:tr>
        <w:trPr/>
        <w:tc>
          <w:tcPr>
            <w:tcW w:w="4808"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vAlign w:val="center"/>
          </w:tcPr>
          <w:p>
            <w:pPr>
              <w:pStyle w:val="TableContents"/>
              <w:bidi w:val="0"/>
              <w:spacing w:before="0" w:after="0"/>
              <w:jc w:val="left"/>
              <w:rPr/>
            </w:pPr>
            <w:r>
              <w:rPr>
                <w:color w:val="003A5D"/>
              </w:rPr>
              <w:t>✓</w:t>
            </w:r>
            <w:r>
              <w:rPr/>
              <w:t>   </w:t>
            </w:r>
            <w:r>
              <w:rPr>
                <w:rFonts w:ascii="arial" w:hAnsi="arial"/>
                <w:sz w:val="20"/>
              </w:rPr>
              <w:t xml:space="preserve">We apply </w:t>
            </w:r>
            <w:r>
              <w:rPr>
                <w:rFonts w:ascii="arial" w:hAnsi="arial"/>
                <w:b/>
                <w:sz w:val="20"/>
              </w:rPr>
              <w:t>performance thresholds</w:t>
            </w:r>
            <w:r>
              <w:rPr>
                <w:rFonts w:ascii="arial" w:hAnsi="arial"/>
                <w:sz w:val="20"/>
              </w:rPr>
              <w:t xml:space="preserve"> to NEO grants to determine the amount of equity delivered at vesting</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pPr>
            <w:r>
              <w:rPr/>
              <w:t> </w:t>
            </w:r>
          </w:p>
          <w:p>
            <w:pPr>
              <w:pStyle w:val="TableContents"/>
              <w:bidi w:val="0"/>
              <w:spacing w:before="0" w:after="20"/>
              <w:jc w:val="both"/>
              <w:rPr>
                <w:rFonts w:ascii="WINGDINGS" w:hAnsi="WINGDINGS"/>
                <w:color w:val="003A5D"/>
                <w:sz w:val="28"/>
              </w:rPr>
            </w:pPr>
            <w:r>
              <w:rPr>
                <w:rFonts w:ascii="WINGDINGS" w:hAnsi="WINGDINGS"/>
                <w:color w:val="003A5D"/>
                <w:sz w:val="28"/>
              </w:rPr>
              <w:t>û</w:t>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 xml:space="preserve">We </w:t>
            </w:r>
            <w:r>
              <w:rPr>
                <w:rFonts w:ascii="arial" w:hAnsi="arial"/>
                <w:b/>
                <w:sz w:val="20"/>
              </w:rPr>
              <w:t>do not reprice</w:t>
            </w:r>
            <w:r>
              <w:rPr>
                <w:rFonts w:ascii="arial" w:hAnsi="arial"/>
                <w:sz w:val="20"/>
              </w:rPr>
              <w:t xml:space="preserve"> stock options</w:t>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4918"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39" w:type="dxa"/>
            <w:tcBorders/>
            <w:shd w:fill="E5EBEE" w:val="clear"/>
            <w:vAlign w:val="center"/>
          </w:tcPr>
          <w:p>
            <w:pPr>
              <w:pStyle w:val="TableContents"/>
              <w:bidi w:val="0"/>
              <w:spacing w:before="0" w:after="283"/>
              <w:jc w:val="left"/>
              <w:rPr>
                <w:sz w:val="4"/>
                <w:szCs w:val="4"/>
              </w:rPr>
            </w:pPr>
            <w:r>
              <w:rPr>
                <w:sz w:val="4"/>
                <w:szCs w:val="4"/>
              </w:rPr>
            </w:r>
          </w:p>
        </w:tc>
      </w:tr>
      <w:tr>
        <w:trPr/>
        <w:tc>
          <w:tcPr>
            <w:tcW w:w="4808" w:type="dxa"/>
            <w:tcBorders/>
            <w:shd w:fill="E5EBEE" w:val="clear"/>
            <w:vAlign w:val="center"/>
          </w:tcPr>
          <w:p>
            <w:pPr>
              <w:pStyle w:val="TableContents"/>
              <w:bidi w:val="0"/>
              <w:spacing w:before="0" w:after="0"/>
              <w:jc w:val="left"/>
              <w:rPr/>
            </w:pPr>
            <w:r>
              <w:rPr>
                <w:color w:val="003A5D"/>
              </w:rPr>
              <w:t>✓</w:t>
            </w:r>
            <w:r>
              <w:rPr/>
              <w:t>   </w:t>
            </w:r>
            <w:r>
              <w:rPr>
                <w:rFonts w:ascii="arial" w:hAnsi="arial"/>
                <w:sz w:val="20"/>
              </w:rPr>
              <w:t xml:space="preserve">We reduce performance share award values at vesting if the Company does not achieve </w:t>
            </w:r>
            <w:r>
              <w:rPr>
                <w:rFonts w:ascii="arial" w:hAnsi="arial"/>
                <w:b/>
                <w:sz w:val="20"/>
              </w:rPr>
              <w:t>positive Adjusted ROTCE</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0" w:type="dxa"/>
            <w:tcBorders/>
            <w:shd w:fill="E5EBEE" w:val="clear"/>
            <w:vAlign w:val="center"/>
          </w:tcPr>
          <w:p>
            <w:pPr>
              <w:pStyle w:val="TableContents"/>
              <w:bidi w:val="0"/>
              <w:spacing w:before="0" w:after="0"/>
              <w:jc w:val="left"/>
              <w:rPr/>
            </w:pPr>
            <w:r>
              <w:rPr/>
              <w:t> </w:t>
            </w:r>
          </w:p>
          <w:p>
            <w:pPr>
              <w:pStyle w:val="TableContents"/>
              <w:bidi w:val="0"/>
              <w:spacing w:before="0" w:after="20"/>
              <w:jc w:val="both"/>
              <w:rPr>
                <w:rFonts w:ascii="WINGDINGS" w:hAnsi="WINGDINGS"/>
                <w:color w:val="003A5D"/>
                <w:sz w:val="28"/>
              </w:rPr>
            </w:pPr>
            <w:r>
              <w:rPr>
                <w:rFonts w:ascii="WINGDINGS" w:hAnsi="WINGDINGS"/>
                <w:color w:val="003A5D"/>
                <w:sz w:val="28"/>
              </w:rPr>
              <w:t>û</w:t>
            </w:r>
          </w:p>
        </w:tc>
        <w:tc>
          <w:tcPr>
            <w:tcW w:w="60" w:type="dxa"/>
            <w:tcBorders/>
            <w:shd w:fill="E5EBEE" w:val="clear"/>
            <w:vAlign w:val="center"/>
          </w:tcPr>
          <w:p>
            <w:pPr>
              <w:pStyle w:val="TableContents"/>
              <w:bidi w:val="0"/>
              <w:spacing w:before="0" w:after="283"/>
              <w:jc w:val="left"/>
              <w:rPr/>
            </w:pPr>
            <w:r>
              <w:rPr/>
              <w:t> </w:t>
            </w:r>
          </w:p>
        </w:tc>
        <w:tc>
          <w:tcPr>
            <w:tcW w:w="4918" w:type="dxa"/>
            <w:tcBorders/>
            <w:shd w:fill="E5EBEE" w:val="cle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 xml:space="preserve">Generally, we do not utilize </w:t>
            </w:r>
            <w:r>
              <w:rPr>
                <w:rFonts w:ascii="arial" w:hAnsi="arial"/>
                <w:b/>
                <w:sz w:val="20"/>
              </w:rPr>
              <w:t>employment agreements</w:t>
            </w:r>
            <w:r>
              <w:rPr>
                <w:rFonts w:ascii="arial" w:hAnsi="arial"/>
                <w:sz w:val="20"/>
              </w:rPr>
              <w:t>, and none of our current NEOs has an employment agreement</w:t>
            </w:r>
          </w:p>
        </w:tc>
        <w:tc>
          <w:tcPr>
            <w:tcW w:w="60" w:type="dxa"/>
            <w:tcBorders/>
            <w:shd w:fill="E5EBEE" w:val="clear"/>
            <w:vAlign w:val="center"/>
          </w:tcPr>
          <w:p>
            <w:pPr>
              <w:pStyle w:val="TableContents"/>
              <w:bidi w:val="0"/>
              <w:spacing w:before="0" w:after="283"/>
              <w:jc w:val="left"/>
              <w:rPr/>
            </w:pPr>
            <w:r>
              <w:rPr/>
              <w:t> </w:t>
            </w:r>
          </w:p>
        </w:tc>
        <w:tc>
          <w:tcPr>
            <w:tcW w:w="39" w:type="dxa"/>
            <w:tcBorders/>
            <w:shd w:fill="E5EBEE" w:val="clear"/>
            <w:vAlign w:val="center"/>
          </w:tcPr>
          <w:p>
            <w:pPr>
              <w:pStyle w:val="TableContents"/>
              <w:bidi w:val="0"/>
              <w:spacing w:before="0" w:after="283"/>
              <w:jc w:val="left"/>
              <w:rPr>
                <w:sz w:val="4"/>
                <w:szCs w:val="4"/>
              </w:rPr>
            </w:pPr>
            <w:r>
              <w:rPr>
                <w:sz w:val="4"/>
                <w:szCs w:val="4"/>
              </w:rPr>
            </w:r>
          </w:p>
        </w:tc>
      </w:tr>
      <w:tr>
        <w:trPr/>
        <w:tc>
          <w:tcPr>
            <w:tcW w:w="4808"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vAlign w:val="center"/>
          </w:tcPr>
          <w:p>
            <w:pPr>
              <w:pStyle w:val="TableContents"/>
              <w:bidi w:val="0"/>
              <w:spacing w:before="0" w:after="0"/>
              <w:jc w:val="left"/>
              <w:rPr/>
            </w:pPr>
            <w:r>
              <w:rPr>
                <w:color w:val="003A5D"/>
              </w:rPr>
              <w:t>✓</w:t>
            </w:r>
            <w:r>
              <w:rPr/>
              <w:t>   </w:t>
            </w:r>
            <w:r>
              <w:rPr>
                <w:rFonts w:ascii="arial" w:hAnsi="arial"/>
                <w:sz w:val="20"/>
              </w:rPr>
              <w:t xml:space="preserve">We have </w:t>
            </w:r>
            <w:r>
              <w:rPr>
                <w:rFonts w:ascii="arial" w:hAnsi="arial"/>
                <w:b/>
                <w:sz w:val="20"/>
              </w:rPr>
              <w:t>clawback</w:t>
            </w:r>
            <w:r>
              <w:rPr>
                <w:rFonts w:ascii="arial" w:hAnsi="arial"/>
                <w:sz w:val="20"/>
              </w:rPr>
              <w:t xml:space="preserve"> provisions embedded in our incentive compensation program to promote accountability</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pPr>
            <w:r>
              <w:rPr/>
              <w:t> </w:t>
            </w:r>
          </w:p>
          <w:p>
            <w:pPr>
              <w:pStyle w:val="TableContents"/>
              <w:bidi w:val="0"/>
              <w:spacing w:before="0" w:after="20"/>
              <w:jc w:val="both"/>
              <w:rPr>
                <w:rFonts w:ascii="WINGDINGS" w:hAnsi="WINGDINGS"/>
                <w:color w:val="003A5D"/>
                <w:sz w:val="28"/>
              </w:rPr>
            </w:pPr>
            <w:r>
              <w:rPr>
                <w:rFonts w:ascii="WINGDINGS" w:hAnsi="WINGDINGS"/>
                <w:color w:val="003A5D"/>
                <w:sz w:val="28"/>
              </w:rPr>
              <w:t>û</w:t>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 xml:space="preserve">We do not provide </w:t>
            </w:r>
            <w:r>
              <w:rPr>
                <w:rFonts w:ascii="arial" w:hAnsi="arial"/>
                <w:b/>
                <w:sz w:val="20"/>
              </w:rPr>
              <w:t>excise tax gross-up</w:t>
            </w:r>
            <w:r>
              <w:rPr>
                <w:rFonts w:ascii="arial" w:hAnsi="arial"/>
                <w:sz w:val="20"/>
              </w:rPr>
              <w:t xml:space="preserve"> payments</w:t>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shd w:fill="E5EBEE" w:val="clear"/>
            <w:vAlign w:val="center"/>
          </w:tcPr>
          <w:p>
            <w:pPr>
              <w:pStyle w:val="TableContents"/>
              <w:bidi w:val="0"/>
              <w:spacing w:before="0" w:after="0"/>
              <w:jc w:val="left"/>
              <w:rPr/>
            </w:pPr>
            <w:r>
              <w:rPr>
                <w:color w:val="003A5D"/>
              </w:rPr>
              <w:t>✓</w:t>
            </w:r>
            <w:r>
              <w:rPr/>
              <w:t>   </w:t>
            </w:r>
            <w:r>
              <w:rPr>
                <w:rFonts w:ascii="arial" w:hAnsi="arial"/>
                <w:sz w:val="20"/>
              </w:rPr>
              <w:t>We require both a change of control event and a termination before we accelerate the vesting of equity and equity-based awards (</w:t>
            </w:r>
            <w:r>
              <w:rPr>
                <w:rFonts w:ascii="arial" w:hAnsi="arial"/>
                <w:b/>
                <w:sz w:val="20"/>
              </w:rPr>
              <w:t>double trigger</w:t>
            </w:r>
            <w:r>
              <w:rPr>
                <w:rFonts w:ascii="arial" w:hAnsi="arial"/>
                <w:sz w:val="20"/>
              </w:rPr>
              <w:t>)</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vAlign w:val="center"/>
          </w:tcPr>
          <w:p>
            <w:pPr>
              <w:pStyle w:val="TableContents"/>
              <w:bidi w:val="0"/>
              <w:spacing w:before="0" w:after="0"/>
              <w:jc w:val="left"/>
              <w:rPr/>
            </w:pPr>
            <w:r>
              <w:rPr>
                <w:color w:val="003A5D"/>
              </w:rPr>
              <w:t>✓</w:t>
            </w:r>
            <w:r>
              <w:rPr/>
              <w:t>   </w:t>
            </w:r>
            <w:r>
              <w:rPr>
                <w:rFonts w:ascii="arial" w:hAnsi="arial"/>
                <w:sz w:val="20"/>
              </w:rPr>
              <w:t xml:space="preserve">We have an </w:t>
            </w:r>
            <w:r>
              <w:rPr>
                <w:rFonts w:ascii="arial" w:hAnsi="arial"/>
                <w:b/>
                <w:sz w:val="20"/>
              </w:rPr>
              <w:t>independent</w:t>
            </w:r>
            <w:r>
              <w:rPr>
                <w:rFonts w:ascii="arial" w:hAnsi="arial"/>
                <w:sz w:val="20"/>
              </w:rPr>
              <w:t xml:space="preserve"> compensation consultant advising the Committee</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shd w:fill="E5EBEE" w:val="clear"/>
            <w:vAlign w:val="center"/>
          </w:tcPr>
          <w:p>
            <w:pPr>
              <w:pStyle w:val="TableContents"/>
              <w:bidi w:val="0"/>
              <w:spacing w:before="0" w:after="0"/>
              <w:jc w:val="left"/>
              <w:rPr/>
            </w:pPr>
            <w:r>
              <w:rPr>
                <w:color w:val="003A5D"/>
              </w:rPr>
              <w:t>✓</w:t>
            </w:r>
            <w:r>
              <w:rPr/>
              <w:t>   </w:t>
            </w:r>
            <w:r>
              <w:rPr>
                <w:rFonts w:ascii="arial" w:hAnsi="arial"/>
                <w:sz w:val="20"/>
              </w:rPr>
              <w:t xml:space="preserve">We use a mix of </w:t>
            </w:r>
            <w:r>
              <w:rPr>
                <w:rFonts w:ascii="arial" w:hAnsi="arial"/>
                <w:b/>
                <w:sz w:val="20"/>
              </w:rPr>
              <w:t>pre-established</w:t>
            </w:r>
            <w:r>
              <w:rPr>
                <w:rFonts w:ascii="arial" w:hAnsi="arial"/>
                <w:sz w:val="20"/>
              </w:rPr>
              <w:t xml:space="preserve"> </w:t>
            </w:r>
            <w:r>
              <w:rPr>
                <w:rFonts w:ascii="arial" w:hAnsi="arial"/>
                <w:b/>
                <w:sz w:val="20"/>
              </w:rPr>
              <w:t>relative and absolute performance</w:t>
            </w:r>
            <w:r>
              <w:rPr>
                <w:rFonts w:ascii="arial" w:hAnsi="arial"/>
                <w:sz w:val="20"/>
              </w:rPr>
              <w:t xml:space="preserve"> metrics in our incentive awards</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arial" w:hAnsi="arial"/>
          <w:sz w:val="20"/>
        </w:rPr>
      </w:pPr>
      <w:r>
        <w:rPr>
          <w:rFonts w:ascii="arial" w:hAnsi="arial"/>
          <w:sz w:val="20"/>
        </w:rPr>
        <w:t xml:space="preserve">All of the terms and features described above, including the performance-based vesting and clawback provisions, apply to awards granted to all executive officers and not just the NEOs.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64 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righ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4"/>
        </w:rPr>
      </w:pPr>
      <w:r>
        <w:rPr>
          <w:rFonts w:ascii="arial" w:hAnsi="arial"/>
          <w:b/>
          <w:i/>
          <w:color w:val="003A5D"/>
          <w:sz w:val="24"/>
        </w:rPr>
        <w:t xml:space="preserve">Compensation Program Objectives </w:t>
      </w:r>
    </w:p>
    <w:p>
      <w:pPr>
        <w:pStyle w:val="TextBody"/>
        <w:bidi w:val="0"/>
        <w:spacing w:before="240" w:after="0"/>
        <w:jc w:val="both"/>
        <w:rPr>
          <w:rFonts w:ascii="arial" w:hAnsi="arial"/>
          <w:sz w:val="20"/>
        </w:rPr>
      </w:pPr>
      <w:r>
        <w:rPr>
          <w:rFonts w:ascii="arial" w:hAnsi="arial"/>
          <w:sz w:val="20"/>
        </w:rPr>
        <w:t xml:space="preserve">Capital One’s executive compensation program has four primary objectives. </w:t>
      </w:r>
    </w:p>
    <w:p>
      <w:pPr>
        <w:pStyle w:val="TextBody"/>
        <w:bidi w:val="0"/>
        <w:spacing w:before="240" w:after="0"/>
        <w:jc w:val="left"/>
        <w:rPr>
          <w:rFonts w:ascii="arial" w:hAnsi="arial"/>
          <w:b/>
          <w:color w:val="003A5D"/>
          <w:sz w:val="20"/>
        </w:rPr>
      </w:pPr>
      <w:r>
        <w:rPr>
          <w:rFonts w:ascii="arial" w:hAnsi="arial"/>
          <w:b/>
          <w:color w:val="003A5D"/>
          <w:sz w:val="20"/>
        </w:rPr>
        <w:t xml:space="preserve">Strongly link pay and performance by providing compensation based on both business and individual performance while appropriately balancing risk </w:t>
      </w:r>
    </w:p>
    <w:p>
      <w:pPr>
        <w:pStyle w:val="TextBody"/>
        <w:bidi w:val="0"/>
        <w:spacing w:before="240" w:after="0"/>
        <w:jc w:val="both"/>
        <w:rPr>
          <w:rFonts w:ascii="arial" w:hAnsi="arial"/>
          <w:sz w:val="20"/>
        </w:rPr>
      </w:pPr>
      <w:r>
        <w:rPr>
          <w:rFonts w:ascii="arial" w:hAnsi="arial"/>
          <w:sz w:val="20"/>
        </w:rPr>
        <w:t xml:space="preserve">Capital One emphasizes pay-for-performance at all organizational levels. Typically, as an executive’s level of responsibility increases, so does the proportion of the executive’s pay that is subject to performance criteria. Therefore, the NEOs have the highest proportion of their pay directly linked to Company and individual performance, as compared to other associates. Awards made to the NEOs in February 2025 for the 2024 performance year were based on Company and individual performance, and on demonstrating specific leadership competencies assessed through a comprehensive performance management process that included an individual assessment specifically designed to evaluate the degree to which the executive balanced risks inherent to their role. The Chief Enterprise Risk Officer compiled these risk assessments and the Chief Human Resources Officer reviewed the assessments for the NEOs. Separately, the Chief Audit Officer compiled and reviewed the risk assessment for the Chief Enterprise Risk Officer and the Chief Credit and Financial Risk Officer. The Committee considered the assessments in making its determinations regarding individual performance and compensation levels. </w:t>
      </w:r>
    </w:p>
    <w:p>
      <w:pPr>
        <w:pStyle w:val="TextBody"/>
        <w:bidi w:val="0"/>
        <w:spacing w:before="240" w:after="0"/>
        <w:jc w:val="left"/>
        <w:rPr>
          <w:rFonts w:ascii="arial" w:hAnsi="arial"/>
          <w:b/>
          <w:color w:val="003A5D"/>
          <w:sz w:val="20"/>
        </w:rPr>
      </w:pPr>
      <w:r>
        <w:rPr>
          <w:rFonts w:ascii="arial" w:hAnsi="arial"/>
          <w:b/>
          <w:color w:val="003A5D"/>
          <w:sz w:val="20"/>
        </w:rPr>
        <w:t xml:space="preserve">Align our executives’ interests with those of our stockholders </w:t>
      </w:r>
    </w:p>
    <w:p>
      <w:pPr>
        <w:pStyle w:val="TextBody"/>
        <w:bidi w:val="0"/>
        <w:spacing w:before="240" w:after="0"/>
        <w:jc w:val="both"/>
        <w:rPr>
          <w:rFonts w:ascii="arial" w:hAnsi="arial"/>
          <w:sz w:val="20"/>
        </w:rPr>
      </w:pPr>
      <w:r>
        <w:rPr>
          <w:rFonts w:ascii="arial" w:hAnsi="arial"/>
          <w:sz w:val="20"/>
        </w:rPr>
        <w:t xml:space="preserve">The Committee and the Independent Directors are committed to designing incentive compensation programs that reward individual and Company performance and that are aligned with the creation of stockholder value over the long term. A portion of the CEO’s performance share award is directly linked to the Company’s relative TSR over a three-year period. TSR also continues to be explicitly included in the financial and operating performance factors considered by the Committee and the Independent Directors to determine NEO year-end incentive awards. In addition, because about half of NEO compensation is delivered through deferred, equity-based vehicles that vest over multiple time horizons, the NEOs have a significant stake in the success of the Company. The Committee and the Independent Directors also have the flexibility to adjust compensation decisions from year to year to take into account the Company’s performance and evolving market practices. In addition, we have established specific stock ownership policies that the NEOs must meet and stock retention provisions applicable to certain equity awards. </w:t>
      </w:r>
    </w:p>
    <w:p>
      <w:pPr>
        <w:pStyle w:val="TextBody"/>
        <w:bidi w:val="0"/>
        <w:spacing w:before="240" w:after="0"/>
        <w:jc w:val="left"/>
        <w:rPr>
          <w:rFonts w:ascii="arial" w:hAnsi="arial"/>
          <w:b/>
          <w:color w:val="003A5D"/>
          <w:sz w:val="20"/>
        </w:rPr>
      </w:pPr>
      <w:r>
        <w:rPr>
          <w:rFonts w:ascii="arial" w:hAnsi="arial"/>
          <w:b/>
          <w:color w:val="003A5D"/>
          <w:sz w:val="20"/>
        </w:rPr>
        <w:t xml:space="preserve">Reward performance over multiple time horizons </w:t>
      </w:r>
    </w:p>
    <w:p>
      <w:pPr>
        <w:pStyle w:val="TextBody"/>
        <w:bidi w:val="0"/>
        <w:spacing w:before="240" w:after="0"/>
        <w:jc w:val="both"/>
        <w:rPr>
          <w:rFonts w:ascii="arial" w:hAnsi="arial"/>
          <w:sz w:val="20"/>
        </w:rPr>
      </w:pPr>
      <w:r>
        <w:rPr>
          <w:rFonts w:ascii="arial" w:hAnsi="arial"/>
          <w:sz w:val="20"/>
        </w:rPr>
        <w:t xml:space="preserve">Our compensation programs are structured to encourage our executives to deliver strong results over the short- term while making decisions that create sustained value for our stockholders over the long-term. For 2024, approximately 84% of the CEO’s total compensation was equity-based and at-risk to the performance of the Company’s stock price, and 100% of his year-end incentive compensation was deferred for a three-year period. In addition, approximately 50% of total compensation for NEOs other than the CEO was provided through equity-based vehicles which were at-risk to the performance of the Company’s stock price and subject to vesting over multiple time horizons. The use of deferred, equity-based compensation vehicles with multi-year vesting terms advances our goal of aligning the ultimate value realized by the NEOs with the performance of the Company’s stock over time because the value of these compensation vehicles increases and decreases based on the performance of the Company’s stock price in both current and future periods. </w:t>
      </w:r>
    </w:p>
    <w:p>
      <w:pPr>
        <w:pStyle w:val="TextBody"/>
        <w:bidi w:val="0"/>
        <w:spacing w:before="240" w:after="0"/>
        <w:jc w:val="left"/>
        <w:rPr>
          <w:rFonts w:ascii="arial" w:hAnsi="arial"/>
          <w:b/>
          <w:color w:val="003A5D"/>
          <w:sz w:val="20"/>
        </w:rPr>
      </w:pPr>
      <w:r>
        <w:rPr>
          <w:rFonts w:ascii="arial" w:hAnsi="arial"/>
          <w:b/>
          <w:color w:val="003A5D"/>
          <w:sz w:val="20"/>
        </w:rPr>
        <w:t xml:space="preserve">Attract, retain, and motivate top executive talent </w:t>
      </w:r>
    </w:p>
    <w:p>
      <w:pPr>
        <w:pStyle w:val="TextBody"/>
        <w:bidi w:val="0"/>
        <w:spacing w:before="240" w:after="0"/>
        <w:jc w:val="both"/>
        <w:rPr>
          <w:rFonts w:ascii="arial" w:hAnsi="arial"/>
          <w:sz w:val="20"/>
        </w:rPr>
      </w:pPr>
      <w:r>
        <w:rPr>
          <w:rFonts w:ascii="arial" w:hAnsi="arial"/>
          <w:sz w:val="20"/>
        </w:rPr>
        <w:t xml:space="preserve">To attract, retain, and motivate exceptional leaders, we believe that compensation opportunities at Capital One must be competitive with the marketplace for talent. The Committee and the Independent Directors strive to preserve a competitive pay mix and total target compensation values in the executive compensation program, as well as provide competitive total rewards based on our selected peer group. See “Peer Groups” beginning on page 90 for information regarding how the Committee and the Independent Directors utilized the Company’s peer group in determining executive compensation.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65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lef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4"/>
        </w:rPr>
      </w:pPr>
      <w:r>
        <w:rPr>
          <w:rFonts w:ascii="arial" w:hAnsi="arial"/>
          <w:b/>
          <w:i/>
          <w:color w:val="003A5D"/>
          <w:sz w:val="24"/>
        </w:rPr>
        <w:t xml:space="preserve">Use of Judgment </w:t>
      </w:r>
    </w:p>
    <w:p>
      <w:pPr>
        <w:pStyle w:val="TextBody"/>
        <w:bidi w:val="0"/>
        <w:spacing w:before="120" w:after="0"/>
        <w:jc w:val="both"/>
        <w:rPr>
          <w:rFonts w:ascii="arial" w:hAnsi="arial"/>
          <w:sz w:val="20"/>
        </w:rPr>
      </w:pPr>
      <w:r>
        <w:rPr>
          <w:rFonts w:ascii="arial" w:hAnsi="arial"/>
          <w:sz w:val="20"/>
        </w:rPr>
        <w:t xml:space="preserve">The Committee believes that exercising judgment is an important element in reaching balanced compensation decisions that are consistent with our strategy, risk management, and reward both current-year performance and sustained long-term value creation, and supplements other aspects of Capital One’s pay-for-performance philosophy. By applying informed judgment, the Committee seeks to mitigate the risks associated with a rigid and strictly formulaic compensation program, which could unintentionally create incentives for our executives to focus only on certain performance metrics, encourage imprudent risk-taking, and not provide the best long-term results for stockholders. In addition, the use of judgment allows the Committee to respond to changes in economic conditions, our operating environment, and other significant factors that may affect the long-term performance of Capital One or our lines of business. The use of judgment also allows the Committee to adjust compensation based on factors that would not be appropriately reflected by a strictly formulaic approach, such as risk management, championing Company values, and the discrepancies between absolute and relative performance levels or recognition of individual performance levels. </w:t>
      </w:r>
    </w:p>
    <w:p>
      <w:pPr>
        <w:pStyle w:val="TextBody"/>
        <w:bidi w:val="0"/>
        <w:spacing w:before="240" w:after="0"/>
        <w:jc w:val="left"/>
        <w:rPr>
          <w:rFonts w:ascii="arial" w:hAnsi="arial"/>
          <w:b/>
          <w:color w:val="003A5D"/>
          <w:sz w:val="32"/>
        </w:rPr>
      </w:pPr>
      <w:bookmarkStart w:id="47" w:name="txa845790_26"/>
      <w:bookmarkStart w:id="48" w:name="txa845790_203"/>
      <w:bookmarkEnd w:id="47"/>
      <w:bookmarkEnd w:id="48"/>
      <w:r>
        <w:rPr>
          <w:rFonts w:ascii="arial" w:hAnsi="arial"/>
          <w:b/>
          <w:color w:val="003A5D"/>
          <w:sz w:val="32"/>
        </w:rPr>
        <w:t xml:space="preserve">Our Compensation Governance Cycle </w:t>
      </w:r>
    </w:p>
    <w:p>
      <w:pPr>
        <w:pStyle w:val="TextBody"/>
        <w:bidi w:val="0"/>
        <w:spacing w:before="240" w:after="0"/>
        <w:jc w:val="both"/>
        <w:rPr>
          <w:rFonts w:ascii="arial" w:hAnsi="arial"/>
          <w:sz w:val="20"/>
        </w:rPr>
      </w:pPr>
      <w:r>
        <w:rPr>
          <w:rFonts w:ascii="arial" w:hAnsi="arial"/>
          <w:sz w:val="20"/>
        </w:rPr>
        <w:t xml:space="preserve">The Committee is actively engaged throughout the year, and members of the Committee regularly meet with management, regarding the Company’s executive compensation programs and practices. In addition, the Committee and the Board receive regular updates regarding the Company’s financial and strategic performance, including information regarding the Company’s performance against the four categories of quantitative and qualitative performance factors related to: financial and operating performance, governance and risk management, strategic performance, and winning with our customers and associates (the “Performance Factors”) that are used by the Committee to determine the year-end incentive awards to the NEOs. </w:t>
      </w:r>
    </w:p>
    <w:p>
      <w:pPr>
        <w:pStyle w:val="TextBody"/>
        <w:bidi w:val="0"/>
        <w:spacing w:before="240" w:after="0"/>
        <w:jc w:val="both"/>
        <w:rPr>
          <w:rFonts w:ascii="arial" w:hAnsi="arial"/>
          <w:sz w:val="20"/>
        </w:rPr>
      </w:pPr>
      <w:r>
        <w:rPr>
          <w:rFonts w:ascii="arial" w:hAnsi="arial"/>
          <w:sz w:val="20"/>
        </w:rPr>
        <w:t xml:space="preserve">The Committee met six times in 2024 with five of those meetings concluding with an executive session without management present. Among those six meetings, the Committee held two joint meetings with the Board in 2024, and held an additional joint meeting at the beginning of 2025 to assess Company and NEO performance and determine the year-end incentive awards for the NEOs.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9295" cy="3560445"/>
            <wp:effectExtent l="0" t="0" r="0" b="0"/>
            <wp:docPr id="6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3" descr=""/>
                    <pic:cNvPicPr>
                      <a:picLocks noChangeAspect="1" noChangeArrowheads="1"/>
                    </pic:cNvPicPr>
                  </pic:nvPicPr>
                  <pic:blipFill>
                    <a:blip r:embed="rId64"/>
                    <a:stretch>
                      <a:fillRect/>
                    </a:stretch>
                  </pic:blipFill>
                  <pic:spPr bwMode="auto">
                    <a:xfrm>
                      <a:off x="0" y="0"/>
                      <a:ext cx="5789295" cy="3560445"/>
                    </a:xfrm>
                    <a:prstGeom prst="rect">
                      <a:avLst/>
                    </a:prstGeom>
                  </pic:spPr>
                </pic:pic>
              </a:graphicData>
            </a:graphic>
          </wp:inline>
        </w:drawing>
      </w:r>
      <w:r>
        <w:rPr/>
        <w:t xml:space="preserve"> </w:t>
      </w:r>
    </w:p>
    <w:p>
      <w:pPr>
        <w:pStyle w:val="TextBody"/>
        <w:bidi w:val="0"/>
        <w:jc w:val="right"/>
        <w:rPr>
          <w:rFonts w:ascii="arial" w:hAnsi="arial"/>
          <w:color w:val="FFFFFF"/>
          <w:sz w:val="2"/>
        </w:rPr>
      </w:pPr>
      <w:r>
        <w:rPr>
          <w:rFonts w:ascii="arial" w:hAnsi="arial"/>
          <w:color w:val="FFFFFF"/>
          <w:sz w:val="2"/>
        </w:rPr>
        <w:t xml:space="preserve">Review Strategic Plan &amp; Investor Outreach Review Company Strategic Plan (financial and non-financial) Discuss investor outreach efforts and feedback regarding executive compensation Approve non-management director compensation for the current year Performance &amp; Risk Assessment Review Company and NEO performance and approve year-end compensation Appoint compensation consultant and assess independence, performance and compensation Approve compensation structure and pay targets Complete incentive compensation risk assessment Approve CD&amp;A and Committee Report Compensation Program Review Discuss Say on Pay voting results Assess effects of incentive compensation programs on risk and appropriate risk balancing Discuss legal and regulatory updates Review and approve the executive compensation peer group Preliminary discussion of following years executive compensation design, including investors feedback Peer Review &amp; Program Evaluation Discuss investor outreach efforts and feedback regarding executive compensation Discuss and refine upcoming years executive compensation Review executive compensation practices among peer group design, with special attention to investors feedback 1 2 3 4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66 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righ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49" w:name="txa845790_27"/>
      <w:bookmarkStart w:id="50" w:name="txa845790_204"/>
      <w:bookmarkEnd w:id="49"/>
      <w:bookmarkEnd w:id="50"/>
      <w:r>
        <w:rPr>
          <w:rFonts w:ascii="arial" w:hAnsi="arial"/>
          <w:b/>
          <w:color w:val="003A5D"/>
          <w:sz w:val="32"/>
        </w:rPr>
        <w:t xml:space="preserve">Chief Executive Officer Compensation </w:t>
      </w:r>
    </w:p>
    <w:p>
      <w:pPr>
        <w:pStyle w:val="TextBody"/>
        <w:bidi w:val="0"/>
        <w:spacing w:before="240" w:after="0"/>
        <w:jc w:val="left"/>
        <w:rPr>
          <w:rFonts w:ascii="arial" w:hAnsi="arial"/>
          <w:b/>
          <w:i/>
          <w:color w:val="003A5D"/>
          <w:sz w:val="24"/>
        </w:rPr>
      </w:pPr>
      <w:bookmarkStart w:id="51" w:name="txa845790_205"/>
      <w:bookmarkEnd w:id="51"/>
      <w:r>
        <w:rPr>
          <w:rFonts w:ascii="arial" w:hAnsi="arial"/>
          <w:b/>
          <w:i/>
          <w:color w:val="003A5D"/>
          <w:sz w:val="24"/>
        </w:rPr>
        <w:t xml:space="preserve">2024 CEO Compensation Program and Components </w:t>
      </w:r>
    </w:p>
    <w:p>
      <w:pPr>
        <w:pStyle w:val="TextBody"/>
        <w:bidi w:val="0"/>
        <w:spacing w:before="240" w:after="0"/>
        <w:jc w:val="both"/>
        <w:rPr>
          <w:rFonts w:ascii="arial" w:hAnsi="arial"/>
          <w:sz w:val="20"/>
        </w:rPr>
      </w:pPr>
      <w:r>
        <w:rPr>
          <w:rFonts w:ascii="arial" w:hAnsi="arial"/>
          <w:sz w:val="20"/>
        </w:rPr>
        <w:t xml:space="preserve">The Committee annually reviews and approves the form, timing, and amount of compensation for the CEO and makes recommendations regarding the CEO compensation structure to the Independent Directors for final approval. The Committee believes that the CEO’s compensation should be entirely at-risk based on his and the Company’s performance. The Committee considers the Company’s and the CEO’s historical performance and seeks to effectively align the CEO’s interests with the interests of our stockholders over time, support safety and soundness, and appropriately balance risk. </w:t>
      </w:r>
    </w:p>
    <w:p>
      <w:pPr>
        <w:pStyle w:val="TextBody"/>
        <w:bidi w:val="0"/>
        <w:spacing w:before="240" w:after="0"/>
        <w:jc w:val="left"/>
        <w:rPr>
          <w:rFonts w:ascii="arial" w:hAnsi="arial"/>
          <w:b/>
          <w:color w:val="003A5D"/>
          <w:sz w:val="20"/>
        </w:rPr>
      </w:pPr>
      <w:r>
        <w:rPr>
          <w:rFonts w:ascii="arial" w:hAnsi="arial"/>
          <w:b/>
          <w:color w:val="003A5D"/>
          <w:sz w:val="20"/>
        </w:rPr>
        <w:t xml:space="preserve">2024 CEO Compensation Program </w:t>
      </w:r>
    </w:p>
    <w:p>
      <w:pPr>
        <w:pStyle w:val="TextBody"/>
        <w:bidi w:val="0"/>
        <w:spacing w:before="240" w:after="0"/>
        <w:jc w:val="both"/>
        <w:rPr>
          <w:rFonts w:ascii="arial" w:hAnsi="arial"/>
          <w:sz w:val="20"/>
        </w:rPr>
      </w:pPr>
      <w:r>
        <w:rPr>
          <w:rFonts w:ascii="arial" w:hAnsi="arial"/>
          <w:sz w:val="20"/>
        </w:rPr>
        <w:t xml:space="preserve">When determining the structure of Mr. Fairbank’s compensation program for the 2024 performance year, the Committee and the Independent Directors considered: </w:t>
      </w:r>
    </w:p>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215"/>
        <w:gridCol w:w="60"/>
        <w:gridCol w:w="888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both"/>
              <w:rPr>
                <w:rFonts w:ascii="arial" w:hAnsi="arial"/>
                <w:sz w:val="20"/>
              </w:rPr>
            </w:pPr>
            <w:r>
              <w:rPr>
                <w:rFonts w:ascii="arial" w:hAnsi="arial"/>
                <w:sz w:val="20"/>
              </w:rPr>
              <w:t xml:space="preserve">the Company’s performance during the prior year and Mr. Fairbank’s contribution to that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the Company’s performance in the prior year relative to the performance of peer comparator companies in that year;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75"/>
        <w:gridCol w:w="215"/>
        <w:gridCol w:w="60"/>
        <w:gridCol w:w="788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both"/>
              <w:rPr>
                <w:rFonts w:ascii="arial" w:hAnsi="arial"/>
                <w:sz w:val="20"/>
              </w:rPr>
            </w:pPr>
            <w:r>
              <w:rPr>
                <w:rFonts w:ascii="arial" w:hAnsi="arial"/>
                <w:sz w:val="20"/>
              </w:rPr>
              <w:t xml:space="preserve">the structure and amount of compensation awarded to the CEOs of the Company’s peers;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215"/>
        <w:gridCol w:w="60"/>
        <w:gridCol w:w="699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0"/>
              <w:jc w:val="both"/>
              <w:rPr>
                <w:rFonts w:ascii="arial" w:hAnsi="arial"/>
                <w:sz w:val="20"/>
              </w:rPr>
            </w:pPr>
            <w:r>
              <w:rPr>
                <w:rFonts w:ascii="arial" w:hAnsi="arial"/>
                <w:sz w:val="20"/>
              </w:rPr>
              <w:t xml:space="preserve">the structure and amount of Mr. Fairbank’s compensation awards in prior years;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215"/>
        <w:gridCol w:w="60"/>
        <w:gridCol w:w="894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both"/>
              <w:rPr>
                <w:rFonts w:ascii="arial" w:hAnsi="arial"/>
                <w:sz w:val="20"/>
              </w:rPr>
            </w:pPr>
            <w:r>
              <w:rPr>
                <w:rFonts w:ascii="arial" w:hAnsi="arial"/>
                <w:sz w:val="20"/>
              </w:rPr>
              <w:t xml:space="preserve">the Company’s risk profile and the time horizon over which the deferred equity-based awards will vest;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the ultimate value of Mr. Fairbank’s deferred equity-based awards (which will depend on the Company’s and Mr. Fairbank’s performance over time as well as the value of Capital One common stock at the time the awards vest);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the feedback received from stockholders regarding the Company’s executive compensation programs and the compensation awarded to Mr. Fairbank. </w:t>
            </w:r>
          </w:p>
        </w:tc>
      </w:tr>
    </w:tbl>
    <w:p>
      <w:pPr>
        <w:pStyle w:val="TextBody"/>
        <w:bidi w:val="0"/>
        <w:spacing w:before="240" w:after="0"/>
        <w:jc w:val="both"/>
        <w:rPr>
          <w:rFonts w:ascii="arial" w:hAnsi="arial"/>
          <w:sz w:val="20"/>
        </w:rPr>
      </w:pPr>
      <w:r>
        <w:rPr>
          <w:rFonts w:ascii="arial" w:hAnsi="arial"/>
          <w:sz w:val="20"/>
        </w:rPr>
        <w:t xml:space="preserve">After considering these factors, in February 2024, the Committee and the Independent Directors determined that Mr. Fairbank’s 2024 compensation program would continue to consist of two components: (i) an equity or equity-based award granted at the beginning of the performance year; and (ii) an opportunity for a year-end incentive award, with the amount granted based on CEO and Company performance in 2024 (granted in February 2025). Any year-end incentive award granted to the CEO (i) would continue to consist primarily of a performance share award, under which he may receive 0% to 150% of a target number of shares of Capital One common stock based on the Company’s performance over a three-year period; and (ii) may also consist of deferred cash, an equity-based award, or both. In this manner, the CEO’s compensation will continue to be completely at-risk based on the Company’s and Mr. Fairbank’s performance, and all CEO compensation continues to be subject to a three-year deferred vesting or payout. As in prior years, Mr. Fairbank did not receive any cash salary in 2024. </w:t>
      </w:r>
    </w:p>
    <w:p>
      <w:pPr>
        <w:pStyle w:val="TextBody"/>
        <w:bidi w:val="0"/>
        <w:spacing w:before="240" w:after="0"/>
        <w:jc w:val="both"/>
        <w:rPr>
          <w:rFonts w:ascii="arial" w:hAnsi="arial"/>
          <w:sz w:val="20"/>
        </w:rPr>
      </w:pPr>
      <w:r>
        <w:rPr>
          <w:rFonts w:ascii="arial" w:hAnsi="arial"/>
          <w:sz w:val="20"/>
        </w:rPr>
        <w:t xml:space="preserve">The Committee and the Independent Directors determined not to establish a total target compensation amount for Mr. Fairbank’s 2024 compensation program to further align Mr. Fairbank’s compensation program with that of the Company’s peers and increase the Committee and the Independent Directors’ ability to directly link the CEO’s compensation to the Company’s performance as well as the CEO’s contributions to that performance over the short-, medium-, and long-term.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67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lef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color w:val="003A5D"/>
          <w:sz w:val="20"/>
        </w:rPr>
      </w:pPr>
      <w:bookmarkStart w:id="52" w:name="txa2845790_fgh"/>
      <w:bookmarkEnd w:id="52"/>
      <w:r>
        <w:rPr>
          <w:rFonts w:ascii="arial" w:hAnsi="arial"/>
          <w:b/>
          <w:color w:val="003A5D"/>
          <w:sz w:val="20"/>
        </w:rPr>
        <w:t xml:space="preserve">2024 CEO Compensation Components </w:t>
      </w:r>
    </w:p>
    <w:p>
      <w:pPr>
        <w:pStyle w:val="TextBody"/>
        <w:bidi w:val="0"/>
        <w:spacing w:before="240" w:after="0"/>
        <w:jc w:val="both"/>
        <w:rPr>
          <w:rFonts w:ascii="arial" w:hAnsi="arial"/>
          <w:sz w:val="20"/>
        </w:rPr>
      </w:pPr>
      <w:r>
        <w:rPr>
          <w:rFonts w:ascii="arial" w:hAnsi="arial"/>
          <w:sz w:val="20"/>
        </w:rPr>
        <w:t xml:space="preserve">For performance year 2024, the year-end incentive was delivered in the form of performance shares, deferred cash, and cash-settled RSUs, representing 61%, 16%, and 15%, respectively, of the CEO’s total performance year compensation. </w:t>
      </w:r>
    </w:p>
    <w:p>
      <w:pPr>
        <w:pStyle w:val="TextBody"/>
        <w:bidi w:val="0"/>
        <w:spacing w:before="240" w:after="0"/>
        <w:jc w:val="both"/>
        <w:rPr>
          <w:rFonts w:ascii="arial" w:hAnsi="arial"/>
          <w:sz w:val="20"/>
        </w:rPr>
      </w:pPr>
      <w:r>
        <w:rPr>
          <w:rFonts w:ascii="arial" w:hAnsi="arial"/>
          <w:sz w:val="20"/>
        </w:rPr>
        <w:t xml:space="preserve">The table below summarizes the components of the CEO’s compensation program for the 2024 performance year.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40"/>
        <w:gridCol w:w="60"/>
        <w:gridCol w:w="1343"/>
        <w:gridCol w:w="60"/>
        <w:gridCol w:w="1790"/>
        <w:gridCol w:w="60"/>
        <w:gridCol w:w="1923"/>
        <w:gridCol w:w="60"/>
        <w:gridCol w:w="1700"/>
        <w:gridCol w:w="60"/>
        <w:gridCol w:w="2109"/>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r>
      <w:tr>
        <w:trPr/>
        <w:tc>
          <w:tcPr>
            <w:tcW w:w="2443" w:type="dxa"/>
            <w:gridSpan w:val="3"/>
            <w:tcBorders>
              <w:left w:val="single" w:sz="6" w:space="0" w:color="003A5D"/>
              <w:right w:val="single" w:sz="8" w:space="0" w:color="FFFFFF"/>
            </w:tcBorders>
            <w:shd w:fill="003A5D" w:val="clear"/>
            <w:tcMar>
              <w:left w:w="160" w:type="dxa"/>
              <w:right w:w="28" w:type="dxa"/>
            </w:tcMar>
            <w:vAlign w:val="center"/>
          </w:tcPr>
          <w:p>
            <w:pPr>
              <w:pStyle w:val="TableContents"/>
              <w:bidi w:val="0"/>
              <w:spacing w:before="0" w:after="283"/>
              <w:jc w:val="left"/>
              <w:rPr/>
            </w:pPr>
            <w:r>
              <w:rPr/>
              <w:t> </w:t>
            </w:r>
          </w:p>
        </w:tc>
        <w:tc>
          <w:tcPr>
            <w:tcW w:w="1850" w:type="dxa"/>
            <w:gridSpan w:val="2"/>
            <w:tcBorders>
              <w:left w:val="single" w:sz="8" w:space="0" w:color="FFFFFF"/>
              <w:right w:val="single" w:sz="8" w:space="0" w:color="FFFFFF"/>
            </w:tcBorders>
            <w:shd w:fill="003A5D" w:val="clear"/>
            <w:tcMar>
              <w:left w:w="28" w:type="dxa"/>
              <w:right w:w="28" w:type="dxa"/>
            </w:tcMar>
            <w:vAlign w:val="center"/>
          </w:tcPr>
          <w:p>
            <w:pPr>
              <w:pStyle w:val="TableContents"/>
              <w:bidi w:val="0"/>
              <w:spacing w:before="0" w:after="283"/>
              <w:jc w:val="left"/>
              <w:rPr/>
            </w:pPr>
            <w:r>
              <w:rPr/>
              <w:t> </w:t>
            </w:r>
          </w:p>
        </w:tc>
        <w:tc>
          <w:tcPr>
            <w:tcW w:w="1983" w:type="dxa"/>
            <w:gridSpan w:val="2"/>
            <w:tcBorders/>
            <w:shd w:fill="003A5D" w:val="clear"/>
            <w:vAlign w:val="center"/>
          </w:tcPr>
          <w:p>
            <w:pPr>
              <w:pStyle w:val="TableContents"/>
              <w:bidi w:val="0"/>
              <w:spacing w:before="0" w:after="283"/>
              <w:jc w:val="left"/>
              <w:rPr>
                <w:sz w:val="4"/>
                <w:szCs w:val="4"/>
              </w:rPr>
            </w:pPr>
            <w:r>
              <w:rPr>
                <w:sz w:val="4"/>
                <w:szCs w:val="4"/>
              </w:rPr>
            </w:r>
          </w:p>
        </w:tc>
        <w:tc>
          <w:tcPr>
            <w:tcW w:w="1760" w:type="dxa"/>
            <w:gridSpan w:val="2"/>
            <w:tcBorders>
              <w:left w:val="single" w:sz="8" w:space="0" w:color="FFFFFF"/>
              <w:right w:val="single" w:sz="8" w:space="0" w:color="FFFFFF"/>
            </w:tcBorders>
            <w:shd w:fill="003A5D" w:val="clear"/>
            <w:tcMar>
              <w:left w:w="28" w:type="dxa"/>
              <w:right w:w="28" w:type="dxa"/>
            </w:tcMar>
            <w:vAlign w:val="center"/>
          </w:tcPr>
          <w:p>
            <w:pPr>
              <w:pStyle w:val="TableContents"/>
              <w:bidi w:val="0"/>
              <w:spacing w:before="0" w:after="283"/>
              <w:jc w:val="left"/>
              <w:rPr/>
            </w:pPr>
            <w:r>
              <w:rPr/>
              <w:t> </w:t>
            </w:r>
          </w:p>
        </w:tc>
        <w:tc>
          <w:tcPr>
            <w:tcW w:w="2169"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2443" w:type="dxa"/>
            <w:gridSpan w:val="3"/>
            <w:tcBorders>
              <w:left w:val="single" w:sz="6" w:space="0" w:color="003A5D"/>
              <w:right w:val="single" w:sz="8" w:space="0" w:color="FFFFFF"/>
            </w:tcBorders>
            <w:shd w:fill="003A5D" w:val="clear"/>
            <w:tcMar>
              <w:left w:w="160" w:type="dxa"/>
              <w:right w:w="28" w:type="dxa"/>
            </w:tcMar>
            <w:vAlign w:val="center"/>
          </w:tcPr>
          <w:p>
            <w:pPr>
              <w:pStyle w:val="TableContents"/>
              <w:bidi w:val="0"/>
              <w:spacing w:before="0" w:after="283"/>
              <w:jc w:val="center"/>
              <w:rPr>
                <w:b/>
                <w:color w:val="FFFFFF"/>
              </w:rPr>
            </w:pPr>
            <w:r>
              <w:rPr>
                <w:b/>
                <w:color w:val="FFFFFF"/>
              </w:rPr>
              <w:t>Compensation Element</w:t>
            </w:r>
          </w:p>
        </w:tc>
        <w:tc>
          <w:tcPr>
            <w:tcW w:w="60" w:type="dxa"/>
            <w:tcBorders>
              <w:left w:val="single" w:sz="8" w:space="0" w:color="FFFFFF"/>
            </w:tcBorders>
            <w:shd w:fill="003A5D" w:val="clear"/>
            <w:tcMar>
              <w:left w:w="28" w:type="dxa"/>
            </w:tcMar>
            <w:vAlign w:val="center"/>
          </w:tcPr>
          <w:p>
            <w:pPr>
              <w:pStyle w:val="TableContents"/>
              <w:bidi w:val="0"/>
              <w:spacing w:before="0" w:after="283"/>
              <w:jc w:val="left"/>
              <w:rPr/>
            </w:pPr>
            <w:r>
              <w:rPr/>
              <w:t> </w:t>
            </w:r>
          </w:p>
        </w:tc>
        <w:tc>
          <w:tcPr>
            <w:tcW w:w="1790" w:type="dxa"/>
            <w:tcBorders>
              <w:right w:val="single" w:sz="8"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Timing of Award</w:t>
              <w:br/>
              <w:t>Determination</w:t>
            </w:r>
          </w:p>
        </w:tc>
        <w:tc>
          <w:tcPr>
            <w:tcW w:w="60" w:type="dxa"/>
            <w:tcBorders/>
            <w:shd w:fill="003A5D" w:val="clear"/>
            <w:vAlign w:val="center"/>
          </w:tcPr>
          <w:p>
            <w:pPr>
              <w:pStyle w:val="TableContents"/>
              <w:bidi w:val="0"/>
              <w:spacing w:before="0" w:after="283"/>
              <w:jc w:val="left"/>
              <w:rPr/>
            </w:pPr>
            <w:r>
              <w:rPr/>
              <w:t> </w:t>
            </w:r>
          </w:p>
        </w:tc>
        <w:tc>
          <w:tcPr>
            <w:tcW w:w="1923" w:type="dxa"/>
            <w:tcBorders/>
            <w:shd w:fill="003A5D" w:val="clear"/>
            <w:vAlign w:val="center"/>
          </w:tcPr>
          <w:p>
            <w:pPr>
              <w:pStyle w:val="TableContents"/>
              <w:bidi w:val="0"/>
              <w:spacing w:before="0" w:after="283"/>
              <w:jc w:val="center"/>
              <w:rPr>
                <w:b/>
                <w:color w:val="FFFFFF"/>
              </w:rPr>
            </w:pPr>
            <w:r>
              <w:rPr>
                <w:b/>
                <w:color w:val="FFFFFF"/>
              </w:rPr>
              <w:t>Basis for Award</w:t>
            </w:r>
          </w:p>
        </w:tc>
        <w:tc>
          <w:tcPr>
            <w:tcW w:w="60" w:type="dxa"/>
            <w:tcBorders>
              <w:left w:val="single" w:sz="8" w:space="0" w:color="FFFFFF"/>
            </w:tcBorders>
            <w:shd w:fill="003A5D" w:val="clear"/>
            <w:tcMar>
              <w:left w:w="28" w:type="dxa"/>
            </w:tcMar>
            <w:vAlign w:val="center"/>
          </w:tcPr>
          <w:p>
            <w:pPr>
              <w:pStyle w:val="TableContents"/>
              <w:bidi w:val="0"/>
              <w:spacing w:before="0" w:after="283"/>
              <w:jc w:val="left"/>
              <w:rPr/>
            </w:pPr>
            <w:r>
              <w:rPr/>
              <w:t> </w:t>
            </w:r>
          </w:p>
        </w:tc>
        <w:tc>
          <w:tcPr>
            <w:tcW w:w="1700" w:type="dxa"/>
            <w:tcBorders>
              <w:right w:val="single" w:sz="8"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Vesting</w:t>
              <w:br/>
              <w:t>Schedule</w:t>
            </w:r>
          </w:p>
        </w:tc>
        <w:tc>
          <w:tcPr>
            <w:tcW w:w="60" w:type="dxa"/>
            <w:tcBorders/>
            <w:shd w:fill="003A5D" w:val="clear"/>
            <w:vAlign w:val="center"/>
          </w:tcPr>
          <w:p>
            <w:pPr>
              <w:pStyle w:val="TableContents"/>
              <w:bidi w:val="0"/>
              <w:spacing w:before="0" w:after="283"/>
              <w:jc w:val="left"/>
              <w:rPr/>
            </w:pPr>
            <w:r>
              <w:rPr/>
              <w:t> </w:t>
            </w:r>
          </w:p>
        </w:tc>
        <w:tc>
          <w:tcPr>
            <w:tcW w:w="2109" w:type="dxa"/>
            <w:tcBorders/>
            <w:shd w:fill="003A5D" w:val="clear"/>
            <w:vAlign w:val="center"/>
          </w:tcPr>
          <w:p>
            <w:pPr>
              <w:pStyle w:val="TableContents"/>
              <w:bidi w:val="0"/>
              <w:spacing w:before="0" w:after="283"/>
              <w:jc w:val="center"/>
              <w:rPr>
                <w:b/>
                <w:color w:val="FFFFFF"/>
              </w:rPr>
            </w:pPr>
            <w:r>
              <w:rPr>
                <w:b/>
                <w:color w:val="FFFFFF"/>
              </w:rPr>
              <w:t>Performance and</w:t>
              <w:br/>
              <w:t>Recovery Provisions</w:t>
            </w:r>
          </w:p>
        </w:tc>
      </w:tr>
      <w:tr>
        <w:trPr/>
        <w:tc>
          <w:tcPr>
            <w:tcW w:w="2443" w:type="dxa"/>
            <w:gridSpan w:val="3"/>
            <w:tcBorders>
              <w:left w:val="single" w:sz="8" w:space="0" w:color="003A5D"/>
            </w:tcBorders>
            <w:tcMar>
              <w:left w:w="160" w:type="dxa"/>
            </w:tcMar>
            <w:vAlign w:val="center"/>
          </w:tcPr>
          <w:p>
            <w:pPr>
              <w:pStyle w:val="TableContents"/>
              <w:bidi w:val="0"/>
              <w:spacing w:before="0" w:after="0"/>
              <w:jc w:val="left"/>
              <w:rPr>
                <w:rFonts w:ascii="arial" w:hAnsi="arial"/>
                <w:b/>
                <w:sz w:val="18"/>
              </w:rPr>
            </w:pPr>
            <w:r>
              <w:rPr>
                <w:rFonts w:ascii="arial" w:hAnsi="arial"/>
                <w:b/>
                <w:sz w:val="18"/>
              </w:rPr>
              <w:t>Base Salary</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Not applicable</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1923" w:type="dxa"/>
            <w:tcBorders/>
            <w:vAlign w:val="center"/>
          </w:tcPr>
          <w:p>
            <w:pPr>
              <w:pStyle w:val="TableContents"/>
              <w:bidi w:val="0"/>
              <w:spacing w:before="0" w:after="0"/>
              <w:jc w:val="both"/>
              <w:rPr>
                <w:rFonts w:ascii="arial" w:hAnsi="arial"/>
                <w:sz w:val="18"/>
              </w:rPr>
            </w:pPr>
            <w:r>
              <w:rPr>
                <w:rFonts w:ascii="arial" w:hAnsi="arial"/>
                <w:sz w:val="18"/>
              </w:rPr>
              <w:t>Not applicable</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both"/>
              <w:rPr>
                <w:rFonts w:ascii="arial" w:hAnsi="arial"/>
                <w:sz w:val="18"/>
              </w:rPr>
            </w:pPr>
            <w:r>
              <w:rPr>
                <w:rFonts w:ascii="arial" w:hAnsi="arial"/>
                <w:sz w:val="18"/>
              </w:rPr>
              <w:t>Not applicable</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09" w:type="dxa"/>
            <w:tcBorders>
              <w:right w:val="single" w:sz="8" w:space="0" w:color="003A5D"/>
            </w:tcBorders>
            <w:tcMar>
              <w:right w:w="40" w:type="dxa"/>
            </w:tcMar>
            <w:vAlign w:val="center"/>
          </w:tcPr>
          <w:p>
            <w:pPr>
              <w:pStyle w:val="TableContents"/>
              <w:bidi w:val="0"/>
              <w:spacing w:before="0" w:after="283"/>
              <w:jc w:val="left"/>
              <w:rPr/>
            </w:pPr>
            <w:r>
              <w:rPr/>
              <w:t>Not applicable</w:t>
            </w:r>
          </w:p>
        </w:tc>
      </w:tr>
      <w:tr>
        <w:trPr/>
        <w:tc>
          <w:tcPr>
            <w:tcW w:w="2443" w:type="dxa"/>
            <w:gridSpan w:val="3"/>
            <w:tcBorders>
              <w:top w:val="single" w:sz="8" w:space="0" w:color="003A5D"/>
              <w:left w:val="single" w:sz="8" w:space="0" w:color="003A5D"/>
              <w:bottom w:val="single" w:sz="8" w:space="0" w:color="003A5D"/>
              <w:right w:val="single" w:sz="8" w:space="0" w:color="003A5D"/>
            </w:tcBorders>
            <w:tcMar>
              <w:top w:w="28" w:type="dxa"/>
              <w:left w:w="160" w:type="dxa"/>
              <w:bottom w:w="28" w:type="dxa"/>
              <w:right w:w="28" w:type="dxa"/>
            </w:tcMar>
            <w:vAlign w:val="center"/>
          </w:tcPr>
          <w:p>
            <w:pPr>
              <w:pStyle w:val="TableContents"/>
              <w:bidi w:val="0"/>
              <w:spacing w:before="0" w:after="0"/>
              <w:jc w:val="left"/>
              <w:rPr>
                <w:rFonts w:ascii="arial" w:hAnsi="arial"/>
                <w:b/>
                <w:sz w:val="18"/>
              </w:rPr>
            </w:pPr>
            <w:r>
              <w:rPr>
                <w:rFonts w:ascii="arial" w:hAnsi="arial"/>
                <w:b/>
                <w:sz w:val="18"/>
              </w:rPr>
              <w:t>RSUs</w:t>
            </w:r>
          </w:p>
        </w:tc>
        <w:tc>
          <w:tcPr>
            <w:tcW w:w="60" w:type="dxa"/>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pPr>
            <w:r>
              <w:rPr/>
              <w:t> </w:t>
            </w:r>
          </w:p>
        </w:tc>
        <w:tc>
          <w:tcPr>
            <w:tcW w:w="1790" w:type="dxa"/>
            <w:tcBorders>
              <w:top w:val="single" w:sz="8" w:space="0" w:color="003A5D"/>
              <w:bottom w:val="single" w:sz="8" w:space="0" w:color="003A5D"/>
              <w:right w:val="single" w:sz="8" w:space="0" w:color="003A5D"/>
            </w:tcBorders>
            <w:tcMar>
              <w:top w:w="28" w:type="dxa"/>
              <w:bottom w:w="28" w:type="dxa"/>
              <w:right w:w="28" w:type="dxa"/>
            </w:tcMar>
            <w:vAlign w:val="center"/>
          </w:tcPr>
          <w:p>
            <w:pPr>
              <w:pStyle w:val="TableContents"/>
              <w:bidi w:val="0"/>
              <w:spacing w:before="0" w:after="283"/>
              <w:jc w:val="left"/>
              <w:rPr/>
            </w:pPr>
            <w:r>
              <w:rPr/>
              <w:t>February 2024</w:t>
            </w:r>
          </w:p>
        </w:tc>
        <w:tc>
          <w:tcPr>
            <w:tcW w:w="60" w:type="dxa"/>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pPr>
            <w:r>
              <w:rPr/>
              <w:t> </w:t>
            </w:r>
          </w:p>
        </w:tc>
        <w:tc>
          <w:tcPr>
            <w:tcW w:w="1923" w:type="dxa"/>
            <w:tcBorders>
              <w:top w:val="single" w:sz="8" w:space="0" w:color="003A5D"/>
              <w:bottom w:val="single" w:sz="8" w:space="0" w:color="003A5D"/>
              <w:right w:val="single" w:sz="8" w:space="0" w:color="003A5D"/>
            </w:tcBorders>
            <w:tcMar>
              <w:top w:w="28" w:type="dxa"/>
              <w:bottom w:w="28" w:type="dxa"/>
              <w:right w:w="28" w:type="dxa"/>
            </w:tcMar>
            <w:vAlign w:val="center"/>
          </w:tcPr>
          <w:p>
            <w:pPr>
              <w:pStyle w:val="TableContents"/>
              <w:bidi w:val="0"/>
              <w:spacing w:before="0" w:after="283"/>
              <w:jc w:val="left"/>
              <w:rPr/>
            </w:pPr>
            <w:r>
              <w:rPr/>
              <w:t>Incentive for Long-Term Company Performance</w:t>
            </w:r>
          </w:p>
        </w:tc>
        <w:tc>
          <w:tcPr>
            <w:tcW w:w="60" w:type="dxa"/>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pPr>
            <w:r>
              <w:rPr/>
              <w:t> </w:t>
            </w:r>
          </w:p>
        </w:tc>
        <w:tc>
          <w:tcPr>
            <w:tcW w:w="1700" w:type="dxa"/>
            <w:tcBorders>
              <w:top w:val="single" w:sz="8" w:space="0" w:color="003A5D"/>
              <w:bottom w:val="single" w:sz="8" w:space="0" w:color="003A5D"/>
              <w:right w:val="single" w:sz="8" w:space="0" w:color="003A5D"/>
            </w:tcBorders>
            <w:tcMar>
              <w:top w:w="28" w:type="dxa"/>
              <w:bottom w:w="28" w:type="dxa"/>
              <w:right w:w="28" w:type="dxa"/>
            </w:tcMar>
            <w:vAlign w:val="center"/>
          </w:tcPr>
          <w:p>
            <w:pPr>
              <w:pStyle w:val="TableContents"/>
              <w:bidi w:val="0"/>
              <w:spacing w:before="0" w:after="283"/>
              <w:jc w:val="left"/>
              <w:rPr/>
            </w:pPr>
            <w:r>
              <w:rPr/>
              <w:t>Vest at the end of the three-year performance period; settles in cash</w:t>
            </w:r>
          </w:p>
        </w:tc>
        <w:tc>
          <w:tcPr>
            <w:tcW w:w="60" w:type="dxa"/>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pPr>
            <w:r>
              <w:rPr/>
              <w:t> </w:t>
            </w:r>
          </w:p>
        </w:tc>
        <w:tc>
          <w:tcPr>
            <w:tcW w:w="2109" w:type="dxa"/>
            <w:tcBorders>
              <w:top w:val="single" w:sz="8" w:space="0" w:color="003A5D"/>
              <w:bottom w:val="single" w:sz="8" w:space="0" w:color="003A5D"/>
              <w:right w:val="single" w:sz="8" w:space="0" w:color="003A5D"/>
            </w:tcBorders>
            <w:tcMar>
              <w:top w:w="28" w:type="dxa"/>
              <w:bottom w:w="28" w:type="dxa"/>
              <w:right w:w="40" w:type="dxa"/>
            </w:tcMar>
            <w:vAlign w:val="center"/>
          </w:tcPr>
          <w:p>
            <w:pPr>
              <w:pStyle w:val="TableContents"/>
              <w:bidi w:val="0"/>
              <w:spacing w:before="0" w:after="0"/>
              <w:jc w:val="left"/>
              <w:rPr/>
            </w:pPr>
            <w:r>
              <w:rPr>
                <w:color w:val="003A5D"/>
              </w:rPr>
              <w:t>∎</w:t>
            </w:r>
            <w:r>
              <w:rPr/>
              <w:t>   </w:t>
            </w:r>
            <w:r>
              <w:rPr>
                <w:rFonts w:ascii="arial" w:hAnsi="arial"/>
                <w:sz w:val="18"/>
              </w:rPr>
              <w:t>Performance-based vesting provisions</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Misconduct clawback</w:t>
            </w:r>
          </w:p>
          <w:p>
            <w:pPr>
              <w:pStyle w:val="TableContents"/>
              <w:bidi w:val="0"/>
              <w:spacing w:before="0" w:after="0"/>
              <w:jc w:val="left"/>
              <w:rPr/>
            </w:pPr>
            <w:r>
              <w:rPr/>
              <w:t> </w:t>
            </w:r>
          </w:p>
          <w:p>
            <w:pPr>
              <w:pStyle w:val="TableContents"/>
              <w:bidi w:val="0"/>
              <w:spacing w:before="0" w:after="20"/>
              <w:jc w:val="left"/>
              <w:rPr/>
            </w:pPr>
            <w:r>
              <w:rPr>
                <w:color w:val="003A5D"/>
              </w:rPr>
              <w:t>∎</w:t>
            </w:r>
            <w:r>
              <w:rPr/>
              <w:t>   </w:t>
            </w:r>
            <w:r>
              <w:rPr>
                <w:rFonts w:ascii="arial" w:hAnsi="arial"/>
                <w:sz w:val="18"/>
              </w:rPr>
              <w:t>Financial restatement clawback</w:t>
            </w:r>
          </w:p>
        </w:tc>
      </w:tr>
      <w:tr>
        <w:trPr/>
        <w:tc>
          <w:tcPr>
            <w:tcW w:w="1040" w:type="dxa"/>
            <w:tcBorders>
              <w:top w:val="single" w:sz="8" w:space="0" w:color="003A5D"/>
              <w:left w:val="single" w:sz="8" w:space="0" w:color="003A5D"/>
              <w:right w:val="single" w:sz="8" w:space="0" w:color="003A5D"/>
            </w:tcBorders>
            <w:tcMar>
              <w:top w:w="28" w:type="dxa"/>
              <w:left w:w="160" w:type="dxa"/>
              <w:right w:w="28" w:type="dxa"/>
            </w:tcMar>
            <w:vAlign w:val="center"/>
          </w:tcPr>
          <w:p>
            <w:pPr>
              <w:pStyle w:val="TableContents"/>
              <w:bidi w:val="0"/>
              <w:spacing w:before="0" w:after="0"/>
              <w:jc w:val="left"/>
              <w:rPr>
                <w:rFonts w:ascii="arial" w:hAnsi="arial"/>
                <w:b/>
                <w:sz w:val="18"/>
              </w:rPr>
            </w:pPr>
            <w:r>
              <w:rPr>
                <w:rFonts w:ascii="arial" w:hAnsi="arial"/>
                <w:b/>
                <w:sz w:val="18"/>
              </w:rPr>
              <w:t>Year-End</w:t>
            </w:r>
          </w:p>
          <w:p>
            <w:pPr>
              <w:pStyle w:val="TableContents"/>
              <w:bidi w:val="0"/>
              <w:spacing w:before="0" w:after="0"/>
              <w:jc w:val="left"/>
              <w:rPr>
                <w:rFonts w:ascii="arial" w:hAnsi="arial"/>
                <w:b/>
                <w:sz w:val="18"/>
              </w:rPr>
            </w:pPr>
            <w:r>
              <w:rPr>
                <w:rFonts w:ascii="arial" w:hAnsi="arial"/>
                <w:b/>
                <w:sz w:val="18"/>
              </w:rPr>
              <w:t>Incentive</w:t>
            </w:r>
          </w:p>
          <w:p>
            <w:pPr>
              <w:pStyle w:val="TableContents"/>
              <w:bidi w:val="0"/>
              <w:spacing w:before="0" w:after="20"/>
              <w:jc w:val="left"/>
              <w:rPr>
                <w:rFonts w:ascii="arial" w:hAnsi="arial"/>
                <w:b/>
                <w:sz w:val="18"/>
              </w:rPr>
            </w:pPr>
            <w:r>
              <w:rPr>
                <w:rFonts w:ascii="arial" w:hAnsi="arial"/>
                <w:b/>
                <w:sz w:val="18"/>
              </w:rPr>
              <w:t>Opportunity</w:t>
            </w:r>
          </w:p>
        </w:tc>
        <w:tc>
          <w:tcPr>
            <w:tcW w:w="60" w:type="dxa"/>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pPr>
            <w:r>
              <w:rPr/>
              <w:t> </w:t>
            </w:r>
          </w:p>
        </w:tc>
        <w:tc>
          <w:tcPr>
            <w:tcW w:w="1343" w:type="dxa"/>
            <w:tcBorders>
              <w:top w:val="single" w:sz="8" w:space="0" w:color="003A5D"/>
              <w:bottom w:val="single" w:sz="8" w:space="0" w:color="003A5D"/>
              <w:right w:val="single" w:sz="8" w:space="0" w:color="003A5D"/>
            </w:tcBorders>
            <w:tcMar>
              <w:top w:w="28" w:type="dxa"/>
              <w:bottom w:w="28" w:type="dxa"/>
              <w:right w:w="28" w:type="dxa"/>
            </w:tcMar>
            <w:vAlign w:val="center"/>
          </w:tcPr>
          <w:p>
            <w:pPr>
              <w:pStyle w:val="TableContents"/>
              <w:bidi w:val="0"/>
              <w:spacing w:before="0" w:after="283"/>
              <w:jc w:val="left"/>
              <w:rPr>
                <w:b/>
              </w:rPr>
            </w:pPr>
            <w:r>
              <w:rPr>
                <w:b/>
              </w:rPr>
              <w:t>Financial Performance Shares</w:t>
            </w:r>
          </w:p>
        </w:tc>
        <w:tc>
          <w:tcPr>
            <w:tcW w:w="60" w:type="dxa"/>
            <w:vMerge w:val="restart"/>
            <w:tcBorders>
              <w:top w:val="single" w:sz="8" w:space="0" w:color="003A5D"/>
              <w:left w:val="single" w:sz="8" w:space="0" w:color="003A5D"/>
            </w:tcBorders>
            <w:tcMar>
              <w:top w:w="28" w:type="dxa"/>
              <w:left w:w="28" w:type="dxa"/>
            </w:tcMar>
            <w:vAlign w:val="center"/>
          </w:tcPr>
          <w:p>
            <w:pPr>
              <w:pStyle w:val="TableContents"/>
              <w:bidi w:val="0"/>
              <w:spacing w:before="0" w:after="283"/>
              <w:jc w:val="left"/>
              <w:rPr/>
            </w:pPr>
            <w:r>
              <w:rPr/>
              <w:t> </w:t>
            </w:r>
          </w:p>
        </w:tc>
        <w:tc>
          <w:tcPr>
            <w:tcW w:w="1790" w:type="dxa"/>
            <w:vMerge w:val="restart"/>
            <w:tcBorders>
              <w:top w:val="single" w:sz="8" w:space="0" w:color="003A5D"/>
              <w:right w:val="single" w:sz="8" w:space="0" w:color="003A5D"/>
            </w:tcBorders>
            <w:tcMar>
              <w:top w:w="28" w:type="dxa"/>
              <w:right w:w="28" w:type="dxa"/>
            </w:tcMar>
            <w:vAlign w:val="center"/>
          </w:tcPr>
          <w:p>
            <w:pPr>
              <w:pStyle w:val="TableContents"/>
              <w:bidi w:val="0"/>
              <w:spacing w:before="0" w:after="283"/>
              <w:jc w:val="left"/>
              <w:rPr/>
            </w:pPr>
            <w:r>
              <w:rPr/>
              <w:t>February 2025</w:t>
            </w:r>
          </w:p>
        </w:tc>
        <w:tc>
          <w:tcPr>
            <w:tcW w:w="60" w:type="dxa"/>
            <w:vMerge w:val="restart"/>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pPr>
            <w:r>
              <w:rPr/>
              <w:t> </w:t>
            </w:r>
          </w:p>
        </w:tc>
        <w:tc>
          <w:tcPr>
            <w:tcW w:w="1923" w:type="dxa"/>
            <w:vMerge w:val="restart"/>
            <w:tcBorders>
              <w:top w:val="single" w:sz="8" w:space="0" w:color="003A5D"/>
              <w:bottom w:val="single" w:sz="8" w:space="0" w:color="003A5D"/>
              <w:right w:val="single" w:sz="8" w:space="0" w:color="003A5D"/>
            </w:tcBorders>
            <w:tcMar>
              <w:top w:w="28" w:type="dxa"/>
              <w:bottom w:w="28" w:type="dxa"/>
              <w:right w:w="28" w:type="dxa"/>
            </w:tcMar>
            <w:vAlign w:val="center"/>
          </w:tcPr>
          <w:p>
            <w:pPr>
              <w:pStyle w:val="TableContents"/>
              <w:bidi w:val="0"/>
              <w:spacing w:before="0" w:after="283"/>
              <w:jc w:val="left"/>
              <w:rPr/>
            </w:pPr>
            <w:r>
              <w:rPr/>
              <w:t>Reward for 2024 CEO and Company Performance; Incentive for Long-Term Company Performance</w:t>
            </w:r>
          </w:p>
        </w:tc>
        <w:tc>
          <w:tcPr>
            <w:tcW w:w="60" w:type="dxa"/>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pPr>
            <w:r>
              <w:rPr/>
              <w:t> </w:t>
            </w:r>
          </w:p>
        </w:tc>
        <w:tc>
          <w:tcPr>
            <w:tcW w:w="1700" w:type="dxa"/>
            <w:tcBorders>
              <w:top w:val="single" w:sz="8" w:space="0" w:color="003A5D"/>
              <w:bottom w:val="single" w:sz="8" w:space="0" w:color="003A5D"/>
              <w:right w:val="single" w:sz="8" w:space="0" w:color="003A5D"/>
            </w:tcBorders>
            <w:tcMar>
              <w:top w:w="28" w:type="dxa"/>
              <w:bottom w:w="28" w:type="dxa"/>
              <w:right w:w="28" w:type="dxa"/>
            </w:tcMar>
            <w:vAlign w:val="center"/>
          </w:tcPr>
          <w:p>
            <w:pPr>
              <w:pStyle w:val="TableContents"/>
              <w:bidi w:val="0"/>
              <w:spacing w:before="0" w:after="283"/>
              <w:jc w:val="left"/>
              <w:rPr/>
            </w:pPr>
            <w:r>
              <w:rPr/>
              <w:t>Vest at the end of the three-year performance period based on achievement of financial performance factors</w:t>
            </w:r>
          </w:p>
        </w:tc>
        <w:tc>
          <w:tcPr>
            <w:tcW w:w="60" w:type="dxa"/>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pPr>
            <w:r>
              <w:rPr/>
              <w:t> </w:t>
            </w:r>
          </w:p>
        </w:tc>
        <w:tc>
          <w:tcPr>
            <w:tcW w:w="2109" w:type="dxa"/>
            <w:tcBorders>
              <w:top w:val="single" w:sz="8" w:space="0" w:color="003A5D"/>
              <w:bottom w:val="single" w:sz="8" w:space="0" w:color="003A5D"/>
              <w:right w:val="single" w:sz="8" w:space="0" w:color="003A5D"/>
            </w:tcBorders>
            <w:tcMar>
              <w:top w:w="28" w:type="dxa"/>
              <w:bottom w:w="28" w:type="dxa"/>
              <w:right w:w="40" w:type="dxa"/>
            </w:tcMar>
            <w:vAlign w:val="center"/>
          </w:tcPr>
          <w:p>
            <w:pPr>
              <w:pStyle w:val="TableContents"/>
              <w:bidi w:val="0"/>
              <w:spacing w:before="0" w:after="0"/>
              <w:jc w:val="left"/>
              <w:rPr/>
            </w:pPr>
            <w:r>
              <w:rPr>
                <w:color w:val="003A5D"/>
              </w:rPr>
              <w:t>∎</w:t>
            </w:r>
            <w:r>
              <w:rPr/>
              <w:t>   </w:t>
            </w:r>
            <w:r>
              <w:rPr>
                <w:rFonts w:ascii="arial" w:hAnsi="arial"/>
                <w:sz w:val="18"/>
              </w:rPr>
              <w:t>Performance share reduction</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Misconduct clawback</w:t>
            </w:r>
          </w:p>
          <w:p>
            <w:pPr>
              <w:pStyle w:val="TableContents"/>
              <w:bidi w:val="0"/>
              <w:spacing w:before="0" w:after="0"/>
              <w:jc w:val="left"/>
              <w:rPr/>
            </w:pPr>
            <w:r>
              <w:rPr/>
              <w:t> </w:t>
            </w:r>
          </w:p>
          <w:p>
            <w:pPr>
              <w:pStyle w:val="TableContents"/>
              <w:bidi w:val="0"/>
              <w:spacing w:before="0" w:after="20"/>
              <w:jc w:val="left"/>
              <w:rPr/>
            </w:pPr>
            <w:r>
              <w:rPr>
                <w:color w:val="003A5D"/>
              </w:rPr>
              <w:t>∎</w:t>
            </w:r>
            <w:r>
              <w:rPr/>
              <w:t>   </w:t>
            </w:r>
            <w:r>
              <w:rPr>
                <w:rFonts w:ascii="arial" w:hAnsi="arial"/>
                <w:sz w:val="18"/>
              </w:rPr>
              <w:t>Financial restatement clawback</w:t>
            </w:r>
          </w:p>
        </w:tc>
      </w:tr>
      <w:tr>
        <w:trPr/>
        <w:tc>
          <w:tcPr>
            <w:tcW w:w="1040" w:type="dxa"/>
            <w:tcBorders>
              <w:left w:val="single" w:sz="8" w:space="0" w:color="003A5D"/>
              <w:right w:val="single" w:sz="8" w:space="0" w:color="003A5D"/>
            </w:tcBorders>
            <w:tcMar>
              <w:left w:w="160" w:type="dxa"/>
              <w:right w:w="28" w:type="dxa"/>
            </w:tcMar>
            <w:vAlign w:val="center"/>
          </w:tcPr>
          <w:p>
            <w:pPr>
              <w:pStyle w:val="TableContents"/>
              <w:bidi w:val="0"/>
              <w:spacing w:before="0" w:after="283"/>
              <w:jc w:val="left"/>
              <w:rPr/>
            </w:pPr>
            <w:r>
              <w:rPr/>
              <w:t> </w:t>
            </w:r>
          </w:p>
        </w:tc>
        <w:tc>
          <w:tcPr>
            <w:tcW w:w="60" w:type="dxa"/>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pPr>
            <w:r>
              <w:rPr/>
              <w:t> </w:t>
            </w:r>
          </w:p>
        </w:tc>
        <w:tc>
          <w:tcPr>
            <w:tcW w:w="1343" w:type="dxa"/>
            <w:tcBorders>
              <w:top w:val="single" w:sz="8" w:space="0" w:color="003A5D"/>
              <w:bottom w:val="single" w:sz="8" w:space="0" w:color="003A5D"/>
              <w:right w:val="single" w:sz="8" w:space="0" w:color="003A5D"/>
            </w:tcBorders>
            <w:tcMar>
              <w:top w:w="28" w:type="dxa"/>
              <w:bottom w:w="28" w:type="dxa"/>
              <w:right w:w="28" w:type="dxa"/>
            </w:tcMar>
            <w:vAlign w:val="center"/>
          </w:tcPr>
          <w:p>
            <w:pPr>
              <w:pStyle w:val="TableContents"/>
              <w:bidi w:val="0"/>
              <w:spacing w:before="0" w:after="283"/>
              <w:jc w:val="left"/>
              <w:rPr>
                <w:b/>
              </w:rPr>
            </w:pPr>
            <w:r>
              <w:rPr>
                <w:b/>
              </w:rPr>
              <w:t>TSR Performance Shares</w:t>
            </w:r>
          </w:p>
        </w:tc>
        <w:tc>
          <w:tcPr>
            <w:tcW w:w="60" w:type="dxa"/>
            <w:vMerge w:val="continue"/>
            <w:tcBorders>
              <w:top w:val="single" w:sz="8" w:space="0" w:color="003A5D"/>
              <w:left w:val="single" w:sz="8" w:space="0" w:color="003A5D"/>
            </w:tcBorders>
            <w:tcMar>
              <w:top w:w="28" w:type="dxa"/>
              <w:left w:w="28" w:type="dxa"/>
            </w:tcMar>
            <w:vAlign w:val="center"/>
          </w:tcPr>
          <w:p>
            <w:pPr>
              <w:pStyle w:val="Normal"/>
              <w:bidi w:val="0"/>
              <w:jc w:val="left"/>
              <w:rPr/>
            </w:pPr>
            <w:r>
              <w:rPr/>
            </w:r>
          </w:p>
        </w:tc>
        <w:tc>
          <w:tcPr>
            <w:tcW w:w="1790" w:type="dxa"/>
            <w:vMerge w:val="continue"/>
            <w:tcBorders>
              <w:top w:val="single" w:sz="8" w:space="0" w:color="003A5D"/>
              <w:right w:val="single" w:sz="8" w:space="0" w:color="003A5D"/>
            </w:tcBorders>
            <w:tcMar>
              <w:top w:w="28" w:type="dxa"/>
              <w:right w:w="28" w:type="dxa"/>
            </w:tcMar>
            <w:vAlign w:val="center"/>
          </w:tcPr>
          <w:p>
            <w:pPr>
              <w:pStyle w:val="Normal"/>
              <w:bidi w:val="0"/>
              <w:jc w:val="left"/>
              <w:rPr/>
            </w:pPr>
            <w:r>
              <w:rPr/>
            </w:r>
          </w:p>
        </w:tc>
        <w:tc>
          <w:tcPr>
            <w:tcW w:w="60" w:type="dxa"/>
            <w:vMerge w:val="continue"/>
            <w:tcBorders>
              <w:top w:val="single" w:sz="8" w:space="0" w:color="003A5D"/>
              <w:left w:val="single" w:sz="8" w:space="0" w:color="003A5D"/>
              <w:bottom w:val="single" w:sz="8" w:space="0" w:color="003A5D"/>
            </w:tcBorders>
            <w:tcMar>
              <w:top w:w="28" w:type="dxa"/>
              <w:left w:w="28" w:type="dxa"/>
              <w:bottom w:w="28" w:type="dxa"/>
            </w:tcMar>
            <w:vAlign w:val="center"/>
          </w:tcPr>
          <w:p>
            <w:pPr>
              <w:pStyle w:val="Normal"/>
              <w:bidi w:val="0"/>
              <w:jc w:val="left"/>
              <w:rPr/>
            </w:pPr>
            <w:r>
              <w:rPr/>
            </w:r>
          </w:p>
        </w:tc>
        <w:tc>
          <w:tcPr>
            <w:tcW w:w="1923" w:type="dxa"/>
            <w:vMerge w:val="continue"/>
            <w:tcBorders>
              <w:top w:val="single" w:sz="8" w:space="0" w:color="003A5D"/>
              <w:bottom w:val="single" w:sz="8" w:space="0" w:color="003A5D"/>
              <w:right w:val="single" w:sz="8" w:space="0" w:color="003A5D"/>
            </w:tcBorders>
            <w:tcMar>
              <w:top w:w="28" w:type="dxa"/>
              <w:bottom w:w="28" w:type="dxa"/>
              <w:right w:w="28" w:type="dxa"/>
            </w:tcMar>
            <w:vAlign w:val="center"/>
          </w:tcPr>
          <w:p>
            <w:pPr>
              <w:pStyle w:val="Normal"/>
              <w:bidi w:val="0"/>
              <w:jc w:val="left"/>
              <w:rPr/>
            </w:pPr>
            <w:r>
              <w:rPr/>
            </w:r>
          </w:p>
        </w:tc>
        <w:tc>
          <w:tcPr>
            <w:tcW w:w="60" w:type="dxa"/>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pPr>
            <w:r>
              <w:rPr/>
              <w:t> </w:t>
            </w:r>
          </w:p>
        </w:tc>
        <w:tc>
          <w:tcPr>
            <w:tcW w:w="1700" w:type="dxa"/>
            <w:tcBorders>
              <w:top w:val="single" w:sz="8" w:space="0" w:color="003A5D"/>
              <w:bottom w:val="single" w:sz="8" w:space="0" w:color="003A5D"/>
              <w:right w:val="single" w:sz="8" w:space="0" w:color="003A5D"/>
            </w:tcBorders>
            <w:tcMar>
              <w:top w:w="28" w:type="dxa"/>
              <w:bottom w:w="28" w:type="dxa"/>
              <w:right w:w="28" w:type="dxa"/>
            </w:tcMar>
            <w:vAlign w:val="center"/>
          </w:tcPr>
          <w:p>
            <w:pPr>
              <w:pStyle w:val="TableContents"/>
              <w:bidi w:val="0"/>
              <w:spacing w:before="0" w:after="283"/>
              <w:jc w:val="left"/>
              <w:rPr/>
            </w:pPr>
            <w:r>
              <w:rPr/>
              <w:t>Vest at the end of the three-year performance period based on relative TSR</w:t>
            </w:r>
          </w:p>
        </w:tc>
        <w:tc>
          <w:tcPr>
            <w:tcW w:w="60" w:type="dxa"/>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pPr>
            <w:r>
              <w:rPr/>
              <w:t> </w:t>
            </w:r>
          </w:p>
        </w:tc>
        <w:tc>
          <w:tcPr>
            <w:tcW w:w="2109" w:type="dxa"/>
            <w:tcBorders>
              <w:top w:val="single" w:sz="8" w:space="0" w:color="003A5D"/>
              <w:bottom w:val="single" w:sz="8" w:space="0" w:color="003A5D"/>
              <w:right w:val="single" w:sz="8" w:space="0" w:color="003A5D"/>
            </w:tcBorders>
            <w:tcMar>
              <w:top w:w="28" w:type="dxa"/>
              <w:bottom w:w="28" w:type="dxa"/>
              <w:right w:w="40" w:type="dxa"/>
            </w:tcMar>
            <w:vAlign w:val="center"/>
          </w:tcPr>
          <w:p>
            <w:pPr>
              <w:pStyle w:val="TableContents"/>
              <w:bidi w:val="0"/>
              <w:spacing w:before="0" w:after="0"/>
              <w:jc w:val="left"/>
              <w:rPr/>
            </w:pPr>
            <w:r>
              <w:rPr>
                <w:color w:val="003A5D"/>
              </w:rPr>
              <w:t>∎</w:t>
            </w:r>
            <w:r>
              <w:rPr/>
              <w:t>   </w:t>
            </w:r>
            <w:r>
              <w:rPr>
                <w:rFonts w:ascii="arial" w:hAnsi="arial"/>
                <w:sz w:val="18"/>
              </w:rPr>
              <w:t>Misconduct clawback</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Financial restatement clawback</w:t>
            </w:r>
          </w:p>
          <w:p>
            <w:pPr>
              <w:pStyle w:val="TableContents"/>
              <w:bidi w:val="0"/>
              <w:spacing w:before="0" w:after="20"/>
              <w:jc w:val="left"/>
              <w:rPr/>
            </w:pPr>
            <w:r>
              <w:rPr/>
              <w:t> </w:t>
            </w:r>
          </w:p>
        </w:tc>
      </w:tr>
      <w:tr>
        <w:trPr/>
        <w:tc>
          <w:tcPr>
            <w:tcW w:w="1040" w:type="dxa"/>
            <w:tcBorders>
              <w:left w:val="single" w:sz="8" w:space="0" w:color="003A5D"/>
              <w:right w:val="single" w:sz="8" w:space="0" w:color="003A5D"/>
            </w:tcBorders>
            <w:tcMar>
              <w:left w:w="160" w:type="dxa"/>
              <w:right w:w="28" w:type="dxa"/>
            </w:tcMar>
            <w:vAlign w:val="center"/>
          </w:tcPr>
          <w:p>
            <w:pPr>
              <w:pStyle w:val="TableContents"/>
              <w:bidi w:val="0"/>
              <w:spacing w:before="0" w:after="283"/>
              <w:jc w:val="left"/>
              <w:rPr/>
            </w:pPr>
            <w:r>
              <w:rPr/>
              <w:t> </w:t>
            </w:r>
          </w:p>
        </w:tc>
        <w:tc>
          <w:tcPr>
            <w:tcW w:w="60" w:type="dxa"/>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pPr>
            <w:r>
              <w:rPr/>
              <w:t> </w:t>
            </w:r>
          </w:p>
        </w:tc>
        <w:tc>
          <w:tcPr>
            <w:tcW w:w="1343" w:type="dxa"/>
            <w:tcBorders>
              <w:top w:val="single" w:sz="8" w:space="0" w:color="003A5D"/>
              <w:bottom w:val="single" w:sz="8" w:space="0" w:color="003A5D"/>
              <w:right w:val="single" w:sz="8" w:space="0" w:color="003A5D"/>
            </w:tcBorders>
            <w:tcMar>
              <w:top w:w="28" w:type="dxa"/>
              <w:bottom w:w="28" w:type="dxa"/>
              <w:right w:w="28" w:type="dxa"/>
            </w:tcMar>
            <w:vAlign w:val="center"/>
          </w:tcPr>
          <w:p>
            <w:pPr>
              <w:pStyle w:val="TableContents"/>
              <w:bidi w:val="0"/>
              <w:spacing w:before="0" w:after="283"/>
              <w:jc w:val="left"/>
              <w:rPr>
                <w:b/>
              </w:rPr>
            </w:pPr>
            <w:r>
              <w:rPr>
                <w:b/>
              </w:rPr>
              <w:t>Year-End Incentive RSUs</w:t>
            </w:r>
          </w:p>
        </w:tc>
        <w:tc>
          <w:tcPr>
            <w:tcW w:w="60" w:type="dxa"/>
            <w:vMerge w:val="continue"/>
            <w:tcBorders>
              <w:top w:val="single" w:sz="8" w:space="0" w:color="003A5D"/>
              <w:left w:val="single" w:sz="8" w:space="0" w:color="003A5D"/>
            </w:tcBorders>
            <w:tcMar>
              <w:top w:w="28" w:type="dxa"/>
              <w:left w:w="28" w:type="dxa"/>
            </w:tcMar>
            <w:vAlign w:val="center"/>
          </w:tcPr>
          <w:p>
            <w:pPr>
              <w:pStyle w:val="Normal"/>
              <w:bidi w:val="0"/>
              <w:jc w:val="left"/>
              <w:rPr/>
            </w:pPr>
            <w:r>
              <w:rPr/>
            </w:r>
          </w:p>
        </w:tc>
        <w:tc>
          <w:tcPr>
            <w:tcW w:w="1790" w:type="dxa"/>
            <w:vMerge w:val="continue"/>
            <w:tcBorders>
              <w:top w:val="single" w:sz="8" w:space="0" w:color="003A5D"/>
              <w:right w:val="single" w:sz="8" w:space="0" w:color="003A5D"/>
            </w:tcBorders>
            <w:tcMar>
              <w:top w:w="28" w:type="dxa"/>
              <w:right w:w="28" w:type="dxa"/>
            </w:tcMar>
            <w:vAlign w:val="center"/>
          </w:tcPr>
          <w:p>
            <w:pPr>
              <w:pStyle w:val="Normal"/>
              <w:bidi w:val="0"/>
              <w:jc w:val="left"/>
              <w:rPr/>
            </w:pPr>
            <w:r>
              <w:rPr/>
            </w:r>
          </w:p>
        </w:tc>
        <w:tc>
          <w:tcPr>
            <w:tcW w:w="60" w:type="dxa"/>
            <w:tcBorders>
              <w:top w:val="single" w:sz="8" w:space="0" w:color="003A5D"/>
              <w:left w:val="single" w:sz="8" w:space="0" w:color="003A5D"/>
            </w:tcBorders>
            <w:tcMar>
              <w:top w:w="28" w:type="dxa"/>
              <w:left w:w="28" w:type="dxa"/>
            </w:tcMar>
            <w:vAlign w:val="center"/>
          </w:tcPr>
          <w:p>
            <w:pPr>
              <w:pStyle w:val="TableContents"/>
              <w:bidi w:val="0"/>
              <w:spacing w:before="0" w:after="283"/>
              <w:jc w:val="left"/>
              <w:rPr/>
            </w:pPr>
            <w:r>
              <w:rPr/>
              <w:t> </w:t>
            </w:r>
          </w:p>
        </w:tc>
        <w:tc>
          <w:tcPr>
            <w:tcW w:w="1923" w:type="dxa"/>
            <w:tcBorders>
              <w:top w:val="single" w:sz="8" w:space="0" w:color="003A5D"/>
              <w:right w:val="single" w:sz="8" w:space="0" w:color="003A5D"/>
            </w:tcBorders>
            <w:tcMar>
              <w:top w:w="28" w:type="dxa"/>
              <w:right w:w="28" w:type="dxa"/>
            </w:tcMar>
            <w:vAlign w:val="center"/>
          </w:tcPr>
          <w:p>
            <w:pPr>
              <w:pStyle w:val="TableContents"/>
              <w:bidi w:val="0"/>
              <w:spacing w:before="0" w:after="283"/>
              <w:jc w:val="left"/>
              <w:rPr/>
            </w:pPr>
            <w:r>
              <w:rPr/>
              <w:t>Reward for 2024 CEO and Company Performance</w:t>
            </w:r>
          </w:p>
        </w:tc>
        <w:tc>
          <w:tcPr>
            <w:tcW w:w="60" w:type="dxa"/>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pPr>
            <w:r>
              <w:rPr/>
              <w:t> </w:t>
            </w:r>
          </w:p>
        </w:tc>
        <w:tc>
          <w:tcPr>
            <w:tcW w:w="1700" w:type="dxa"/>
            <w:tcBorders>
              <w:top w:val="single" w:sz="8" w:space="0" w:color="003A5D"/>
              <w:bottom w:val="single" w:sz="8" w:space="0" w:color="003A5D"/>
              <w:right w:val="single" w:sz="8" w:space="0" w:color="003A5D"/>
            </w:tcBorders>
            <w:tcMar>
              <w:top w:w="28" w:type="dxa"/>
              <w:bottom w:w="28" w:type="dxa"/>
              <w:right w:w="28" w:type="dxa"/>
            </w:tcMar>
            <w:vAlign w:val="center"/>
          </w:tcPr>
          <w:p>
            <w:pPr>
              <w:pStyle w:val="TableContents"/>
              <w:bidi w:val="0"/>
              <w:spacing w:before="0" w:after="283"/>
              <w:jc w:val="left"/>
              <w:rPr/>
            </w:pPr>
            <w:r>
              <w:rPr/>
              <w:t>Vest at the end of the three-year performance period; settles in cash</w:t>
            </w:r>
          </w:p>
        </w:tc>
        <w:tc>
          <w:tcPr>
            <w:tcW w:w="60" w:type="dxa"/>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pPr>
            <w:r>
              <w:rPr/>
              <w:t> </w:t>
            </w:r>
          </w:p>
        </w:tc>
        <w:tc>
          <w:tcPr>
            <w:tcW w:w="2109" w:type="dxa"/>
            <w:tcBorders>
              <w:top w:val="single" w:sz="8" w:space="0" w:color="003A5D"/>
              <w:bottom w:val="single" w:sz="8" w:space="0" w:color="003A5D"/>
              <w:right w:val="single" w:sz="8" w:space="0" w:color="003A5D"/>
            </w:tcBorders>
            <w:tcMar>
              <w:top w:w="28" w:type="dxa"/>
              <w:bottom w:w="28" w:type="dxa"/>
              <w:right w:w="40" w:type="dxa"/>
            </w:tcMar>
            <w:vAlign w:val="center"/>
          </w:tcPr>
          <w:p>
            <w:pPr>
              <w:pStyle w:val="TableContents"/>
              <w:bidi w:val="0"/>
              <w:spacing w:before="0" w:after="0"/>
              <w:jc w:val="left"/>
              <w:rPr/>
            </w:pPr>
            <w:r>
              <w:rPr>
                <w:color w:val="003A5D"/>
              </w:rPr>
              <w:t>∎</w:t>
            </w:r>
            <w:r>
              <w:rPr/>
              <w:t>   </w:t>
            </w:r>
            <w:r>
              <w:rPr>
                <w:rFonts w:ascii="arial" w:hAnsi="arial"/>
                <w:sz w:val="18"/>
              </w:rPr>
              <w:t>Performance-based vesting provisions</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Misconduct clawback</w:t>
            </w:r>
          </w:p>
          <w:p>
            <w:pPr>
              <w:pStyle w:val="TableContents"/>
              <w:bidi w:val="0"/>
              <w:spacing w:before="0" w:after="0"/>
              <w:jc w:val="left"/>
              <w:rPr/>
            </w:pPr>
            <w:r>
              <w:rPr/>
              <w:t> </w:t>
            </w:r>
          </w:p>
          <w:p>
            <w:pPr>
              <w:pStyle w:val="TableContents"/>
              <w:bidi w:val="0"/>
              <w:spacing w:before="0" w:after="20"/>
              <w:jc w:val="left"/>
              <w:rPr/>
            </w:pPr>
            <w:r>
              <w:rPr>
                <w:color w:val="003A5D"/>
              </w:rPr>
              <w:t>∎</w:t>
            </w:r>
            <w:r>
              <w:rPr/>
              <w:t>   </w:t>
            </w:r>
            <w:r>
              <w:rPr>
                <w:rFonts w:ascii="arial" w:hAnsi="arial"/>
                <w:sz w:val="18"/>
              </w:rPr>
              <w:t>Financial restatement clawback</w:t>
            </w:r>
          </w:p>
        </w:tc>
      </w:tr>
      <w:tr>
        <w:trPr/>
        <w:tc>
          <w:tcPr>
            <w:tcW w:w="1040" w:type="dxa"/>
            <w:tcBorders>
              <w:left w:val="single" w:sz="8" w:space="0" w:color="003A5D"/>
              <w:bottom w:val="single" w:sz="8" w:space="0" w:color="003A5D"/>
              <w:right w:val="single" w:sz="8" w:space="0" w:color="003A5D"/>
            </w:tcBorders>
            <w:tcMar>
              <w:left w:w="160" w:type="dxa"/>
              <w:bottom w:w="28" w:type="dxa"/>
              <w:right w:w="28" w:type="dxa"/>
            </w:tcMar>
            <w:vAlign w:val="center"/>
          </w:tcPr>
          <w:p>
            <w:pPr>
              <w:pStyle w:val="TableContents"/>
              <w:bidi w:val="0"/>
              <w:spacing w:before="0" w:after="283"/>
              <w:jc w:val="left"/>
              <w:rPr/>
            </w:pPr>
            <w:r>
              <w:rPr/>
              <w:t> </w:t>
            </w:r>
          </w:p>
        </w:tc>
        <w:tc>
          <w:tcPr>
            <w:tcW w:w="60" w:type="dxa"/>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pPr>
            <w:r>
              <w:rPr/>
              <w:t> </w:t>
            </w:r>
          </w:p>
        </w:tc>
        <w:tc>
          <w:tcPr>
            <w:tcW w:w="1343" w:type="dxa"/>
            <w:tcBorders>
              <w:top w:val="single" w:sz="8" w:space="0" w:color="003A5D"/>
              <w:bottom w:val="single" w:sz="8" w:space="0" w:color="003A5D"/>
              <w:right w:val="single" w:sz="8" w:space="0" w:color="003A5D"/>
            </w:tcBorders>
            <w:tcMar>
              <w:top w:w="28" w:type="dxa"/>
              <w:bottom w:w="28" w:type="dxa"/>
              <w:right w:w="28" w:type="dxa"/>
            </w:tcMar>
            <w:vAlign w:val="center"/>
          </w:tcPr>
          <w:p>
            <w:pPr>
              <w:pStyle w:val="TableContents"/>
              <w:bidi w:val="0"/>
              <w:spacing w:before="0" w:after="283"/>
              <w:jc w:val="left"/>
              <w:rPr>
                <w:b/>
              </w:rPr>
            </w:pPr>
            <w:r>
              <w:rPr>
                <w:b/>
              </w:rPr>
              <w:t>Deferred Cash Bonus</w:t>
            </w:r>
          </w:p>
        </w:tc>
        <w:tc>
          <w:tcPr>
            <w:tcW w:w="60" w:type="dxa"/>
            <w:tcBorders>
              <w:left w:val="single" w:sz="8" w:space="0" w:color="003A5D"/>
              <w:bottom w:val="single" w:sz="8" w:space="0" w:color="003A5D"/>
            </w:tcBorders>
            <w:tcMar>
              <w:left w:w="28" w:type="dxa"/>
              <w:bottom w:w="28" w:type="dxa"/>
            </w:tcMar>
            <w:vAlign w:val="center"/>
          </w:tcPr>
          <w:p>
            <w:pPr>
              <w:pStyle w:val="TableContents"/>
              <w:bidi w:val="0"/>
              <w:spacing w:before="0" w:after="283"/>
              <w:jc w:val="left"/>
              <w:rPr/>
            </w:pPr>
            <w:r>
              <w:rPr/>
              <w:t> </w:t>
            </w:r>
          </w:p>
        </w:tc>
        <w:tc>
          <w:tcPr>
            <w:tcW w:w="1790" w:type="dxa"/>
            <w:tcBorders>
              <w:bottom w:val="single" w:sz="8" w:space="0" w:color="003A5D"/>
              <w:right w:val="single" w:sz="8" w:space="0" w:color="003A5D"/>
            </w:tcBorders>
            <w:tcMar>
              <w:bottom w:w="28" w:type="dxa"/>
              <w:right w:w="28" w:type="dxa"/>
            </w:tcMar>
            <w:vAlign w:val="center"/>
          </w:tcPr>
          <w:p>
            <w:pPr>
              <w:pStyle w:val="TableContents"/>
              <w:bidi w:val="0"/>
              <w:spacing w:before="0" w:after="283"/>
              <w:jc w:val="left"/>
              <w:rPr/>
            </w:pPr>
            <w:r>
              <w:rPr/>
              <w:t> </w:t>
            </w:r>
          </w:p>
        </w:tc>
        <w:tc>
          <w:tcPr>
            <w:tcW w:w="60" w:type="dxa"/>
            <w:tcBorders>
              <w:left w:val="single" w:sz="8" w:space="0" w:color="003A5D"/>
              <w:bottom w:val="single" w:sz="8" w:space="0" w:color="003A5D"/>
            </w:tcBorders>
            <w:tcMar>
              <w:left w:w="28" w:type="dxa"/>
              <w:bottom w:w="28" w:type="dxa"/>
            </w:tcMar>
            <w:vAlign w:val="center"/>
          </w:tcPr>
          <w:p>
            <w:pPr>
              <w:pStyle w:val="TableContents"/>
              <w:bidi w:val="0"/>
              <w:spacing w:before="0" w:after="283"/>
              <w:jc w:val="left"/>
              <w:rPr/>
            </w:pPr>
            <w:r>
              <w:rPr/>
              <w:t> </w:t>
            </w:r>
          </w:p>
        </w:tc>
        <w:tc>
          <w:tcPr>
            <w:tcW w:w="1923" w:type="dxa"/>
            <w:tcBorders>
              <w:bottom w:val="single" w:sz="8" w:space="0" w:color="003A5D"/>
              <w:right w:val="single" w:sz="8" w:space="0" w:color="003A5D"/>
            </w:tcBorders>
            <w:tcMar>
              <w:bottom w:w="28" w:type="dxa"/>
              <w:right w:w="28" w:type="dxa"/>
            </w:tcMar>
            <w:vAlign w:val="center"/>
          </w:tcPr>
          <w:p>
            <w:pPr>
              <w:pStyle w:val="TableContents"/>
              <w:bidi w:val="0"/>
              <w:spacing w:before="0" w:after="283"/>
              <w:jc w:val="left"/>
              <w:rPr/>
            </w:pPr>
            <w:r>
              <w:rPr/>
              <w:t> </w:t>
            </w:r>
          </w:p>
        </w:tc>
        <w:tc>
          <w:tcPr>
            <w:tcW w:w="60" w:type="dxa"/>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pPr>
            <w:r>
              <w:rPr/>
              <w:t> </w:t>
            </w:r>
          </w:p>
        </w:tc>
        <w:tc>
          <w:tcPr>
            <w:tcW w:w="1700" w:type="dxa"/>
            <w:tcBorders>
              <w:top w:val="single" w:sz="8" w:space="0" w:color="003A5D"/>
              <w:bottom w:val="single" w:sz="8" w:space="0" w:color="003A5D"/>
              <w:right w:val="single" w:sz="8" w:space="0" w:color="003A5D"/>
            </w:tcBorders>
            <w:tcMar>
              <w:top w:w="28" w:type="dxa"/>
              <w:bottom w:w="28" w:type="dxa"/>
              <w:right w:w="28" w:type="dxa"/>
            </w:tcMar>
            <w:vAlign w:val="center"/>
          </w:tcPr>
          <w:p>
            <w:pPr>
              <w:pStyle w:val="TableContents"/>
              <w:bidi w:val="0"/>
              <w:spacing w:before="0" w:after="283"/>
              <w:jc w:val="left"/>
              <w:rPr/>
            </w:pPr>
            <w:r>
              <w:rPr/>
              <w:t>Payout deferred for three years</w:t>
            </w:r>
          </w:p>
        </w:tc>
        <w:tc>
          <w:tcPr>
            <w:tcW w:w="60" w:type="dxa"/>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pPr>
            <w:r>
              <w:rPr/>
              <w:t> </w:t>
            </w:r>
          </w:p>
        </w:tc>
        <w:tc>
          <w:tcPr>
            <w:tcW w:w="2109" w:type="dxa"/>
            <w:tcBorders>
              <w:top w:val="single" w:sz="8" w:space="0" w:color="003A5D"/>
              <w:bottom w:val="single" w:sz="8" w:space="0" w:color="003A5D"/>
              <w:right w:val="single" w:sz="8" w:space="0" w:color="003A5D"/>
            </w:tcBorders>
            <w:tcMar>
              <w:top w:w="28" w:type="dxa"/>
              <w:bottom w:w="28" w:type="dxa"/>
              <w:right w:w="40" w:type="dxa"/>
            </w:tcMar>
            <w:vAlign w:val="center"/>
          </w:tcPr>
          <w:p>
            <w:pPr>
              <w:pStyle w:val="TableContents"/>
              <w:bidi w:val="0"/>
              <w:spacing w:before="0" w:after="0"/>
              <w:jc w:val="left"/>
              <w:rPr/>
            </w:pPr>
            <w:r>
              <w:rPr>
                <w:color w:val="003A5D"/>
              </w:rPr>
              <w:t>∎</w:t>
            </w:r>
            <w:r>
              <w:rPr/>
              <w:t>   </w:t>
            </w:r>
            <w:r>
              <w:rPr>
                <w:rFonts w:ascii="arial" w:hAnsi="arial"/>
                <w:sz w:val="18"/>
              </w:rPr>
              <w:t>Misconduct clawback</w:t>
            </w:r>
          </w:p>
          <w:p>
            <w:pPr>
              <w:pStyle w:val="TableContents"/>
              <w:bidi w:val="0"/>
              <w:spacing w:before="0" w:after="0"/>
              <w:jc w:val="left"/>
              <w:rPr/>
            </w:pPr>
            <w:r>
              <w:rPr/>
              <w:t> </w:t>
            </w:r>
          </w:p>
          <w:p>
            <w:pPr>
              <w:pStyle w:val="TableContents"/>
              <w:bidi w:val="0"/>
              <w:spacing w:before="0" w:after="20"/>
              <w:jc w:val="left"/>
              <w:rPr/>
            </w:pPr>
            <w:r>
              <w:rPr>
                <w:color w:val="003A5D"/>
              </w:rPr>
              <w:t>∎</w:t>
            </w:r>
            <w:r>
              <w:rPr/>
              <w:t>   </w:t>
            </w:r>
            <w:r>
              <w:rPr>
                <w:rFonts w:ascii="arial" w:hAnsi="arial"/>
                <w:sz w:val="18"/>
              </w:rPr>
              <w:t>Financial restatement clawback</w:t>
            </w:r>
          </w:p>
        </w:tc>
      </w:tr>
    </w:tbl>
    <w:p>
      <w:pPr>
        <w:pStyle w:val="TextBody"/>
        <w:bidi w:val="0"/>
        <w:spacing w:before="240" w:after="0"/>
        <w:jc w:val="both"/>
        <w:rPr>
          <w:rFonts w:ascii="arial" w:hAnsi="arial"/>
          <w:sz w:val="20"/>
        </w:rPr>
      </w:pPr>
      <w:r>
        <w:rPr>
          <w:rFonts w:ascii="arial" w:hAnsi="arial"/>
          <w:sz w:val="20"/>
        </w:rPr>
        <w:t xml:space="preserve">See “Additional Performance Conditions and Recovery Provisions” beginning on page 87 for more details regarding the performance and recovery provisions applicable to each of the elements of compensation that the Committee approved for the 2024 performance year for the NEOs. </w:t>
      </w:r>
    </w:p>
    <w:p>
      <w:pPr>
        <w:pStyle w:val="TextBody"/>
        <w:bidi w:val="0"/>
        <w:spacing w:before="240" w:after="0"/>
        <w:jc w:val="left"/>
        <w:rPr>
          <w:rFonts w:ascii="arial" w:hAnsi="arial"/>
          <w:b/>
          <w:color w:val="003A5D"/>
          <w:sz w:val="20"/>
        </w:rPr>
      </w:pPr>
      <w:r>
        <w:rPr>
          <w:rFonts w:ascii="arial" w:hAnsi="arial"/>
          <w:b/>
          <w:color w:val="003A5D"/>
          <w:sz w:val="20"/>
        </w:rPr>
        <w:t xml:space="preserve">Restricted Stock Units </w:t>
      </w:r>
    </w:p>
    <w:p>
      <w:pPr>
        <w:pStyle w:val="TextBody"/>
        <w:bidi w:val="0"/>
        <w:spacing w:before="240" w:after="0"/>
        <w:jc w:val="both"/>
        <w:rPr>
          <w:rFonts w:ascii="arial" w:hAnsi="arial"/>
          <w:sz w:val="20"/>
        </w:rPr>
      </w:pPr>
      <w:r>
        <w:rPr>
          <w:rFonts w:ascii="arial" w:hAnsi="arial"/>
          <w:sz w:val="20"/>
        </w:rPr>
        <w:t xml:space="preserve">A portion of Mr. Fairbank’s 2024 compensation consisted of RSUs granted as an incentive for long-term Company performance. The RSU award has a three-year cliff-vesting schedule and vests in full at the end of a three-year performance period beginning on January 1, 2024, settles in cash based on the Company’s average stock price over the 15 trading days preceding the vesting date, and is subject to performance-based vesting provisions and to clawback provisions, each as described in more detail under “Additional Performance Conditions and Recovery Provisions” beginning on page 87. </w:t>
      </w:r>
    </w:p>
    <w:p>
      <w:pPr>
        <w:pStyle w:val="TextBody"/>
        <w:bidi w:val="0"/>
        <w:spacing w:before="240" w:after="0"/>
        <w:jc w:val="left"/>
        <w:rPr>
          <w:rFonts w:ascii="arial" w:hAnsi="arial"/>
          <w:b/>
          <w:color w:val="003A5D"/>
          <w:sz w:val="20"/>
        </w:rPr>
      </w:pPr>
      <w:bookmarkStart w:id="53" w:name="txa845790_gr"/>
      <w:bookmarkEnd w:id="53"/>
      <w:r>
        <w:rPr>
          <w:rFonts w:ascii="arial" w:hAnsi="arial"/>
          <w:b/>
          <w:color w:val="003A5D"/>
          <w:sz w:val="20"/>
        </w:rPr>
        <w:t xml:space="preserve">Year-End Incentive Opportunity </w:t>
      </w:r>
    </w:p>
    <w:p>
      <w:pPr>
        <w:pStyle w:val="TextBody"/>
        <w:bidi w:val="0"/>
        <w:spacing w:before="240" w:after="0"/>
        <w:jc w:val="both"/>
        <w:rPr>
          <w:rFonts w:ascii="arial" w:hAnsi="arial"/>
          <w:sz w:val="20"/>
        </w:rPr>
      </w:pPr>
      <w:r>
        <w:rPr>
          <w:rFonts w:ascii="arial" w:hAnsi="arial"/>
          <w:sz w:val="20"/>
        </w:rPr>
        <w:t xml:space="preserve">A portion of Mr. Fairbank’s 2024 compensation consisted of an opportunity for a year-end incentive based on the Committee’s evaluation of the Company’s performance during 2024 and Mr. Fairbank’s contributions to that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68 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righ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performance. For purposes of the year-end incentive, the Committee and the Independent Directors assess the Company’s performance based on the Performance Factors. The Committee believes that these factors appropriately reflect and balance near-term performance and long-term success for the Company’s customers, associates, and stockholders. The Company’s 2024 performance against the Performance Factors is described in more detail under “2024 Year-End Incentive Determination” beginning on page 73. </w:t>
      </w:r>
    </w:p>
    <w:p>
      <w:pPr>
        <w:pStyle w:val="TextBody"/>
        <w:bidi w:val="0"/>
        <w:spacing w:before="240" w:after="0"/>
        <w:jc w:val="both"/>
        <w:rPr>
          <w:rFonts w:ascii="arial" w:hAnsi="arial"/>
          <w:sz w:val="20"/>
        </w:rPr>
      </w:pPr>
      <w:r>
        <w:rPr>
          <w:rFonts w:ascii="arial" w:hAnsi="arial"/>
          <w:sz w:val="20"/>
        </w:rPr>
        <w:t xml:space="preserve">The year-end incentive, if awarded, (i) will consist of an award of performance shares, and (ii) may also consist of deferred cash, an equity-based award, or both as determined by the Committee and the Independent Directors at the time the award is granted. The performance share awards and the equity-based award have a three-year cliff-vesting schedule and vest in full at the end of a three-year performance period beginning on January 1, 2025, and the deferred cash bonus likewise is subject to a three-year deferral period. The equity-based awards are subject to performance-based vesting provisions and all three awards are subject to clawback provisions each as described in more detail under “Additional Performance Conditions and Recovery Provisions” beginning on page 87. </w:t>
      </w:r>
    </w:p>
    <w:p>
      <w:pPr>
        <w:pStyle w:val="TextBody"/>
        <w:bidi w:val="0"/>
        <w:spacing w:before="240" w:after="0"/>
        <w:jc w:val="left"/>
        <w:rPr>
          <w:rFonts w:ascii="arial" w:hAnsi="arial"/>
          <w:b/>
          <w:i/>
          <w:color w:val="003A5D"/>
          <w:sz w:val="20"/>
        </w:rPr>
      </w:pPr>
      <w:bookmarkStart w:id="54" w:name="txa845790_pr"/>
      <w:bookmarkEnd w:id="54"/>
      <w:r>
        <w:rPr>
          <w:rFonts w:ascii="arial" w:hAnsi="arial"/>
          <w:b/>
          <w:i/>
          <w:color w:val="003A5D"/>
          <w:sz w:val="20"/>
        </w:rPr>
        <w:t xml:space="preserve">Performance Share Awards </w:t>
      </w:r>
    </w:p>
    <w:p>
      <w:pPr>
        <w:pStyle w:val="TextBody"/>
        <w:bidi w:val="0"/>
        <w:spacing w:before="240" w:after="0"/>
        <w:jc w:val="both"/>
        <w:rPr>
          <w:rFonts w:ascii="arial" w:hAnsi="arial"/>
          <w:sz w:val="20"/>
        </w:rPr>
      </w:pPr>
      <w:r>
        <w:rPr>
          <w:rFonts w:ascii="arial" w:hAnsi="arial"/>
          <w:sz w:val="20"/>
        </w:rPr>
        <w:t xml:space="preserve">The Committee and the Independent Directors believe the performance shares strengthen the alignment between the compensation of our NEOs and the Company’s performance by linking the ultimate payout to pre-established absolute and/or relative performance goals, with the value of the payout ranging from 0% to 150%. The ultimate value of the performance shares upon vesting is determined by the Company’s performance through its stock price. The CEO year-end incentive award consists primarily of performance shares. For 2024, the performance share awards were granted in two forms: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Financial Performance Share Units (“Financial Performance Shares”) that vest based on the Company’s financial performance, on an absolute basis and relative to the Performance Share Peers, related to a combination of two metrics: Growth of Tangible Book Value per Common Share plus Common Dividends (“D+TBV”) and Adjusted ROTCE over a three-year period. The Financial Performance Shares were granted to all NEOs for the 2024 performance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Total Shareholder Return Performance Share Units (“TSR Performance Shares”) that vest based on the Company’s TSR relative to the Performance Share Peers over a three-year period. The TSR Performance Shares were granted only to the CEO for the 2024 performance year. </w:t>
            </w:r>
          </w:p>
        </w:tc>
      </w:tr>
    </w:tbl>
    <w:p>
      <w:pPr>
        <w:pStyle w:val="TextBody"/>
        <w:bidi w:val="0"/>
        <w:spacing w:before="240" w:after="0"/>
        <w:jc w:val="both"/>
        <w:rPr>
          <w:rFonts w:ascii="arial" w:hAnsi="arial"/>
          <w:sz w:val="20"/>
        </w:rPr>
      </w:pPr>
      <w:r>
        <w:rPr>
          <w:rFonts w:ascii="arial" w:hAnsi="arial"/>
          <w:sz w:val="20"/>
        </w:rPr>
        <w:t xml:space="preserve">The metrics and formulas applicable to each of the performance share awards are described in more detail below under “Performance Share Award.”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12"/>
        <w:gridCol w:w="23"/>
        <w:gridCol w:w="1766"/>
        <w:gridCol w:w="23"/>
        <w:gridCol w:w="1858"/>
        <w:gridCol w:w="23"/>
        <w:gridCol w:w="1460"/>
        <w:gridCol w:w="23"/>
        <w:gridCol w:w="1747"/>
        <w:gridCol w:w="23"/>
        <w:gridCol w:w="1047"/>
      </w:tblGrid>
      <w:tr>
        <w:trPr/>
        <w:tc>
          <w:tcPr>
            <w:tcW w:w="221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2212" w:type="dxa"/>
            <w:tcBorders>
              <w:right w:val="single" w:sz="8" w:space="0" w:color="FFFFFF"/>
            </w:tcBorders>
            <w:shd w:fill="003A5D" w:val="clear"/>
            <w:tcMar>
              <w:right w:w="28" w:type="dxa"/>
            </w:tcMar>
            <w:vAlign w:val="center"/>
          </w:tcPr>
          <w:p>
            <w:pPr>
              <w:pStyle w:val="TableContents"/>
              <w:bidi w:val="0"/>
              <w:spacing w:before="0" w:after="283"/>
              <w:jc w:val="left"/>
              <w:rPr/>
            </w:pPr>
            <w:r>
              <w:rPr/>
              <w:t> </w:t>
            </w:r>
          </w:p>
        </w:tc>
        <w:tc>
          <w:tcPr>
            <w:tcW w:w="1789" w:type="dxa"/>
            <w:gridSpan w:val="2"/>
            <w:tcBorders>
              <w:right w:val="single" w:sz="8" w:space="0" w:color="FFFFFF"/>
            </w:tcBorders>
            <w:shd w:fill="003A5D" w:val="clear"/>
            <w:tcMar>
              <w:right w:w="28" w:type="dxa"/>
            </w:tcMar>
            <w:vAlign w:val="center"/>
          </w:tcPr>
          <w:p>
            <w:pPr>
              <w:pStyle w:val="TableContents"/>
              <w:bidi w:val="0"/>
              <w:spacing w:before="0" w:after="283"/>
              <w:jc w:val="left"/>
              <w:rPr/>
            </w:pPr>
            <w:r>
              <w:rPr/>
              <w:t> </w:t>
            </w:r>
          </w:p>
        </w:tc>
        <w:tc>
          <w:tcPr>
            <w:tcW w:w="1881" w:type="dxa"/>
            <w:gridSpan w:val="2"/>
            <w:tcBorders>
              <w:right w:val="single" w:sz="8" w:space="0" w:color="FFFFFF"/>
            </w:tcBorders>
            <w:shd w:fill="003A5D" w:val="clear"/>
            <w:tcMar>
              <w:right w:w="28" w:type="dxa"/>
            </w:tcMar>
            <w:vAlign w:val="center"/>
          </w:tcPr>
          <w:p>
            <w:pPr>
              <w:pStyle w:val="TableContents"/>
              <w:bidi w:val="0"/>
              <w:spacing w:before="0" w:after="283"/>
              <w:jc w:val="left"/>
              <w:rPr/>
            </w:pPr>
            <w:r>
              <w:rPr/>
              <w:t> </w:t>
            </w:r>
          </w:p>
        </w:tc>
        <w:tc>
          <w:tcPr>
            <w:tcW w:w="1483" w:type="dxa"/>
            <w:gridSpan w:val="2"/>
            <w:tcBorders/>
            <w:shd w:fill="003A5D" w:val="clear"/>
            <w:vAlign w:val="center"/>
          </w:tcPr>
          <w:p>
            <w:pPr>
              <w:pStyle w:val="TableContents"/>
              <w:bidi w:val="0"/>
              <w:spacing w:before="0" w:after="283"/>
              <w:jc w:val="left"/>
              <w:rPr>
                <w:sz w:val="4"/>
                <w:szCs w:val="4"/>
              </w:rPr>
            </w:pPr>
            <w:r>
              <w:rPr>
                <w:sz w:val="4"/>
                <w:szCs w:val="4"/>
              </w:rPr>
            </w:r>
          </w:p>
        </w:tc>
        <w:tc>
          <w:tcPr>
            <w:tcW w:w="1770" w:type="dxa"/>
            <w:gridSpan w:val="2"/>
            <w:tcBorders>
              <w:left w:val="single" w:sz="8" w:space="0" w:color="FFFFFF"/>
              <w:right w:val="single" w:sz="8" w:space="0" w:color="FFFFFF"/>
            </w:tcBorders>
            <w:shd w:fill="003A5D" w:val="clear"/>
            <w:tcMar>
              <w:left w:w="28" w:type="dxa"/>
              <w:right w:w="28" w:type="dxa"/>
            </w:tcMar>
            <w:vAlign w:val="center"/>
          </w:tcPr>
          <w:p>
            <w:pPr>
              <w:pStyle w:val="TableContents"/>
              <w:bidi w:val="0"/>
              <w:spacing w:before="0" w:after="283"/>
              <w:jc w:val="left"/>
              <w:rPr/>
            </w:pPr>
            <w:r>
              <w:rPr/>
              <w:t> </w:t>
            </w:r>
          </w:p>
        </w:tc>
        <w:tc>
          <w:tcPr>
            <w:tcW w:w="1070" w:type="dxa"/>
            <w:gridSpan w:val="2"/>
            <w:tcBorders>
              <w:right w:val="single" w:sz="8" w:space="0" w:color="003A5D"/>
            </w:tcBorders>
            <w:shd w:fill="003A5D" w:val="clear"/>
            <w:tcMar>
              <w:right w:w="28" w:type="dxa"/>
            </w:tcMar>
            <w:vAlign w:val="center"/>
          </w:tcPr>
          <w:p>
            <w:pPr>
              <w:pStyle w:val="TableContents"/>
              <w:bidi w:val="0"/>
              <w:spacing w:before="0" w:after="283"/>
              <w:jc w:val="left"/>
              <w:rPr/>
            </w:pPr>
            <w:r>
              <w:rPr/>
              <w:t> </w:t>
            </w:r>
          </w:p>
        </w:tc>
      </w:tr>
      <w:tr>
        <w:trPr/>
        <w:tc>
          <w:tcPr>
            <w:tcW w:w="2212" w:type="dxa"/>
            <w:tcBorders>
              <w:right w:val="single" w:sz="8"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2024 Performance </w:t>
              <w:br/>
              <w:t>Year 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766" w:type="dxa"/>
            <w:tcBorders>
              <w:right w:val="single" w:sz="8"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Performance Metric</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858" w:type="dxa"/>
            <w:tcBorders>
              <w:right w:val="single" w:sz="8"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Performance</w:t>
              <w:br/>
              <w:t>Share Peers</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460" w:type="dxa"/>
            <w:tcBorders/>
            <w:shd w:fill="003A5D" w:val="clear"/>
            <w:vAlign w:val="center"/>
          </w:tcPr>
          <w:p>
            <w:pPr>
              <w:pStyle w:val="TableContents"/>
              <w:bidi w:val="0"/>
              <w:spacing w:before="0" w:after="283"/>
              <w:jc w:val="center"/>
              <w:rPr>
                <w:b/>
                <w:color w:val="FFFFFF"/>
              </w:rPr>
            </w:pPr>
            <w:r>
              <w:rPr>
                <w:b/>
                <w:color w:val="FFFFFF"/>
              </w:rPr>
              <w:t>Performance </w:t>
              <w:br/>
              <w:t>Period </w:t>
            </w:r>
          </w:p>
        </w:tc>
        <w:tc>
          <w:tcPr>
            <w:tcW w:w="23" w:type="dxa"/>
            <w:tcBorders>
              <w:left w:val="single" w:sz="8"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1747" w:type="dxa"/>
            <w:tcBorders>
              <w:right w:val="single" w:sz="8"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Performance</w:t>
              <w:br/>
              <w:t>Share Award</w:t>
              <w:br/>
              <w:t>Formula</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047" w:type="dxa"/>
            <w:tcBorders>
              <w:right w:val="single" w:sz="8" w:space="0" w:color="003A5D"/>
            </w:tcBorders>
            <w:shd w:fill="003A5D" w:val="clear"/>
            <w:tcMar>
              <w:right w:w="40" w:type="dxa"/>
            </w:tcMar>
            <w:vAlign w:val="center"/>
          </w:tcPr>
          <w:p>
            <w:pPr>
              <w:pStyle w:val="TableContents"/>
              <w:bidi w:val="0"/>
              <w:spacing w:before="0" w:after="283"/>
              <w:jc w:val="center"/>
              <w:rPr>
                <w:b/>
                <w:color w:val="FFFFFF"/>
              </w:rPr>
            </w:pPr>
            <w:r>
              <w:rPr>
                <w:b/>
                <w:color w:val="FFFFFF"/>
              </w:rPr>
              <w:t>Recipient </w:t>
            </w:r>
          </w:p>
        </w:tc>
      </w:tr>
      <w:tr>
        <w:trPr/>
        <w:tc>
          <w:tcPr>
            <w:tcW w:w="2212" w:type="dxa"/>
            <w:tcBorders>
              <w:top w:val="single" w:sz="8" w:space="0" w:color="FFFFFF"/>
              <w:bottom w:val="single" w:sz="8" w:space="0" w:color="FFFFFF"/>
            </w:tcBorders>
            <w:shd w:fill="003A5D"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Financial</w:t>
            </w:r>
          </w:p>
          <w:p>
            <w:pPr>
              <w:pStyle w:val="TableContents"/>
              <w:bidi w:val="0"/>
              <w:spacing w:before="0" w:after="0"/>
              <w:jc w:val="center"/>
              <w:rPr>
                <w:rFonts w:ascii="arial" w:hAnsi="arial"/>
                <w:b/>
                <w:color w:val="FFFFFF"/>
                <w:sz w:val="18"/>
              </w:rPr>
            </w:pPr>
            <w:r>
              <w:rPr>
                <w:rFonts w:ascii="arial" w:hAnsi="arial"/>
                <w:b/>
                <w:color w:val="FFFFFF"/>
                <w:sz w:val="18"/>
              </w:rPr>
              <w:t>Performance</w:t>
            </w:r>
          </w:p>
          <w:p>
            <w:pPr>
              <w:pStyle w:val="TableContents"/>
              <w:bidi w:val="0"/>
              <w:spacing w:before="0" w:after="20"/>
              <w:jc w:val="center"/>
              <w:rPr>
                <w:rFonts w:ascii="arial" w:hAnsi="arial"/>
                <w:b/>
                <w:color w:val="FFFFFF"/>
                <w:sz w:val="18"/>
              </w:rPr>
            </w:pPr>
            <w:r>
              <w:rPr>
                <w:rFonts w:ascii="arial" w:hAnsi="arial"/>
                <w:b/>
                <w:color w:val="FFFFFF"/>
                <w:sz w:val="18"/>
              </w:rPr>
              <w:t>Shares</w:t>
            </w:r>
          </w:p>
        </w:tc>
        <w:tc>
          <w:tcPr>
            <w:tcW w:w="23" w:type="dxa"/>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766" w:type="dxa"/>
            <w:tcBorders>
              <w:top w:val="single" w:sz="8" w:space="0" w:color="003A5D"/>
              <w:bottom w:val="single" w:sz="8" w:space="0" w:color="003A5D"/>
              <w:right w:val="single" w:sz="8" w:space="0" w:color="003A5D"/>
            </w:tcBorders>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D+TBV and Adjusted ROTCE(1)</w:t>
            </w:r>
          </w:p>
          <w:p>
            <w:pPr>
              <w:pStyle w:val="TableContents"/>
              <w:bidi w:val="0"/>
              <w:spacing w:before="0" w:after="20"/>
              <w:jc w:val="left"/>
              <w:rPr/>
            </w:pPr>
            <w:r>
              <w:rPr/>
              <w:t> </w:t>
            </w:r>
          </w:p>
        </w:tc>
        <w:tc>
          <w:tcPr>
            <w:tcW w:w="23" w:type="dxa"/>
            <w:vMerge w:val="restart"/>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858" w:type="dxa"/>
            <w:vMerge w:val="restart"/>
            <w:tcBorders>
              <w:top w:val="single" w:sz="8" w:space="0" w:color="003A5D"/>
              <w:bottom w:val="single" w:sz="8" w:space="0" w:color="003A5D"/>
              <w:right w:val="single" w:sz="8" w:space="0" w:color="003A5D"/>
            </w:tcBorders>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KBW Index (as defined on page 71)</w:t>
            </w:r>
          </w:p>
        </w:tc>
        <w:tc>
          <w:tcPr>
            <w:tcW w:w="23" w:type="dxa"/>
            <w:vMerge w:val="restart"/>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460" w:type="dxa"/>
            <w:vMerge w:val="restart"/>
            <w:tcBorders>
              <w:top w:val="single" w:sz="8" w:space="0" w:color="003A5D"/>
              <w:bottom w:val="single" w:sz="8" w:space="0" w:color="003A5D"/>
              <w:right w:val="single" w:sz="8" w:space="0" w:color="003A5D"/>
            </w:tcBorders>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3 Years </w:t>
            </w:r>
          </w:p>
        </w:tc>
        <w:tc>
          <w:tcPr>
            <w:tcW w:w="23" w:type="dxa"/>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747" w:type="dxa"/>
            <w:tcBorders>
              <w:top w:val="single" w:sz="8" w:space="0" w:color="003A5D"/>
              <w:bottom w:val="single" w:sz="8" w:space="0" w:color="003A5D"/>
              <w:right w:val="single" w:sz="8" w:space="0" w:color="003A5D"/>
            </w:tcBorders>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Relative</w:t>
            </w:r>
          </w:p>
          <w:p>
            <w:pPr>
              <w:pStyle w:val="TableContents"/>
              <w:bidi w:val="0"/>
              <w:spacing w:before="0" w:after="0"/>
              <w:jc w:val="center"/>
              <w:rPr>
                <w:rFonts w:ascii="arial" w:hAnsi="arial"/>
                <w:sz w:val="16"/>
              </w:rPr>
            </w:pPr>
            <w:r>
              <w:rPr>
                <w:rFonts w:ascii="arial" w:hAnsi="arial"/>
                <w:sz w:val="16"/>
              </w:rPr>
              <w:t>Performance Measure</w:t>
            </w:r>
          </w:p>
          <w:p>
            <w:pPr>
              <w:pStyle w:val="TableContents"/>
              <w:bidi w:val="0"/>
              <w:spacing w:before="0" w:after="0"/>
              <w:jc w:val="center"/>
              <w:rPr>
                <w:rFonts w:ascii="arial" w:hAnsi="arial"/>
                <w:sz w:val="16"/>
              </w:rPr>
            </w:pPr>
            <w:r>
              <w:rPr>
                <w:rFonts w:ascii="arial" w:hAnsi="arial"/>
                <w:sz w:val="16"/>
              </w:rPr>
              <w:t>and</w:t>
            </w:r>
          </w:p>
          <w:p>
            <w:pPr>
              <w:pStyle w:val="TableContents"/>
              <w:bidi w:val="0"/>
              <w:spacing w:before="0" w:after="0"/>
              <w:jc w:val="center"/>
              <w:rPr>
                <w:rFonts w:ascii="arial" w:hAnsi="arial"/>
                <w:sz w:val="16"/>
              </w:rPr>
            </w:pPr>
            <w:r>
              <w:rPr>
                <w:rFonts w:ascii="arial" w:hAnsi="arial"/>
                <w:sz w:val="16"/>
              </w:rPr>
              <w:t>Absolute Performance Measure</w:t>
            </w:r>
          </w:p>
          <w:p>
            <w:pPr>
              <w:pStyle w:val="TableContents"/>
              <w:bidi w:val="0"/>
              <w:spacing w:before="0" w:after="20"/>
              <w:jc w:val="left"/>
              <w:rPr/>
            </w:pPr>
            <w:r>
              <w:rPr/>
              <w:t> </w:t>
            </w:r>
          </w:p>
        </w:tc>
        <w:tc>
          <w:tcPr>
            <w:tcW w:w="23" w:type="dxa"/>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047" w:type="dxa"/>
            <w:tcBorders>
              <w:top w:val="single" w:sz="8" w:space="0" w:color="003A5D"/>
              <w:bottom w:val="single" w:sz="8" w:space="0" w:color="003A5D"/>
              <w:right w:val="single" w:sz="8" w:space="0" w:color="003A5D"/>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All NEOs </w:t>
            </w:r>
          </w:p>
        </w:tc>
      </w:tr>
      <w:tr>
        <w:trPr/>
        <w:tc>
          <w:tcPr>
            <w:tcW w:w="2212" w:type="dxa"/>
            <w:tcBorders>
              <w:bottom w:val="single" w:sz="8" w:space="0" w:color="003A5D"/>
            </w:tcBorders>
            <w:shd w:fill="003A5D"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TSR Performance Shares  </w:t>
            </w:r>
          </w:p>
        </w:tc>
        <w:tc>
          <w:tcPr>
            <w:tcW w:w="23" w:type="dxa"/>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766" w:type="dxa"/>
            <w:tcBorders>
              <w:top w:val="single" w:sz="8" w:space="0" w:color="003A5D"/>
              <w:bottom w:val="single" w:sz="8" w:space="0" w:color="003A5D"/>
              <w:right w:val="single" w:sz="8" w:space="0" w:color="003A5D"/>
            </w:tcBorders>
            <w:tcMar>
              <w:top w:w="28" w:type="dxa"/>
              <w:bottom w:w="8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TSR</w:t>
            </w:r>
          </w:p>
        </w:tc>
        <w:tc>
          <w:tcPr>
            <w:tcW w:w="23" w:type="dxa"/>
            <w:vMerge w:val="continue"/>
            <w:tcBorders>
              <w:top w:val="single" w:sz="8" w:space="0" w:color="003A5D"/>
              <w:left w:val="single" w:sz="8" w:space="0" w:color="003A5D"/>
              <w:bottom w:val="single" w:sz="8" w:space="0" w:color="003A5D"/>
            </w:tcBorders>
            <w:tcMar>
              <w:top w:w="28" w:type="dxa"/>
              <w:left w:w="28" w:type="dxa"/>
              <w:bottom w:w="28" w:type="dxa"/>
            </w:tcMar>
            <w:vAlign w:val="center"/>
          </w:tcPr>
          <w:p>
            <w:pPr>
              <w:pStyle w:val="Normal"/>
              <w:bidi w:val="0"/>
              <w:jc w:val="left"/>
              <w:rPr/>
            </w:pPr>
            <w:r>
              <w:rPr/>
            </w:r>
          </w:p>
        </w:tc>
        <w:tc>
          <w:tcPr>
            <w:tcW w:w="1858" w:type="dxa"/>
            <w:vMerge w:val="continue"/>
            <w:tcBorders>
              <w:top w:val="single" w:sz="8" w:space="0" w:color="003A5D"/>
              <w:bottom w:val="single" w:sz="8" w:space="0" w:color="003A5D"/>
              <w:right w:val="single" w:sz="8" w:space="0" w:color="003A5D"/>
            </w:tcBorders>
            <w:tcMar>
              <w:top w:w="28" w:type="dxa"/>
              <w:bottom w:w="28" w:type="dxa"/>
              <w:right w:w="28" w:type="dxa"/>
            </w:tcMar>
            <w:vAlign w:val="center"/>
          </w:tcPr>
          <w:p>
            <w:pPr>
              <w:pStyle w:val="Normal"/>
              <w:bidi w:val="0"/>
              <w:jc w:val="left"/>
              <w:rPr/>
            </w:pPr>
            <w:r>
              <w:rPr/>
            </w:r>
          </w:p>
        </w:tc>
        <w:tc>
          <w:tcPr>
            <w:tcW w:w="23" w:type="dxa"/>
            <w:vMerge w:val="continue"/>
            <w:tcBorders>
              <w:top w:val="single" w:sz="8" w:space="0" w:color="003A5D"/>
              <w:left w:val="single" w:sz="8" w:space="0" w:color="003A5D"/>
              <w:bottom w:val="single" w:sz="8" w:space="0" w:color="003A5D"/>
            </w:tcBorders>
            <w:tcMar>
              <w:top w:w="28" w:type="dxa"/>
              <w:left w:w="28" w:type="dxa"/>
              <w:bottom w:w="28" w:type="dxa"/>
            </w:tcMar>
            <w:vAlign w:val="center"/>
          </w:tcPr>
          <w:p>
            <w:pPr>
              <w:pStyle w:val="Normal"/>
              <w:bidi w:val="0"/>
              <w:jc w:val="left"/>
              <w:rPr/>
            </w:pPr>
            <w:r>
              <w:rPr/>
            </w:r>
          </w:p>
        </w:tc>
        <w:tc>
          <w:tcPr>
            <w:tcW w:w="1460" w:type="dxa"/>
            <w:vMerge w:val="continue"/>
            <w:tcBorders>
              <w:top w:val="single" w:sz="8" w:space="0" w:color="003A5D"/>
              <w:bottom w:val="single" w:sz="8" w:space="0" w:color="003A5D"/>
              <w:right w:val="single" w:sz="8" w:space="0" w:color="003A5D"/>
            </w:tcBorders>
            <w:tcMar>
              <w:top w:w="28" w:type="dxa"/>
              <w:bottom w:w="28" w:type="dxa"/>
              <w:right w:w="28" w:type="dxa"/>
            </w:tcMar>
            <w:vAlign w:val="center"/>
          </w:tcPr>
          <w:p>
            <w:pPr>
              <w:pStyle w:val="Normal"/>
              <w:bidi w:val="0"/>
              <w:jc w:val="left"/>
              <w:rPr/>
            </w:pPr>
            <w:r>
              <w:rPr/>
            </w:r>
          </w:p>
        </w:tc>
        <w:tc>
          <w:tcPr>
            <w:tcW w:w="23" w:type="dxa"/>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747" w:type="dxa"/>
            <w:tcBorders>
              <w:top w:val="single" w:sz="8" w:space="0" w:color="003A5D"/>
              <w:bottom w:val="single" w:sz="8" w:space="0" w:color="003A5D"/>
              <w:right w:val="single" w:sz="8" w:space="0" w:color="003A5D"/>
            </w:tcBorders>
            <w:tcMar>
              <w:top w:w="28" w:type="dxa"/>
              <w:bottom w:w="80"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Relative</w:t>
            </w:r>
          </w:p>
          <w:p>
            <w:pPr>
              <w:pStyle w:val="TableContents"/>
              <w:bidi w:val="0"/>
              <w:spacing w:before="0" w:after="20"/>
              <w:jc w:val="center"/>
              <w:rPr>
                <w:rFonts w:ascii="arial" w:hAnsi="arial"/>
                <w:sz w:val="16"/>
              </w:rPr>
            </w:pPr>
            <w:r>
              <w:rPr>
                <w:rFonts w:ascii="arial" w:hAnsi="arial"/>
                <w:sz w:val="16"/>
              </w:rPr>
              <w:t>Performance Measure</w:t>
            </w:r>
          </w:p>
        </w:tc>
        <w:tc>
          <w:tcPr>
            <w:tcW w:w="23" w:type="dxa"/>
            <w:tcBorders>
              <w:top w:val="single" w:sz="8" w:space="0" w:color="003A5D"/>
              <w:left w:val="single" w:sz="8" w:space="0" w:color="003A5D"/>
              <w:bottom w:val="single" w:sz="8" w:space="0" w:color="003A5D"/>
            </w:tcBorders>
            <w:tcMar>
              <w:top w:w="28" w:type="dxa"/>
              <w:left w:w="28" w:type="dxa"/>
              <w:bottom w:w="28" w:type="dxa"/>
            </w:tcMar>
            <w:vAlign w:val="center"/>
          </w:tcPr>
          <w:p>
            <w:pPr>
              <w:pStyle w:val="TableContents"/>
              <w:bidi w:val="0"/>
              <w:spacing w:before="0" w:after="283"/>
              <w:jc w:val="left"/>
              <w:rPr>
                <w:sz w:val="4"/>
                <w:szCs w:val="4"/>
              </w:rPr>
            </w:pPr>
            <w:r>
              <w:rPr>
                <w:sz w:val="4"/>
                <w:szCs w:val="4"/>
              </w:rPr>
            </w:r>
          </w:p>
        </w:tc>
        <w:tc>
          <w:tcPr>
            <w:tcW w:w="1047" w:type="dxa"/>
            <w:tcBorders>
              <w:top w:val="single" w:sz="8" w:space="0" w:color="003A5D"/>
              <w:bottom w:val="single" w:sz="8" w:space="0" w:color="003A5D"/>
              <w:right w:val="single" w:sz="8" w:space="0" w:color="003A5D"/>
            </w:tcBorders>
            <w:tcMar>
              <w:top w:w="28" w:type="dxa"/>
              <w:bottom w:w="80" w:type="dxa"/>
              <w:right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CEO Only 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(1)</w:t>
            </w:r>
          </w:p>
        </w:tc>
        <w:tc>
          <w:tcPr>
            <w:tcW w:w="9941" w:type="dxa"/>
            <w:tcBorders/>
            <w:vAlign w:val="center"/>
          </w:tcPr>
          <w:p>
            <w:pPr>
              <w:pStyle w:val="TableContents"/>
              <w:bidi w:val="0"/>
              <w:spacing w:before="0" w:after="0"/>
              <w:jc w:val="both"/>
              <w:rPr>
                <w:rFonts w:ascii="arial" w:hAnsi="arial"/>
                <w:sz w:val="16"/>
              </w:rPr>
            </w:pPr>
            <w:r>
              <w:rPr>
                <w:rFonts w:ascii="arial" w:hAnsi="arial"/>
                <w:sz w:val="16"/>
              </w:rPr>
              <w:t xml:space="preserve">For Financial Performance Shares granted in 2025, D+TBV and Adjusted ROTCE are weighted equally to determine vesting. For Financial Performance Shares granted prior to 2025, the relative weightings are two-thirds and one-third for D+TBV and Adjusted ROTCE, respectively. </w:t>
            </w:r>
          </w:p>
        </w:tc>
      </w:tr>
    </w:tbl>
    <w:p>
      <w:pPr>
        <w:pStyle w:val="TextBody"/>
        <w:bidi w:val="0"/>
        <w:spacing w:before="240" w:after="0"/>
        <w:jc w:val="both"/>
        <w:rPr>
          <w:rFonts w:ascii="arial" w:hAnsi="arial"/>
          <w:sz w:val="20"/>
        </w:rPr>
      </w:pPr>
      <w:bookmarkStart w:id="55" w:name="txa845790_psam"/>
      <w:bookmarkEnd w:id="55"/>
      <w:r>
        <w:rPr>
          <w:rFonts w:ascii="arial" w:hAnsi="arial"/>
          <w:b/>
          <w:i/>
          <w:color w:val="003A5D"/>
          <w:sz w:val="20"/>
        </w:rPr>
        <w:t>Performance Share Award Metrics</w:t>
      </w:r>
      <w:r>
        <w:rPr>
          <w:rFonts w:ascii="arial" w:hAnsi="arial"/>
          <w:b/>
          <w:color w:val="003A5D"/>
          <w:sz w:val="20"/>
        </w:rPr>
        <w:t>.</w:t>
      </w:r>
      <w:r>
        <w:rPr>
          <w:rFonts w:ascii="arial" w:hAnsi="arial"/>
          <w:sz w:val="20"/>
        </w:rPr>
        <w:t xml:space="preserve"> Each year, the Committee and the Independent Directors evaluate the structure and amount of the equity awards provided to our NEOs, including the Company performance metrics applicable to such awards.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69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left"/>
              <w:rPr>
                <w:b/>
                <w:color w:val="003A5D"/>
              </w:rPr>
            </w:pPr>
            <w:r>
              <w:rPr>
                <w:b/>
                <w:color w:val="003A5D"/>
              </w:rPr>
              <w:t>Section V - Compensation Discussion and Analysis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Financial Performance Shares.</w:t>
            </w:r>
            <w:r>
              <w:rPr>
                <w:rFonts w:ascii="arial" w:hAnsi="arial"/>
                <w:sz w:val="20"/>
              </w:rPr>
              <w:t xml:space="preserve"> A portion of the performance shares granted to our CEO and all of the performance shares granted to the NEOs, other than the CEO, for 2024 were granted in the form of Financial Performance Shares. The Committee and the Independent Directors determined that the Financial Performance Share awards granted to the CEO and the other NEOs would be based on the following two metrics: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8"/>
        <w:gridCol w:w="60"/>
        <w:gridCol w:w="7551"/>
        <w:gridCol w:w="60"/>
        <w:gridCol w:w="76"/>
      </w:tblGrid>
      <w:tr>
        <w:trPr/>
        <w:tc>
          <w:tcPr>
            <w:tcW w:w="24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458" w:type="dxa"/>
            <w:tcBorders>
              <w:bottom w:val="single" w:sz="32" w:space="0" w:color="FFFFFF"/>
              <w:right w:val="single" w:sz="32" w:space="0" w:color="FFFFFF"/>
            </w:tcBorders>
            <w:shd w:fill="003A5D" w:val="clear"/>
            <w:tcMar>
              <w:bottom w:w="28" w:type="dxa"/>
              <w:right w:w="28" w:type="dxa"/>
            </w:tcMar>
            <w:vAlign w:val="center"/>
          </w:tcPr>
          <w:p>
            <w:pPr>
              <w:pStyle w:val="TableContents"/>
              <w:bidi w:val="0"/>
              <w:jc w:val="center"/>
              <w:rPr>
                <w:b/>
                <w:color w:val="FFFFFF"/>
                <w:sz w:val="20"/>
              </w:rPr>
            </w:pPr>
            <w:r>
              <w:rPr>
                <w:b/>
                <w:color w:val="FFFFFF"/>
                <w:sz w:val="20"/>
              </w:rPr>
              <w:t>Common Dividends +  </w:t>
            </w:r>
          </w:p>
          <w:p>
            <w:pPr>
              <w:pStyle w:val="TableContents"/>
              <w:bidi w:val="0"/>
              <w:spacing w:before="0" w:after="0"/>
              <w:jc w:val="center"/>
              <w:rPr>
                <w:rFonts w:ascii="arial" w:hAnsi="arial"/>
                <w:b/>
                <w:color w:val="FFFFFF"/>
                <w:sz w:val="20"/>
              </w:rPr>
            </w:pPr>
            <w:r>
              <w:rPr>
                <w:rFonts w:ascii="arial" w:hAnsi="arial"/>
                <w:b/>
                <w:color w:val="FFFFFF"/>
                <w:sz w:val="20"/>
              </w:rPr>
              <w:t>Growth of Tangible Book  </w:t>
            </w:r>
          </w:p>
          <w:p>
            <w:pPr>
              <w:pStyle w:val="TableContents"/>
              <w:bidi w:val="0"/>
              <w:spacing w:before="0" w:after="0"/>
              <w:jc w:val="center"/>
              <w:rPr>
                <w:rFonts w:ascii="arial" w:hAnsi="arial"/>
                <w:b/>
                <w:color w:val="FFFFFF"/>
                <w:sz w:val="20"/>
              </w:rPr>
            </w:pPr>
            <w:r>
              <w:rPr>
                <w:rFonts w:ascii="arial" w:hAnsi="arial"/>
                <w:b/>
                <w:color w:val="FFFFFF"/>
                <w:sz w:val="20"/>
              </w:rPr>
              <w:t>Value per Common Share  </w:t>
            </w:r>
          </w:p>
          <w:p>
            <w:pPr>
              <w:pStyle w:val="TableContents"/>
              <w:bidi w:val="0"/>
              <w:spacing w:before="0" w:after="20"/>
              <w:jc w:val="center"/>
              <w:rPr>
                <w:rFonts w:ascii="arial" w:hAnsi="arial"/>
                <w:b/>
                <w:color w:val="FFFFFF"/>
                <w:sz w:val="20"/>
              </w:rPr>
            </w:pPr>
            <w:r>
              <w:rPr>
                <w:rFonts w:ascii="arial" w:hAnsi="arial"/>
                <w:b/>
                <w:color w:val="FFFFFF"/>
                <w:sz w:val="20"/>
              </w:rPr>
              <w:t>(D+TBV)  </w:t>
            </w:r>
          </w:p>
        </w:tc>
        <w:tc>
          <w:tcPr>
            <w:tcW w:w="60" w:type="dxa"/>
            <w:tcBorders>
              <w:bottom w:val="single" w:sz="32" w:space="0" w:color="FFFFFF"/>
            </w:tcBorders>
            <w:shd w:fill="E5EBEE" w:val="clear"/>
            <w:tcMar>
              <w:bottom w:w="28" w:type="dxa"/>
            </w:tcMar>
            <w:vAlign w:val="center"/>
          </w:tcPr>
          <w:p>
            <w:pPr>
              <w:pStyle w:val="TableContents"/>
              <w:bidi w:val="0"/>
              <w:spacing w:before="0" w:after="283"/>
              <w:jc w:val="left"/>
              <w:rPr/>
            </w:pPr>
            <w:r>
              <w:rPr/>
              <w:t> </w:t>
            </w:r>
          </w:p>
        </w:tc>
        <w:tc>
          <w:tcPr>
            <w:tcW w:w="7551" w:type="dxa"/>
            <w:tcBorders>
              <w:bottom w:val="single" w:sz="32" w:space="0" w:color="FFFFFF"/>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D+TBV rewards strong operational results, balanced stewardship of capital, and long-term stockholder value creation by measuring the value distributed to common stockholders (common dividends per share) and the growth of company value created for common stockholders (tangible book value per share).</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D+TBV is calculated as the three-year average of the ratios, expressed as a percentage, of (i) the Company’s tangible book value per common share at the end of each year within the performance period, plus total common dividends per share paid during such year, to (ii) the Company’s tangible book value per common share at the beginning of each corresponding year within the performance period.</w:t>
            </w:r>
          </w:p>
          <w:p>
            <w:pPr>
              <w:pStyle w:val="TableContents"/>
              <w:bidi w:val="0"/>
              <w:spacing w:before="0" w:after="20"/>
              <w:jc w:val="left"/>
              <w:rPr/>
            </w:pPr>
            <w:r>
              <w:rPr/>
              <w:t> </w:t>
            </w:r>
          </w:p>
        </w:tc>
        <w:tc>
          <w:tcPr>
            <w:tcW w:w="60" w:type="dxa"/>
            <w:tcBorders>
              <w:bottom w:val="single" w:sz="32" w:space="0" w:color="FFFFFF"/>
            </w:tcBorders>
            <w:shd w:fill="E5EBEE" w:val="clear"/>
            <w:tcMar>
              <w:bottom w:w="28" w:type="dxa"/>
            </w:tcMar>
            <w:vAlign w:val="center"/>
          </w:tcPr>
          <w:p>
            <w:pPr>
              <w:pStyle w:val="TableContents"/>
              <w:bidi w:val="0"/>
              <w:spacing w:before="0" w:after="283"/>
              <w:jc w:val="left"/>
              <w:rPr/>
            </w:pPr>
            <w:r>
              <w:rPr/>
              <w:t> </w:t>
            </w:r>
          </w:p>
        </w:tc>
        <w:tc>
          <w:tcPr>
            <w:tcW w:w="76" w:type="dxa"/>
            <w:tcBorders>
              <w:bottom w:val="single" w:sz="32" w:space="0" w:color="FFFFFF"/>
            </w:tcBorders>
            <w:shd w:fill="E5EBEE"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2458" w:type="dxa"/>
            <w:tcBorders>
              <w:right w:val="single" w:sz="32" w:space="0" w:color="FFFFFF"/>
            </w:tcBorders>
            <w:shd w:fill="003A5D" w:val="clear"/>
            <w:tcMar>
              <w:right w:w="28" w:type="dxa"/>
            </w:tcMar>
            <w:vAlign w:val="center"/>
          </w:tcPr>
          <w:p>
            <w:pPr>
              <w:pStyle w:val="TableContents"/>
              <w:bidi w:val="0"/>
              <w:jc w:val="center"/>
              <w:rPr>
                <w:b/>
                <w:color w:val="FFFFFF"/>
                <w:sz w:val="20"/>
              </w:rPr>
            </w:pPr>
            <w:r>
              <w:rPr>
                <w:b/>
                <w:color w:val="FFFFFF"/>
                <w:sz w:val="20"/>
              </w:rPr>
              <w:t>Adjusted Return on  </w:t>
            </w:r>
          </w:p>
          <w:p>
            <w:pPr>
              <w:pStyle w:val="TableContents"/>
              <w:bidi w:val="0"/>
              <w:spacing w:before="0" w:after="0"/>
              <w:jc w:val="center"/>
              <w:rPr>
                <w:rFonts w:ascii="arial" w:hAnsi="arial"/>
                <w:b/>
                <w:color w:val="FFFFFF"/>
                <w:sz w:val="20"/>
              </w:rPr>
            </w:pPr>
            <w:r>
              <w:rPr>
                <w:rFonts w:ascii="arial" w:hAnsi="arial"/>
                <w:b/>
                <w:color w:val="FFFFFF"/>
                <w:sz w:val="20"/>
              </w:rPr>
              <w:t>Tangible Common Equity  </w:t>
            </w:r>
          </w:p>
          <w:p>
            <w:pPr>
              <w:pStyle w:val="TableContents"/>
              <w:bidi w:val="0"/>
              <w:spacing w:before="0" w:after="20"/>
              <w:jc w:val="center"/>
              <w:rPr>
                <w:rFonts w:ascii="arial" w:hAnsi="arial"/>
                <w:b/>
                <w:color w:val="FFFFFF"/>
                <w:sz w:val="20"/>
              </w:rPr>
            </w:pPr>
            <w:r>
              <w:rPr>
                <w:rFonts w:ascii="arial" w:hAnsi="arial"/>
                <w:b/>
                <w:color w:val="FFFFFF"/>
                <w:sz w:val="20"/>
              </w:rPr>
              <w:t>(Adjusted ROTCE)  </w:t>
            </w:r>
          </w:p>
        </w:tc>
        <w:tc>
          <w:tcPr>
            <w:tcW w:w="60" w:type="dxa"/>
            <w:tcBorders/>
            <w:shd w:fill="E5EBEE" w:val="clear"/>
            <w:vAlign w:val="center"/>
          </w:tcPr>
          <w:p>
            <w:pPr>
              <w:pStyle w:val="TableContents"/>
              <w:bidi w:val="0"/>
              <w:spacing w:before="0" w:after="283"/>
              <w:jc w:val="left"/>
              <w:rPr/>
            </w:pPr>
            <w:r>
              <w:rPr/>
              <w:t> </w:t>
            </w:r>
          </w:p>
        </w:tc>
        <w:tc>
          <w:tcPr>
            <w:tcW w:w="7551" w:type="dxa"/>
            <w:tcBorders/>
            <w:shd w:fill="E5EBEE"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Adjusted ROTCE rewards balanced capital management and stewardship while capturing current and historical business performance and profitability as compared to the size of our stockholders’ investment in the Company. ROTCE is broadly used in banking as a key performance indicator and component in peer executive compensation programs.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Adjusted ROTCE is calculated as the ratio, expressed as a percentage, of (i) the Company’s net income available to common stockholders, excluding, on a tax-adjusted basis, the impact of impairment, amortization and re-measurement of intangible assets, to (ii) the Company’s average tangible common equity.</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76" w:type="dxa"/>
            <w:tcBorders/>
            <w:shd w:fill="E5EBEE" w:val="cle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arial" w:hAnsi="arial"/>
          <w:sz w:val="20"/>
        </w:rPr>
      </w:pPr>
      <w:r>
        <w:rPr>
          <w:rFonts w:ascii="arial" w:hAnsi="arial"/>
          <w:sz w:val="20"/>
        </w:rPr>
        <w:t xml:space="preserve">For performance shares granted in 2025 for the 2024 performance year, one-half of each Financial Performance Share award will vest based on D+TBV, and one-half will vest based on Adjusted ROTCE. The Committee and the Independent Directors believe that these two performance metrics, in combination, provide a rigorous measurement of Company performance by incentivizing both the creation of long-term stockholder value and the maintenance of an appropriate balance between strong equity capital and returns generated on stockholders’ investment in the Company.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TSR Performance Shares.</w:t>
            </w:r>
            <w:r>
              <w:rPr>
                <w:rFonts w:ascii="arial" w:hAnsi="arial"/>
                <w:sz w:val="20"/>
              </w:rPr>
              <w:t xml:space="preserve"> A portion of the performance share awards granted to the CEO is based on the Company’s TSR relative to the Performance Share Peers. For the purposes of the TSR Performance Shares, TSR is calculated as indicated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5"/>
        <w:gridCol w:w="60"/>
        <w:gridCol w:w="7651"/>
        <w:gridCol w:w="60"/>
        <w:gridCol w:w="39"/>
      </w:tblGrid>
      <w:tr>
        <w:trPr/>
        <w:tc>
          <w:tcPr>
            <w:tcW w:w="2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2395" w:type="dxa"/>
            <w:tcBorders>
              <w:right w:val="single" w:sz="32" w:space="0" w:color="FFFFFF"/>
            </w:tcBorders>
            <w:shd w:fill="003A5D" w:val="clear"/>
            <w:tcMar>
              <w:right w:w="28" w:type="dxa"/>
            </w:tcMar>
            <w:vAlign w:val="center"/>
          </w:tcPr>
          <w:p>
            <w:pPr>
              <w:pStyle w:val="TableContents"/>
              <w:bidi w:val="0"/>
              <w:spacing w:before="0" w:after="0"/>
              <w:jc w:val="center"/>
              <w:rPr>
                <w:rFonts w:ascii="arial" w:hAnsi="arial"/>
                <w:b/>
                <w:color w:val="FFFFFF"/>
                <w:sz w:val="20"/>
              </w:rPr>
            </w:pPr>
            <w:r>
              <w:rPr>
                <w:rFonts w:ascii="arial" w:hAnsi="arial"/>
                <w:b/>
                <w:color w:val="FFFFFF"/>
                <w:sz w:val="20"/>
              </w:rPr>
              <w:t>Total Shareholder Return </w:t>
            </w:r>
          </w:p>
          <w:p>
            <w:pPr>
              <w:pStyle w:val="TableContents"/>
              <w:bidi w:val="0"/>
              <w:spacing w:before="0" w:after="20"/>
              <w:jc w:val="center"/>
              <w:rPr>
                <w:rFonts w:ascii="arial" w:hAnsi="arial"/>
                <w:b/>
                <w:color w:val="FFFFFF"/>
                <w:sz w:val="20"/>
              </w:rPr>
            </w:pPr>
            <w:r>
              <w:rPr>
                <w:rFonts w:ascii="arial" w:hAnsi="arial"/>
                <w:b/>
                <w:color w:val="FFFFFF"/>
                <w:sz w:val="20"/>
              </w:rPr>
              <w:t>(TSR) </w:t>
            </w:r>
          </w:p>
        </w:tc>
        <w:tc>
          <w:tcPr>
            <w:tcW w:w="60" w:type="dxa"/>
            <w:tcBorders/>
            <w:shd w:fill="E5EBEE" w:val="clear"/>
            <w:vAlign w:val="center"/>
          </w:tcPr>
          <w:p>
            <w:pPr>
              <w:pStyle w:val="TableContents"/>
              <w:bidi w:val="0"/>
              <w:spacing w:before="0" w:after="283"/>
              <w:jc w:val="left"/>
              <w:rPr/>
            </w:pPr>
            <w:r>
              <w:rPr/>
              <w:t> </w:t>
            </w:r>
          </w:p>
        </w:tc>
        <w:tc>
          <w:tcPr>
            <w:tcW w:w="7651" w:type="dxa"/>
            <w:tcBorders/>
            <w:shd w:fill="E5EBEE"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TSR measures the change in the value of an investment by stockholders in the common shares of Capital One and is derived from the change in the Company’s stock price plus the value of any common dividends paid by the Company.</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TSR is calculated as the change in the value of the applicable common stock over the performance period, assuming the reinvestment of common dividends on the ex-dividend date. The calculation of the stock price appreciation component of TSR = (Ending Stock Price – Beginning Stock Price) / Beginning Stock Price where: (i) “Beginning Stock Price” means the average Stock Price for the 20 trading days immediately preceding the first day of the performance period; (ii) “Ending Stock Price” means the average Stock Price for the 20 trading days immediately preceding and including the last day of the performance period; and (iii) “Stock Price” means the closing price for the day as reported on the applicable exchange or market.</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39" w:type="dxa"/>
            <w:tcBorders/>
            <w:shd w:fill="E5EBEE"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70 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righ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The Committee and the Independent Directors believe that linking a portion of the CEO’s year-end incentive to the Company’s TSR over a three-year period aligns the CEO’s compensation with the value delivered to stockholders over time. The TSR Performance Shares create a direct link between CEO compensation and the Company’s stock price and value creation over time. In addition, a significant portion of CEO pay is delivered through equity-based awards, the ultimate value of which will increase or decrease based on the performance of the Company’s stock price in both current and future periods. </w:t>
      </w:r>
    </w:p>
    <w:p>
      <w:pPr>
        <w:pStyle w:val="TextBody"/>
        <w:bidi w:val="0"/>
        <w:spacing w:before="240" w:after="0"/>
        <w:jc w:val="both"/>
        <w:rPr>
          <w:rFonts w:ascii="arial" w:hAnsi="arial"/>
          <w:sz w:val="20"/>
        </w:rPr>
      </w:pPr>
      <w:bookmarkStart w:id="56" w:name="txa2845790_lpeer"/>
      <w:bookmarkStart w:id="57" w:name="txa845790_kbw"/>
      <w:bookmarkStart w:id="58" w:name="txa1845790_fds"/>
      <w:bookmarkEnd w:id="56"/>
      <w:bookmarkEnd w:id="57"/>
      <w:bookmarkEnd w:id="58"/>
      <w:r>
        <w:rPr>
          <w:rFonts w:ascii="arial" w:hAnsi="arial"/>
          <w:b/>
          <w:i/>
          <w:color w:val="003A5D"/>
          <w:sz w:val="20"/>
        </w:rPr>
        <w:t xml:space="preserve">Performance Share Award Peer Group. </w:t>
      </w:r>
      <w:r>
        <w:rPr>
          <w:rFonts w:ascii="arial" w:hAnsi="arial"/>
          <w:sz w:val="20"/>
        </w:rPr>
        <w:t xml:space="preserve">For both the Financial Performance Shares and the TSR Performance Shares, the Company’s performance on each metric is assessed over the three-year period relative to the “Performance Share Peers” which consist of the KBW Bank Index, excluding non-traditional banks that do not focus on lending to consumers and businesses (“KBW Index”). The Committee believes that the KBW Index is an appropriate index against which to assess the Company’s performance because it reflects institutions of a comparable size, risk profile, and business mix to the Company. After the end of the three-year performance period, the Committee will certify the Company’s performance and issue the corresponding number of shares of the Company’s common stock, if any, in accordance with the relative performance hurdles illustrated below. </w:t>
      </w:r>
    </w:p>
    <w:p>
      <w:pPr>
        <w:pStyle w:val="TextBody"/>
        <w:bidi w:val="0"/>
        <w:spacing w:before="240" w:after="0"/>
        <w:jc w:val="both"/>
        <w:rPr>
          <w:rFonts w:ascii="arial" w:hAnsi="arial"/>
          <w:sz w:val="20"/>
        </w:rPr>
      </w:pPr>
      <w:bookmarkStart w:id="59" w:name="txa845790_fm"/>
      <w:bookmarkStart w:id="60" w:name="txa845790_rt"/>
      <w:bookmarkEnd w:id="59"/>
      <w:bookmarkEnd w:id="60"/>
      <w:r>
        <w:rPr>
          <w:rFonts w:ascii="arial" w:hAnsi="arial"/>
          <w:b/>
          <w:i/>
          <w:color w:val="003A5D"/>
          <w:sz w:val="20"/>
        </w:rPr>
        <w:t>Performance Share Award Formula.</w:t>
      </w:r>
      <w:r>
        <w:rPr>
          <w:rFonts w:ascii="arial" w:hAnsi="arial"/>
          <w:sz w:val="20"/>
        </w:rPr>
        <w:t xml:space="preserve"> For all performance share awards, the ultimate number of performance shares earned at vesting is determined by a formula based on relative performance and/or absolute performance (in the form of a performance share reduction) measures, with the value of the payout ranging from 0% to 150% of the target performance shares. In addition, the value of the performance shares upon vesting is determined by the Company’s stock price performance. All performance share awards are subject to the Relative Performance Measure (as described below). Only the Financial Performance Shares are subject to the Absolute Performance Measure (as described below). The award agreements applicable to all performance share awards permit the Committee to exclude the initial effects of changes in tax laws, accounting principles or regulations, or other laws or provisions affecting the reported results if the Committee determines that such adjustments are appropriate in order to prevent dilution or enlargement of the benefits or potential benefits intended to be made available under the 2004 Stock Incentive Plan or necessary or appropriate to comply with applicable laws, rules, or regulations.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71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lef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b/>
          <w:i/>
          <w:color w:val="003A5D"/>
          <w:sz w:val="20"/>
        </w:rPr>
        <w:t>Relative Performance Measure - Financial Performance Shares and TSR Performance Shares</w:t>
      </w:r>
      <w:r>
        <w:rPr>
          <w:rFonts w:ascii="arial" w:hAnsi="arial"/>
          <w:b/>
          <w:color w:val="003A5D"/>
          <w:sz w:val="20"/>
        </w:rPr>
        <w:t>.</w:t>
      </w:r>
      <w:r>
        <w:rPr>
          <w:rFonts w:ascii="arial" w:hAnsi="arial"/>
          <w:color w:val="003A5D"/>
          <w:sz w:val="20"/>
        </w:rPr>
        <w:t xml:space="preserve"> </w:t>
      </w:r>
      <w:r>
        <w:rPr>
          <w:rFonts w:ascii="arial" w:hAnsi="arial"/>
          <w:sz w:val="20"/>
        </w:rPr>
        <w:t xml:space="preserve">Each year, the Committee and the Independent Directors assess the Company’s performance on the basis of the performance share award metrics relative to the Performance Share Peers. The Company’s positive Adjusted ROTCE and D+TBV, or TSR, as applicable, must be at least at the 25th percentile of the Performance Share Peers for any performance shares to vest; target payout will be achieved at the 55th percentile of the Performance Share Peers; and the maximum payout can only be achieved if the Company performs at the 80th percentile of the Performance Share Peers or greater. If the Company’s Adjusted ROTCE and D+TBV, or TSR, as applicable, is under the 25th percentile, none of the relevant shares will vest and no payout will be made with respect to the award. After the end of the three-year performance period, the Committee will certify the Company’s performance and issue the corresponding number of shares of the Company’s common stock, if any, in accordance with the graph below. Payouts will range between the values shown below for performance that falls between the points labeled in the graph. </w:t>
      </w:r>
    </w:p>
    <w:p>
      <w:pPr>
        <w:pStyle w:val="TextBody"/>
        <w:bidi w:val="0"/>
        <w:spacing w:before="0" w:after="0"/>
        <w:jc w:val="left"/>
        <w:rPr/>
      </w:pPr>
      <w:r>
        <w:rPr/>
        <w:t> </w:t>
      </w:r>
    </w:p>
    <w:p>
      <w:pPr>
        <w:pStyle w:val="TextBody"/>
        <w:bidi w:val="0"/>
        <w:spacing w:before="0" w:after="0"/>
        <w:jc w:val="center"/>
        <w:rPr/>
      </w:pPr>
      <w:r>
        <w:rPr/>
        <w:drawing>
          <wp:inline distT="0" distB="0" distL="0" distR="0">
            <wp:extent cx="4895850" cy="3048000"/>
            <wp:effectExtent l="0" t="0" r="0" b="0"/>
            <wp:docPr id="7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4" descr=""/>
                    <pic:cNvPicPr>
                      <a:picLocks noChangeAspect="1" noChangeArrowheads="1"/>
                    </pic:cNvPicPr>
                  </pic:nvPicPr>
                  <pic:blipFill>
                    <a:blip r:embed="rId65"/>
                    <a:stretch>
                      <a:fillRect/>
                    </a:stretch>
                  </pic:blipFill>
                  <pic:spPr bwMode="auto">
                    <a:xfrm>
                      <a:off x="0" y="0"/>
                      <a:ext cx="4895850" cy="3048000"/>
                    </a:xfrm>
                    <a:prstGeom prst="rect">
                      <a:avLst/>
                    </a:prstGeom>
                  </pic:spPr>
                </pic:pic>
              </a:graphicData>
            </a:graphic>
          </wp:inline>
        </w:drawing>
      </w:r>
      <w:r>
        <w:rPr/>
        <w:t xml:space="preserve"> </w:t>
      </w:r>
    </w:p>
    <w:p>
      <w:pPr>
        <w:pStyle w:val="TextBody"/>
        <w:bidi w:val="0"/>
        <w:jc w:val="right"/>
        <w:rPr>
          <w:rFonts w:ascii="arial" w:hAnsi="arial"/>
          <w:color w:val="FFFFFF"/>
          <w:sz w:val="2"/>
        </w:rPr>
      </w:pPr>
      <w:r>
        <w:rPr>
          <w:rFonts w:ascii="arial" w:hAnsi="arial"/>
          <w:color w:val="FFFFFF"/>
          <w:sz w:val="2"/>
        </w:rPr>
        <w:t xml:space="preserve">Payout as a Percentage of Target 150% 125% 100% 75% 50% 25% 0% Performance Percentile 0% 25% 50% 75% 100% &lt;25th percentile 0% payout 25th percentile 40% payout 55th percentile 100% payout 80th percentile150% payout </w:t>
      </w:r>
    </w:p>
    <w:p>
      <w:pPr>
        <w:pStyle w:val="TextBody"/>
        <w:bidi w:val="0"/>
        <w:spacing w:before="240" w:after="0"/>
        <w:jc w:val="both"/>
        <w:rPr>
          <w:rFonts w:ascii="arial" w:hAnsi="arial"/>
          <w:sz w:val="20"/>
        </w:rPr>
      </w:pPr>
      <w:bookmarkStart w:id="61" w:name="txa845790_gh"/>
      <w:bookmarkEnd w:id="61"/>
      <w:r>
        <w:rPr>
          <w:rFonts w:ascii="arial" w:hAnsi="arial"/>
          <w:b/>
          <w:i/>
          <w:color w:val="003A5D"/>
          <w:sz w:val="20"/>
        </w:rPr>
        <w:t xml:space="preserve">Absolute Performance Measure (Performance Share Reduction) - Financial Performance Shares. </w:t>
      </w:r>
      <w:r>
        <w:rPr>
          <w:rFonts w:ascii="arial" w:hAnsi="arial"/>
          <w:sz w:val="20"/>
        </w:rPr>
        <w:t xml:space="preserve">The Financial Performance Shares are subject to a performance share reduction feature under which the number of shares issued at settlement will be reduced if the Company’s Adjusted ROTCE for one or more fiscal years completed during the performance period is not positive, no matter how well the Company performs compared to the Performance Share Peers. In each year that the Company does not achieve positive Adjusted ROTCE, the executive will forfeit 50% of that year’s worth of performance shares. If the Company’s Adjusted ROTCE is not positive in each of the three fiscal years in the performance period, the executive will forfeit the entire award of performance shares. See “Performance Share Reduction” on page 88 and “Financial Restatement Clawback” beginning on page 89 for more information. The table below shows potential performance share reduction amounts based on the Company’s Adjusted ROTCE performance. </w:t>
      </w:r>
    </w:p>
    <w:p>
      <w:pPr>
        <w:pStyle w:val="TextBody"/>
        <w:bidi w:val="0"/>
        <w:spacing w:before="0" w:after="0"/>
        <w:jc w:val="left"/>
        <w:rPr/>
      </w:pPr>
      <w:r>
        <w:rPr/>
        <w:t> </w:t>
      </w:r>
    </w:p>
    <w:tbl>
      <w:tblPr>
        <w:tblW w:w="6806" w:type="dxa"/>
        <w:jc w:val="left"/>
        <w:tblInd w:w="0" w:type="dxa"/>
        <w:tblLayout w:type="fixed"/>
        <w:tblCellMar>
          <w:top w:w="0" w:type="dxa"/>
          <w:left w:w="0" w:type="dxa"/>
          <w:bottom w:w="0" w:type="dxa"/>
          <w:right w:w="0" w:type="dxa"/>
        </w:tblCellMar>
      </w:tblPr>
      <w:tblGrid>
        <w:gridCol w:w="3350"/>
        <w:gridCol w:w="23"/>
        <w:gridCol w:w="60"/>
        <w:gridCol w:w="23"/>
        <w:gridCol w:w="40"/>
        <w:gridCol w:w="104"/>
        <w:gridCol w:w="3074"/>
        <w:gridCol w:w="132"/>
      </w:tblGrid>
      <w:tr>
        <w:trPr/>
        <w:tc>
          <w:tcPr>
            <w:tcW w:w="33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r>
      <w:tr>
        <w:trPr/>
        <w:tc>
          <w:tcPr>
            <w:tcW w:w="3350" w:type="dxa"/>
            <w:tcBorders/>
            <w:shd w:fill="003A5D"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373" w:type="dxa"/>
            <w:gridSpan w:val="5"/>
            <w:tcBorders/>
            <w:shd w:fill="003A5D" w:val="clear"/>
            <w:vAlign w:val="center"/>
          </w:tcPr>
          <w:p>
            <w:pPr>
              <w:pStyle w:val="TableContents"/>
              <w:bidi w:val="0"/>
              <w:spacing w:before="0" w:after="283"/>
              <w:jc w:val="left"/>
              <w:rPr>
                <w:sz w:val="4"/>
                <w:szCs w:val="4"/>
              </w:rPr>
            </w:pPr>
            <w:r>
              <w:rPr>
                <w:sz w:val="4"/>
                <w:szCs w:val="4"/>
              </w:rPr>
            </w:r>
          </w:p>
        </w:tc>
      </w:tr>
      <w:tr>
        <w:trPr/>
        <w:tc>
          <w:tcPr>
            <w:tcW w:w="3350" w:type="dxa"/>
            <w:tcBorders/>
            <w:shd w:fill="003A5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Number of Years During Performance</w:t>
              <w:br/>
              <w:t>Period Adjusted ROTCE is Not Positive</w:t>
            </w:r>
          </w:p>
          <w:p>
            <w:pPr>
              <w:pStyle w:val="TableContents"/>
              <w:bidi w:val="0"/>
              <w:spacing w:before="0" w:after="20"/>
              <w:jc w:val="left"/>
              <w:rPr/>
            </w:pPr>
            <w:r>
              <w:rPr/>
              <w:t> </w:t>
            </w:r>
          </w:p>
        </w:tc>
        <w:tc>
          <w:tcPr>
            <w:tcW w:w="23" w:type="dxa"/>
            <w:tcBorders>
              <w:bottom w:val="single" w:sz="32" w:space="0" w:color="FFFFF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32" w:space="0" w:color="FFFFFF"/>
            </w:tcBorders>
            <w:tcMar>
              <w:bottom w:w="28" w:type="dxa"/>
            </w:tcMar>
            <w:vAlign w:val="center"/>
          </w:tcPr>
          <w:p>
            <w:pPr>
              <w:pStyle w:val="TableContents"/>
              <w:bidi w:val="0"/>
              <w:spacing w:before="0" w:after="283"/>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3350" w:type="dxa"/>
            <w:gridSpan w:val="4"/>
            <w:tcBorders/>
            <w:shd w:fill="003A5D" w:val="clear"/>
            <w:vAlign w:val="center"/>
          </w:tcPr>
          <w:p>
            <w:pPr>
              <w:pStyle w:val="TableContents"/>
              <w:bidi w:val="0"/>
              <w:spacing w:before="0" w:after="283"/>
              <w:jc w:val="center"/>
              <w:rPr>
                <w:b/>
                <w:color w:val="FFFFFF"/>
                <w:sz w:val="18"/>
              </w:rPr>
            </w:pPr>
            <w:r>
              <w:rPr>
                <w:b/>
                <w:color w:val="FFFFFF"/>
                <w:sz w:val="18"/>
              </w:rPr>
              <w:t>Reduction in Number of Units Vesting and</w:t>
              <w:br/>
              <w:t>Shares Awarded</w:t>
            </w:r>
          </w:p>
        </w:tc>
      </w:tr>
      <w:tr>
        <w:trPr/>
        <w:tc>
          <w:tcPr>
            <w:tcW w:w="3350" w:type="dxa"/>
            <w:tcBorders>
              <w:top w:val="single" w:sz="8" w:space="0" w:color="FFFFFF"/>
              <w:bottom w:val="single" w:sz="8" w:space="0" w:color="003A5D"/>
            </w:tcBorders>
            <w:shd w:fill="E5EBEE" w:val="clear"/>
            <w:tcMar>
              <w:top w:w="28" w:type="dxa"/>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Zero</w:t>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4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104" w:type="dxa"/>
            <w:tcBorders>
              <w:top w:val="single" w:sz="8" w:space="0" w:color="FFFFFF"/>
              <w:bottom w:val="single" w:sz="8" w:space="0" w:color="003A5D"/>
            </w:tcBorders>
            <w:shd w:fill="E5EBEE" w:val="clear"/>
            <w:tcMar>
              <w:top w:w="28" w:type="dxa"/>
              <w:bottom w:w="40" w:type="dxa"/>
            </w:tcMar>
            <w:vAlign w:val="center"/>
          </w:tcPr>
          <w:p>
            <w:pPr>
              <w:pStyle w:val="TableContents"/>
              <w:bidi w:val="0"/>
              <w:spacing w:before="0" w:after="283"/>
              <w:jc w:val="left"/>
              <w:rPr/>
            </w:pPr>
            <w:r>
              <w:rPr/>
              <w:t> </w:t>
            </w:r>
          </w:p>
        </w:tc>
        <w:tc>
          <w:tcPr>
            <w:tcW w:w="3074" w:type="dxa"/>
            <w:tcBorders>
              <w:top w:val="single" w:sz="8" w:space="0" w:color="FFFFFF"/>
              <w:bottom w:val="single" w:sz="8" w:space="0" w:color="003A5D"/>
            </w:tcBorders>
            <w:shd w:fill="E5EBEE" w:val="clear"/>
            <w:tcMar>
              <w:top w:w="28" w:type="dxa"/>
              <w:bottom w:w="40" w:type="dxa"/>
            </w:tcMar>
            <w:vAlign w:val="center"/>
          </w:tcPr>
          <w:p>
            <w:pPr>
              <w:pStyle w:val="TableContents"/>
              <w:bidi w:val="0"/>
              <w:spacing w:before="0" w:after="283"/>
              <w:jc w:val="center"/>
              <w:rPr/>
            </w:pPr>
            <w:r>
              <w:rPr/>
              <w:t>No reduction</w:t>
            </w:r>
          </w:p>
        </w:tc>
        <w:tc>
          <w:tcPr>
            <w:tcW w:w="132" w:type="dxa"/>
            <w:tcBorders>
              <w:top w:val="single" w:sz="8" w:space="0" w:color="FFFFFF"/>
              <w:bottom w:val="single" w:sz="8" w:space="0" w:color="003A5D"/>
            </w:tcBorders>
            <w:shd w:fill="E5EBEE" w:val="clear"/>
            <w:tcMar>
              <w:top w:w="28" w:type="dxa"/>
              <w:bottom w:w="40" w:type="dxa"/>
            </w:tcMar>
            <w:vAlign w:val="center"/>
          </w:tcPr>
          <w:p>
            <w:pPr>
              <w:pStyle w:val="TableContents"/>
              <w:bidi w:val="0"/>
              <w:spacing w:before="0" w:after="283"/>
              <w:jc w:val="left"/>
              <w:rPr>
                <w:sz w:val="4"/>
                <w:szCs w:val="4"/>
              </w:rPr>
            </w:pPr>
            <w:r>
              <w:rPr>
                <w:sz w:val="4"/>
                <w:szCs w:val="4"/>
              </w:rPr>
            </w:r>
          </w:p>
        </w:tc>
      </w:tr>
      <w:tr>
        <w:trPr/>
        <w:tc>
          <w:tcPr>
            <w:tcW w:w="3350" w:type="dxa"/>
            <w:tcBorders>
              <w:bottom w:val="single" w:sz="8" w:space="0" w:color="003A5D"/>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One</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8" w:space="0" w:color="003A5D"/>
            </w:tcBorders>
            <w:tcMar>
              <w:bottom w:w="6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3074" w:type="dxa"/>
            <w:tcBorders>
              <w:bottom w:val="single" w:sz="8" w:space="0" w:color="003A5D"/>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One-sixth reduction</w:t>
            </w:r>
          </w:p>
        </w:tc>
        <w:tc>
          <w:tcPr>
            <w:tcW w:w="132" w:type="dxa"/>
            <w:tcBorders>
              <w:bottom w:val="single" w:sz="8" w:space="0" w:color="003A5D"/>
            </w:tcBorders>
            <w:tcMar>
              <w:bottom w:w="60" w:type="dxa"/>
            </w:tcMar>
            <w:vAlign w:val="center"/>
          </w:tcPr>
          <w:p>
            <w:pPr>
              <w:pStyle w:val="TableContents"/>
              <w:bidi w:val="0"/>
              <w:spacing w:before="0" w:after="0"/>
              <w:jc w:val="left"/>
              <w:rPr/>
            </w:pPr>
            <w:r>
              <w:rPr/>
              <w:t> </w:t>
            </w:r>
          </w:p>
        </w:tc>
      </w:tr>
      <w:tr>
        <w:trPr/>
        <w:tc>
          <w:tcPr>
            <w:tcW w:w="3350" w:type="dxa"/>
            <w:tcBorders>
              <w:bottom w:val="single" w:sz="8" w:space="0" w:color="003A5D"/>
            </w:tcBorders>
            <w:shd w:fill="E5EBEE" w:val="clear"/>
            <w:tcMar>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Two</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8" w:space="0" w:color="003A5D"/>
            </w:tcBorders>
            <w:shd w:fill="E5EBEE" w:val="clear"/>
            <w:tcMar>
              <w:bottom w:w="6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3074" w:type="dxa"/>
            <w:tcBorders>
              <w:bottom w:val="single" w:sz="8" w:space="0" w:color="003A5D"/>
            </w:tcBorders>
            <w:shd w:fill="E5EBEE" w:val="clear"/>
            <w:tcMar>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One-third reduction</w:t>
            </w:r>
          </w:p>
        </w:tc>
        <w:tc>
          <w:tcPr>
            <w:tcW w:w="132" w:type="dxa"/>
            <w:tcBorders>
              <w:bottom w:val="single" w:sz="8" w:space="0" w:color="003A5D"/>
            </w:tcBorders>
            <w:shd w:fill="E5EBEE" w:val="clear"/>
            <w:tcMar>
              <w:bottom w:w="60" w:type="dxa"/>
            </w:tcMar>
            <w:vAlign w:val="center"/>
          </w:tcPr>
          <w:p>
            <w:pPr>
              <w:pStyle w:val="TableContents"/>
              <w:bidi w:val="0"/>
              <w:spacing w:before="0" w:after="0"/>
              <w:jc w:val="left"/>
              <w:rPr/>
            </w:pPr>
            <w:r>
              <w:rPr/>
              <w:t> </w:t>
            </w:r>
          </w:p>
        </w:tc>
      </w:tr>
      <w:tr>
        <w:trPr/>
        <w:tc>
          <w:tcPr>
            <w:tcW w:w="3350" w:type="dxa"/>
            <w:tcBorders>
              <w:bottom w:val="single" w:sz="8" w:space="0" w:color="003A5D"/>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Three</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40"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4" w:type="dxa"/>
            <w:tcBorders>
              <w:bottom w:val="single" w:sz="8" w:space="0" w:color="003A5D"/>
            </w:tcBorders>
            <w:tcMar>
              <w:bottom w:w="6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3074" w:type="dxa"/>
            <w:tcBorders>
              <w:bottom w:val="single" w:sz="8" w:space="0" w:color="003A5D"/>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Entire award forfeited</w:t>
            </w:r>
          </w:p>
        </w:tc>
        <w:tc>
          <w:tcPr>
            <w:tcW w:w="132" w:type="dxa"/>
            <w:tcBorders>
              <w:bottom w:val="single" w:sz="8" w:space="0" w:color="003A5D"/>
            </w:tcBorders>
            <w:tcMar>
              <w:bottom w:w="60" w:type="dxa"/>
            </w:tcMar>
            <w:vAlign w:val="center"/>
          </w:tcPr>
          <w:p>
            <w:pPr>
              <w:pStyle w:val="TableContents"/>
              <w:bidi w:val="0"/>
              <w:spacing w:before="0" w:after="0"/>
              <w:jc w:val="left"/>
              <w:rPr/>
            </w:pPr>
            <w:r>
              <w:rPr/>
              <w:t> </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72 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righ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0"/>
        </w:rPr>
      </w:pPr>
      <w:r>
        <w:rPr>
          <w:rFonts w:ascii="arial" w:hAnsi="arial"/>
          <w:b/>
          <w:i/>
          <w:color w:val="003A5D"/>
          <w:sz w:val="20"/>
        </w:rPr>
        <w:t xml:space="preserve">Equity-Based Award </w:t>
      </w:r>
    </w:p>
    <w:p>
      <w:pPr>
        <w:pStyle w:val="TextBody"/>
        <w:bidi w:val="0"/>
        <w:spacing w:before="240" w:after="0"/>
        <w:jc w:val="both"/>
        <w:rPr>
          <w:rFonts w:ascii="arial" w:hAnsi="arial"/>
          <w:sz w:val="20"/>
        </w:rPr>
      </w:pPr>
      <w:r>
        <w:rPr>
          <w:rFonts w:ascii="arial" w:hAnsi="arial"/>
          <w:sz w:val="20"/>
        </w:rPr>
        <w:t xml:space="preserve">A portion of the CEO year-end incentive may be granted in the form of an equity-based award, based on the Company and CEO performance for the preceding performance year. For the 2022, 2023, and 2024 performance years, the Committee and the Independent Directors have awarded RSUs to Mr. Fairbank. The vesting of the RSUs is deferred for three years and settlement is in cash based on the Company’s average stock price over the 15 trading days preceding the vesting date. The RSUs are subject to performance-based vesting and clawback provisions, each as described in more detail under “Additional Performance Conditions and Recovery Provisions” beginning on page 87. </w:t>
      </w:r>
    </w:p>
    <w:p>
      <w:pPr>
        <w:pStyle w:val="TextBody"/>
        <w:bidi w:val="0"/>
        <w:spacing w:before="240" w:after="0"/>
        <w:jc w:val="left"/>
        <w:rPr>
          <w:rFonts w:ascii="arial" w:hAnsi="arial"/>
          <w:b/>
          <w:i/>
          <w:color w:val="003A5D"/>
          <w:sz w:val="20"/>
        </w:rPr>
      </w:pPr>
      <w:r>
        <w:rPr>
          <w:rFonts w:ascii="arial" w:hAnsi="arial"/>
          <w:b/>
          <w:i/>
          <w:color w:val="003A5D"/>
          <w:sz w:val="20"/>
        </w:rPr>
        <w:t xml:space="preserve">Deferred Cash Bonus </w:t>
      </w:r>
    </w:p>
    <w:p>
      <w:pPr>
        <w:pStyle w:val="TextBody"/>
        <w:bidi w:val="0"/>
        <w:spacing w:before="240" w:after="0"/>
        <w:jc w:val="both"/>
        <w:rPr>
          <w:rFonts w:ascii="arial" w:hAnsi="arial"/>
          <w:sz w:val="20"/>
        </w:rPr>
      </w:pPr>
      <w:r>
        <w:rPr>
          <w:rFonts w:ascii="arial" w:hAnsi="arial"/>
          <w:sz w:val="20"/>
        </w:rPr>
        <w:t xml:space="preserve">A portion of the CEO year-end incentive may be granted in the form of a deferred cash bonus based on the Company and CEO performance for the preceding performance year. Any deferred cash bonus award is mandatorily deferred for three years into the Company’s VNQDCP. </w:t>
      </w:r>
    </w:p>
    <w:p>
      <w:pPr>
        <w:pStyle w:val="TextBody"/>
        <w:bidi w:val="0"/>
        <w:spacing w:before="360" w:after="0"/>
        <w:jc w:val="left"/>
        <w:rPr>
          <w:rFonts w:ascii="arial" w:hAnsi="arial"/>
          <w:b/>
          <w:i/>
          <w:color w:val="003A5D"/>
          <w:sz w:val="24"/>
        </w:rPr>
      </w:pPr>
      <w:bookmarkStart w:id="62" w:name="txa845790_206"/>
      <w:bookmarkEnd w:id="62"/>
      <w:r>
        <w:rPr>
          <w:rFonts w:ascii="arial" w:hAnsi="arial"/>
          <w:b/>
          <w:i/>
          <w:color w:val="003A5D"/>
          <w:sz w:val="24"/>
        </w:rPr>
        <w:t xml:space="preserve">2024 CEO Compensation Decisions </w:t>
      </w:r>
    </w:p>
    <w:p>
      <w:pPr>
        <w:pStyle w:val="TextBody"/>
        <w:bidi w:val="0"/>
        <w:spacing w:before="240" w:after="0"/>
        <w:jc w:val="both"/>
        <w:rPr>
          <w:rFonts w:ascii="arial" w:hAnsi="arial"/>
          <w:sz w:val="20"/>
        </w:rPr>
      </w:pPr>
      <w:r>
        <w:rPr>
          <w:rFonts w:ascii="arial" w:hAnsi="arial"/>
          <w:sz w:val="20"/>
        </w:rPr>
        <w:t xml:space="preserve">For the 2024 performance year, the Committee and the Independent Directors determined the amount and form of the CEO’s compensation using a balanced approach in the context of our compensation principles and objectives, which encompass a pay-for-performance philosophy. The Committee and the Independent Directors believe that this structure emphasizes variable pay and incentivizes the CEO to invest for the long-term, grow resiliently, manage risk, and deliver sustained stockholder value. This approach provides the Committee and the Independent Directors the best opportunity to determine the amount and form of compensation based on CEO and Company performance as well as stockholder feedback. It also allows for responsiveness to current business and industry conditions and the dynamic nature of executive compensation best practices. </w:t>
      </w:r>
    </w:p>
    <w:p>
      <w:pPr>
        <w:pStyle w:val="TextBody"/>
        <w:bidi w:val="0"/>
        <w:spacing w:before="240" w:after="0"/>
        <w:jc w:val="left"/>
        <w:rPr>
          <w:rFonts w:ascii="arial" w:hAnsi="arial"/>
          <w:b/>
          <w:color w:val="003A5D"/>
          <w:sz w:val="20"/>
        </w:rPr>
      </w:pPr>
      <w:r>
        <w:rPr>
          <w:rFonts w:ascii="arial" w:hAnsi="arial"/>
          <w:b/>
          <w:color w:val="003A5D"/>
          <w:sz w:val="20"/>
        </w:rPr>
        <w:t xml:space="preserve">2024 RSU Award </w:t>
      </w:r>
    </w:p>
    <w:p>
      <w:pPr>
        <w:pStyle w:val="TextBody"/>
        <w:bidi w:val="0"/>
        <w:spacing w:before="240" w:after="0"/>
        <w:jc w:val="both"/>
        <w:rPr>
          <w:rFonts w:ascii="arial" w:hAnsi="arial"/>
          <w:sz w:val="20"/>
        </w:rPr>
      </w:pPr>
      <w:r>
        <w:rPr>
          <w:rFonts w:ascii="arial" w:hAnsi="arial"/>
          <w:sz w:val="20"/>
        </w:rPr>
        <w:t xml:space="preserve">In February 2024, the Committee and the Independent Directors awarded Mr. Fairbank 18,580 RSUs, which had a total grant date value of approximately $2.5 million. The RSU award vests in full on February 15, 2027, settles in cash based on the Company’s average stock price over the 15 trading days preceding the vesting date, and is subject to performance-based vesting provisions and clawback provisions, each as described in more detail under “Additional Performance Conditions and Recovery Provisions” beginning on page 87. </w:t>
      </w:r>
    </w:p>
    <w:p>
      <w:pPr>
        <w:pStyle w:val="TextBody"/>
        <w:bidi w:val="0"/>
        <w:spacing w:before="240" w:after="0"/>
        <w:jc w:val="left"/>
        <w:rPr>
          <w:rFonts w:ascii="arial" w:hAnsi="arial"/>
          <w:b/>
          <w:color w:val="003A5D"/>
          <w:sz w:val="20"/>
        </w:rPr>
      </w:pPr>
      <w:bookmarkStart w:id="63" w:name="txa845790_bb"/>
      <w:bookmarkEnd w:id="63"/>
      <w:r>
        <w:rPr>
          <w:rFonts w:ascii="arial" w:hAnsi="arial"/>
          <w:b/>
          <w:color w:val="003A5D"/>
          <w:sz w:val="20"/>
        </w:rPr>
        <w:t xml:space="preserve">2024 Year-End Incentive Determination </w:t>
      </w:r>
    </w:p>
    <w:p>
      <w:pPr>
        <w:pStyle w:val="TextBody"/>
        <w:bidi w:val="0"/>
        <w:spacing w:before="240" w:after="0"/>
        <w:jc w:val="left"/>
        <w:rPr>
          <w:rFonts w:ascii="arial" w:hAnsi="arial"/>
          <w:b/>
          <w:i/>
          <w:color w:val="003A5D"/>
          <w:sz w:val="20"/>
        </w:rPr>
      </w:pPr>
      <w:bookmarkStart w:id="64" w:name="txa845790_cv"/>
      <w:bookmarkEnd w:id="64"/>
      <w:r>
        <w:rPr>
          <w:rFonts w:ascii="arial" w:hAnsi="arial"/>
          <w:b/>
          <w:i/>
          <w:color w:val="003A5D"/>
          <w:sz w:val="20"/>
        </w:rPr>
        <w:t xml:space="preserve">Compensation Committee Process to Determine Year-End Incentive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067550" cy="914400"/>
            <wp:effectExtent l="0" t="0" r="0" b="0"/>
            <wp:docPr id="7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5" descr=""/>
                    <pic:cNvPicPr>
                      <a:picLocks noChangeAspect="1" noChangeArrowheads="1"/>
                    </pic:cNvPicPr>
                  </pic:nvPicPr>
                  <pic:blipFill>
                    <a:blip r:embed="rId66"/>
                    <a:stretch>
                      <a:fillRect/>
                    </a:stretch>
                  </pic:blipFill>
                  <pic:spPr bwMode="auto">
                    <a:xfrm>
                      <a:off x="0" y="0"/>
                      <a:ext cx="7067550" cy="914400"/>
                    </a:xfrm>
                    <a:prstGeom prst="rect">
                      <a:avLst/>
                    </a:prstGeom>
                  </pic:spPr>
                </pic:pic>
              </a:graphicData>
            </a:graphic>
          </wp:inline>
        </w:drawing>
      </w:r>
      <w:r>
        <w:rPr/>
        <w:t xml:space="preserve"> </w:t>
      </w:r>
    </w:p>
    <w:p>
      <w:pPr>
        <w:pStyle w:val="TextBody"/>
        <w:bidi w:val="0"/>
        <w:jc w:val="right"/>
        <w:rPr>
          <w:rFonts w:ascii="arial" w:hAnsi="arial"/>
          <w:color w:val="FFFFFF"/>
          <w:sz w:val="2"/>
        </w:rPr>
      </w:pPr>
      <w:r>
        <w:rPr>
          <w:rFonts w:ascii="arial" w:hAnsi="arial"/>
          <w:color w:val="FFFFFF"/>
          <w:sz w:val="2"/>
        </w:rPr>
        <w:t xml:space="preserve">Company Performance Assessment CEO Contribution Total Performance Year Compensation Pay Mix </w:t>
      </w:r>
    </w:p>
    <w:p>
      <w:pPr>
        <w:pStyle w:val="TextBody"/>
        <w:bidi w:val="0"/>
        <w:spacing w:before="240" w:after="0"/>
        <w:jc w:val="both"/>
        <w:rPr>
          <w:rFonts w:ascii="arial" w:hAnsi="arial"/>
          <w:sz w:val="20"/>
        </w:rPr>
      </w:pPr>
      <w:r>
        <w:rPr>
          <w:rFonts w:ascii="arial" w:hAnsi="arial"/>
          <w:sz w:val="20"/>
        </w:rPr>
        <w:t xml:space="preserve">In February 2025, the Committee and the Independent Directors assessed the Company’s performance with respect to the Performance Factors set forth below under “Company Performance Assessment” and Mr. Fairbank’s contributions to that performance as described under “CEO Contribution to Company Performance” found on page 77. Following the performance assessment, the Committee and the Independent Directors determined the total 2024 performance year compensation to be awarded to Mr. Fairbank would be approximately $33.5 million, taking into account the $2.5 million in RSUs awarded to him at the beginning of the performance year. The remaining total compensation to be awarded to Mr. Fairbank for the 2024 performance year was awarded in the form of year-end incentive awards totaling approximately $31.0 million.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73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lef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0"/>
        </w:rPr>
      </w:pPr>
      <w:r>
        <w:rPr>
          <w:rFonts w:ascii="arial" w:hAnsi="arial"/>
          <w:b/>
          <w:i/>
          <w:color w:val="003A5D"/>
          <w:sz w:val="20"/>
        </w:rPr>
        <w:t xml:space="preserve">2024 Year-End Incentive Awards </w:t>
      </w:r>
    </w:p>
    <w:p>
      <w:pPr>
        <w:pStyle w:val="TextBody"/>
        <w:bidi w:val="0"/>
        <w:spacing w:before="240" w:after="0"/>
        <w:jc w:val="both"/>
        <w:rPr>
          <w:rFonts w:ascii="arial" w:hAnsi="arial"/>
          <w:sz w:val="20"/>
        </w:rPr>
      </w:pPr>
      <w:r>
        <w:rPr>
          <w:rFonts w:ascii="arial" w:hAnsi="arial"/>
          <w:sz w:val="20"/>
        </w:rPr>
        <w:t xml:space="preserve">After considering the Company’s compensation philosophy and objectives, including the desire to align Mr. Fairbank’s interests with that of the Company’s stockholders and reward performance over multiple horizons, the Committee and the Independent Directors determined that the pay mix for the year-end incentive award would include the following three vehicles: </w:t>
      </w:r>
    </w:p>
    <w:p>
      <w:pPr>
        <w:pStyle w:val="TextBody"/>
        <w:bidi w:val="0"/>
        <w:spacing w:before="240" w:after="0"/>
        <w:jc w:val="both"/>
        <w:rPr>
          <w:rFonts w:ascii="arial" w:hAnsi="arial"/>
          <w:sz w:val="20"/>
        </w:rPr>
      </w:pPr>
      <w:r>
        <w:rPr>
          <w:rFonts w:ascii="arial" w:hAnsi="arial"/>
          <w:b/>
          <w:i/>
          <w:color w:val="003A5D"/>
          <w:sz w:val="20"/>
        </w:rPr>
        <w:t xml:space="preserve">Performance Shares. </w:t>
      </w:r>
      <w:r>
        <w:rPr>
          <w:rFonts w:ascii="arial" w:hAnsi="arial"/>
          <w:sz w:val="20"/>
        </w:rPr>
        <w:t xml:space="preserve">66% of the year-end incentive (61% of Mr. Fairbank’s total 2024 performance year compensation) was awarded in the form of performance shares, with a total grant date value of approximately $20.5 million, under which Mr. Fairbank may receive from 0% to 150% of a target number of 102,440 shares of the Company’s common stock based on the Company’s performance over a three-year period from January 1, 2025 through December 31, 2027.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Financial Performance Shares.</w:t>
            </w:r>
            <w:r>
              <w:rPr>
                <w:rFonts w:ascii="arial" w:hAnsi="arial"/>
                <w:sz w:val="20"/>
              </w:rPr>
              <w:t xml:space="preserve"> $18.25 million of the awarded performance shares will vest based on the Company’s financial performance, on an absolute basis and relative to the Performance Share Peers, related to a combination of two metrics: D+TBV and Adjusted ROTCE over a three-year period in the form of Financial Performance Shares as described in “Performance Share Award Formula” on page 71.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TSR Performance Shares.</w:t>
            </w:r>
            <w:r>
              <w:rPr>
                <w:rFonts w:ascii="arial" w:hAnsi="arial"/>
                <w:sz w:val="20"/>
              </w:rPr>
              <w:t xml:space="preserve"> Approximately $2.25 million of the awarded performance shares will vest based on the Company’s TSR relative to the Performance Share Peers over a three-year period in the form of TSR Performance Shares as described in “Performance Share Award Formula” on page 71. </w:t>
            </w:r>
          </w:p>
        </w:tc>
      </w:tr>
    </w:tbl>
    <w:p>
      <w:pPr>
        <w:pStyle w:val="TextBody"/>
        <w:bidi w:val="0"/>
        <w:spacing w:before="240" w:after="0"/>
        <w:jc w:val="both"/>
        <w:rPr>
          <w:rFonts w:ascii="arial" w:hAnsi="arial"/>
          <w:sz w:val="20"/>
        </w:rPr>
      </w:pPr>
      <w:r>
        <w:rPr>
          <w:rFonts w:ascii="arial" w:hAnsi="arial"/>
          <w:sz w:val="20"/>
        </w:rPr>
        <w:t xml:space="preserve">In order for the CEO to realize the target value of this award, the Company must achieve above-median financial performance and TSR on a relative basis versus the Performance Share Peers. In addition, the full value of the Financial Performance Share award remains at risk unless a threshold level of Company performance is achieved. The Committee believes that awarding a substantial portion of the year-end incentive in performance shares directly aligns the CEO’s interests with those of stockholders and encourages the CEO to focus on sustainable, long-term success and avoid excessive risk-taking. </w:t>
      </w:r>
    </w:p>
    <w:p>
      <w:pPr>
        <w:pStyle w:val="TextBody"/>
        <w:bidi w:val="0"/>
        <w:spacing w:before="240" w:after="0"/>
        <w:jc w:val="both"/>
        <w:rPr>
          <w:rFonts w:ascii="arial" w:hAnsi="arial"/>
          <w:sz w:val="20"/>
        </w:rPr>
      </w:pPr>
      <w:r>
        <w:rPr>
          <w:rFonts w:ascii="arial" w:hAnsi="arial"/>
          <w:b/>
          <w:i/>
          <w:color w:val="003A5D"/>
          <w:sz w:val="20"/>
        </w:rPr>
        <w:t>RSUs</w:t>
      </w:r>
      <w:r>
        <w:rPr>
          <w:rFonts w:ascii="arial" w:hAnsi="arial"/>
          <w:b/>
          <w:color w:val="003A5D"/>
          <w:sz w:val="20"/>
        </w:rPr>
        <w:t>.</w:t>
      </w:r>
      <w:r>
        <w:rPr>
          <w:rFonts w:ascii="arial" w:hAnsi="arial"/>
          <w:sz w:val="20"/>
        </w:rPr>
        <w:t xml:space="preserve"> 16% of the year-end incentive (15% of Mr. Fairbank’s total 2024 performance year compensation) was awarded in the form of 24,986 RSUs with a total grant date value of approximately $5.0 million. </w:t>
      </w:r>
    </w:p>
    <w:p>
      <w:pPr>
        <w:pStyle w:val="TextBody"/>
        <w:bidi w:val="0"/>
        <w:spacing w:before="240" w:after="0"/>
        <w:jc w:val="both"/>
        <w:rPr>
          <w:rFonts w:ascii="arial" w:hAnsi="arial"/>
          <w:sz w:val="20"/>
        </w:rPr>
      </w:pPr>
      <w:r>
        <w:rPr>
          <w:rFonts w:ascii="arial" w:hAnsi="arial"/>
          <w:b/>
          <w:i/>
          <w:color w:val="003A5D"/>
          <w:sz w:val="20"/>
        </w:rPr>
        <w:t xml:space="preserve">Deferred Cash Bonus. </w:t>
      </w:r>
      <w:r>
        <w:rPr>
          <w:rFonts w:ascii="arial" w:hAnsi="arial"/>
          <w:sz w:val="20"/>
        </w:rPr>
        <w:t xml:space="preserve">18% of the year-end incentive (16% of Mr. Fairbank’s total 2024 performance year compensation) was awarded in the form a $5.5 million deferred cash bonus. </w:t>
      </w:r>
    </w:p>
    <w:p>
      <w:pPr>
        <w:pStyle w:val="TextBody"/>
        <w:bidi w:val="0"/>
        <w:spacing w:before="360" w:after="0"/>
        <w:jc w:val="left"/>
        <w:rPr>
          <w:rFonts w:ascii="arial" w:hAnsi="arial"/>
          <w:b/>
          <w:color w:val="003A5D"/>
          <w:sz w:val="20"/>
        </w:rPr>
      </w:pPr>
      <w:bookmarkStart w:id="65" w:name="txa845790_cpa"/>
      <w:bookmarkEnd w:id="65"/>
      <w:r>
        <w:rPr>
          <w:rFonts w:ascii="arial" w:hAnsi="arial"/>
          <w:b/>
          <w:color w:val="003A5D"/>
          <w:sz w:val="20"/>
        </w:rPr>
        <w:t xml:space="preserve">Company Performance Assessment </w:t>
      </w:r>
    </w:p>
    <w:p>
      <w:pPr>
        <w:pStyle w:val="TextBody"/>
        <w:bidi w:val="0"/>
        <w:spacing w:before="120" w:after="0"/>
        <w:jc w:val="both"/>
        <w:rPr>
          <w:rFonts w:ascii="arial" w:hAnsi="arial"/>
          <w:sz w:val="20"/>
        </w:rPr>
      </w:pPr>
      <w:r>
        <w:rPr>
          <w:rFonts w:ascii="arial" w:hAnsi="arial"/>
          <w:sz w:val="20"/>
        </w:rPr>
        <w:t xml:space="preserve">In February 2025, the Committee assessed the Company’s 2024 quantitative and qualitative performance based on the below Performance Factors. The Company performance assessment is used to determine the 2024 year-end incentive awards for all of the NEOs and compensation targets for all NEOs (other than the CEO) for the 2024 performance year. In particular, the Committee considered: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74 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right"/>
              <w:rPr>
                <w:b/>
                <w:color w:val="003A5D"/>
              </w:rPr>
            </w:pPr>
            <w:r>
              <w:rPr>
                <w:b/>
                <w:color w:val="003A5D"/>
              </w:rPr>
              <w:t>Section V - Compensation Discussion and Analysis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37"/>
        <w:gridCol w:w="60"/>
        <w:gridCol w:w="635"/>
        <w:gridCol w:w="80"/>
        <w:gridCol w:w="3247"/>
        <w:gridCol w:w="80"/>
        <w:gridCol w:w="30"/>
        <w:gridCol w:w="30"/>
        <w:gridCol w:w="30"/>
        <w:gridCol w:w="160"/>
        <w:gridCol w:w="80"/>
        <w:gridCol w:w="1372"/>
        <w:gridCol w:w="80"/>
        <w:gridCol w:w="80"/>
        <w:gridCol w:w="30"/>
        <w:gridCol w:w="30"/>
        <w:gridCol w:w="30"/>
        <w:gridCol w:w="160"/>
        <w:gridCol w:w="80"/>
        <w:gridCol w:w="1372"/>
        <w:gridCol w:w="80"/>
        <w:gridCol w:w="160"/>
        <w:gridCol w:w="80"/>
        <w:gridCol w:w="578"/>
        <w:gridCol w:w="304"/>
      </w:tblGrid>
      <w:tr>
        <w:trPr/>
        <w:tc>
          <w:tcPr>
            <w:tcW w:w="13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324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9901" w:type="dxa"/>
            <w:gridSpan w:val="24"/>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Financial and Operating Performance</w:t>
            </w:r>
          </w:p>
        </w:tc>
        <w:tc>
          <w:tcPr>
            <w:tcW w:w="304" w:type="dxa"/>
            <w:tcBorders/>
            <w:shd w:fill="003A5D" w:val="clear"/>
            <w:vAlign w:val="center"/>
          </w:tcPr>
          <w:p>
            <w:pPr>
              <w:pStyle w:val="TableContents"/>
              <w:bidi w:val="0"/>
              <w:spacing w:before="0" w:after="0"/>
              <w:jc w:val="left"/>
              <w:rPr>
                <w:color w:val="FFFFFF"/>
              </w:rPr>
            </w:pPr>
            <w:r>
              <w:rPr>
                <w:color w:val="FFFFFF"/>
              </w:rPr>
              <w:t> </w:t>
            </w:r>
          </w:p>
        </w:tc>
      </w:tr>
      <w:tr>
        <w:trPr/>
        <w:tc>
          <w:tcPr>
            <w:tcW w:w="1337" w:type="dxa"/>
            <w:tcBorders>
              <w:top w:val="single" w:sz="24" w:space="0" w:color="FFFFFF"/>
            </w:tcBorders>
            <w:shd w:fill="003A5D" w:val="clear"/>
            <w:tcMar>
              <w:top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lineRule="atLeast" w:line="280" w:before="0" w:after="20"/>
              <w:jc w:val="center"/>
              <w:rPr>
                <w:rFonts w:ascii="arial" w:hAnsi="arial"/>
                <w:b/>
                <w:color w:val="FFFFFF"/>
                <w:sz w:val="18"/>
              </w:rPr>
            </w:pPr>
            <w:r>
              <w:rPr>
                <w:rFonts w:ascii="arial" w:hAnsi="arial"/>
                <w:b/>
                <w:color w:val="FFFFFF"/>
                <w:sz w:val="18"/>
              </w:rPr>
              <w:t>Performance Factor</w:t>
            </w:r>
          </w:p>
        </w:tc>
        <w:tc>
          <w:tcPr>
            <w:tcW w:w="60" w:type="dxa"/>
            <w:tcBorders>
              <w:top w:val="single" w:sz="24" w:space="0" w:color="FFFFFF"/>
              <w:left w:val="single" w:sz="48" w:space="0" w:color="FFFFFF"/>
            </w:tcBorders>
            <w:shd w:fill="003A5D" w:val="clear"/>
            <w:tcMar>
              <w:top w:w="28" w:type="dxa"/>
              <w:left w:w="28" w:type="dxa"/>
            </w:tcMar>
            <w:vAlign w:val="center"/>
          </w:tcPr>
          <w:p>
            <w:pPr>
              <w:pStyle w:val="TableContents"/>
              <w:bidi w:val="0"/>
              <w:spacing w:before="0" w:after="283"/>
              <w:jc w:val="left"/>
              <w:rPr/>
            </w:pPr>
            <w:r>
              <w:rPr/>
              <w:t> </w:t>
            </w:r>
          </w:p>
        </w:tc>
        <w:tc>
          <w:tcPr>
            <w:tcW w:w="8504" w:type="dxa"/>
            <w:gridSpan w:val="22"/>
            <w:tcBorders>
              <w:top w:val="single" w:sz="24" w:space="0" w:color="FFFFFF"/>
            </w:tcBorders>
            <w:shd w:fill="003A5D" w:val="clear"/>
            <w:tcMar>
              <w:top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2024 Performance(1)</w:t>
            </w:r>
          </w:p>
        </w:tc>
        <w:tc>
          <w:tcPr>
            <w:tcW w:w="304" w:type="dxa"/>
            <w:tcBorders>
              <w:top w:val="single" w:sz="24" w:space="0" w:color="FFFFFF"/>
            </w:tcBorders>
            <w:shd w:fill="003A5D" w:val="clear"/>
            <w:tcMar>
              <w:top w:w="28" w:type="dxa"/>
            </w:tcMar>
            <w:vAlign w:val="center"/>
          </w:tcPr>
          <w:p>
            <w:pPr>
              <w:pStyle w:val="TableContents"/>
              <w:bidi w:val="0"/>
              <w:spacing w:before="0" w:after="0"/>
              <w:jc w:val="left"/>
              <w:rPr>
                <w:color w:val="FFFFFF"/>
              </w:rPr>
            </w:pPr>
            <w:r>
              <w:rPr>
                <w:color w:val="FFFFFF"/>
              </w:rPr>
              <w:t> </w:t>
            </w:r>
          </w:p>
        </w:tc>
      </w:tr>
      <w:tr>
        <w:trPr/>
        <w:tc>
          <w:tcPr>
            <w:tcW w:w="1337" w:type="dxa"/>
            <w:vMerge w:val="restart"/>
            <w:tcBorders/>
            <w:vAlign w:val="center"/>
          </w:tcPr>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Revenue</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Earnings and EPS</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Expense Management</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ROA and ROTCE</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Capital Management</w:t>
            </w:r>
          </w:p>
          <w:p>
            <w:pPr>
              <w:pStyle w:val="TableContents"/>
              <w:bidi w:val="0"/>
              <w:spacing w:before="0" w:after="0"/>
              <w:jc w:val="left"/>
              <w:rPr/>
            </w:pPr>
            <w:r>
              <w:rPr/>
              <w:t> </w:t>
            </w:r>
          </w:p>
          <w:p>
            <w:pPr>
              <w:pStyle w:val="TableContents"/>
              <w:bidi w:val="0"/>
              <w:spacing w:before="0" w:after="20"/>
              <w:jc w:val="left"/>
              <w:rPr/>
            </w:pPr>
            <w:r>
              <w:rPr>
                <w:color w:val="003A5D"/>
              </w:rPr>
              <w:t>∎</w:t>
            </w:r>
            <w:r>
              <w:rPr/>
              <w:t>  </w:t>
            </w:r>
            <w:r>
              <w:rPr>
                <w:rFonts w:ascii="arial" w:hAnsi="arial"/>
                <w:sz w:val="18"/>
              </w:rPr>
              <w:t>TSR</w:t>
            </w:r>
          </w:p>
        </w:tc>
        <w:tc>
          <w:tcPr>
            <w:tcW w:w="60" w:type="dxa"/>
            <w:tcBorders>
              <w:left w:val="single" w:sz="48" w:space="0" w:color="FFFFFF"/>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324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337" w:type="dxa"/>
            <w:vMerge w:val="continue"/>
            <w:tcBorders/>
            <w:vAlign w:val="center"/>
          </w:tcPr>
          <w:p>
            <w:pPr>
              <w:pStyle w:val="Normal"/>
              <w:bidi w:val="0"/>
              <w:jc w:val="left"/>
              <w:rPr/>
            </w:pPr>
            <w:r>
              <w:rPr/>
            </w:r>
          </w:p>
        </w:tc>
        <w:tc>
          <w:tcPr>
            <w:tcW w:w="60" w:type="dxa"/>
            <w:tcBorders>
              <w:left w:val="single" w:sz="48" w:space="0" w:color="FFFFFF"/>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80" w:type="dxa"/>
            <w:tcBorders>
              <w:left w:val="single" w:sz="6" w:space="0" w:color="003A5D"/>
            </w:tcBorders>
            <w:shd w:fill="003A5D" w:val="clear"/>
            <w:tcMar>
              <w:left w:w="28" w:type="dxa"/>
            </w:tcMar>
            <w:vAlign w:val="center"/>
          </w:tcPr>
          <w:p>
            <w:pPr>
              <w:pStyle w:val="TableContents"/>
              <w:bidi w:val="0"/>
              <w:spacing w:before="0" w:after="283"/>
              <w:jc w:val="left"/>
              <w:rPr/>
            </w:pPr>
            <w:r>
              <w:rPr/>
              <w:t> </w:t>
            </w:r>
          </w:p>
        </w:tc>
        <w:tc>
          <w:tcPr>
            <w:tcW w:w="3247" w:type="dxa"/>
            <w:tcBorders/>
            <w:shd w:fill="003A5D" w:val="clear"/>
            <w:vAlign w:val="center"/>
          </w:tcPr>
          <w:p>
            <w:pPr>
              <w:pStyle w:val="TableContents"/>
              <w:bidi w:val="0"/>
              <w:spacing w:before="0" w:after="283"/>
              <w:jc w:val="left"/>
              <w:rPr>
                <w:sz w:val="4"/>
                <w:szCs w:val="4"/>
              </w:rPr>
            </w:pPr>
            <w:r>
              <w:rPr>
                <w:sz w:val="4"/>
                <w:szCs w:val="4"/>
              </w:rPr>
            </w:r>
          </w:p>
        </w:tc>
        <w:tc>
          <w:tcPr>
            <w:tcW w:w="80" w:type="dxa"/>
            <w:tcBorders>
              <w:left w:val="single" w:sz="6" w:space="0" w:color="003A5D"/>
            </w:tcBorders>
            <w:tcMar>
              <w:left w:w="28" w:type="dxa"/>
            </w:tcMar>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60" w:type="dxa"/>
            <w:tcBorders/>
            <w:shd w:fill="003A5D" w:val="clear"/>
            <w:vAlign w:val="center"/>
          </w:tcPr>
          <w:p>
            <w:pPr>
              <w:pStyle w:val="TableContents"/>
              <w:bidi w:val="0"/>
              <w:spacing w:before="0" w:after="283"/>
              <w:jc w:val="left"/>
              <w:rPr/>
            </w:pPr>
            <w:r>
              <w:rPr/>
              <w:t>  </w:t>
            </w:r>
          </w:p>
        </w:tc>
        <w:tc>
          <w:tcPr>
            <w:tcW w:w="80" w:type="dxa"/>
            <w:tcBorders/>
            <w:shd w:fill="003A5D" w:val="clear"/>
            <w:vAlign w:val="center"/>
          </w:tcPr>
          <w:p>
            <w:pPr>
              <w:pStyle w:val="TableContents"/>
              <w:bidi w:val="0"/>
              <w:spacing w:before="0" w:after="0"/>
              <w:jc w:val="left"/>
              <w:rPr/>
            </w:pPr>
            <w:r>
              <w:rPr/>
              <w:t> </w:t>
            </w:r>
          </w:p>
          <w:p>
            <w:pPr>
              <w:pStyle w:val="TableContents"/>
              <w:bidi w:val="0"/>
              <w:spacing w:before="0" w:after="20"/>
              <w:jc w:val="left"/>
              <w:rPr>
                <w:color w:val="FFFFFF"/>
              </w:rPr>
            </w:pPr>
            <w:r>
              <w:rPr>
                <w:color w:val="FFFFFF"/>
              </w:rPr>
              <w:t> </w:t>
            </w:r>
          </w:p>
        </w:tc>
        <w:tc>
          <w:tcPr>
            <w:tcW w:w="1372"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2024</w:t>
            </w:r>
          </w:p>
        </w:tc>
        <w:tc>
          <w:tcPr>
            <w:tcW w:w="80" w:type="dxa"/>
            <w:tcBorders/>
            <w:shd w:fill="003A5D" w:val="clear"/>
            <w:vAlign w:val="center"/>
          </w:tcPr>
          <w:p>
            <w:pPr>
              <w:pStyle w:val="TableContents"/>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60" w:type="dxa"/>
            <w:tcBorders/>
            <w:shd w:fill="003A5D" w:val="clear"/>
            <w:vAlign w:val="center"/>
          </w:tcPr>
          <w:p>
            <w:pPr>
              <w:pStyle w:val="TableContents"/>
              <w:bidi w:val="0"/>
              <w:spacing w:before="0" w:after="283"/>
              <w:jc w:val="left"/>
              <w:rPr/>
            </w:pPr>
            <w:r>
              <w:rPr/>
              <w:t>  </w:t>
            </w:r>
          </w:p>
        </w:tc>
        <w:tc>
          <w:tcPr>
            <w:tcW w:w="80" w:type="dxa"/>
            <w:tcBorders/>
            <w:shd w:fill="003A5D" w:val="clear"/>
            <w:vAlign w:val="center"/>
          </w:tcPr>
          <w:p>
            <w:pPr>
              <w:pStyle w:val="TableContents"/>
              <w:bidi w:val="0"/>
              <w:spacing w:before="0" w:after="0"/>
              <w:jc w:val="left"/>
              <w:rPr/>
            </w:pPr>
            <w:r>
              <w:rPr/>
              <w:t> </w:t>
            </w:r>
          </w:p>
          <w:p>
            <w:pPr>
              <w:pStyle w:val="TableContents"/>
              <w:bidi w:val="0"/>
              <w:spacing w:before="0" w:after="20"/>
              <w:jc w:val="left"/>
              <w:rPr>
                <w:color w:val="FFFFFF"/>
              </w:rPr>
            </w:pPr>
            <w:r>
              <w:rPr>
                <w:color w:val="FFFFFF"/>
              </w:rPr>
              <w:t> </w:t>
            </w:r>
          </w:p>
        </w:tc>
        <w:tc>
          <w:tcPr>
            <w:tcW w:w="1372"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2023</w:t>
            </w:r>
          </w:p>
        </w:tc>
        <w:tc>
          <w:tcPr>
            <w:tcW w:w="80" w:type="dxa"/>
            <w:tcBorders>
              <w:right w:val="single" w:sz="6" w:space="0" w:color="003A5D"/>
            </w:tcBorders>
            <w:shd w:fill="003A5D" w:val="clear"/>
            <w:tcMar>
              <w:right w:w="28" w:type="dxa"/>
            </w:tcMar>
            <w:vAlign w:val="center"/>
          </w:tcPr>
          <w:p>
            <w:pPr>
              <w:pStyle w:val="TableContents"/>
              <w:bidi w:val="0"/>
              <w:spacing w:before="0" w:after="0"/>
              <w:jc w:val="left"/>
              <w:rPr/>
            </w:pPr>
            <w:r>
              <w:rPr/>
              <w:t> </w:t>
            </w:r>
          </w:p>
          <w:p>
            <w:pPr>
              <w:pStyle w:val="TableContents"/>
              <w:bidi w:val="0"/>
              <w:spacing w:before="0" w:after="20"/>
              <w:jc w:val="left"/>
              <w:rPr>
                <w:color w:val="FFFFFF"/>
              </w:rPr>
            </w:pPr>
            <w:r>
              <w:rPr>
                <w:color w:val="FFFFFF"/>
              </w:rPr>
              <w:t> </w:t>
            </w:r>
          </w:p>
        </w:tc>
        <w:tc>
          <w:tcPr>
            <w:tcW w:w="1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33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324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337" w:type="dxa"/>
            <w:vMerge w:val="continue"/>
            <w:tcBorders/>
            <w:vAlign w:val="center"/>
          </w:tcPr>
          <w:p>
            <w:pPr>
              <w:pStyle w:val="Normal"/>
              <w:bidi w:val="0"/>
              <w:jc w:val="left"/>
              <w:rPr/>
            </w:pPr>
            <w:r>
              <w:rPr/>
            </w:r>
          </w:p>
        </w:tc>
        <w:tc>
          <w:tcPr>
            <w:tcW w:w="60" w:type="dxa"/>
            <w:tcBorders>
              <w:left w:val="single" w:sz="48" w:space="0" w:color="FFFFFF"/>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8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3247"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Net Revenue</w:t>
            </w:r>
          </w:p>
          <w:p>
            <w:pPr>
              <w:pStyle w:val="TableContents"/>
              <w:bidi w:val="0"/>
              <w:spacing w:before="0" w:after="20"/>
              <w:jc w:val="left"/>
              <w:rPr/>
            </w:pPr>
            <w:r>
              <w:rPr/>
              <w:t> </w:t>
            </w:r>
          </w:p>
        </w:tc>
        <w:tc>
          <w:tcPr>
            <w:tcW w:w="8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372"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$39.1 billion</w:t>
            </w:r>
          </w:p>
          <w:p>
            <w:pPr>
              <w:pStyle w:val="TableContents"/>
              <w:bidi w:val="0"/>
              <w:spacing w:before="0" w:after="20"/>
              <w:jc w:val="left"/>
              <w:rPr/>
            </w:pPr>
            <w:r>
              <w:rPr/>
              <w:t> </w:t>
            </w:r>
          </w:p>
        </w:tc>
        <w:tc>
          <w:tcPr>
            <w:tcW w:w="8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372"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$36.8 billion</w:t>
            </w:r>
          </w:p>
        </w:tc>
        <w:tc>
          <w:tcPr>
            <w:tcW w:w="8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337" w:type="dxa"/>
            <w:vMerge w:val="continue"/>
            <w:tcBorders/>
            <w:vAlign w:val="center"/>
          </w:tcPr>
          <w:p>
            <w:pPr>
              <w:pStyle w:val="Normal"/>
              <w:bidi w:val="0"/>
              <w:jc w:val="left"/>
              <w:rPr/>
            </w:pPr>
            <w:r>
              <w:rPr/>
            </w:r>
          </w:p>
        </w:tc>
        <w:tc>
          <w:tcPr>
            <w:tcW w:w="60" w:type="dxa"/>
            <w:tcBorders>
              <w:left w:val="single" w:sz="48" w:space="0" w:color="FFFFFF"/>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80" w:type="dxa"/>
            <w:tcBorders>
              <w:bottom w:val="single" w:sz="8" w:space="0" w:color="003A5D"/>
            </w:tcBorders>
            <w:tcMar>
              <w:bottom w:w="28" w:type="dxa"/>
            </w:tcMar>
            <w:vAlign w:val="center"/>
          </w:tcPr>
          <w:p>
            <w:pPr>
              <w:pStyle w:val="TableContents"/>
              <w:bidi w:val="0"/>
              <w:spacing w:before="0" w:after="283"/>
              <w:jc w:val="left"/>
              <w:rPr/>
            </w:pPr>
            <w:r>
              <w:rPr/>
              <w:t> </w:t>
            </w:r>
          </w:p>
        </w:tc>
        <w:tc>
          <w:tcPr>
            <w:tcW w:w="3247"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Pre-Provision Earnings(1)(2)</w:t>
            </w:r>
          </w:p>
          <w:p>
            <w:pPr>
              <w:pStyle w:val="TableContents"/>
              <w:bidi w:val="0"/>
              <w:spacing w:before="0" w:after="20"/>
              <w:jc w:val="left"/>
              <w:rPr/>
            </w:pPr>
            <w:r>
              <w:rPr/>
              <w:t> </w:t>
            </w:r>
          </w:p>
        </w:tc>
        <w:tc>
          <w:tcPr>
            <w:tcW w:w="8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60" w:type="dxa"/>
            <w:tcBorders>
              <w:bottom w:val="single" w:sz="8" w:space="0" w:color="003A5D"/>
            </w:tcBorders>
            <w:tcMar>
              <w:bottom w:w="28" w:type="dxa"/>
            </w:tcMar>
            <w:vAlign w:val="center"/>
          </w:tcPr>
          <w:p>
            <w:pPr>
              <w:pStyle w:val="TableContents"/>
              <w:bidi w:val="0"/>
              <w:spacing w:before="0" w:after="283"/>
              <w:jc w:val="left"/>
              <w:rPr/>
            </w:pPr>
            <w:r>
              <w:rPr/>
              <w:t>  </w:t>
            </w:r>
          </w:p>
        </w:tc>
        <w:tc>
          <w:tcPr>
            <w:tcW w:w="8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372"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$17.6 billion</w:t>
            </w:r>
          </w:p>
          <w:p>
            <w:pPr>
              <w:pStyle w:val="TableContents"/>
              <w:bidi w:val="0"/>
              <w:spacing w:before="0" w:after="20"/>
              <w:jc w:val="left"/>
              <w:rPr/>
            </w:pPr>
            <w:r>
              <w:rPr/>
              <w:t> </w:t>
            </w:r>
          </w:p>
        </w:tc>
        <w:tc>
          <w:tcPr>
            <w:tcW w:w="8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60" w:type="dxa"/>
            <w:tcBorders>
              <w:bottom w:val="single" w:sz="8" w:space="0" w:color="003A5D"/>
            </w:tcBorders>
            <w:tcMar>
              <w:bottom w:w="28" w:type="dxa"/>
            </w:tcMar>
            <w:vAlign w:val="center"/>
          </w:tcPr>
          <w:p>
            <w:pPr>
              <w:pStyle w:val="TableContents"/>
              <w:bidi w:val="0"/>
              <w:spacing w:before="0" w:after="283"/>
              <w:jc w:val="left"/>
              <w:rPr/>
            </w:pPr>
            <w:r>
              <w:rPr/>
              <w:t>  </w:t>
            </w:r>
          </w:p>
        </w:tc>
        <w:tc>
          <w:tcPr>
            <w:tcW w:w="8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372"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$16.5 billion</w:t>
            </w:r>
          </w:p>
          <w:p>
            <w:pPr>
              <w:pStyle w:val="TableContents"/>
              <w:bidi w:val="0"/>
              <w:spacing w:before="0" w:after="20"/>
              <w:jc w:val="left"/>
              <w:rPr/>
            </w:pPr>
            <w:r>
              <w:rPr/>
              <w:t> </w:t>
            </w:r>
          </w:p>
        </w:tc>
        <w:tc>
          <w:tcPr>
            <w:tcW w:w="8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78" w:type="dxa"/>
            <w:tcBorders/>
            <w:vAlign w:val="center"/>
          </w:tcPr>
          <w:p>
            <w:pPr>
              <w:pStyle w:val="TableContents"/>
              <w:bidi w:val="0"/>
              <w:spacing w:before="0" w:after="283"/>
              <w:jc w:val="right"/>
              <w:rPr/>
            </w:pPr>
            <w:r>
              <w:rPr/>
              <w:t>   </w:t>
            </w:r>
          </w:p>
        </w:tc>
        <w:tc>
          <w:tcPr>
            <w:tcW w:w="304" w:type="dxa"/>
            <w:tcBorders/>
            <w:vAlign w:val="center"/>
          </w:tcPr>
          <w:p>
            <w:pPr>
              <w:pStyle w:val="TableContents"/>
              <w:bidi w:val="0"/>
              <w:spacing w:before="0" w:after="283"/>
              <w:jc w:val="left"/>
              <w:rPr/>
            </w:pPr>
            <w:r>
              <w:rPr/>
              <w:t> </w:t>
            </w:r>
          </w:p>
        </w:tc>
      </w:tr>
      <w:tr>
        <w:trPr/>
        <w:tc>
          <w:tcPr>
            <w:tcW w:w="1337" w:type="dxa"/>
            <w:vMerge w:val="continue"/>
            <w:tcBorders/>
            <w:vAlign w:val="center"/>
          </w:tcPr>
          <w:p>
            <w:pPr>
              <w:pStyle w:val="Normal"/>
              <w:bidi w:val="0"/>
              <w:jc w:val="left"/>
              <w:rPr/>
            </w:pPr>
            <w:r>
              <w:rPr/>
            </w:r>
          </w:p>
        </w:tc>
        <w:tc>
          <w:tcPr>
            <w:tcW w:w="60" w:type="dxa"/>
            <w:tcBorders>
              <w:left w:val="single" w:sz="48" w:space="0" w:color="FFFFFF"/>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8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3247"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Diluted EPS</w:t>
            </w:r>
          </w:p>
          <w:p>
            <w:pPr>
              <w:pStyle w:val="TableContents"/>
              <w:bidi w:val="0"/>
              <w:spacing w:before="0" w:after="20"/>
              <w:jc w:val="left"/>
              <w:rPr/>
            </w:pPr>
            <w:r>
              <w:rPr/>
              <w:t> </w:t>
            </w:r>
          </w:p>
        </w:tc>
        <w:tc>
          <w:tcPr>
            <w:tcW w:w="8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372"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$11.59</w:t>
            </w:r>
          </w:p>
          <w:p>
            <w:pPr>
              <w:pStyle w:val="TableContents"/>
              <w:bidi w:val="0"/>
              <w:spacing w:before="0" w:after="20"/>
              <w:jc w:val="left"/>
              <w:rPr/>
            </w:pPr>
            <w:r>
              <w:rPr/>
              <w:t> </w:t>
            </w:r>
          </w:p>
        </w:tc>
        <w:tc>
          <w:tcPr>
            <w:tcW w:w="8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372"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$11.95</w:t>
            </w:r>
          </w:p>
          <w:p>
            <w:pPr>
              <w:pStyle w:val="TableContents"/>
              <w:bidi w:val="0"/>
              <w:spacing w:before="0" w:after="20"/>
              <w:jc w:val="left"/>
              <w:rPr/>
            </w:pPr>
            <w:r>
              <w:rPr/>
              <w:t> </w:t>
            </w:r>
          </w:p>
        </w:tc>
        <w:tc>
          <w:tcPr>
            <w:tcW w:w="8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337" w:type="dxa"/>
            <w:vMerge w:val="continue"/>
            <w:tcBorders/>
            <w:vAlign w:val="center"/>
          </w:tcPr>
          <w:p>
            <w:pPr>
              <w:pStyle w:val="Normal"/>
              <w:bidi w:val="0"/>
              <w:jc w:val="left"/>
              <w:rPr/>
            </w:pPr>
            <w:r>
              <w:rPr/>
            </w:r>
          </w:p>
        </w:tc>
        <w:tc>
          <w:tcPr>
            <w:tcW w:w="60" w:type="dxa"/>
            <w:tcBorders>
              <w:left w:val="single" w:sz="48" w:space="0" w:color="FFFFFF"/>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80" w:type="dxa"/>
            <w:tcBorders>
              <w:bottom w:val="single" w:sz="8" w:space="0" w:color="003A5D"/>
            </w:tcBorders>
            <w:tcMar>
              <w:bottom w:w="28" w:type="dxa"/>
            </w:tcMar>
            <w:vAlign w:val="center"/>
          </w:tcPr>
          <w:p>
            <w:pPr>
              <w:pStyle w:val="TableContents"/>
              <w:bidi w:val="0"/>
              <w:spacing w:before="0" w:after="283"/>
              <w:jc w:val="left"/>
              <w:rPr/>
            </w:pPr>
            <w:r>
              <w:rPr/>
              <w:t> </w:t>
            </w:r>
          </w:p>
        </w:tc>
        <w:tc>
          <w:tcPr>
            <w:tcW w:w="3247"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Return On Average Assets (“ROA”)</w:t>
            </w:r>
          </w:p>
          <w:p>
            <w:pPr>
              <w:pStyle w:val="TableContents"/>
              <w:bidi w:val="0"/>
              <w:spacing w:before="0" w:after="20"/>
              <w:jc w:val="left"/>
              <w:rPr/>
            </w:pPr>
            <w:r>
              <w:rPr/>
              <w:t> </w:t>
            </w:r>
          </w:p>
        </w:tc>
        <w:tc>
          <w:tcPr>
            <w:tcW w:w="8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60" w:type="dxa"/>
            <w:tcBorders>
              <w:bottom w:val="single" w:sz="8" w:space="0" w:color="003A5D"/>
            </w:tcBorders>
            <w:tcMar>
              <w:bottom w:w="28" w:type="dxa"/>
            </w:tcMar>
            <w:vAlign w:val="center"/>
          </w:tcPr>
          <w:p>
            <w:pPr>
              <w:pStyle w:val="TableContents"/>
              <w:bidi w:val="0"/>
              <w:spacing w:before="0" w:after="283"/>
              <w:jc w:val="left"/>
              <w:rPr/>
            </w:pPr>
            <w:r>
              <w:rPr/>
              <w:t>  </w:t>
            </w:r>
          </w:p>
        </w:tc>
        <w:tc>
          <w:tcPr>
            <w:tcW w:w="8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372"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1.0%</w:t>
            </w:r>
          </w:p>
          <w:p>
            <w:pPr>
              <w:pStyle w:val="TableContents"/>
              <w:bidi w:val="0"/>
              <w:spacing w:before="0" w:after="20"/>
              <w:jc w:val="left"/>
              <w:rPr/>
            </w:pPr>
            <w:r>
              <w:rPr/>
              <w:t> </w:t>
            </w:r>
          </w:p>
        </w:tc>
        <w:tc>
          <w:tcPr>
            <w:tcW w:w="8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60" w:type="dxa"/>
            <w:tcBorders>
              <w:bottom w:val="single" w:sz="8" w:space="0" w:color="003A5D"/>
            </w:tcBorders>
            <w:tcMar>
              <w:bottom w:w="28" w:type="dxa"/>
            </w:tcMar>
            <w:vAlign w:val="center"/>
          </w:tcPr>
          <w:p>
            <w:pPr>
              <w:pStyle w:val="TableContents"/>
              <w:bidi w:val="0"/>
              <w:spacing w:before="0" w:after="283"/>
              <w:jc w:val="left"/>
              <w:rPr/>
            </w:pPr>
            <w:r>
              <w:rPr/>
              <w:t>  </w:t>
            </w:r>
          </w:p>
        </w:tc>
        <w:tc>
          <w:tcPr>
            <w:tcW w:w="8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372"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1.0%</w:t>
            </w:r>
          </w:p>
          <w:p>
            <w:pPr>
              <w:pStyle w:val="TableContents"/>
              <w:bidi w:val="0"/>
              <w:spacing w:before="0" w:after="20"/>
              <w:jc w:val="left"/>
              <w:rPr/>
            </w:pPr>
            <w:r>
              <w:rPr/>
              <w:t> </w:t>
            </w:r>
          </w:p>
        </w:tc>
        <w:tc>
          <w:tcPr>
            <w:tcW w:w="8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337" w:type="dxa"/>
            <w:vMerge w:val="continue"/>
            <w:tcBorders/>
            <w:vAlign w:val="center"/>
          </w:tcPr>
          <w:p>
            <w:pPr>
              <w:pStyle w:val="Normal"/>
              <w:bidi w:val="0"/>
              <w:jc w:val="left"/>
              <w:rPr/>
            </w:pPr>
            <w:r>
              <w:rPr/>
            </w:r>
          </w:p>
        </w:tc>
        <w:tc>
          <w:tcPr>
            <w:tcW w:w="60" w:type="dxa"/>
            <w:tcBorders>
              <w:left w:val="single" w:sz="48" w:space="0" w:color="FFFFFF"/>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8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3247"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ROTCE(3)</w:t>
            </w:r>
          </w:p>
          <w:p>
            <w:pPr>
              <w:pStyle w:val="TableContents"/>
              <w:bidi w:val="0"/>
              <w:spacing w:before="0" w:after="20"/>
              <w:jc w:val="left"/>
              <w:rPr/>
            </w:pPr>
            <w:r>
              <w:rPr/>
              <w:t> </w:t>
            </w:r>
          </w:p>
        </w:tc>
        <w:tc>
          <w:tcPr>
            <w:tcW w:w="8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372"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11.2%</w:t>
            </w:r>
          </w:p>
          <w:p>
            <w:pPr>
              <w:pStyle w:val="TableContents"/>
              <w:bidi w:val="0"/>
              <w:spacing w:before="0" w:after="20"/>
              <w:jc w:val="left"/>
              <w:rPr/>
            </w:pPr>
            <w:r>
              <w:rPr/>
              <w:t> </w:t>
            </w:r>
          </w:p>
        </w:tc>
        <w:tc>
          <w:tcPr>
            <w:tcW w:w="8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372"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13.0%</w:t>
            </w:r>
          </w:p>
          <w:p>
            <w:pPr>
              <w:pStyle w:val="TableContents"/>
              <w:bidi w:val="0"/>
              <w:spacing w:before="0" w:after="20"/>
              <w:jc w:val="left"/>
              <w:rPr/>
            </w:pPr>
            <w:r>
              <w:rPr/>
              <w:t> </w:t>
            </w:r>
          </w:p>
        </w:tc>
        <w:tc>
          <w:tcPr>
            <w:tcW w:w="8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337" w:type="dxa"/>
            <w:vMerge w:val="continue"/>
            <w:tcBorders/>
            <w:vAlign w:val="center"/>
          </w:tcPr>
          <w:p>
            <w:pPr>
              <w:pStyle w:val="Normal"/>
              <w:bidi w:val="0"/>
              <w:jc w:val="left"/>
              <w:rPr/>
            </w:pPr>
            <w:r>
              <w:rPr/>
            </w:r>
          </w:p>
        </w:tc>
        <w:tc>
          <w:tcPr>
            <w:tcW w:w="60" w:type="dxa"/>
            <w:tcBorders>
              <w:left w:val="single" w:sz="48" w:space="0" w:color="FFFFFF"/>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80" w:type="dxa"/>
            <w:tcBorders>
              <w:bottom w:val="single" w:sz="8" w:space="0" w:color="003A5D"/>
            </w:tcBorders>
            <w:tcMar>
              <w:bottom w:w="28" w:type="dxa"/>
            </w:tcMar>
            <w:vAlign w:val="center"/>
          </w:tcPr>
          <w:p>
            <w:pPr>
              <w:pStyle w:val="TableContents"/>
              <w:bidi w:val="0"/>
              <w:spacing w:before="0" w:after="283"/>
              <w:jc w:val="left"/>
              <w:rPr/>
            </w:pPr>
            <w:r>
              <w:rPr/>
              <w:t> </w:t>
            </w:r>
          </w:p>
        </w:tc>
        <w:tc>
          <w:tcPr>
            <w:tcW w:w="3247"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One-Year TSR</w:t>
            </w:r>
          </w:p>
          <w:p>
            <w:pPr>
              <w:pStyle w:val="TableContents"/>
              <w:bidi w:val="0"/>
              <w:spacing w:before="0" w:after="20"/>
              <w:jc w:val="left"/>
              <w:rPr/>
            </w:pPr>
            <w:r>
              <w:rPr/>
              <w:t> </w:t>
            </w:r>
          </w:p>
        </w:tc>
        <w:tc>
          <w:tcPr>
            <w:tcW w:w="8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60" w:type="dxa"/>
            <w:tcBorders>
              <w:bottom w:val="single" w:sz="8" w:space="0" w:color="003A5D"/>
            </w:tcBorders>
            <w:tcMar>
              <w:bottom w:w="28" w:type="dxa"/>
            </w:tcMar>
            <w:vAlign w:val="center"/>
          </w:tcPr>
          <w:p>
            <w:pPr>
              <w:pStyle w:val="TableContents"/>
              <w:bidi w:val="0"/>
              <w:spacing w:before="0" w:after="283"/>
              <w:jc w:val="left"/>
              <w:rPr/>
            </w:pPr>
            <w:r>
              <w:rPr/>
              <w:t>  </w:t>
            </w:r>
          </w:p>
        </w:tc>
        <w:tc>
          <w:tcPr>
            <w:tcW w:w="8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372"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38.3%</w:t>
            </w:r>
          </w:p>
          <w:p>
            <w:pPr>
              <w:pStyle w:val="TableContents"/>
              <w:bidi w:val="0"/>
              <w:spacing w:before="0" w:after="20"/>
              <w:jc w:val="left"/>
              <w:rPr/>
            </w:pPr>
            <w:r>
              <w:rPr/>
              <w:t> </w:t>
            </w:r>
          </w:p>
        </w:tc>
        <w:tc>
          <w:tcPr>
            <w:tcW w:w="8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60" w:type="dxa"/>
            <w:tcBorders>
              <w:bottom w:val="single" w:sz="8" w:space="0" w:color="003A5D"/>
            </w:tcBorders>
            <w:tcMar>
              <w:bottom w:w="28" w:type="dxa"/>
            </w:tcMar>
            <w:vAlign w:val="center"/>
          </w:tcPr>
          <w:p>
            <w:pPr>
              <w:pStyle w:val="TableContents"/>
              <w:bidi w:val="0"/>
              <w:spacing w:before="0" w:after="283"/>
              <w:jc w:val="left"/>
              <w:rPr/>
            </w:pPr>
            <w:r>
              <w:rPr/>
              <w:t>  </w:t>
            </w:r>
          </w:p>
        </w:tc>
        <w:tc>
          <w:tcPr>
            <w:tcW w:w="8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372"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44.3%</w:t>
            </w:r>
          </w:p>
          <w:p>
            <w:pPr>
              <w:pStyle w:val="TableContents"/>
              <w:bidi w:val="0"/>
              <w:spacing w:before="0" w:after="20"/>
              <w:jc w:val="left"/>
              <w:rPr/>
            </w:pPr>
            <w:r>
              <w:rPr/>
              <w:t> </w:t>
            </w:r>
          </w:p>
        </w:tc>
        <w:tc>
          <w:tcPr>
            <w:tcW w:w="8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337" w:type="dxa"/>
            <w:vMerge w:val="continue"/>
            <w:tcBorders/>
            <w:vAlign w:val="center"/>
          </w:tcPr>
          <w:p>
            <w:pPr>
              <w:pStyle w:val="Normal"/>
              <w:bidi w:val="0"/>
              <w:jc w:val="left"/>
              <w:rPr/>
            </w:pPr>
            <w:r>
              <w:rPr/>
            </w:r>
          </w:p>
        </w:tc>
        <w:tc>
          <w:tcPr>
            <w:tcW w:w="60" w:type="dxa"/>
            <w:tcBorders>
              <w:left w:val="single" w:sz="48" w:space="0" w:color="FFFFFF"/>
            </w:tcBorders>
            <w:tcMar>
              <w:left w:w="28" w:type="dxa"/>
            </w:tcMar>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8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3247"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Operating Efficiency Ratio(4)</w:t>
            </w:r>
          </w:p>
          <w:p>
            <w:pPr>
              <w:pStyle w:val="TableContents"/>
              <w:bidi w:val="0"/>
              <w:spacing w:before="0" w:after="20"/>
              <w:jc w:val="left"/>
              <w:rPr/>
            </w:pPr>
            <w:r>
              <w:rPr/>
              <w:t> </w:t>
            </w:r>
          </w:p>
        </w:tc>
        <w:tc>
          <w:tcPr>
            <w:tcW w:w="8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372"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43.3%</w:t>
            </w:r>
          </w:p>
          <w:p>
            <w:pPr>
              <w:pStyle w:val="TableContents"/>
              <w:bidi w:val="0"/>
              <w:spacing w:before="0" w:after="20"/>
              <w:jc w:val="left"/>
              <w:rPr/>
            </w:pPr>
            <w:r>
              <w:rPr/>
              <w:t> </w:t>
            </w:r>
          </w:p>
        </w:tc>
        <w:tc>
          <w:tcPr>
            <w:tcW w:w="8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372"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44.3%</w:t>
            </w:r>
          </w:p>
        </w:tc>
        <w:tc>
          <w:tcPr>
            <w:tcW w:w="8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337" w:type="dxa"/>
            <w:tcBorders/>
            <w:vAlign w:val="center"/>
          </w:tcPr>
          <w:p>
            <w:pPr>
              <w:pStyle w:val="TableContents"/>
              <w:bidi w:val="0"/>
              <w:spacing w:before="0" w:after="283"/>
              <w:jc w:val="left"/>
              <w:rPr>
                <w:sz w:val="4"/>
                <w:szCs w:val="4"/>
              </w:rPr>
            </w:pPr>
            <w:r>
              <w:rPr>
                <w:sz w:val="4"/>
                <w:szCs w:val="4"/>
              </w:rPr>
            </w:r>
          </w:p>
        </w:tc>
        <w:tc>
          <w:tcPr>
            <w:tcW w:w="60" w:type="dxa"/>
            <w:tcBorders>
              <w:left w:val="single" w:sz="48" w:space="0" w:color="FFFFFF"/>
            </w:tcBorders>
            <w:tcMar>
              <w:left w:w="28" w:type="dxa"/>
            </w:tcMar>
            <w:vAlign w:val="center"/>
          </w:tcPr>
          <w:p>
            <w:pPr>
              <w:pStyle w:val="TableContents"/>
              <w:bidi w:val="0"/>
              <w:spacing w:before="0" w:after="283"/>
              <w:jc w:val="left"/>
              <w:rPr/>
            </w:pPr>
            <w:r>
              <w:rPr/>
              <w:t> </w:t>
            </w:r>
          </w:p>
        </w:tc>
        <w:tc>
          <w:tcPr>
            <w:tcW w:w="8504" w:type="dxa"/>
            <w:gridSpan w:val="22"/>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Net Revenue of $39.1 billion, an increase of 6% from 2023</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Net Income of $4.8 billion, a 3% decrease from 2023</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Diluted EPS of $11.59. Adjusted diluted EPS(1)(5) of $13.96, up 12% from 2023</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Adjusted operating efficiency ratio(1)(4) of 42.4%, an improvement from 43.5% in 2023</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ROTCE(3) of 11.2% compared to 13.0% in 2023. ROA was 1.0%, five bps below 2023</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Tangible Book Value per common share(6) of $106.97, an increase of 7% from 2023</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Strong allowance coverage ratio of 5.0% at December 31, 2024, compared to 4.8% at December 31, 2023</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Total capital distribution to common stockholders was $1.5 billion as we completed $553 million in share repurchases and paid $937 million in common dividends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Ending 2024 stock price of $178.32, up 36% from 2023. TSR of 38.3%, 30.4%, and 89.4% over one-, three-, and five-year periods, respectively, through the period ended December 31, 2024, significantly outperforming the TSR of the KBW Bank Index, which was 37.2%, 6.9%, and 32.6% over the same three time periods</w:t>
            </w:r>
          </w:p>
          <w:p>
            <w:pPr>
              <w:pStyle w:val="TableContents"/>
              <w:bidi w:val="0"/>
              <w:spacing w:before="0" w:after="20"/>
              <w:jc w:val="left"/>
              <w:rPr/>
            </w:pPr>
            <w:r>
              <w:rPr/>
              <w:t> </w:t>
            </w:r>
          </w:p>
        </w:tc>
        <w:tc>
          <w:tcPr>
            <w:tcW w:w="304"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r>
      <w:tr>
        <w:trPr/>
        <w:tc>
          <w:tcPr>
            <w:tcW w:w="1337" w:type="dxa"/>
            <w:tcBorders/>
            <w:shd w:fill="003A5D" w:val="clear"/>
            <w:vAlign w:val="center"/>
          </w:tcPr>
          <w:p>
            <w:pPr>
              <w:pStyle w:val="TableContents"/>
              <w:bidi w:val="0"/>
              <w:spacing w:before="0" w:after="283"/>
              <w:jc w:val="left"/>
              <w:rPr>
                <w:sz w:val="4"/>
                <w:szCs w:val="4"/>
              </w:rPr>
            </w:pPr>
            <w:r>
              <w:rPr>
                <w:sz w:val="4"/>
                <w:szCs w:val="4"/>
              </w:rPr>
            </w:r>
          </w:p>
        </w:tc>
        <w:tc>
          <w:tcPr>
            <w:tcW w:w="60" w:type="dxa"/>
            <w:tcBorders>
              <w:left w:val="single" w:sz="48" w:space="0" w:color="FFFFFF"/>
            </w:tcBorders>
            <w:shd w:fill="003A5D" w:val="clear"/>
            <w:tcMar>
              <w:left w:w="28" w:type="dxa"/>
            </w:tcMar>
            <w:vAlign w:val="center"/>
          </w:tcPr>
          <w:p>
            <w:pPr>
              <w:pStyle w:val="TableContents"/>
              <w:bidi w:val="0"/>
              <w:spacing w:before="0" w:after="283"/>
              <w:jc w:val="left"/>
              <w:rPr/>
            </w:pPr>
            <w:r>
              <w:rPr/>
              <w:t> </w:t>
            </w:r>
          </w:p>
        </w:tc>
        <w:tc>
          <w:tcPr>
            <w:tcW w:w="635" w:type="dxa"/>
            <w:tcBorders/>
            <w:shd w:fill="003A5D" w:val="clear"/>
            <w:vAlign w:val="center"/>
          </w:tcPr>
          <w:p>
            <w:pPr>
              <w:pStyle w:val="TableContents"/>
              <w:bidi w:val="0"/>
              <w:spacing w:before="0" w:after="283"/>
              <w:jc w:val="left"/>
              <w:rPr>
                <w:sz w:val="4"/>
                <w:szCs w:val="4"/>
              </w:rPr>
            </w:pPr>
            <w:r>
              <w:rPr>
                <w:sz w:val="4"/>
                <w:szCs w:val="4"/>
              </w:rPr>
            </w:r>
          </w:p>
        </w:tc>
        <w:tc>
          <w:tcPr>
            <w:tcW w:w="80" w:type="dxa"/>
            <w:tcBorders/>
            <w:shd w:fill="003A5D" w:val="clear"/>
            <w:vAlign w:val="center"/>
          </w:tcPr>
          <w:p>
            <w:pPr>
              <w:pStyle w:val="TableContents"/>
              <w:bidi w:val="0"/>
              <w:spacing w:before="0" w:after="283"/>
              <w:jc w:val="left"/>
              <w:rPr/>
            </w:pPr>
            <w:r>
              <w:rPr/>
              <w:t> </w:t>
            </w:r>
          </w:p>
        </w:tc>
        <w:tc>
          <w:tcPr>
            <w:tcW w:w="3247" w:type="dxa"/>
            <w:tcBorders/>
            <w:shd w:fill="003A5D" w:val="clear"/>
            <w:vAlign w:val="center"/>
          </w:tcPr>
          <w:p>
            <w:pPr>
              <w:pStyle w:val="TableContents"/>
              <w:bidi w:val="0"/>
              <w:spacing w:before="0" w:after="283"/>
              <w:jc w:val="left"/>
              <w:rPr>
                <w:sz w:val="4"/>
                <w:szCs w:val="4"/>
              </w:rPr>
            </w:pPr>
            <w:r>
              <w:rPr>
                <w:sz w:val="4"/>
                <w:szCs w:val="4"/>
              </w:rPr>
            </w:r>
          </w:p>
        </w:tc>
        <w:tc>
          <w:tcPr>
            <w:tcW w:w="80" w:type="dxa"/>
            <w:tcBorders/>
            <w:shd w:fill="003A5D" w:val="clear"/>
            <w:vAlign w:val="center"/>
          </w:tcPr>
          <w:p>
            <w:pPr>
              <w:pStyle w:val="TableContents"/>
              <w:bidi w:val="0"/>
              <w:spacing w:before="0" w:after="283"/>
              <w:jc w:val="left"/>
              <w:rPr/>
            </w:pPr>
            <w:r>
              <w:rPr/>
              <w:t> </w:t>
            </w:r>
          </w:p>
        </w:tc>
        <w:tc>
          <w:tcPr>
            <w:tcW w:w="30" w:type="dxa"/>
            <w:tcBorders/>
            <w:shd w:fill="003A5D" w:val="clear"/>
            <w:vAlign w:val="center"/>
          </w:tcPr>
          <w:p>
            <w:pPr>
              <w:pStyle w:val="TableContents"/>
              <w:bidi w:val="0"/>
              <w:spacing w:before="0" w:after="283"/>
              <w:jc w:val="left"/>
              <w:rPr>
                <w:sz w:val="4"/>
                <w:szCs w:val="4"/>
              </w:rPr>
            </w:pPr>
            <w:r>
              <w:rPr>
                <w:sz w:val="4"/>
                <w:szCs w:val="4"/>
              </w:rPr>
            </w:r>
          </w:p>
        </w:tc>
        <w:tc>
          <w:tcPr>
            <w:tcW w:w="30" w:type="dxa"/>
            <w:tcBorders/>
            <w:shd w:fill="003A5D" w:val="clear"/>
            <w:vAlign w:val="center"/>
          </w:tcPr>
          <w:p>
            <w:pPr>
              <w:pStyle w:val="TableContents"/>
              <w:bidi w:val="0"/>
              <w:spacing w:before="0" w:after="283"/>
              <w:jc w:val="left"/>
              <w:rPr>
                <w:sz w:val="4"/>
                <w:szCs w:val="4"/>
              </w:rPr>
            </w:pPr>
            <w:r>
              <w:rPr>
                <w:sz w:val="4"/>
                <w:szCs w:val="4"/>
              </w:rPr>
            </w:r>
          </w:p>
        </w:tc>
        <w:tc>
          <w:tcPr>
            <w:tcW w:w="30" w:type="dxa"/>
            <w:tcBorders/>
            <w:shd w:fill="003A5D" w:val="clear"/>
            <w:vAlign w:val="center"/>
          </w:tcPr>
          <w:p>
            <w:pPr>
              <w:pStyle w:val="TableContents"/>
              <w:bidi w:val="0"/>
              <w:spacing w:before="0" w:after="283"/>
              <w:jc w:val="left"/>
              <w:rPr>
                <w:sz w:val="4"/>
                <w:szCs w:val="4"/>
              </w:rPr>
            </w:pPr>
            <w:r>
              <w:rPr>
                <w:sz w:val="4"/>
                <w:szCs w:val="4"/>
              </w:rPr>
            </w:r>
          </w:p>
        </w:tc>
        <w:tc>
          <w:tcPr>
            <w:tcW w:w="160" w:type="dxa"/>
            <w:tcBorders/>
            <w:shd w:fill="003A5D" w:val="clear"/>
            <w:vAlign w:val="center"/>
          </w:tcPr>
          <w:p>
            <w:pPr>
              <w:pStyle w:val="TableContents"/>
              <w:bidi w:val="0"/>
              <w:spacing w:before="0" w:after="283"/>
              <w:jc w:val="left"/>
              <w:rPr/>
            </w:pPr>
            <w:r>
              <w:rPr/>
              <w:t>  </w:t>
            </w:r>
          </w:p>
        </w:tc>
        <w:tc>
          <w:tcPr>
            <w:tcW w:w="80" w:type="dxa"/>
            <w:tcBorders/>
            <w:shd w:fill="003A5D" w:val="clear"/>
            <w:vAlign w:val="center"/>
          </w:tcPr>
          <w:p>
            <w:pPr>
              <w:pStyle w:val="TableContents"/>
              <w:bidi w:val="0"/>
              <w:spacing w:before="0" w:after="283"/>
              <w:jc w:val="left"/>
              <w:rPr>
                <w:sz w:val="4"/>
                <w:szCs w:val="4"/>
              </w:rPr>
            </w:pPr>
            <w:r>
              <w:rPr>
                <w:sz w:val="4"/>
                <w:szCs w:val="4"/>
              </w:rPr>
            </w:r>
          </w:p>
        </w:tc>
        <w:tc>
          <w:tcPr>
            <w:tcW w:w="1372" w:type="dxa"/>
            <w:tcBorders/>
            <w:shd w:fill="003A5D" w:val="clear"/>
            <w:vAlign w:val="center"/>
          </w:tcPr>
          <w:p>
            <w:pPr>
              <w:pStyle w:val="TableContents"/>
              <w:bidi w:val="0"/>
              <w:spacing w:before="0" w:after="283"/>
              <w:jc w:val="left"/>
              <w:rPr>
                <w:sz w:val="4"/>
                <w:szCs w:val="4"/>
              </w:rPr>
            </w:pPr>
            <w:r>
              <w:rPr>
                <w:sz w:val="4"/>
                <w:szCs w:val="4"/>
              </w:rPr>
            </w:r>
          </w:p>
        </w:tc>
        <w:tc>
          <w:tcPr>
            <w:tcW w:w="80" w:type="dxa"/>
            <w:tcBorders/>
            <w:shd w:fill="003A5D" w:val="clear"/>
            <w:vAlign w:val="center"/>
          </w:tcPr>
          <w:p>
            <w:pPr>
              <w:pStyle w:val="TableContents"/>
              <w:bidi w:val="0"/>
              <w:spacing w:before="0" w:after="283"/>
              <w:jc w:val="left"/>
              <w:rPr>
                <w:sz w:val="4"/>
                <w:szCs w:val="4"/>
              </w:rPr>
            </w:pPr>
            <w:r>
              <w:rPr>
                <w:sz w:val="4"/>
                <w:szCs w:val="4"/>
              </w:rPr>
            </w:r>
          </w:p>
        </w:tc>
        <w:tc>
          <w:tcPr>
            <w:tcW w:w="80" w:type="dxa"/>
            <w:tcBorders/>
            <w:shd w:fill="003A5D" w:val="clear"/>
            <w:vAlign w:val="center"/>
          </w:tcPr>
          <w:p>
            <w:pPr>
              <w:pStyle w:val="TableContents"/>
              <w:bidi w:val="0"/>
              <w:spacing w:before="0" w:after="283"/>
              <w:jc w:val="left"/>
              <w:rPr/>
            </w:pPr>
            <w:r>
              <w:rPr/>
              <w:t> </w:t>
            </w:r>
          </w:p>
        </w:tc>
        <w:tc>
          <w:tcPr>
            <w:tcW w:w="30" w:type="dxa"/>
            <w:tcBorders/>
            <w:shd w:fill="003A5D" w:val="clear"/>
            <w:vAlign w:val="center"/>
          </w:tcPr>
          <w:p>
            <w:pPr>
              <w:pStyle w:val="TableContents"/>
              <w:bidi w:val="0"/>
              <w:spacing w:before="0" w:after="283"/>
              <w:jc w:val="left"/>
              <w:rPr>
                <w:sz w:val="4"/>
                <w:szCs w:val="4"/>
              </w:rPr>
            </w:pPr>
            <w:r>
              <w:rPr>
                <w:sz w:val="4"/>
                <w:szCs w:val="4"/>
              </w:rPr>
            </w:r>
          </w:p>
        </w:tc>
        <w:tc>
          <w:tcPr>
            <w:tcW w:w="30" w:type="dxa"/>
            <w:tcBorders/>
            <w:shd w:fill="003A5D" w:val="clear"/>
            <w:vAlign w:val="center"/>
          </w:tcPr>
          <w:p>
            <w:pPr>
              <w:pStyle w:val="TableContents"/>
              <w:bidi w:val="0"/>
              <w:spacing w:before="0" w:after="283"/>
              <w:jc w:val="left"/>
              <w:rPr>
                <w:sz w:val="4"/>
                <w:szCs w:val="4"/>
              </w:rPr>
            </w:pPr>
            <w:r>
              <w:rPr>
                <w:sz w:val="4"/>
                <w:szCs w:val="4"/>
              </w:rPr>
            </w:r>
          </w:p>
        </w:tc>
        <w:tc>
          <w:tcPr>
            <w:tcW w:w="30" w:type="dxa"/>
            <w:tcBorders/>
            <w:shd w:fill="003A5D" w:val="clear"/>
            <w:vAlign w:val="center"/>
          </w:tcPr>
          <w:p>
            <w:pPr>
              <w:pStyle w:val="TableContents"/>
              <w:bidi w:val="0"/>
              <w:spacing w:before="0" w:after="283"/>
              <w:jc w:val="left"/>
              <w:rPr>
                <w:sz w:val="4"/>
                <w:szCs w:val="4"/>
              </w:rPr>
            </w:pPr>
            <w:r>
              <w:rPr>
                <w:sz w:val="4"/>
                <w:szCs w:val="4"/>
              </w:rPr>
            </w:r>
          </w:p>
        </w:tc>
        <w:tc>
          <w:tcPr>
            <w:tcW w:w="160" w:type="dxa"/>
            <w:tcBorders/>
            <w:shd w:fill="003A5D" w:val="clear"/>
            <w:vAlign w:val="center"/>
          </w:tcPr>
          <w:p>
            <w:pPr>
              <w:pStyle w:val="TableContents"/>
              <w:bidi w:val="0"/>
              <w:spacing w:before="0" w:after="283"/>
              <w:jc w:val="left"/>
              <w:rPr/>
            </w:pPr>
            <w:r>
              <w:rPr/>
              <w:t>  </w:t>
            </w:r>
          </w:p>
        </w:tc>
        <w:tc>
          <w:tcPr>
            <w:tcW w:w="80" w:type="dxa"/>
            <w:tcBorders/>
            <w:shd w:fill="003A5D" w:val="clear"/>
            <w:vAlign w:val="center"/>
          </w:tcPr>
          <w:p>
            <w:pPr>
              <w:pStyle w:val="TableContents"/>
              <w:bidi w:val="0"/>
              <w:spacing w:before="0" w:after="283"/>
              <w:jc w:val="left"/>
              <w:rPr>
                <w:sz w:val="4"/>
                <w:szCs w:val="4"/>
              </w:rPr>
            </w:pPr>
            <w:r>
              <w:rPr>
                <w:sz w:val="4"/>
                <w:szCs w:val="4"/>
              </w:rPr>
            </w:r>
          </w:p>
        </w:tc>
        <w:tc>
          <w:tcPr>
            <w:tcW w:w="1372" w:type="dxa"/>
            <w:tcBorders/>
            <w:shd w:fill="003A5D" w:val="clear"/>
            <w:vAlign w:val="center"/>
          </w:tcPr>
          <w:p>
            <w:pPr>
              <w:pStyle w:val="TableContents"/>
              <w:bidi w:val="0"/>
              <w:spacing w:before="0" w:after="283"/>
              <w:jc w:val="left"/>
              <w:rPr>
                <w:sz w:val="4"/>
                <w:szCs w:val="4"/>
              </w:rPr>
            </w:pPr>
            <w:r>
              <w:rPr>
                <w:sz w:val="4"/>
                <w:szCs w:val="4"/>
              </w:rPr>
            </w:r>
          </w:p>
        </w:tc>
        <w:tc>
          <w:tcPr>
            <w:tcW w:w="80" w:type="dxa"/>
            <w:tcBorders/>
            <w:shd w:fill="003A5D" w:val="clear"/>
            <w:vAlign w:val="center"/>
          </w:tcPr>
          <w:p>
            <w:pPr>
              <w:pStyle w:val="TableContents"/>
              <w:bidi w:val="0"/>
              <w:spacing w:before="0" w:after="283"/>
              <w:jc w:val="left"/>
              <w:rPr>
                <w:sz w:val="4"/>
                <w:szCs w:val="4"/>
              </w:rPr>
            </w:pPr>
            <w:r>
              <w:rPr>
                <w:sz w:val="4"/>
                <w:szCs w:val="4"/>
              </w:rPr>
            </w:r>
          </w:p>
        </w:tc>
        <w:tc>
          <w:tcPr>
            <w:tcW w:w="160" w:type="dxa"/>
            <w:tcBorders/>
            <w:shd w:fill="003A5D" w:val="clear"/>
            <w:vAlign w:val="center"/>
          </w:tcPr>
          <w:p>
            <w:pPr>
              <w:pStyle w:val="TableContents"/>
              <w:bidi w:val="0"/>
              <w:spacing w:before="0" w:after="283"/>
              <w:jc w:val="left"/>
              <w:rPr/>
            </w:pPr>
            <w:r>
              <w:rPr/>
              <w:t>  </w:t>
            </w:r>
          </w:p>
        </w:tc>
        <w:tc>
          <w:tcPr>
            <w:tcW w:w="80" w:type="dxa"/>
            <w:tcBorders/>
            <w:shd w:fill="003A5D" w:val="clear"/>
            <w:vAlign w:val="center"/>
          </w:tcPr>
          <w:p>
            <w:pPr>
              <w:pStyle w:val="TableContents"/>
              <w:bidi w:val="0"/>
              <w:spacing w:before="0" w:after="283"/>
              <w:jc w:val="left"/>
              <w:rPr>
                <w:sz w:val="4"/>
                <w:szCs w:val="4"/>
              </w:rPr>
            </w:pPr>
            <w:r>
              <w:rPr>
                <w:sz w:val="4"/>
                <w:szCs w:val="4"/>
              </w:rPr>
            </w:r>
          </w:p>
        </w:tc>
        <w:tc>
          <w:tcPr>
            <w:tcW w:w="578" w:type="dxa"/>
            <w:tcBorders/>
            <w:shd w:fill="003A5D" w:val="clear"/>
            <w:vAlign w:val="center"/>
          </w:tcPr>
          <w:p>
            <w:pPr>
              <w:pStyle w:val="TableContents"/>
              <w:bidi w:val="0"/>
              <w:spacing w:before="0" w:after="283"/>
              <w:jc w:val="left"/>
              <w:rPr>
                <w:sz w:val="4"/>
                <w:szCs w:val="4"/>
              </w:rPr>
            </w:pPr>
            <w:r>
              <w:rPr>
                <w:sz w:val="4"/>
                <w:szCs w:val="4"/>
              </w:rPr>
            </w:r>
          </w:p>
        </w:tc>
        <w:tc>
          <w:tcPr>
            <w:tcW w:w="304" w:type="dxa"/>
            <w:tcBorders/>
            <w:shd w:fill="003A5D"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both"/>
              <w:rPr>
                <w:rFonts w:ascii="arial" w:hAnsi="arial"/>
                <w:sz w:val="16"/>
              </w:rPr>
            </w:pPr>
            <w:r>
              <w:rPr>
                <w:rFonts w:ascii="arial" w:hAnsi="arial"/>
                <w:sz w:val="16"/>
              </w:rPr>
              <w:t xml:space="preserve">The Committee considers these metrics to be key financial performance measures in its assessment of the Company’s performance, including certain non-GAAP measures. We believe our non-GAAP measures help investors and other users of our financial information understand the effect of adjusting items on our selected reported results. These measures may not be comparable to similarly-titled measures reported by other companies. See Appendix A for our definition and reconciliation of these non-GAAP measures to the applicable amounts measured in accordance with GAAP.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(2)</w:t>
            </w:r>
          </w:p>
        </w:tc>
        <w:tc>
          <w:tcPr>
            <w:tcW w:w="9953" w:type="dxa"/>
            <w:tcBorders/>
            <w:vAlign w:val="center"/>
          </w:tcPr>
          <w:p>
            <w:pPr>
              <w:pStyle w:val="TableContents"/>
              <w:bidi w:val="0"/>
              <w:spacing w:before="0" w:after="0"/>
              <w:jc w:val="both"/>
              <w:rPr>
                <w:rFonts w:ascii="arial" w:hAnsi="arial"/>
                <w:sz w:val="16"/>
              </w:rPr>
            </w:pPr>
            <w:r>
              <w:rPr>
                <w:rFonts w:ascii="arial" w:hAnsi="arial"/>
                <w:sz w:val="16"/>
              </w:rPr>
              <w:t xml:space="preserve">Pre-provision earnings is a non-GAAP metric calculated based on total net revenue less non-interest expense for the period. Management believes that this financial metric is useful in assessing the ability of a lending institution to generate income in excess of its provision for credit losses. See Appendix A for our reconciliation of these non-GAAP measures to the applicable amounts measured in accordance with GAAP.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0"/>
              <w:jc w:val="both"/>
              <w:rPr>
                <w:rFonts w:ascii="arial" w:hAnsi="arial"/>
                <w:sz w:val="16"/>
              </w:rPr>
            </w:pPr>
            <w:r>
              <w:rPr>
                <w:rFonts w:ascii="arial" w:hAnsi="arial"/>
                <w:sz w:val="16"/>
              </w:rPr>
              <w:t xml:space="preserve">ROTCE is a non-GAAP measure calculated based on annualized net income (loss) available to common stockholders less income (loss) from discontinued operations, net of tax, for the period, divided by average tangible common equity. We consider this metric to be a key financial performance measure that management uses in assessing capital adequacy and the level of returns generated. While this non-GAAP measure is widely used by investors, analysts and bank regulatory agencies to assess the operating performance and capital position of financial services companies, it may not be comparable to similarly-titled measures reported by other companies. See Appendix A for our reconciliation of this non-GAAP measure to the applicable amounts measured in accordance with GAAP.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(4)</w:t>
            </w:r>
          </w:p>
        </w:tc>
        <w:tc>
          <w:tcPr>
            <w:tcW w:w="9950" w:type="dxa"/>
            <w:tcBorders/>
            <w:vAlign w:val="center"/>
          </w:tcPr>
          <w:p>
            <w:pPr>
              <w:pStyle w:val="TableContents"/>
              <w:bidi w:val="0"/>
              <w:spacing w:before="0" w:after="0"/>
              <w:jc w:val="both"/>
              <w:rPr>
                <w:rFonts w:ascii="arial" w:hAnsi="arial"/>
                <w:sz w:val="16"/>
              </w:rPr>
            </w:pPr>
            <w:r>
              <w:rPr>
                <w:rFonts w:ascii="arial" w:hAnsi="arial"/>
                <w:sz w:val="16"/>
              </w:rPr>
              <w:t xml:space="preserve">Operating efficiency ratio is calculated based on operating expense for the period divided by total net revenue for the period and reflects as-reported results in accordance with GAAP. Adjusted operating efficiency ratio is a non-GAAP measure. See Appendix A for our reconciliation of the non-GAAP measures to the applicable amounts measured in accordance with GAAP.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75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left"/>
              <w:rPr>
                <w:b/>
                <w:color w:val="003A5D"/>
              </w:rPr>
            </w:pPr>
            <w:r>
              <w:rPr>
                <w:b/>
                <w:color w:val="003A5D"/>
              </w:rPr>
              <w:t>Section V - Compensation Discussion and Analysis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(5)</w:t>
            </w:r>
          </w:p>
        </w:tc>
        <w:tc>
          <w:tcPr>
            <w:tcW w:w="9918" w:type="dxa"/>
            <w:tcBorders/>
            <w:vAlign w:val="center"/>
          </w:tcPr>
          <w:p>
            <w:pPr>
              <w:pStyle w:val="TableContents"/>
              <w:bidi w:val="0"/>
              <w:spacing w:before="0" w:after="0"/>
              <w:jc w:val="both"/>
              <w:rPr>
                <w:rFonts w:ascii="arial" w:hAnsi="arial"/>
                <w:sz w:val="16"/>
              </w:rPr>
            </w:pPr>
            <w:r>
              <w:rPr>
                <w:rFonts w:ascii="arial" w:hAnsi="arial"/>
                <w:sz w:val="16"/>
              </w:rPr>
              <w:t xml:space="preserve">Adjusted diluted EPS is a non-GAAP measure. See Appendix A for our reconciliation of this non-GAAP measure to the applicable amount measured in accordance with GAAP.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(6)</w:t>
            </w:r>
          </w:p>
        </w:tc>
        <w:tc>
          <w:tcPr>
            <w:tcW w:w="9962" w:type="dxa"/>
            <w:tcBorders/>
            <w:vAlign w:val="center"/>
          </w:tcPr>
          <w:p>
            <w:pPr>
              <w:pStyle w:val="TableContents"/>
              <w:bidi w:val="0"/>
              <w:spacing w:before="0" w:after="0"/>
              <w:jc w:val="both"/>
              <w:rPr>
                <w:rFonts w:ascii="arial" w:hAnsi="arial"/>
                <w:sz w:val="16"/>
              </w:rPr>
            </w:pPr>
            <w:r>
              <w:rPr>
                <w:rFonts w:ascii="arial" w:hAnsi="arial"/>
                <w:sz w:val="16"/>
              </w:rPr>
              <w:t xml:space="preserve">Tangible book value per common share is a non-GAAP measure calculated based on tangible common equity divided by common shares outstanding. We consider this metric to be a key financial performance measure that management uses in assessing capital adequacy and the level of returns generated. While this non-GAAP measure is widely used by investors, analysts and bank regulatory agencies to assess the operating performance and capital position of financial services companies, it may not be comparable to similarly-titled measures reported by other companies. See Appendix A for our reconciliation of this non-GAAP measure to the applicable amounts measured in accordance with GAAP.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5"/>
        <w:gridCol w:w="60"/>
        <w:gridCol w:w="7360"/>
      </w:tblGrid>
      <w:tr>
        <w:trPr/>
        <w:tc>
          <w:tcPr>
            <w:tcW w:w="2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6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3A5D" w:val="clear"/>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32" w:space="0" w:color="FFFFFF"/>
            </w:tcBorders>
            <w:shd w:fill="003A5D" w:val="clear"/>
            <w:tcMar>
              <w:bottom w:w="120" w:type="dxa"/>
            </w:tcMar>
            <w:vAlign w:val="center"/>
          </w:tcPr>
          <w:p>
            <w:pPr>
              <w:pStyle w:val="TableContents"/>
              <w:bidi w:val="0"/>
              <w:spacing w:before="0" w:after="283"/>
              <w:jc w:val="center"/>
              <w:rPr>
                <w:b/>
                <w:color w:val="FFFFFF"/>
              </w:rPr>
            </w:pPr>
            <w:r>
              <w:rPr>
                <w:b/>
                <w:color w:val="FFFFFF"/>
              </w:rPr>
              <w:t>Governance and Risk Management</w:t>
            </w:r>
          </w:p>
        </w:tc>
      </w:tr>
      <w:tr>
        <w:trPr/>
        <w:tc>
          <w:tcPr>
            <w:tcW w:w="2785" w:type="dxa"/>
            <w:tcBorders/>
            <w:shd w:fill="003A5D" w:val="clear"/>
            <w:vAlign w:val="center"/>
          </w:tcPr>
          <w:p>
            <w:pPr>
              <w:pStyle w:val="TableContents"/>
              <w:bidi w:val="0"/>
              <w:spacing w:before="0" w:after="283"/>
              <w:jc w:val="left"/>
              <w:rPr>
                <w:sz w:val="4"/>
                <w:szCs w:val="4"/>
              </w:rPr>
            </w:pPr>
            <w:r>
              <w:rPr>
                <w:sz w:val="4"/>
                <w:szCs w:val="4"/>
              </w:rPr>
            </w:r>
          </w:p>
        </w:tc>
        <w:tc>
          <w:tcPr>
            <w:tcW w:w="7420" w:type="dxa"/>
            <w:gridSpan w:val="2"/>
            <w:tcBorders>
              <w:left w:val="single" w:sz="32" w:space="0" w:color="FFFFFF"/>
            </w:tcBorders>
            <w:shd w:fill="003A5D" w:val="clear"/>
            <w:tcMar>
              <w:left w:w="28" w:type="dxa"/>
            </w:tcMar>
            <w:vAlign w:val="center"/>
          </w:tcPr>
          <w:p>
            <w:pPr>
              <w:pStyle w:val="TableContents"/>
              <w:bidi w:val="0"/>
              <w:spacing w:before="0" w:after="283"/>
              <w:jc w:val="left"/>
              <w:rPr/>
            </w:pPr>
            <w:r>
              <w:rPr/>
              <w:t> </w:t>
            </w:r>
          </w:p>
        </w:tc>
      </w:tr>
      <w:tr>
        <w:trPr/>
        <w:tc>
          <w:tcPr>
            <w:tcW w:w="2785"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Performance Factor</w:t>
            </w:r>
          </w:p>
        </w:tc>
        <w:tc>
          <w:tcPr>
            <w:tcW w:w="60" w:type="dxa"/>
            <w:tcBorders>
              <w:left w:val="single" w:sz="32" w:space="0" w:color="FFFFFF"/>
            </w:tcBorders>
            <w:shd w:fill="003A5D" w:val="clear"/>
            <w:tcMar>
              <w:left w:w="28" w:type="dxa"/>
            </w:tcMar>
            <w:vAlign w:val="center"/>
          </w:tcPr>
          <w:p>
            <w:pPr>
              <w:pStyle w:val="TableContents"/>
              <w:bidi w:val="0"/>
              <w:spacing w:before="0" w:after="283"/>
              <w:jc w:val="left"/>
              <w:rPr/>
            </w:pPr>
            <w:r>
              <w:rPr/>
              <w:t> </w:t>
            </w:r>
          </w:p>
        </w:tc>
        <w:tc>
          <w:tcPr>
            <w:tcW w:w="7360"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2024 Performance</w:t>
            </w:r>
          </w:p>
        </w:tc>
      </w:tr>
      <w:tr>
        <w:trPr/>
        <w:tc>
          <w:tcPr>
            <w:tcW w:w="2785" w:type="dxa"/>
            <w:tcBorders/>
            <w:vAlign w:val="center"/>
          </w:tcPr>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Credit performance and underwriting quality</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Risk management and compliance</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Balance sheet strength</w:t>
            </w:r>
          </w:p>
          <w:p>
            <w:pPr>
              <w:pStyle w:val="TableContents"/>
              <w:bidi w:val="0"/>
              <w:spacing w:before="0" w:after="0"/>
              <w:jc w:val="left"/>
              <w:rPr/>
            </w:pPr>
            <w:r>
              <w:rPr/>
              <w:t> </w:t>
            </w:r>
          </w:p>
          <w:p>
            <w:pPr>
              <w:pStyle w:val="TableContents"/>
              <w:bidi w:val="0"/>
              <w:spacing w:before="0" w:after="20"/>
              <w:jc w:val="left"/>
              <w:rPr/>
            </w:pPr>
            <w:r>
              <w:rPr>
                <w:color w:val="003A5D"/>
              </w:rPr>
              <w:t>∎</w:t>
            </w:r>
            <w:r>
              <w:rPr/>
              <w:t>   </w:t>
            </w:r>
            <w:r>
              <w:rPr>
                <w:rFonts w:ascii="arial" w:hAnsi="arial"/>
                <w:sz w:val="18"/>
              </w:rPr>
              <w:t>Board and executive governance</w:t>
            </w:r>
          </w:p>
        </w:tc>
        <w:tc>
          <w:tcPr>
            <w:tcW w:w="60" w:type="dxa"/>
            <w:tcBorders>
              <w:left w:val="single" w:sz="32" w:space="0" w:color="FFFFFF"/>
            </w:tcBorders>
            <w:tcMar>
              <w:left w:w="28" w:type="dxa"/>
            </w:tcMar>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Net charge-off rate was 3.4%. Net charge-off rate in our Domestic Card business was 5.9%</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Provision for credit losses of $11.7 billion for 2024 compared to $10.4 billion in 2023, primarily as a result of charge-off normalization</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Solid line of business credit loss performance in Card, Auto, and Commercial as compared to market and peer benchmarks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Common equity Tier 1 capital ratio(1) of 13.5%, significantly above regulatory requirements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Strong compliance, operational, cyber, and enterprise risk management programs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Capital One demonstrated strong, sustainable, and well-managed cyber risk management</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Active Board engagement and oversight of long-term strategy, culture and values, risk management, talent management, and succession planning</w:t>
            </w:r>
          </w:p>
          <w:p>
            <w:pPr>
              <w:pStyle w:val="TableContents"/>
              <w:bidi w:val="0"/>
              <w:spacing w:before="0" w:after="20"/>
              <w:jc w:val="left"/>
              <w:rPr/>
            </w:pPr>
            <w:r>
              <w:rPr/>
              <w:t> </w:t>
            </w:r>
          </w:p>
        </w:tc>
      </w:tr>
      <w:tr>
        <w:trPr/>
        <w:tc>
          <w:tcPr>
            <w:tcW w:w="2785" w:type="dxa"/>
            <w:tcBorders/>
            <w:shd w:fill="003A5D" w:val="clear"/>
            <w:vAlign w:val="center"/>
          </w:tcPr>
          <w:p>
            <w:pPr>
              <w:pStyle w:val="TableContents"/>
              <w:bidi w:val="0"/>
              <w:spacing w:before="0" w:after="283"/>
              <w:jc w:val="left"/>
              <w:rPr>
                <w:sz w:val="4"/>
                <w:szCs w:val="4"/>
              </w:rPr>
            </w:pPr>
            <w:r>
              <w:rPr>
                <w:sz w:val="4"/>
                <w:szCs w:val="4"/>
              </w:rPr>
            </w:r>
          </w:p>
        </w:tc>
        <w:tc>
          <w:tcPr>
            <w:tcW w:w="60" w:type="dxa"/>
            <w:tcBorders>
              <w:left w:val="single" w:sz="32" w:space="0" w:color="FFFFFF"/>
            </w:tcBorders>
            <w:shd w:fill="003A5D" w:val="clear"/>
            <w:tcMar>
              <w:left w:w="28" w:type="dxa"/>
            </w:tcMar>
            <w:vAlign w:val="center"/>
          </w:tcPr>
          <w:p>
            <w:pPr>
              <w:pStyle w:val="TableContents"/>
              <w:bidi w:val="0"/>
              <w:spacing w:before="0" w:after="283"/>
              <w:jc w:val="left"/>
              <w:rPr/>
            </w:pPr>
            <w:r>
              <w:rPr/>
              <w:t> </w:t>
            </w:r>
          </w:p>
        </w:tc>
        <w:tc>
          <w:tcPr>
            <w:tcW w:w="7360" w:type="dxa"/>
            <w:tcBorders/>
            <w:shd w:fill="003A5D"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0"/>
              <w:jc w:val="both"/>
              <w:rPr>
                <w:rFonts w:ascii="arial" w:hAnsi="arial"/>
                <w:sz w:val="16"/>
              </w:rPr>
            </w:pPr>
            <w:r>
              <w:rPr>
                <w:rFonts w:ascii="arial" w:hAnsi="arial"/>
                <w:sz w:val="16"/>
              </w:rPr>
              <w:t xml:space="preserve">Common equity Tier 1 capital ratio is a regulatory capital measure calculated based on common equity Tier 1 capital divided by risk-weighted assets.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91"/>
        <w:gridCol w:w="60"/>
        <w:gridCol w:w="7054"/>
      </w:tblGrid>
      <w:tr>
        <w:trPr/>
        <w:tc>
          <w:tcPr>
            <w:tcW w:w="30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5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3A5D" w:val="clear"/>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32" w:space="0" w:color="FFFFFF"/>
            </w:tcBorders>
            <w:shd w:fill="003A5D" w:val="clear"/>
            <w:tcMar>
              <w:bottom w:w="120" w:type="dxa"/>
            </w:tcMar>
            <w:vAlign w:val="center"/>
          </w:tcPr>
          <w:p>
            <w:pPr>
              <w:pStyle w:val="TableContents"/>
              <w:bidi w:val="0"/>
              <w:spacing w:before="0" w:after="283"/>
              <w:jc w:val="center"/>
              <w:rPr>
                <w:b/>
                <w:color w:val="FFFFFF"/>
              </w:rPr>
            </w:pPr>
            <w:r>
              <w:rPr>
                <w:b/>
                <w:color w:val="FFFFFF"/>
              </w:rPr>
              <w:t>Strategic Performance</w:t>
            </w:r>
          </w:p>
        </w:tc>
      </w:tr>
      <w:tr>
        <w:trPr/>
        <w:tc>
          <w:tcPr>
            <w:tcW w:w="3091" w:type="dxa"/>
            <w:tcBorders/>
            <w:shd w:fill="003A5D" w:val="clear"/>
            <w:vAlign w:val="center"/>
          </w:tcPr>
          <w:p>
            <w:pPr>
              <w:pStyle w:val="TableContents"/>
              <w:bidi w:val="0"/>
              <w:spacing w:before="0" w:after="283"/>
              <w:jc w:val="left"/>
              <w:rPr>
                <w:sz w:val="4"/>
                <w:szCs w:val="4"/>
              </w:rPr>
            </w:pPr>
            <w:r>
              <w:rPr>
                <w:sz w:val="4"/>
                <w:szCs w:val="4"/>
              </w:rPr>
            </w:r>
          </w:p>
        </w:tc>
        <w:tc>
          <w:tcPr>
            <w:tcW w:w="7114" w:type="dxa"/>
            <w:gridSpan w:val="2"/>
            <w:tcBorders>
              <w:left w:val="single" w:sz="32" w:space="0" w:color="FFFFFF"/>
            </w:tcBorders>
            <w:shd w:fill="003A5D" w:val="clear"/>
            <w:tcMar>
              <w:left w:w="28" w:type="dxa"/>
            </w:tcMar>
            <w:vAlign w:val="center"/>
          </w:tcPr>
          <w:p>
            <w:pPr>
              <w:pStyle w:val="TableContents"/>
              <w:bidi w:val="0"/>
              <w:spacing w:before="0" w:after="283"/>
              <w:jc w:val="left"/>
              <w:rPr/>
            </w:pPr>
            <w:r>
              <w:rPr/>
              <w:t> </w:t>
            </w:r>
          </w:p>
        </w:tc>
      </w:tr>
      <w:tr>
        <w:trPr/>
        <w:tc>
          <w:tcPr>
            <w:tcW w:w="3091"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Performance Factor</w:t>
            </w:r>
          </w:p>
        </w:tc>
        <w:tc>
          <w:tcPr>
            <w:tcW w:w="60" w:type="dxa"/>
            <w:tcBorders>
              <w:left w:val="single" w:sz="32" w:space="0" w:color="FFFFFF"/>
            </w:tcBorders>
            <w:shd w:fill="003A5D" w:val="clear"/>
            <w:tcMar>
              <w:left w:w="28" w:type="dxa"/>
            </w:tcMar>
            <w:vAlign w:val="center"/>
          </w:tcPr>
          <w:p>
            <w:pPr>
              <w:pStyle w:val="TableContents"/>
              <w:bidi w:val="0"/>
              <w:spacing w:before="0" w:after="283"/>
              <w:jc w:val="left"/>
              <w:rPr/>
            </w:pPr>
            <w:r>
              <w:rPr/>
              <w:t> </w:t>
            </w:r>
          </w:p>
        </w:tc>
        <w:tc>
          <w:tcPr>
            <w:tcW w:w="7054"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2024 Performance</w:t>
            </w:r>
          </w:p>
        </w:tc>
      </w:tr>
      <w:tr>
        <w:trPr/>
        <w:tc>
          <w:tcPr>
            <w:tcW w:w="3091" w:type="dxa"/>
            <w:tcBorders/>
            <w:vAlign w:val="center"/>
          </w:tcPr>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Progress toward</w:t>
              <w:br/>
              <w:t>achievement of long-term strategy</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Execution against strategic initiatives</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Disciplined investments in infrastructure, technology and growth initiatives</w:t>
            </w:r>
          </w:p>
          <w:p>
            <w:pPr>
              <w:pStyle w:val="TableContents"/>
              <w:bidi w:val="0"/>
              <w:spacing w:before="0" w:after="0"/>
              <w:jc w:val="left"/>
              <w:rPr/>
            </w:pPr>
            <w:r>
              <w:rPr/>
              <w:t> </w:t>
            </w:r>
          </w:p>
          <w:p>
            <w:pPr>
              <w:pStyle w:val="TableContents"/>
              <w:bidi w:val="0"/>
              <w:spacing w:before="0" w:after="20"/>
              <w:jc w:val="left"/>
              <w:rPr/>
            </w:pPr>
            <w:r>
              <w:rPr>
                <w:color w:val="003A5D"/>
              </w:rPr>
              <w:t>∎</w:t>
            </w:r>
            <w:r>
              <w:rPr/>
              <w:t>   </w:t>
            </w:r>
            <w:r>
              <w:rPr>
                <w:rFonts w:ascii="arial" w:hAnsi="arial"/>
                <w:sz w:val="18"/>
              </w:rPr>
              <w:t>CEO leadership and performance of executive team</w:t>
            </w:r>
          </w:p>
        </w:tc>
        <w:tc>
          <w:tcPr>
            <w:tcW w:w="60" w:type="dxa"/>
            <w:tcBorders>
              <w:left w:val="single" w:sz="32" w:space="0" w:color="FFFFFF"/>
            </w:tcBorders>
            <w:tcMar>
              <w:left w:w="28" w:type="dxa"/>
            </w:tcMar>
            <w:vAlign w:val="center"/>
          </w:tcPr>
          <w:p>
            <w:pPr>
              <w:pStyle w:val="TableContents"/>
              <w:bidi w:val="0"/>
              <w:spacing w:before="0" w:after="283"/>
              <w:jc w:val="left"/>
              <w:rPr/>
            </w:pPr>
            <w:r>
              <w:rPr/>
              <w:t> </w:t>
            </w:r>
          </w:p>
        </w:tc>
        <w:tc>
          <w:tcPr>
            <w:tcW w:w="7054"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Announced Discover Transaction in February 2024 with strong market and investor reaction. Announced a Community Benefits Plan and planned for a well-managed integration</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Delivered strong organic growth, driven by both new customers and a deepening and broadening of existing customer and client relationships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Launched new products and services and saw strong growth and engagement with flagship Card and Retail Banking products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Expanded and enhanced our best-in-class digital experiences, including our award-winning mobile app, CreditWise, Capital One Auto Navigator Platform, Capital One Travel portal, and Capital One Shopping</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Grew our national Retail Banking franchise</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Invested $4.6 billion in marketing as we took advantage of attractive market opportunities to build our brand, welcome new customers, and support our Card and Retail Banking franchises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Invested in technology talent, infrastructure, and the development of modern software</w:t>
            </w:r>
          </w:p>
          <w:p>
            <w:pPr>
              <w:pStyle w:val="TableContents"/>
              <w:bidi w:val="0"/>
              <w:spacing w:before="0" w:after="20"/>
              <w:jc w:val="left"/>
              <w:rPr/>
            </w:pPr>
            <w:r>
              <w:rPr/>
              <w:t> </w:t>
            </w:r>
          </w:p>
        </w:tc>
      </w:tr>
      <w:tr>
        <w:trPr/>
        <w:tc>
          <w:tcPr>
            <w:tcW w:w="3091" w:type="dxa"/>
            <w:tcBorders/>
            <w:shd w:fill="003A5D" w:val="clear"/>
            <w:vAlign w:val="center"/>
          </w:tcPr>
          <w:p>
            <w:pPr>
              <w:pStyle w:val="TableContents"/>
              <w:bidi w:val="0"/>
              <w:spacing w:before="0" w:after="283"/>
              <w:jc w:val="left"/>
              <w:rPr>
                <w:sz w:val="4"/>
                <w:szCs w:val="4"/>
              </w:rPr>
            </w:pPr>
            <w:r>
              <w:rPr>
                <w:sz w:val="4"/>
                <w:szCs w:val="4"/>
              </w:rPr>
            </w:r>
          </w:p>
        </w:tc>
        <w:tc>
          <w:tcPr>
            <w:tcW w:w="60" w:type="dxa"/>
            <w:tcBorders>
              <w:left w:val="single" w:sz="32" w:space="0" w:color="FFFFFF"/>
            </w:tcBorders>
            <w:shd w:fill="003A5D" w:val="clear"/>
            <w:tcMar>
              <w:left w:w="28" w:type="dxa"/>
            </w:tcMar>
            <w:vAlign w:val="center"/>
          </w:tcPr>
          <w:p>
            <w:pPr>
              <w:pStyle w:val="TableContents"/>
              <w:bidi w:val="0"/>
              <w:spacing w:before="0" w:after="283"/>
              <w:jc w:val="left"/>
              <w:rPr/>
            </w:pPr>
            <w:r>
              <w:rPr/>
              <w:t> </w:t>
            </w:r>
          </w:p>
        </w:tc>
        <w:tc>
          <w:tcPr>
            <w:tcW w:w="7054" w:type="dxa"/>
            <w:tcBorders/>
            <w:shd w:fill="003A5D"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76 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right"/>
              <w:rPr>
                <w:b/>
                <w:color w:val="003A5D"/>
              </w:rPr>
            </w:pPr>
            <w:r>
              <w:rPr>
                <w:b/>
                <w:color w:val="003A5D"/>
              </w:rPr>
              <w:t>Section V - Compensation Discussion and Analysis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8"/>
        <w:gridCol w:w="60"/>
        <w:gridCol w:w="7627"/>
      </w:tblGrid>
      <w:tr>
        <w:trPr/>
        <w:tc>
          <w:tcPr>
            <w:tcW w:w="2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2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3A5D" w:val="clear"/>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32" w:space="0" w:color="FFFFFF"/>
            </w:tcBorders>
            <w:shd w:fill="003A5D" w:val="clear"/>
            <w:tcMar>
              <w:bottom w:w="120" w:type="dxa"/>
            </w:tcMar>
            <w:vAlign w:val="center"/>
          </w:tcPr>
          <w:p>
            <w:pPr>
              <w:pStyle w:val="TableContents"/>
              <w:bidi w:val="0"/>
              <w:spacing w:before="0" w:after="283"/>
              <w:jc w:val="center"/>
              <w:rPr>
                <w:b/>
                <w:color w:val="FFFFFF"/>
              </w:rPr>
            </w:pPr>
            <w:r>
              <w:rPr>
                <w:b/>
                <w:color w:val="FFFFFF"/>
              </w:rPr>
              <w:t>Winning with Our Customers and Associates</w:t>
            </w:r>
          </w:p>
        </w:tc>
      </w:tr>
      <w:tr>
        <w:trPr/>
        <w:tc>
          <w:tcPr>
            <w:tcW w:w="2518" w:type="dxa"/>
            <w:tcBorders/>
            <w:shd w:fill="003A5D" w:val="clear"/>
            <w:vAlign w:val="center"/>
          </w:tcPr>
          <w:p>
            <w:pPr>
              <w:pStyle w:val="TableContents"/>
              <w:bidi w:val="0"/>
              <w:spacing w:before="0" w:after="283"/>
              <w:jc w:val="left"/>
              <w:rPr>
                <w:sz w:val="4"/>
                <w:szCs w:val="4"/>
              </w:rPr>
            </w:pPr>
            <w:r>
              <w:rPr>
                <w:sz w:val="4"/>
                <w:szCs w:val="4"/>
              </w:rPr>
            </w:r>
          </w:p>
        </w:tc>
        <w:tc>
          <w:tcPr>
            <w:tcW w:w="7687" w:type="dxa"/>
            <w:gridSpan w:val="2"/>
            <w:tcBorders>
              <w:left w:val="single" w:sz="32" w:space="0" w:color="FFFFFF"/>
            </w:tcBorders>
            <w:shd w:fill="003A5D" w:val="clear"/>
            <w:tcMar>
              <w:left w:w="28" w:type="dxa"/>
            </w:tcMar>
            <w:vAlign w:val="center"/>
          </w:tcPr>
          <w:p>
            <w:pPr>
              <w:pStyle w:val="TableContents"/>
              <w:bidi w:val="0"/>
              <w:spacing w:before="0" w:after="283"/>
              <w:jc w:val="left"/>
              <w:rPr/>
            </w:pPr>
            <w:r>
              <w:rPr/>
              <w:t> </w:t>
            </w:r>
          </w:p>
        </w:tc>
      </w:tr>
      <w:tr>
        <w:trPr/>
        <w:tc>
          <w:tcPr>
            <w:tcW w:w="2518"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Performance Factor</w:t>
            </w:r>
          </w:p>
        </w:tc>
        <w:tc>
          <w:tcPr>
            <w:tcW w:w="60" w:type="dxa"/>
            <w:tcBorders>
              <w:left w:val="single" w:sz="32" w:space="0" w:color="FFFFFF"/>
            </w:tcBorders>
            <w:shd w:fill="003A5D" w:val="clear"/>
            <w:tcMar>
              <w:left w:w="28" w:type="dxa"/>
            </w:tcMar>
            <w:vAlign w:val="center"/>
          </w:tcPr>
          <w:p>
            <w:pPr>
              <w:pStyle w:val="TableContents"/>
              <w:bidi w:val="0"/>
              <w:spacing w:before="0" w:after="283"/>
              <w:jc w:val="left"/>
              <w:rPr/>
            </w:pPr>
            <w:r>
              <w:rPr/>
              <w:t> </w:t>
            </w:r>
          </w:p>
        </w:tc>
        <w:tc>
          <w:tcPr>
            <w:tcW w:w="7627"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2024 Performance</w:t>
            </w:r>
          </w:p>
        </w:tc>
      </w:tr>
      <w:tr>
        <w:trPr/>
        <w:tc>
          <w:tcPr>
            <w:tcW w:w="2518" w:type="dxa"/>
            <w:tcBorders/>
            <w:vAlign w:val="center"/>
          </w:tcPr>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Customer advocacy and brand</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Recruitment and development of world-class talent</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Associate engagement and retention</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Diversity, inclusion, and belonging</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Corporate reputation and community engagement</w:t>
            </w:r>
          </w:p>
          <w:p>
            <w:pPr>
              <w:pStyle w:val="TableContents"/>
              <w:bidi w:val="0"/>
              <w:spacing w:before="0" w:after="0"/>
              <w:jc w:val="left"/>
              <w:rPr/>
            </w:pPr>
            <w:r>
              <w:rPr/>
              <w:t> </w:t>
            </w:r>
          </w:p>
          <w:p>
            <w:pPr>
              <w:pStyle w:val="TableContents"/>
              <w:bidi w:val="0"/>
              <w:spacing w:before="0" w:after="20"/>
              <w:jc w:val="left"/>
              <w:rPr/>
            </w:pPr>
            <w:r>
              <w:rPr>
                <w:color w:val="003A5D"/>
              </w:rPr>
              <w:t>∎</w:t>
            </w:r>
            <w:r>
              <w:rPr/>
              <w:t>   </w:t>
            </w:r>
            <w:r>
              <w:rPr>
                <w:rFonts w:ascii="arial" w:hAnsi="arial"/>
                <w:sz w:val="18"/>
              </w:rPr>
              <w:t>Live our values and</w:t>
              <w:br/>
              <w:t>champion our culture</w:t>
            </w:r>
          </w:p>
        </w:tc>
        <w:tc>
          <w:tcPr>
            <w:tcW w:w="60" w:type="dxa"/>
            <w:tcBorders>
              <w:left w:val="single" w:sz="32" w:space="0" w:color="FFFFFF"/>
            </w:tcBorders>
            <w:tcMar>
              <w:left w:w="28" w:type="dxa"/>
            </w:tcMar>
            <w:vAlign w:val="center"/>
          </w:tcPr>
          <w:p>
            <w:pPr>
              <w:pStyle w:val="TableContents"/>
              <w:bidi w:val="0"/>
              <w:spacing w:before="0" w:after="283"/>
              <w:jc w:val="left"/>
              <w:rPr/>
            </w:pPr>
            <w:r>
              <w:rPr/>
              <w:t> </w:t>
            </w:r>
          </w:p>
        </w:tc>
        <w:tc>
          <w:tcPr>
            <w:tcW w:w="7627"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Customer advocacy and Net Promoter Scores remained high across products, channels, and experiences. We received numerous awards for excellence and innovation for our digital tools and customer service</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We earned a number of external awards and accolades, including flagship banking awards for excellence in customer experience and satisfaction</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Welcomed approximately 8,000 new associates while investing in our talent model and in the recruiting, training and development of associates through enhanced resources and programming</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Embraced a hybrid working model and maintained high associate engagement, inclusion, and morale as measured in our regular enterprise-wide surveys and other listening channels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Announced $265 billion Community Benefits Plan in connection with the Discover Transaction</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Associates volunteered hundreds of thousands of hours to mission-aligned nonprofit organizations in the communities where we live and work</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 xml:space="preserve">Ranked #15 on </w:t>
            </w:r>
            <w:r>
              <w:rPr>
                <w:rFonts w:ascii="arial" w:hAnsi="arial"/>
                <w:i/>
                <w:sz w:val="18"/>
              </w:rPr>
              <w:t>Fortune</w:t>
            </w:r>
            <w:r>
              <w:rPr>
                <w:rFonts w:ascii="arial" w:hAnsi="arial"/>
                <w:sz w:val="18"/>
              </w:rPr>
              <w:t xml:space="preserve"> magazine’s 100 Best Companies to Work For® list in 2024, which marks our fourth year in the top 15 and our thirteenth consecutive year on this list</w:t>
            </w:r>
          </w:p>
          <w:p>
            <w:pPr>
              <w:pStyle w:val="TableContents"/>
              <w:bidi w:val="0"/>
              <w:spacing w:before="0" w:after="20"/>
              <w:jc w:val="left"/>
              <w:rPr/>
            </w:pPr>
            <w:r>
              <w:rPr/>
              <w:t> </w:t>
            </w:r>
          </w:p>
        </w:tc>
      </w:tr>
      <w:tr>
        <w:trPr/>
        <w:tc>
          <w:tcPr>
            <w:tcW w:w="2518" w:type="dxa"/>
            <w:tcBorders/>
            <w:shd w:fill="003A5D" w:val="clear"/>
            <w:vAlign w:val="center"/>
          </w:tcPr>
          <w:p>
            <w:pPr>
              <w:pStyle w:val="TableContents"/>
              <w:bidi w:val="0"/>
              <w:spacing w:before="0" w:after="283"/>
              <w:jc w:val="left"/>
              <w:rPr>
                <w:sz w:val="4"/>
                <w:szCs w:val="4"/>
              </w:rPr>
            </w:pPr>
            <w:r>
              <w:rPr>
                <w:sz w:val="4"/>
                <w:szCs w:val="4"/>
              </w:rPr>
            </w:r>
          </w:p>
        </w:tc>
        <w:tc>
          <w:tcPr>
            <w:tcW w:w="60" w:type="dxa"/>
            <w:tcBorders>
              <w:left w:val="single" w:sz="32" w:space="0" w:color="FFFFFF"/>
            </w:tcBorders>
            <w:shd w:fill="003A5D" w:val="clear"/>
            <w:tcMar>
              <w:left w:w="28" w:type="dxa"/>
            </w:tcMar>
            <w:vAlign w:val="center"/>
          </w:tcPr>
          <w:p>
            <w:pPr>
              <w:pStyle w:val="TableContents"/>
              <w:bidi w:val="0"/>
              <w:spacing w:before="0" w:after="283"/>
              <w:jc w:val="left"/>
              <w:rPr/>
            </w:pPr>
            <w:r>
              <w:rPr/>
              <w:t> </w:t>
            </w:r>
          </w:p>
        </w:tc>
        <w:tc>
          <w:tcPr>
            <w:tcW w:w="7627" w:type="dxa"/>
            <w:tcBorders/>
            <w:shd w:fill="003A5D" w:val="cle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b/>
          <w:i/>
          <w:color w:val="003A5D"/>
          <w:sz w:val="20"/>
        </w:rPr>
      </w:pPr>
      <w:bookmarkStart w:id="66" w:name="txa845790_cvy"/>
      <w:bookmarkEnd w:id="66"/>
      <w:r>
        <w:rPr>
          <w:rFonts w:ascii="arial" w:hAnsi="arial"/>
          <w:b/>
          <w:i/>
          <w:color w:val="003A5D"/>
          <w:sz w:val="20"/>
        </w:rPr>
        <w:t xml:space="preserve">CEO Contribution to Company Performance </w:t>
      </w:r>
    </w:p>
    <w:p>
      <w:pPr>
        <w:pStyle w:val="TextBody"/>
        <w:bidi w:val="0"/>
        <w:spacing w:before="240" w:after="0"/>
        <w:jc w:val="both"/>
        <w:rPr>
          <w:rFonts w:ascii="arial" w:hAnsi="arial"/>
          <w:sz w:val="20"/>
        </w:rPr>
      </w:pPr>
      <w:r>
        <w:rPr>
          <w:rFonts w:ascii="arial" w:hAnsi="arial"/>
          <w:sz w:val="20"/>
        </w:rPr>
        <w:t xml:space="preserve">In determining the CEO’s 2024 year-end incentive awards, in addition to the Company’s results as outlined above, the Committee and the Independent Directors also assessed Mr. Fairbank’s contributions to Capital One’s 2024 performance. Under Mr. Fairbank’s leadership, the Company’s 2024 achievements were the result of long-term investments in technology, risk management, talent, and a pipeline of growth opportunities. Capital One’s announcement of the Discover Transaction in February 2024 was a seminal moment made possible by strategic choices and long-term investments that spanned many years under Mr. Fairbank’s leadership. In addition, in 2024 the Company delivered strong profitability and EPS, resilient account and loan growth, improved operating efficiency, and strong stewardship of stockholder capital, all while diligently working on activities related to the proposed Discover acquisition: the due diligence and negotiations that led to the deal announcement; the submission of required regulatory applications and responses to regulatory inquiries and feedback; the external engagement and public announcement of the Community Benefit Plan; and the preparation for a well-managed integration. </w:t>
      </w:r>
    </w:p>
    <w:p>
      <w:pPr>
        <w:pStyle w:val="TextBody"/>
        <w:bidi w:val="0"/>
        <w:spacing w:before="240" w:after="0"/>
        <w:jc w:val="both"/>
        <w:rPr>
          <w:rFonts w:ascii="arial" w:hAnsi="arial"/>
          <w:sz w:val="20"/>
        </w:rPr>
      </w:pPr>
      <w:r>
        <w:rPr>
          <w:rFonts w:ascii="arial" w:hAnsi="arial"/>
          <w:sz w:val="20"/>
        </w:rPr>
        <w:t xml:space="preserve">Solid financial results and strong momentum on our long-term strategic initiatives resulted in the Company’s stock price rising 36.0%, 3.2 percentage points above the KBW Bank Index and significantly outpacing the S&amp;P 500 by 13 percentage points. </w:t>
      </w:r>
    </w:p>
    <w:p>
      <w:pPr>
        <w:pStyle w:val="TextBody"/>
        <w:bidi w:val="0"/>
        <w:spacing w:before="240" w:after="0"/>
        <w:jc w:val="both"/>
        <w:rPr>
          <w:rFonts w:ascii="arial" w:hAnsi="arial"/>
          <w:sz w:val="20"/>
        </w:rPr>
      </w:pPr>
      <w:r>
        <w:rPr>
          <w:rFonts w:ascii="arial" w:hAnsi="arial"/>
          <w:sz w:val="20"/>
        </w:rPr>
        <w:t xml:space="preserve">The Company continued to see the benefits of its long-term technology transformation and continued to invest in infrastructure, platforms, data, and talent that is differentiating Capital One in the market and benefitting customers. The Committee and the Independent Directors also recognized Mr. Fairbank’s leadership in making the choices that have helped steadily improve the Company’s operating efficiency, while maintaining a long-term focus on growth. Under Mr. Fairbank’s leadership, Capital One maintained a keen focus on building and sustaining strong risk management practices and controls, and embedding resilience into its operations and financial choices. Capital One recruited skilled, experienced, and diverse talent while maintaining high associate engagement and morale scores as measured in our regular enterprise-wide surveys. The Company was recognized externally for being an exceptional place to launch or grow one’s career, and the Committee considered Mr. Fairbank’s leadership in modeling and reinforcing the Company’s culture, values and mission with associates, recruits, partners, suppliers, and investors.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77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lef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The Committee and the Independent Directors believe that the Company’s strategic and tactical choices in recent years, led by Mr. Fairbank–including those leading to the proposed acquisition of Discover–have resulted in strong stockholder returns as well as the strategic, competitive, and financial positioning that will continue to drive stockholder value over time. </w:t>
      </w:r>
    </w:p>
    <w:p>
      <w:pPr>
        <w:pStyle w:val="TextBody"/>
        <w:bidi w:val="0"/>
        <w:spacing w:before="240" w:after="0"/>
        <w:jc w:val="both"/>
        <w:rPr>
          <w:rFonts w:ascii="arial" w:hAnsi="arial"/>
          <w:sz w:val="20"/>
        </w:rPr>
      </w:pPr>
      <w:r>
        <w:rPr>
          <w:rFonts w:ascii="arial" w:hAnsi="arial"/>
          <w:sz w:val="20"/>
        </w:rPr>
        <w:t xml:space="preserve">The Committee and the Independent Directors also took into account Mr. Fairbank’s unique role as the founder of Capital One as well as peer group CEO compensation levels and structure, the tenures of peer companies’ CEOs, and the varying degrees of success those CEOs have had in leading their respective companies in 2024 and over time. The Committee and the Independent Directors recognized that Mr. Fairbank does not receive a cash salary, 100% of his compensation is deferred for at least three years, and the majority of his compensation is equity-based and determined after performance year-end based on the Company’s results and his leadership and contributions to those results. </w:t>
      </w:r>
    </w:p>
    <w:p>
      <w:pPr>
        <w:pStyle w:val="TextBody"/>
        <w:bidi w:val="0"/>
        <w:spacing w:before="240" w:after="0"/>
        <w:jc w:val="both"/>
        <w:rPr>
          <w:rFonts w:ascii="arial" w:hAnsi="arial"/>
          <w:sz w:val="20"/>
        </w:rPr>
      </w:pPr>
      <w:r>
        <w:rPr>
          <w:rFonts w:ascii="arial" w:hAnsi="arial"/>
          <w:sz w:val="20"/>
        </w:rPr>
        <w:t xml:space="preserve">The Committee and the Independent Directors believe that the actions taken by Mr. Fairbank and the other NEOs throughout 2024 drove strong financial and operating results and continued momentum on the achievement of its long-term strategic objectives. These actions and choices have positioned the Company to deliver strong and sustainable financial performance, maintain resilience, and create enduring value to stockholders. </w:t>
      </w:r>
    </w:p>
    <w:p>
      <w:pPr>
        <w:pStyle w:val="TextBody"/>
        <w:bidi w:val="0"/>
        <w:spacing w:before="360" w:after="0"/>
        <w:jc w:val="left"/>
        <w:rPr>
          <w:rFonts w:ascii="arial" w:hAnsi="arial"/>
          <w:b/>
          <w:i/>
          <w:color w:val="003A5D"/>
          <w:sz w:val="24"/>
        </w:rPr>
      </w:pPr>
      <w:bookmarkStart w:id="67" w:name="txa845790_207"/>
      <w:bookmarkEnd w:id="67"/>
      <w:r>
        <w:rPr>
          <w:rFonts w:ascii="arial" w:hAnsi="arial"/>
          <w:b/>
          <w:i/>
          <w:color w:val="003A5D"/>
          <w:sz w:val="24"/>
        </w:rPr>
        <w:t xml:space="preserve">CEO Compensation by Performance Year </w:t>
      </w:r>
    </w:p>
    <w:p>
      <w:pPr>
        <w:pStyle w:val="TextBody"/>
        <w:bidi w:val="0"/>
        <w:spacing w:before="120" w:after="0"/>
        <w:jc w:val="both"/>
        <w:rPr>
          <w:rFonts w:ascii="arial" w:hAnsi="arial"/>
          <w:sz w:val="20"/>
        </w:rPr>
      </w:pPr>
      <w:r>
        <w:rPr>
          <w:rFonts w:ascii="arial" w:hAnsi="arial"/>
          <w:sz w:val="20"/>
        </w:rPr>
        <w:t xml:space="preserve">Below is a table showing Mr. Fairbank’s compensation awards as they are attributable to the performance years indicated. Mr. Fairbank’s actual total compensation for performance year 2024 was approximately $33.5 million. See “Year-End Incentive Opportunity” beginning on page 68 for additional information regarding the year-end incentive granted to Mr. Fairbank for performance year 2024. </w:t>
      </w:r>
    </w:p>
    <w:p>
      <w:pPr>
        <w:pStyle w:val="TextBody"/>
        <w:bidi w:val="0"/>
        <w:spacing w:before="0" w:after="0"/>
        <w:jc w:val="left"/>
        <w:rPr/>
      </w:pPr>
      <w:r>
        <w:rPr/>
        <w:t> </w:t>
      </w:r>
    </w:p>
    <w:tbl>
      <w:tblPr>
        <w:tblW w:w="8809" w:type="dxa"/>
        <w:jc w:val="left"/>
        <w:tblInd w:w="0" w:type="dxa"/>
        <w:tblLayout w:type="fixed"/>
        <w:tblCellMar>
          <w:top w:w="0" w:type="dxa"/>
          <w:left w:w="0" w:type="dxa"/>
          <w:bottom w:w="0" w:type="dxa"/>
          <w:right w:w="0" w:type="dxa"/>
        </w:tblCellMar>
      </w:tblPr>
      <w:tblGrid>
        <w:gridCol w:w="1370"/>
        <w:gridCol w:w="23"/>
        <w:gridCol w:w="23"/>
        <w:gridCol w:w="23"/>
        <w:gridCol w:w="23"/>
        <w:gridCol w:w="23"/>
        <w:gridCol w:w="23"/>
        <w:gridCol w:w="42"/>
        <w:gridCol w:w="110"/>
        <w:gridCol w:w="340"/>
        <w:gridCol w:w="111"/>
        <w:gridCol w:w="23"/>
        <w:gridCol w:w="23"/>
        <w:gridCol w:w="23"/>
        <w:gridCol w:w="23"/>
        <w:gridCol w:w="23"/>
        <w:gridCol w:w="23"/>
        <w:gridCol w:w="1775"/>
        <w:gridCol w:w="23"/>
        <w:gridCol w:w="23"/>
        <w:gridCol w:w="23"/>
        <w:gridCol w:w="23"/>
        <w:gridCol w:w="23"/>
        <w:gridCol w:w="23"/>
        <w:gridCol w:w="23"/>
        <w:gridCol w:w="60"/>
        <w:gridCol w:w="830"/>
        <w:gridCol w:w="60"/>
        <w:gridCol w:w="23"/>
        <w:gridCol w:w="23"/>
        <w:gridCol w:w="23"/>
        <w:gridCol w:w="23"/>
        <w:gridCol w:w="23"/>
        <w:gridCol w:w="23"/>
        <w:gridCol w:w="23"/>
        <w:gridCol w:w="60"/>
        <w:gridCol w:w="830"/>
        <w:gridCol w:w="60"/>
        <w:gridCol w:w="23"/>
        <w:gridCol w:w="23"/>
        <w:gridCol w:w="23"/>
        <w:gridCol w:w="23"/>
        <w:gridCol w:w="23"/>
        <w:gridCol w:w="23"/>
        <w:gridCol w:w="28"/>
        <w:gridCol w:w="75"/>
        <w:gridCol w:w="1171"/>
        <w:gridCol w:w="78"/>
        <w:gridCol w:w="23"/>
        <w:gridCol w:w="23"/>
        <w:gridCol w:w="23"/>
        <w:gridCol w:w="23"/>
        <w:gridCol w:w="23"/>
        <w:gridCol w:w="23"/>
        <w:gridCol w:w="935"/>
      </w:tblGrid>
      <w:tr>
        <w:trPr/>
        <w:tc>
          <w:tcPr>
            <w:tcW w:w="137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003A5D" w:val="clear"/>
            <w:vAlign w:val="center"/>
          </w:tcPr>
          <w:p>
            <w:pPr>
              <w:pStyle w:val="TableContents"/>
              <w:bidi w:val="0"/>
              <w:spacing w:before="0" w:after="283"/>
              <w:jc w:val="left"/>
              <w:rPr>
                <w:sz w:val="4"/>
                <w:szCs w:val="4"/>
              </w:rPr>
            </w:pPr>
            <w:r>
              <w:rPr>
                <w:sz w:val="4"/>
                <w:szCs w:val="4"/>
              </w:rPr>
            </w:r>
          </w:p>
        </w:tc>
        <w:tc>
          <w:tcPr>
            <w:tcW w:w="115" w:type="dxa"/>
            <w:gridSpan w:val="5"/>
            <w:tcBorders/>
            <w:shd w:fill="FFFFFF" w:val="clear"/>
            <w:vAlign w:val="center"/>
          </w:tcPr>
          <w:p>
            <w:pPr>
              <w:pStyle w:val="TableContents"/>
              <w:bidi w:val="0"/>
              <w:spacing w:before="0" w:after="283"/>
              <w:jc w:val="left"/>
              <w:rPr>
                <w:sz w:val="4"/>
                <w:szCs w:val="4"/>
              </w:rPr>
            </w:pPr>
            <w:r>
              <w:rPr>
                <w:sz w:val="4"/>
                <w:szCs w:val="4"/>
              </w:rPr>
            </w:r>
          </w:p>
        </w:tc>
        <w:tc>
          <w:tcPr>
            <w:tcW w:w="626" w:type="dxa"/>
            <w:gridSpan w:val="5"/>
            <w:tcBorders/>
            <w:shd w:fill="003A5D" w:val="clear"/>
            <w:vAlign w:val="center"/>
          </w:tcPr>
          <w:p>
            <w:pPr>
              <w:pStyle w:val="TableContents"/>
              <w:bidi w:val="0"/>
              <w:spacing w:before="0" w:after="283"/>
              <w:jc w:val="left"/>
              <w:rPr>
                <w:sz w:val="4"/>
                <w:szCs w:val="4"/>
              </w:rPr>
            </w:pPr>
            <w:r>
              <w:rPr>
                <w:sz w:val="4"/>
                <w:szCs w:val="4"/>
              </w:rPr>
            </w:r>
          </w:p>
        </w:tc>
        <w:tc>
          <w:tcPr>
            <w:tcW w:w="115" w:type="dxa"/>
            <w:gridSpan w:val="5"/>
            <w:tcBorders/>
            <w:vAlign w:val="center"/>
          </w:tcPr>
          <w:p>
            <w:pPr>
              <w:pStyle w:val="TableContents"/>
              <w:bidi w:val="0"/>
              <w:spacing w:before="0" w:after="283"/>
              <w:jc w:val="left"/>
              <w:rPr>
                <w:sz w:val="4"/>
                <w:szCs w:val="4"/>
              </w:rPr>
            </w:pPr>
            <w:r>
              <w:rPr>
                <w:sz w:val="4"/>
                <w:szCs w:val="4"/>
              </w:rPr>
            </w:r>
          </w:p>
        </w:tc>
        <w:tc>
          <w:tcPr>
            <w:tcW w:w="1798" w:type="dxa"/>
            <w:gridSpan w:val="2"/>
            <w:tcBorders/>
            <w:shd w:fill="003A5D" w:val="clear"/>
            <w:vAlign w:val="center"/>
          </w:tcPr>
          <w:p>
            <w:pPr>
              <w:pStyle w:val="TableContents"/>
              <w:bidi w:val="0"/>
              <w:spacing w:before="0" w:after="283"/>
              <w:jc w:val="left"/>
              <w:rPr>
                <w:sz w:val="4"/>
                <w:szCs w:val="4"/>
              </w:rPr>
            </w:pPr>
            <w:r>
              <w:rPr>
                <w:sz w:val="4"/>
                <w:szCs w:val="4"/>
              </w:rPr>
            </w:r>
          </w:p>
        </w:tc>
        <w:tc>
          <w:tcPr>
            <w:tcW w:w="115" w:type="dxa"/>
            <w:gridSpan w:val="5"/>
            <w:tcBorders/>
            <w:vAlign w:val="center"/>
          </w:tcPr>
          <w:p>
            <w:pPr>
              <w:pStyle w:val="TableContents"/>
              <w:bidi w:val="0"/>
              <w:spacing w:before="0" w:after="283"/>
              <w:jc w:val="left"/>
              <w:rPr>
                <w:sz w:val="4"/>
                <w:szCs w:val="4"/>
              </w:rPr>
            </w:pPr>
            <w:r>
              <w:rPr>
                <w:sz w:val="4"/>
                <w:szCs w:val="4"/>
              </w:rPr>
            </w:r>
          </w:p>
        </w:tc>
        <w:tc>
          <w:tcPr>
            <w:tcW w:w="3597" w:type="dxa"/>
            <w:gridSpan w:val="25"/>
            <w:tcBorders/>
            <w:shd w:fill="003A5D" w:val="clear"/>
            <w:vAlign w:val="center"/>
          </w:tcPr>
          <w:p>
            <w:pPr>
              <w:pStyle w:val="TableContents"/>
              <w:bidi w:val="0"/>
              <w:spacing w:before="0" w:after="283"/>
              <w:jc w:val="left"/>
              <w:rPr>
                <w:sz w:val="4"/>
                <w:szCs w:val="4"/>
              </w:rPr>
            </w:pPr>
            <w:r>
              <w:rPr>
                <w:sz w:val="4"/>
                <w:szCs w:val="4"/>
              </w:rPr>
            </w:r>
          </w:p>
        </w:tc>
        <w:tc>
          <w:tcPr>
            <w:tcW w:w="115" w:type="dxa"/>
            <w:gridSpan w:val="5"/>
            <w:tcBorders/>
            <w:vAlign w:val="center"/>
          </w:tcPr>
          <w:p>
            <w:pPr>
              <w:pStyle w:val="TableContents"/>
              <w:bidi w:val="0"/>
              <w:spacing w:before="0" w:after="283"/>
              <w:jc w:val="left"/>
              <w:rPr>
                <w:sz w:val="4"/>
                <w:szCs w:val="4"/>
              </w:rPr>
            </w:pPr>
            <w:r>
              <w:rPr>
                <w:sz w:val="4"/>
                <w:szCs w:val="4"/>
              </w:rPr>
            </w:r>
          </w:p>
        </w:tc>
        <w:tc>
          <w:tcPr>
            <w:tcW w:w="958"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1370" w:type="dxa"/>
            <w:vMerge w:val="restart"/>
            <w:tcBorders/>
            <w:shd w:fill="003A5D" w:val="clear"/>
            <w:vAlign w:val="center"/>
          </w:tcPr>
          <w:p>
            <w:pPr>
              <w:pStyle w:val="TableContents"/>
              <w:bidi w:val="0"/>
              <w:spacing w:before="0" w:after="0"/>
              <w:jc w:val="center"/>
              <w:rPr>
                <w:color w:val="FFFFFF"/>
              </w:rPr>
            </w:pPr>
            <w:r>
              <w:rPr>
                <w:color w:val="FFFFFF"/>
              </w:rPr>
              <w:t> </w:t>
            </w:r>
            <w:r>
              <w:rPr>
                <w:rFonts w:ascii="arial" w:hAnsi="arial"/>
                <w:b/>
                <w:color w:val="FFFFFF"/>
                <w:sz w:val="18"/>
              </w:rPr>
              <w:t>Performance </w:t>
            </w:r>
          </w:p>
          <w:p>
            <w:pPr>
              <w:pStyle w:val="TableContents"/>
              <w:bidi w:val="0"/>
              <w:spacing w:before="0" w:after="0"/>
              <w:jc w:val="center"/>
              <w:rPr>
                <w:rFonts w:ascii="arial" w:hAnsi="arial"/>
                <w:b/>
                <w:color w:val="FFFFFF"/>
                <w:sz w:val="18"/>
              </w:rPr>
            </w:pPr>
            <w:r>
              <w:rPr>
                <w:rFonts w:ascii="arial" w:hAnsi="arial"/>
                <w:b/>
                <w:color w:val="FFFFFF"/>
                <w:sz w:val="18"/>
              </w:rPr>
              <w:t>Year</w:t>
            </w:r>
          </w:p>
          <w:p>
            <w:pPr>
              <w:pStyle w:val="TableContents"/>
              <w:bidi w:val="0"/>
              <w:spacing w:before="0" w:after="20"/>
              <w:jc w:val="left"/>
              <w:rPr/>
            </w:pPr>
            <w:r>
              <w:rPr/>
              <w:t> </w:t>
            </w:r>
          </w:p>
        </w:tc>
        <w:tc>
          <w:tcPr>
            <w:tcW w:w="23" w:type="dxa"/>
            <w:vMerge w:val="restart"/>
            <w:tcBorders/>
            <w:shd w:fill="FFFFFF" w:val="clear"/>
            <w:vAlign w:val="center"/>
          </w:tcPr>
          <w:p>
            <w:pPr>
              <w:pStyle w:val="TableContents"/>
              <w:bidi w:val="0"/>
              <w:spacing w:before="0" w:after="283"/>
              <w:jc w:val="left"/>
              <w:rPr>
                <w:sz w:val="4"/>
                <w:szCs w:val="4"/>
              </w:rPr>
            </w:pPr>
            <w:r>
              <w:rPr>
                <w:sz w:val="4"/>
                <w:szCs w:val="4"/>
              </w:rPr>
            </w:r>
          </w:p>
        </w:tc>
        <w:tc>
          <w:tcPr>
            <w:tcW w:w="92" w:type="dxa"/>
            <w:gridSpan w:val="4"/>
            <w:vMerge w:val="restart"/>
            <w:tcBorders/>
            <w:shd w:fill="FFFFFF" w:val="clear"/>
            <w:vAlign w:val="center"/>
          </w:tcPr>
          <w:p>
            <w:pPr>
              <w:pStyle w:val="TableContents"/>
              <w:bidi w:val="0"/>
              <w:spacing w:before="0" w:after="283"/>
              <w:jc w:val="left"/>
              <w:rPr/>
            </w:pPr>
            <w:r>
              <w:rPr/>
              <w:t> </w:t>
            </w:r>
          </w:p>
        </w:tc>
        <w:tc>
          <w:tcPr>
            <w:tcW w:w="23" w:type="dxa"/>
            <w:vMerge w:val="restart"/>
            <w:tcBorders/>
            <w:shd w:fill="003A5D" w:val="clear"/>
            <w:vAlign w:val="center"/>
          </w:tcPr>
          <w:p>
            <w:pPr>
              <w:pStyle w:val="TableContents"/>
              <w:bidi w:val="0"/>
              <w:spacing w:before="0" w:after="283"/>
              <w:jc w:val="left"/>
              <w:rPr>
                <w:sz w:val="4"/>
                <w:szCs w:val="4"/>
              </w:rPr>
            </w:pPr>
            <w:r>
              <w:rPr>
                <w:sz w:val="4"/>
                <w:szCs w:val="4"/>
              </w:rPr>
            </w:r>
          </w:p>
        </w:tc>
        <w:tc>
          <w:tcPr>
            <w:tcW w:w="603" w:type="dxa"/>
            <w:gridSpan w:val="4"/>
            <w:vMerge w:val="restart"/>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Cash</w:t>
              <w:br/>
              <w:t>Salary </w:t>
            </w:r>
          </w:p>
          <w:p>
            <w:pPr>
              <w:pStyle w:val="TableContents"/>
              <w:bidi w:val="0"/>
              <w:spacing w:before="0" w:after="20"/>
              <w:jc w:val="left"/>
              <w:rPr/>
            </w:pPr>
            <w:r>
              <w:rPr/>
              <w:t> </w:t>
            </w:r>
          </w:p>
        </w:tc>
        <w:tc>
          <w:tcPr>
            <w:tcW w:w="23" w:type="dxa"/>
            <w:vMerge w:val="restart"/>
            <w:tcBorders/>
            <w:vAlign w:val="center"/>
          </w:tcPr>
          <w:p>
            <w:pPr>
              <w:pStyle w:val="TableContents"/>
              <w:bidi w:val="0"/>
              <w:spacing w:before="0" w:after="283"/>
              <w:jc w:val="left"/>
              <w:rPr>
                <w:sz w:val="4"/>
                <w:szCs w:val="4"/>
              </w:rPr>
            </w:pPr>
            <w:r>
              <w:rPr>
                <w:sz w:val="4"/>
                <w:szCs w:val="4"/>
              </w:rPr>
            </w:r>
          </w:p>
        </w:tc>
        <w:tc>
          <w:tcPr>
            <w:tcW w:w="92" w:type="dxa"/>
            <w:gridSpan w:val="4"/>
            <w:vMerge w:val="restart"/>
            <w:tcBorders/>
            <w:vAlign w:val="center"/>
          </w:tcPr>
          <w:p>
            <w:pPr>
              <w:pStyle w:val="TableContents"/>
              <w:bidi w:val="0"/>
              <w:spacing w:before="0" w:after="283"/>
              <w:jc w:val="left"/>
              <w:rPr/>
            </w:pPr>
            <w:r>
              <w:rPr/>
              <w:t> </w:t>
            </w:r>
          </w:p>
        </w:tc>
        <w:tc>
          <w:tcPr>
            <w:tcW w:w="23" w:type="dxa"/>
            <w:tcBorders>
              <w:bottom w:val="single" w:sz="32" w:space="0" w:color="FFFFFF"/>
            </w:tcBorders>
            <w:shd w:fill="003A5D" w:val="clear"/>
            <w:tcMar>
              <w:bottom w:w="28" w:type="dxa"/>
            </w:tcMar>
            <w:vAlign w:val="center"/>
          </w:tcPr>
          <w:p>
            <w:pPr>
              <w:pStyle w:val="TableContents"/>
              <w:bidi w:val="0"/>
              <w:spacing w:before="0" w:after="283"/>
              <w:jc w:val="left"/>
              <w:rPr>
                <w:sz w:val="4"/>
                <w:szCs w:val="4"/>
              </w:rPr>
            </w:pPr>
            <w:r>
              <w:rPr>
                <w:sz w:val="4"/>
                <w:szCs w:val="4"/>
              </w:rPr>
            </w:r>
          </w:p>
        </w:tc>
        <w:tc>
          <w:tcPr>
            <w:tcW w:w="1775" w:type="dxa"/>
            <w:tcBorders>
              <w:bottom w:val="single" w:sz="32" w:space="0" w:color="FFFFFF"/>
            </w:tcBorders>
            <w:shd w:fill="003A5D" w:val="clear"/>
            <w:tcMar>
              <w:bottom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Long-Term Incentive</w:t>
            </w:r>
          </w:p>
          <w:p>
            <w:pPr>
              <w:pStyle w:val="TableContents"/>
              <w:bidi w:val="0"/>
              <w:spacing w:before="0" w:after="2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92" w:type="dxa"/>
            <w:gridSpan w:val="4"/>
            <w:tcBorders/>
            <w:vAlign w:val="center"/>
          </w:tcPr>
          <w:p>
            <w:pPr>
              <w:pStyle w:val="TableContents"/>
              <w:bidi w:val="0"/>
              <w:spacing w:before="0" w:after="283"/>
              <w:jc w:val="left"/>
              <w:rPr/>
            </w:pPr>
            <w:r>
              <w:rPr/>
              <w:t> </w:t>
            </w:r>
          </w:p>
        </w:tc>
        <w:tc>
          <w:tcPr>
            <w:tcW w:w="23" w:type="dxa"/>
            <w:tcBorders>
              <w:bottom w:val="single" w:sz="32" w:space="0" w:color="FFFFFF"/>
            </w:tcBorders>
            <w:shd w:fill="003A5D" w:val="clear"/>
            <w:tcMar>
              <w:bottom w:w="28" w:type="dxa"/>
            </w:tcMar>
            <w:vAlign w:val="center"/>
          </w:tcPr>
          <w:p>
            <w:pPr>
              <w:pStyle w:val="TableContents"/>
              <w:bidi w:val="0"/>
              <w:spacing w:before="0" w:after="283"/>
              <w:jc w:val="left"/>
              <w:rPr>
                <w:sz w:val="4"/>
                <w:szCs w:val="4"/>
              </w:rPr>
            </w:pPr>
            <w:r>
              <w:rPr>
                <w:sz w:val="4"/>
                <w:szCs w:val="4"/>
              </w:rPr>
            </w:r>
          </w:p>
        </w:tc>
        <w:tc>
          <w:tcPr>
            <w:tcW w:w="3574" w:type="dxa"/>
            <w:gridSpan w:val="24"/>
            <w:tcBorders>
              <w:bottom w:val="single" w:sz="32" w:space="0" w:color="FFFFFF"/>
            </w:tcBorders>
            <w:shd w:fill="003A5D" w:val="clear"/>
            <w:tcMar>
              <w:bottom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Year-End Incentive</w:t>
            </w:r>
          </w:p>
          <w:p>
            <w:pPr>
              <w:pStyle w:val="TableContents"/>
              <w:bidi w:val="0"/>
              <w:spacing w:before="0" w:after="20"/>
              <w:jc w:val="left"/>
              <w:rPr/>
            </w:pPr>
            <w:r>
              <w:rPr/>
              <w:t> </w:t>
            </w:r>
          </w:p>
        </w:tc>
        <w:tc>
          <w:tcPr>
            <w:tcW w:w="23" w:type="dxa"/>
            <w:vMerge w:val="restart"/>
            <w:tcBorders/>
            <w:vAlign w:val="center"/>
          </w:tcPr>
          <w:p>
            <w:pPr>
              <w:pStyle w:val="TableContents"/>
              <w:bidi w:val="0"/>
              <w:spacing w:before="0" w:after="283"/>
              <w:jc w:val="left"/>
              <w:rPr>
                <w:sz w:val="4"/>
                <w:szCs w:val="4"/>
              </w:rPr>
            </w:pPr>
            <w:r>
              <w:rPr>
                <w:sz w:val="4"/>
                <w:szCs w:val="4"/>
              </w:rPr>
            </w:r>
          </w:p>
        </w:tc>
        <w:tc>
          <w:tcPr>
            <w:tcW w:w="92" w:type="dxa"/>
            <w:gridSpan w:val="4"/>
            <w:vMerge w:val="restart"/>
            <w:tcBorders/>
            <w:vAlign w:val="center"/>
          </w:tcPr>
          <w:p>
            <w:pPr>
              <w:pStyle w:val="TableContents"/>
              <w:bidi w:val="0"/>
              <w:spacing w:before="0" w:after="283"/>
              <w:jc w:val="left"/>
              <w:rPr/>
            </w:pPr>
            <w:r>
              <w:rPr/>
              <w:t> </w:t>
            </w:r>
          </w:p>
        </w:tc>
        <w:tc>
          <w:tcPr>
            <w:tcW w:w="23" w:type="dxa"/>
            <w:vMerge w:val="restart"/>
            <w:tcBorders/>
            <w:shd w:fill="003A5D" w:val="clear"/>
            <w:vAlign w:val="center"/>
          </w:tcPr>
          <w:p>
            <w:pPr>
              <w:pStyle w:val="TableContents"/>
              <w:bidi w:val="0"/>
              <w:spacing w:before="0" w:after="283"/>
              <w:jc w:val="left"/>
              <w:rPr>
                <w:sz w:val="4"/>
                <w:szCs w:val="4"/>
              </w:rPr>
            </w:pPr>
            <w:r>
              <w:rPr>
                <w:sz w:val="4"/>
                <w:szCs w:val="4"/>
              </w:rPr>
            </w:r>
          </w:p>
        </w:tc>
        <w:tc>
          <w:tcPr>
            <w:tcW w:w="935" w:type="dxa"/>
            <w:vMerge w:val="restart"/>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Total</w:t>
            </w:r>
          </w:p>
          <w:p>
            <w:pPr>
              <w:pStyle w:val="TableContents"/>
              <w:bidi w:val="0"/>
              <w:spacing w:before="0" w:after="20"/>
              <w:jc w:val="left"/>
              <w:rPr/>
            </w:pPr>
            <w:r>
              <w:rPr/>
              <w:t> </w:t>
            </w:r>
          </w:p>
        </w:tc>
      </w:tr>
      <w:tr>
        <w:trPr/>
        <w:tc>
          <w:tcPr>
            <w:tcW w:w="1370" w:type="dxa"/>
            <w:vMerge w:val="continue"/>
            <w:tcBorders/>
            <w:shd w:fill="003A5D"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92" w:type="dxa"/>
            <w:gridSpan w:val="4"/>
            <w:vMerge w:val="continue"/>
            <w:tcBorders/>
            <w:shd w:fill="FFFFFF" w:val="clear"/>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603" w:type="dxa"/>
            <w:gridSpan w:val="4"/>
            <w:vMerge w:val="continue"/>
            <w:tcBorders/>
            <w:shd w:fill="003A5D" w:val="clear"/>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92" w:type="dxa"/>
            <w:gridSpan w:val="4"/>
            <w:vMerge w:val="continue"/>
            <w:tcBorders/>
            <w:vAlign w:val="center"/>
          </w:tcPr>
          <w:p>
            <w:pPr>
              <w:pStyle w:val="Normal"/>
              <w:bidi w:val="0"/>
              <w:jc w:val="left"/>
              <w:rPr/>
            </w:pPr>
            <w:r>
              <w:rPr/>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775" w:type="dxa"/>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Cash-Settled RSUs</w:t>
            </w:r>
          </w:p>
          <w:p>
            <w:pPr>
              <w:pStyle w:val="TableContents"/>
              <w:bidi w:val="0"/>
              <w:spacing w:before="0" w:after="2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92" w:type="dxa"/>
            <w:gridSpan w:val="4"/>
            <w:tcBorders/>
            <w:vAlign w:val="center"/>
          </w:tcPr>
          <w:p>
            <w:pPr>
              <w:pStyle w:val="TableContents"/>
              <w:bidi w:val="0"/>
              <w:spacing w:before="0" w:after="283"/>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973" w:type="dxa"/>
            <w:gridSpan w:val="4"/>
            <w:tcBorders/>
            <w:shd w:fill="003A5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Deferred</w:t>
              <w:br/>
              <w:t>Cash</w:t>
            </w:r>
          </w:p>
          <w:p>
            <w:pPr>
              <w:pStyle w:val="TableContents"/>
              <w:bidi w:val="0"/>
              <w:spacing w:before="0" w:after="0"/>
              <w:jc w:val="center"/>
              <w:rPr>
                <w:rFonts w:ascii="arial" w:hAnsi="arial"/>
                <w:b/>
                <w:color w:val="FFFFFF"/>
                <w:sz w:val="18"/>
              </w:rPr>
            </w:pPr>
            <w:r>
              <w:rPr>
                <w:rFonts w:ascii="arial" w:hAnsi="arial"/>
                <w:b/>
                <w:color w:val="FFFFFF"/>
                <w:sz w:val="18"/>
              </w:rPr>
              <w:t>Bonus</w:t>
            </w:r>
          </w:p>
          <w:p>
            <w:pPr>
              <w:pStyle w:val="TableContents"/>
              <w:bidi w:val="0"/>
              <w:spacing w:before="0" w:after="2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92" w:type="dxa"/>
            <w:gridSpan w:val="4"/>
            <w:tcBorders/>
            <w:vAlign w:val="center"/>
          </w:tcPr>
          <w:p>
            <w:pPr>
              <w:pStyle w:val="TableContents"/>
              <w:bidi w:val="0"/>
              <w:spacing w:before="0" w:after="283"/>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973" w:type="dxa"/>
            <w:gridSpan w:val="4"/>
            <w:tcBorders/>
            <w:shd w:fill="003A5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Cash-</w:t>
              <w:br/>
              <w:t>Settled</w:t>
              <w:br/>
              <w:t>RSUs</w:t>
            </w:r>
          </w:p>
          <w:p>
            <w:pPr>
              <w:pStyle w:val="TableContents"/>
              <w:bidi w:val="0"/>
              <w:spacing w:before="0" w:after="2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92" w:type="dxa"/>
            <w:gridSpan w:val="4"/>
            <w:tcBorders/>
            <w:vAlign w:val="center"/>
          </w:tcPr>
          <w:p>
            <w:pPr>
              <w:pStyle w:val="TableContents"/>
              <w:bidi w:val="0"/>
              <w:spacing w:before="0" w:after="283"/>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352" w:type="dxa"/>
            <w:gridSpan w:val="4"/>
            <w:tcBorders/>
            <w:shd w:fill="003A5D" w:val="clear"/>
            <w:vAlign w:val="center"/>
          </w:tcPr>
          <w:p>
            <w:pPr>
              <w:pStyle w:val="TableContents"/>
              <w:bidi w:val="0"/>
              <w:spacing w:before="0" w:after="0"/>
              <w:jc w:val="center"/>
              <w:rPr>
                <w:color w:val="FFFFFF"/>
              </w:rPr>
            </w:pPr>
            <w:r>
              <w:rPr>
                <w:color w:val="FFFFFF"/>
              </w:rPr>
              <w:t> </w:t>
            </w:r>
            <w:r>
              <w:rPr>
                <w:rFonts w:ascii="arial" w:hAnsi="arial"/>
                <w:b/>
                <w:color w:val="FFFFFF"/>
                <w:sz w:val="18"/>
              </w:rPr>
              <w:t>Performance </w:t>
              <w:br/>
              <w:t>Shares</w:t>
            </w:r>
          </w:p>
          <w:p>
            <w:pPr>
              <w:pStyle w:val="TableContents"/>
              <w:bidi w:val="0"/>
              <w:spacing w:before="0" w:after="20"/>
              <w:jc w:val="left"/>
              <w:rPr/>
            </w:pPr>
            <w:r>
              <w:rPr/>
              <w:t> </w:t>
            </w:r>
          </w:p>
        </w:tc>
        <w:tc>
          <w:tcPr>
            <w:tcW w:w="23" w:type="dxa"/>
            <w:vMerge w:val="continue"/>
            <w:tcBorders/>
            <w:vAlign w:val="center"/>
          </w:tcPr>
          <w:p>
            <w:pPr>
              <w:pStyle w:val="Normal"/>
              <w:bidi w:val="0"/>
              <w:jc w:val="left"/>
              <w:rPr/>
            </w:pPr>
            <w:r>
              <w:rPr/>
            </w:r>
          </w:p>
        </w:tc>
        <w:tc>
          <w:tcPr>
            <w:tcW w:w="92" w:type="dxa"/>
            <w:gridSpan w:val="4"/>
            <w:vMerge w:val="continue"/>
            <w:tcBorders/>
            <w:vAlign w:val="center"/>
          </w:tcPr>
          <w:p>
            <w:pPr>
              <w:pStyle w:val="Normal"/>
              <w:bidi w:val="0"/>
              <w:jc w:val="left"/>
              <w:rPr/>
            </w:pPr>
            <w:r>
              <w:rPr/>
            </w:r>
          </w:p>
        </w:tc>
        <w:tc>
          <w:tcPr>
            <w:tcW w:w="23" w:type="dxa"/>
            <w:vMerge w:val="continue"/>
            <w:tcBorders/>
            <w:shd w:fill="003A5D" w:val="clear"/>
            <w:vAlign w:val="center"/>
          </w:tcPr>
          <w:p>
            <w:pPr>
              <w:pStyle w:val="Normal"/>
              <w:bidi w:val="0"/>
              <w:jc w:val="left"/>
              <w:rPr/>
            </w:pPr>
            <w:r>
              <w:rPr/>
            </w:r>
          </w:p>
        </w:tc>
        <w:tc>
          <w:tcPr>
            <w:tcW w:w="935" w:type="dxa"/>
            <w:vMerge w:val="continue"/>
            <w:tcBorders/>
            <w:shd w:fill="003A5D" w:val="clear"/>
            <w:vAlign w:val="center"/>
          </w:tcPr>
          <w:p>
            <w:pPr>
              <w:pStyle w:val="Normal"/>
              <w:bidi w:val="0"/>
              <w:jc w:val="left"/>
              <w:rPr/>
            </w:pPr>
            <w:r>
              <w:rPr/>
            </w:r>
          </w:p>
        </w:tc>
      </w:tr>
      <w:tr>
        <w:trPr/>
        <w:tc>
          <w:tcPr>
            <w:tcW w:w="137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2024</w:t>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42"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11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34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w:t>
            </w:r>
          </w:p>
        </w:tc>
        <w:tc>
          <w:tcPr>
            <w:tcW w:w="111"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1775"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$2,500,125</w:t>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83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$5,500,000</w:t>
            </w:r>
          </w:p>
        </w:tc>
        <w:tc>
          <w:tcPr>
            <w:tcW w:w="6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83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$5,000,198</w:t>
            </w:r>
          </w:p>
        </w:tc>
        <w:tc>
          <w:tcPr>
            <w:tcW w:w="6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28"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75"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71"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$20,500,293</w:t>
            </w:r>
          </w:p>
        </w:tc>
        <w:tc>
          <w:tcPr>
            <w:tcW w:w="78"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935"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$33,500,616</w:t>
            </w:r>
          </w:p>
        </w:tc>
      </w:tr>
      <w:tr>
        <w:trPr/>
        <w:tc>
          <w:tcPr>
            <w:tcW w:w="137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2023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34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w:t>
            </w:r>
          </w:p>
        </w:tc>
        <w:tc>
          <w:tcPr>
            <w:tcW w:w="111" w:type="dxa"/>
            <w:tcBorders>
              <w:bottom w:val="single" w:sz="8" w:space="0" w:color="003A5D"/>
            </w:tcBorders>
            <w:tcMar>
              <w:bottom w:w="28" w:type="dxa"/>
            </w:tcMar>
            <w:vAlign w:val="center"/>
          </w:tcPr>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77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$2,500,032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83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$5,000,000</w:t>
            </w:r>
          </w:p>
        </w:tc>
        <w:tc>
          <w:tcPr>
            <w:tcW w:w="60" w:type="dxa"/>
            <w:tcBorders>
              <w:bottom w:val="single" w:sz="8" w:space="0" w:color="003A5D"/>
            </w:tcBorders>
            <w:tcMar>
              <w:bottom w:w="28" w:type="dxa"/>
            </w:tcMar>
            <w:vAlign w:val="center"/>
          </w:tcPr>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83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$4,700,046</w:t>
            </w:r>
          </w:p>
        </w:tc>
        <w:tc>
          <w:tcPr>
            <w:tcW w:w="60" w:type="dxa"/>
            <w:tcBorders>
              <w:bottom w:val="single" w:sz="8" w:space="0" w:color="003A5D"/>
            </w:tcBorders>
            <w:tcMar>
              <w:bottom w:w="28" w:type="dxa"/>
            </w:tcMar>
            <w:vAlign w:val="center"/>
          </w:tcPr>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71"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$16,800,085</w:t>
            </w:r>
          </w:p>
        </w:tc>
        <w:tc>
          <w:tcPr>
            <w:tcW w:w="78" w:type="dxa"/>
            <w:tcBorders>
              <w:bottom w:val="single" w:sz="8" w:space="0" w:color="003A5D"/>
            </w:tcBorders>
            <w:tcMar>
              <w:bottom w:w="28" w:type="dxa"/>
            </w:tcMar>
            <w:vAlign w:val="center"/>
          </w:tcPr>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93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$29,000,163</w:t>
            </w:r>
          </w:p>
        </w:tc>
      </w:tr>
      <w:tr>
        <w:trPr/>
        <w:tc>
          <w:tcPr>
            <w:tcW w:w="137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2022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34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w:t>
            </w:r>
          </w:p>
        </w:tc>
        <w:tc>
          <w:tcPr>
            <w:tcW w:w="111"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77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$2,500,021</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83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$4,250,000</w:t>
            </w:r>
          </w:p>
        </w:tc>
        <w:tc>
          <w:tcPr>
            <w:tcW w:w="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83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$2,850,099</w:t>
            </w:r>
          </w:p>
        </w:tc>
        <w:tc>
          <w:tcPr>
            <w:tcW w:w="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8"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7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71"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$16,525,118</w:t>
            </w:r>
          </w:p>
        </w:tc>
        <w:tc>
          <w:tcPr>
            <w:tcW w:w="78"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93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$26,125,238</w:t>
            </w:r>
          </w:p>
        </w:tc>
      </w:tr>
    </w:tbl>
    <w:p>
      <w:pPr>
        <w:pStyle w:val="TextBody"/>
        <w:bidi w:val="0"/>
        <w:spacing w:before="240" w:after="0"/>
        <w:jc w:val="left"/>
        <w:rPr>
          <w:rFonts w:ascii="arial" w:hAnsi="arial"/>
          <w:b/>
          <w:color w:val="003A5D"/>
          <w:sz w:val="20"/>
        </w:rPr>
      </w:pPr>
      <w:r>
        <w:rPr>
          <w:rFonts w:ascii="arial" w:hAnsi="arial"/>
          <w:b/>
          <w:color w:val="003A5D"/>
          <w:sz w:val="20"/>
        </w:rPr>
        <w:t xml:space="preserve">Comparison to Summary Compensation Table Information </w:t>
      </w:r>
    </w:p>
    <w:p>
      <w:pPr>
        <w:pStyle w:val="TextBody"/>
        <w:bidi w:val="0"/>
        <w:spacing w:before="240" w:after="0"/>
        <w:jc w:val="both"/>
        <w:rPr>
          <w:rFonts w:ascii="arial" w:hAnsi="arial"/>
          <w:sz w:val="20"/>
        </w:rPr>
      </w:pPr>
      <w:r>
        <w:rPr>
          <w:rFonts w:ascii="arial" w:hAnsi="arial"/>
          <w:sz w:val="20"/>
        </w:rPr>
        <w:t xml:space="preserve">The table above is presented to show how the Committee views Mr. Fairbank’s compensation and to which year the compensation awards relate. This table differs substantially from the Summary Compensation Table beginning on page 96 and is therefore not a substitute for the information required in that table. There are two principal differences between the Summary Compensation Table and the table above: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The table above reports equity-based awards as compensation for the performance year for which they were awarded, even if the award was granted in one year based on performance for the prior year. The Summary Compensation Table reports equity-based awards in the year in which they were granted. As a result, the performance share awards and cash-settled RSUs granted to Mr. Fairbank in February 2024 for the 2023 performance year, for example, are shown in the table above as 2023 compensation but will be shown in the Summary Compensation Table as 2024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The Summary Compensation Table reports the change in pension value and non-qualified deferred compensation earnings and all other compensation. These amounts generally are not a result of current-year compensation determinations and are not shown above. </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78 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righ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color w:val="003A5D"/>
          <w:sz w:val="20"/>
        </w:rPr>
      </w:pPr>
      <w:bookmarkStart w:id="68" w:name="txa845790_as"/>
      <w:bookmarkEnd w:id="68"/>
      <w:r>
        <w:rPr>
          <w:rFonts w:ascii="arial" w:hAnsi="arial"/>
          <w:b/>
          <w:color w:val="003A5D"/>
          <w:sz w:val="20"/>
        </w:rPr>
        <w:t xml:space="preserve">Settlement of Performance Shares Granted in February 2022 </w:t>
      </w:r>
    </w:p>
    <w:p>
      <w:pPr>
        <w:pStyle w:val="TextBody"/>
        <w:bidi w:val="0"/>
        <w:spacing w:before="240" w:after="0"/>
        <w:jc w:val="left"/>
        <w:rPr>
          <w:rFonts w:ascii="arial" w:hAnsi="arial"/>
          <w:b/>
          <w:i/>
          <w:color w:val="003A5D"/>
          <w:sz w:val="20"/>
        </w:rPr>
      </w:pPr>
      <w:bookmarkStart w:id="69" w:name="f33"/>
      <w:bookmarkStart w:id="70" w:name="sd_1"/>
      <w:bookmarkEnd w:id="69"/>
      <w:bookmarkEnd w:id="70"/>
      <w:r>
        <w:rPr>
          <w:rFonts w:ascii="arial" w:hAnsi="arial"/>
          <w:b/>
          <w:i/>
          <w:color w:val="003A5D"/>
          <w:sz w:val="20"/>
        </w:rPr>
        <w:t xml:space="preserve">Financial Performance Shares </w:t>
      </w:r>
    </w:p>
    <w:p>
      <w:pPr>
        <w:pStyle w:val="TextBody"/>
        <w:bidi w:val="0"/>
        <w:spacing w:before="240" w:after="0"/>
        <w:jc w:val="both"/>
        <w:rPr>
          <w:rFonts w:ascii="arial" w:hAnsi="arial"/>
          <w:sz w:val="20"/>
        </w:rPr>
      </w:pPr>
      <w:r>
        <w:rPr>
          <w:rFonts w:ascii="arial" w:hAnsi="arial"/>
          <w:sz w:val="20"/>
        </w:rPr>
        <w:t xml:space="preserve">In February 2022 the Committee and the Independent Directors granted the NEOs Financial Performance Shares under which the NEOs could receive in 2025 between 0% to 150% of a target number of shares of the Company’s common stock based on the Company’s financial performance between January 1, 2022 and December 31, 2024 (“2022 Financial Performance Shares”). Each year, the Committee and the Independent Directors assess the Company’s relative performance based on the applicable performance share award metrics relative to the Performance Share Peers over the three-year performance period, and where appropriate, apply a performance share reduction based on the Company’s absolute performance. See “Performance Share Award Formula” on page 71 for a description of the performance share award formula applicable to the 2022 Financial Performance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4091305" cy="1421130"/>
            <wp:effectExtent l="0" t="0" r="0" b="0"/>
            <wp:docPr id="7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6" descr=""/>
                    <pic:cNvPicPr>
                      <a:picLocks noChangeAspect="1" noChangeArrowheads="1"/>
                    </pic:cNvPicPr>
                  </pic:nvPicPr>
                  <pic:blipFill>
                    <a:blip r:embed="rId67"/>
                    <a:stretch>
                      <a:fillRect/>
                    </a:stretch>
                  </pic:blipFill>
                  <pic:spPr bwMode="auto">
                    <a:xfrm>
                      <a:off x="0" y="0"/>
                      <a:ext cx="4091305" cy="14211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right"/>
        <w:rPr>
          <w:rFonts w:ascii="arial" w:hAnsi="arial"/>
          <w:color w:val="FFFFFF"/>
          <w:sz w:val="2"/>
        </w:rPr>
      </w:pPr>
      <w:r>
        <w:rPr>
          <w:rFonts w:ascii="arial" w:hAnsi="arial"/>
          <w:color w:val="FFFFFF"/>
          <w:sz w:val="2"/>
        </w:rPr>
        <w:t xml:space="preserve">2022 Financial Performance Shares Settlement Company Performance and Percentile Rank Value 2/3 60% 35th% D+TBV 70% 1/3 Adjusted 50th% 90% ROTCE </w:t>
      </w:r>
    </w:p>
    <w:p>
      <w:pPr>
        <w:pStyle w:val="TextBody"/>
        <w:bidi w:val="0"/>
        <w:spacing w:before="0" w:after="0"/>
        <w:jc w:val="both"/>
        <w:rPr>
          <w:rFonts w:ascii="arial" w:hAnsi="arial"/>
          <w:sz w:val="20"/>
        </w:rPr>
      </w:pPr>
      <w:r>
        <w:rPr>
          <w:rFonts w:ascii="arial" w:hAnsi="arial"/>
          <w:sz w:val="20"/>
        </w:rPr>
        <w:t xml:space="preserve">Based on the Committee and the Independent Directors’ assessment of the Company’s relative and absolute performance over the three-year performance period, the 2022 Financial Performance Shares settled at 70% of their target value. The Financial Performance Shares granted in 2022 vest two-thirds on the basis of D+TBV, and one-third on the basis of Adjusted ROTCE. The Company performed at the 35th percentile relative to the KBW Index with respect to D+TBV and at the 50th percentile relative to the KBW Index with respect to Adjusted ROTCE. The Company achieved positive Adjusted ROTCE for each of the three years of the performance period such that the 2022 Financial Performance Shares settled without a performance share reduction. See “Absolute Performance Measure (Performance Share Reduction) — Financial Performance Shares” on page 72 for more information regarding the performance share reduction feature applicable to the 2022 Financial Performance Shares. </w:t>
      </w:r>
    </w:p>
    <w:p>
      <w:pPr>
        <w:pStyle w:val="TextBody"/>
        <w:bidi w:val="0"/>
        <w:spacing w:before="240" w:after="0"/>
        <w:jc w:val="left"/>
        <w:rPr>
          <w:rFonts w:ascii="arial" w:hAnsi="arial"/>
          <w:b/>
          <w:i/>
          <w:color w:val="003A5D"/>
          <w:sz w:val="20"/>
        </w:rPr>
      </w:pPr>
      <w:bookmarkStart w:id="71" w:name="sd_12"/>
      <w:bookmarkEnd w:id="71"/>
      <w:r>
        <w:rPr>
          <w:rFonts w:ascii="arial" w:hAnsi="arial"/>
          <w:b/>
          <w:i/>
          <w:color w:val="003A5D"/>
          <w:sz w:val="20"/>
        </w:rPr>
        <w:t xml:space="preserve">TSR Performance Shares </w:t>
      </w:r>
    </w:p>
    <w:p>
      <w:pPr>
        <w:pStyle w:val="TextBody"/>
        <w:bidi w:val="0"/>
        <w:spacing w:before="240" w:after="0"/>
        <w:jc w:val="both"/>
        <w:rPr>
          <w:rFonts w:ascii="arial" w:hAnsi="arial"/>
          <w:sz w:val="20"/>
        </w:rPr>
      </w:pPr>
      <w:r>
        <w:rPr>
          <w:rFonts w:ascii="arial" w:hAnsi="arial"/>
          <w:sz w:val="20"/>
        </w:rPr>
        <w:t xml:space="preserve">In February 2022, the Committee and the Independent Directors granted the CEO TSR Performance Shares under which the CEO could receive in 2025 between 0% and 150% of a target number of shares of the Company’s common stock based on the Company’s relative TSR between January 1, 2022 and December 31, 2024 (“2022 TSR Performance Shares”). The Committee and the Independent Directors assess the Company’s TSR relative to the Performance Share Peers over the three-year performance period. See “Performance Share Award Formula” on page 71 for a description of the performance share award formula applicable to the 2022 TSR Performance Shares. </w:t>
      </w:r>
    </w:p>
    <w:p>
      <w:pPr>
        <w:pStyle w:val="TextBody"/>
        <w:bidi w:val="0"/>
        <w:spacing w:before="240" w:after="0"/>
        <w:jc w:val="both"/>
        <w:rPr>
          <w:rFonts w:ascii="arial" w:hAnsi="arial"/>
          <w:sz w:val="20"/>
        </w:rPr>
      </w:pPr>
      <w:r>
        <w:rPr>
          <w:rFonts w:ascii="arial" w:hAnsi="arial"/>
          <w:sz w:val="20"/>
        </w:rPr>
        <w:t xml:space="preserve">Based on the Committee and the Independent Directors’ assessment of the Company’s relative performance over the three-year performance period, the 2022 TSR Performance Shares settled at 150% of their target value. The entire TSR Performance Share award vested based on the Company’s relative TSR, which was at the 80th percentile relative to the KBW Index.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79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lef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4"/>
        </w:rPr>
      </w:pPr>
      <w:bookmarkStart w:id="72" w:name="txa845790_208"/>
      <w:bookmarkEnd w:id="72"/>
      <w:r>
        <w:rPr>
          <w:rFonts w:ascii="arial" w:hAnsi="arial"/>
          <w:b/>
          <w:i/>
          <w:color w:val="003A5D"/>
          <w:sz w:val="24"/>
        </w:rPr>
        <w:t xml:space="preserve">Additional Pay Elements </w:t>
      </w:r>
    </w:p>
    <w:p>
      <w:pPr>
        <w:pStyle w:val="TextBody"/>
        <w:bidi w:val="0"/>
        <w:spacing w:before="240" w:after="0"/>
        <w:jc w:val="both"/>
        <w:rPr>
          <w:rFonts w:ascii="arial" w:hAnsi="arial"/>
          <w:sz w:val="20"/>
        </w:rPr>
      </w:pPr>
      <w:r>
        <w:rPr>
          <w:rFonts w:ascii="arial" w:hAnsi="arial"/>
          <w:sz w:val="20"/>
        </w:rPr>
        <w:t xml:space="preserve">As part of the CEO compensation program, the Committee and the Independent Directors also approved certain other programs intended to support Mr. Fairbank’s productivity, well-being, and security. These programs provide some level of personal benefit and are not generally available to all associates. For 2024, these programs included the following: </w:t>
      </w:r>
    </w:p>
    <w:p>
      <w:pPr>
        <w:pStyle w:val="TextBody"/>
        <w:bidi w:val="0"/>
        <w:spacing w:before="0" w:after="0"/>
        <w:jc w:val="left"/>
        <w:rPr/>
      </w:pPr>
      <w:r>
        <w:rPr/>
        <w:t> </w:t>
      </w:r>
    </w:p>
    <w:tbl>
      <w:tblPr>
        <w:tblW w:w="5770" w:type="dxa"/>
        <w:jc w:val="left"/>
        <w:tblInd w:w="0" w:type="dxa"/>
        <w:tblLayout w:type="fixed"/>
        <w:tblCellMar>
          <w:top w:w="0" w:type="dxa"/>
          <w:left w:w="0" w:type="dxa"/>
          <w:bottom w:w="0" w:type="dxa"/>
          <w:right w:w="0" w:type="dxa"/>
        </w:tblCellMar>
      </w:tblPr>
      <w:tblGrid>
        <w:gridCol w:w="75"/>
        <w:gridCol w:w="215"/>
        <w:gridCol w:w="60"/>
        <w:gridCol w:w="542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0"/>
              <w:jc w:val="both"/>
              <w:rPr>
                <w:rFonts w:ascii="arial" w:hAnsi="arial"/>
                <w:sz w:val="20"/>
              </w:rPr>
            </w:pPr>
            <w:r>
              <w:rPr>
                <w:rFonts w:ascii="arial" w:hAnsi="arial"/>
                <w:sz w:val="20"/>
              </w:rPr>
              <w:t xml:space="preserve">Executive term life insurance with a benefit level of $5 million </w:t>
            </w:r>
          </w:p>
        </w:tc>
      </w:tr>
    </w:tbl>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75"/>
        <w:gridCol w:w="215"/>
        <w:gridCol w:w="60"/>
        <w:gridCol w:w="690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both"/>
              <w:rPr>
                <w:rFonts w:ascii="arial" w:hAnsi="arial"/>
                <w:sz w:val="20"/>
              </w:rPr>
            </w:pPr>
            <w:r>
              <w:rPr>
                <w:rFonts w:ascii="arial" w:hAnsi="arial"/>
                <w:sz w:val="20"/>
              </w:rPr>
              <w:t xml:space="preserve">The ability to participate in a comprehensive voluntary annual health screening </w:t>
            </w:r>
          </w:p>
        </w:tc>
      </w:tr>
    </w:tbl>
    <w:p>
      <w:pPr>
        <w:pStyle w:val="TextBody"/>
        <w:bidi w:val="0"/>
        <w:spacing w:before="0" w:after="0"/>
        <w:jc w:val="left"/>
        <w:rPr/>
      </w:pPr>
      <w:r>
        <w:rPr/>
        <w:t> </w:t>
      </w:r>
    </w:p>
    <w:tbl>
      <w:tblPr>
        <w:tblW w:w="4225" w:type="dxa"/>
        <w:jc w:val="left"/>
        <w:tblInd w:w="0" w:type="dxa"/>
        <w:tblLayout w:type="fixed"/>
        <w:tblCellMar>
          <w:top w:w="0" w:type="dxa"/>
          <w:left w:w="0" w:type="dxa"/>
          <w:bottom w:w="0" w:type="dxa"/>
          <w:right w:w="0" w:type="dxa"/>
        </w:tblCellMar>
      </w:tblPr>
      <w:tblGrid>
        <w:gridCol w:w="75"/>
        <w:gridCol w:w="215"/>
        <w:gridCol w:w="60"/>
        <w:gridCol w:w="387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both"/>
              <w:rPr>
                <w:rFonts w:ascii="arial" w:hAnsi="arial"/>
                <w:sz w:val="20"/>
              </w:rPr>
            </w:pPr>
            <w:r>
              <w:rPr>
                <w:rFonts w:ascii="arial" w:hAnsi="arial"/>
                <w:sz w:val="20"/>
              </w:rPr>
              <w:t xml:space="preserve">Maintenance for Mr. Fairbank’s home office </w:t>
            </w:r>
          </w:p>
        </w:tc>
      </w:tr>
    </w:tbl>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215"/>
        <w:gridCol w:w="60"/>
        <w:gridCol w:w="632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both"/>
              <w:rPr>
                <w:rFonts w:ascii="arial" w:hAnsi="arial"/>
                <w:sz w:val="20"/>
              </w:rPr>
            </w:pPr>
            <w:r>
              <w:rPr>
                <w:rFonts w:ascii="arial" w:hAnsi="arial"/>
                <w:sz w:val="20"/>
              </w:rPr>
              <w:t xml:space="preserve">The monitoring and maintenance of an electronic home security system </w:t>
            </w:r>
          </w:p>
        </w:tc>
      </w:tr>
    </w:tbl>
    <w:p>
      <w:pPr>
        <w:pStyle w:val="TextBody"/>
        <w:bidi w:val="0"/>
        <w:spacing w:before="0" w:after="0"/>
        <w:jc w:val="left"/>
        <w:rPr/>
      </w:pPr>
      <w:r>
        <w:rPr/>
        <w:t> </w:t>
      </w:r>
    </w:p>
    <w:tbl>
      <w:tblPr>
        <w:tblW w:w="4465" w:type="dxa"/>
        <w:jc w:val="left"/>
        <w:tblInd w:w="0" w:type="dxa"/>
        <w:tblLayout w:type="fixed"/>
        <w:tblCellMar>
          <w:top w:w="0" w:type="dxa"/>
          <w:left w:w="0" w:type="dxa"/>
          <w:bottom w:w="0" w:type="dxa"/>
          <w:right w:w="0" w:type="dxa"/>
        </w:tblCellMar>
      </w:tblPr>
      <w:tblGrid>
        <w:gridCol w:w="75"/>
        <w:gridCol w:w="215"/>
        <w:gridCol w:w="60"/>
        <w:gridCol w:w="41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0"/>
              <w:jc w:val="both"/>
              <w:rPr>
                <w:rFonts w:ascii="arial" w:hAnsi="arial"/>
                <w:sz w:val="20"/>
              </w:rPr>
            </w:pPr>
            <w:r>
              <w:rPr>
                <w:rFonts w:ascii="arial" w:hAnsi="arial"/>
                <w:sz w:val="20"/>
              </w:rPr>
              <w:t xml:space="preserve">Personal use of the corporate aircraft services </w:t>
            </w:r>
          </w:p>
        </w:tc>
      </w:tr>
    </w:tbl>
    <w:p>
      <w:pPr>
        <w:pStyle w:val="TextBody"/>
        <w:bidi w:val="0"/>
        <w:spacing w:before="240" w:after="0"/>
        <w:jc w:val="both"/>
        <w:rPr>
          <w:rFonts w:ascii="arial" w:hAnsi="arial"/>
          <w:sz w:val="20"/>
        </w:rPr>
      </w:pPr>
      <w:r>
        <w:rPr>
          <w:rFonts w:ascii="arial" w:hAnsi="arial"/>
          <w:sz w:val="20"/>
        </w:rPr>
        <w:t xml:space="preserve">The Committee has determined that the nature and value of these programs are comparable to those offered to similarly situated executives at our peers. Additional details on these programs can be found in the “Named Executive Officer Compensation” section beginning on page 96. </w:t>
      </w:r>
    </w:p>
    <w:p>
      <w:pPr>
        <w:pStyle w:val="TextBody"/>
        <w:bidi w:val="0"/>
        <w:spacing w:before="240" w:after="0"/>
        <w:jc w:val="left"/>
        <w:rPr>
          <w:rFonts w:ascii="arial" w:hAnsi="arial"/>
          <w:b/>
          <w:i/>
          <w:color w:val="003A5D"/>
          <w:sz w:val="24"/>
        </w:rPr>
      </w:pPr>
      <w:bookmarkStart w:id="73" w:name="txa845790_209"/>
      <w:bookmarkEnd w:id="73"/>
      <w:r>
        <w:rPr>
          <w:rFonts w:ascii="arial" w:hAnsi="arial"/>
          <w:b/>
          <w:i/>
          <w:color w:val="003A5D"/>
          <w:sz w:val="24"/>
        </w:rPr>
        <w:t xml:space="preserve">2025 CEO Compensation Program </w:t>
      </w:r>
    </w:p>
    <w:p>
      <w:pPr>
        <w:pStyle w:val="TextBody"/>
        <w:bidi w:val="0"/>
        <w:spacing w:before="240" w:after="0"/>
        <w:jc w:val="both"/>
        <w:rPr>
          <w:rFonts w:ascii="arial" w:hAnsi="arial"/>
          <w:sz w:val="20"/>
        </w:rPr>
      </w:pPr>
      <w:r>
        <w:rPr>
          <w:rFonts w:ascii="arial" w:hAnsi="arial"/>
          <w:sz w:val="20"/>
        </w:rPr>
        <w:t xml:space="preserve">Each year, the Committee and the Independent Directors perform a comprehensive review of the CEO compensation program in consideration of Company and CEO performance, peer comparator group performance, historical pay information, market practices and trends, the market for talent, stockholder and other stakeholder feedback, and other relevant points of information that the Committee and the Independent Directors consider appropriate to assess the program and CEO compensation level and pay design. The Committee and the Independent Directors continue to believe that the CEO compensation program aligns Mr. Fairbank’s compensation with the Company’s performance over the appropriate time horizons, effectively balances risk, and supports the Company’s executive compensation goals and principles. </w:t>
      </w:r>
    </w:p>
    <w:p>
      <w:pPr>
        <w:pStyle w:val="TextBody"/>
        <w:bidi w:val="0"/>
        <w:spacing w:before="240" w:after="0"/>
        <w:jc w:val="both"/>
        <w:rPr>
          <w:rFonts w:ascii="arial" w:hAnsi="arial"/>
          <w:sz w:val="20"/>
        </w:rPr>
      </w:pPr>
      <w:r>
        <w:rPr>
          <w:rFonts w:ascii="arial" w:hAnsi="arial"/>
          <w:sz w:val="20"/>
        </w:rPr>
        <w:t xml:space="preserve">In February 2025, the Committee and the Independent Directors reviewed the 2024 compensation structure utilized for Mr. Fairbank and determined that, for 2025, the CEO compensation program would be substantially similar and continue to consist of two components: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An Equity or Equity-Based Award.</w:t>
            </w:r>
            <w:r>
              <w:rPr>
                <w:rFonts w:ascii="arial" w:hAnsi="arial"/>
                <w:sz w:val="20"/>
              </w:rPr>
              <w:t xml:space="preserve"> The Committee and the Independent Directors granted to Mr. Fairbank 12,493 RSUs, which had a total grant date value of approximately $2.5 million and will vest in full on February 15, 2028, settle in cash based on the Company’s average stock price over the 15 trading days preceding the vesting date, and are subject to performance-based vesting provisions.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A Year-End Incentive Opportunity.</w:t>
            </w:r>
            <w:r>
              <w:rPr>
                <w:rFonts w:ascii="arial" w:hAnsi="arial"/>
                <w:sz w:val="20"/>
              </w:rPr>
              <w:t xml:space="preserve"> Mr. Fairbank will have an opportunity for a year-end incentive award, with the amount granted based on CEO and Company performance in 2025. Any year-end incentive award granted to the CEO: (i) will continue to consist primarily of performance share awards under which he may receive 0% to 150% of a target number of shares of Capital One common stock based on the Company’s performance over a three-year period; and (ii) may also consist of deferred cash, an equity-based award, or both. </w:t>
            </w:r>
          </w:p>
        </w:tc>
      </w:tr>
    </w:tbl>
    <w:p>
      <w:pPr>
        <w:pStyle w:val="TextBody"/>
        <w:bidi w:val="0"/>
        <w:spacing w:before="240" w:after="0"/>
        <w:jc w:val="both"/>
        <w:rPr>
          <w:rFonts w:ascii="arial" w:hAnsi="arial"/>
          <w:sz w:val="20"/>
        </w:rPr>
      </w:pPr>
      <w:r>
        <w:rPr>
          <w:rFonts w:ascii="arial" w:hAnsi="arial"/>
          <w:sz w:val="20"/>
        </w:rPr>
        <w:t xml:space="preserve">In this manner, the CEO’s compensation will continue to be completely at-risk based on the Company’s and Mr. Fairbank’s performance, and all CEO compensation continues to be subject to a three-year deferred vesting or payout. As in prior years, Mr. Fairbank will not receive any cash salary in 2025. Any deferred cash or equity-based award will pay out or vest after a three-year deferral period. The Committee and the Independent Directors will use their judgment to determine whether to make the year-end incentive award, the form of the award and the value of the award. The Committee and the Independent Directors will base these determinations on the Committee’s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80 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righ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evaluation of the Company’s performance in 2025 relative to the same factors described earlier under “Year-End Incentive Opportunity” beginning on page 68, related to financial and operating performance, governance and risk management, strategic performance and winning with our customers and associates, and Mr. Fairbank’s contribution to that performance. </w:t>
      </w:r>
    </w:p>
    <w:p>
      <w:pPr>
        <w:pStyle w:val="TextBody"/>
        <w:bidi w:val="0"/>
        <w:spacing w:before="240" w:after="0"/>
        <w:jc w:val="left"/>
        <w:rPr>
          <w:rFonts w:ascii="arial" w:hAnsi="arial"/>
          <w:b/>
          <w:color w:val="003A5D"/>
          <w:sz w:val="32"/>
        </w:rPr>
      </w:pPr>
      <w:bookmarkStart w:id="74" w:name="txa845790_210a"/>
      <w:bookmarkStart w:id="75" w:name="txa845790_28"/>
      <w:bookmarkEnd w:id="74"/>
      <w:bookmarkEnd w:id="75"/>
      <w:r>
        <w:rPr>
          <w:rFonts w:ascii="arial" w:hAnsi="arial"/>
          <w:b/>
          <w:color w:val="003A5D"/>
          <w:sz w:val="32"/>
        </w:rPr>
        <w:t xml:space="preserve">NEO Compensation </w:t>
      </w:r>
    </w:p>
    <w:p>
      <w:pPr>
        <w:pStyle w:val="TextBody"/>
        <w:bidi w:val="0"/>
        <w:spacing w:before="240" w:after="0"/>
        <w:jc w:val="both"/>
        <w:rPr>
          <w:rFonts w:ascii="arial" w:hAnsi="arial"/>
          <w:sz w:val="20"/>
        </w:rPr>
      </w:pPr>
      <w:r>
        <w:rPr>
          <w:rFonts w:ascii="arial" w:hAnsi="arial"/>
          <w:sz w:val="20"/>
        </w:rPr>
        <w:t xml:space="preserve">In this section, “NEO Compensation,” the term “NEO” refers to the NEOs other than the CEO. </w:t>
      </w:r>
    </w:p>
    <w:p>
      <w:pPr>
        <w:pStyle w:val="TextBody"/>
        <w:bidi w:val="0"/>
        <w:spacing w:before="240" w:after="0"/>
        <w:jc w:val="left"/>
        <w:rPr>
          <w:rFonts w:ascii="arial" w:hAnsi="arial"/>
          <w:b/>
          <w:i/>
          <w:color w:val="003A5D"/>
          <w:sz w:val="24"/>
        </w:rPr>
      </w:pPr>
      <w:bookmarkStart w:id="76" w:name="txa845790_211"/>
      <w:bookmarkEnd w:id="76"/>
      <w:r>
        <w:rPr>
          <w:rFonts w:ascii="arial" w:hAnsi="arial"/>
          <w:b/>
          <w:i/>
          <w:color w:val="003A5D"/>
          <w:sz w:val="24"/>
        </w:rPr>
        <w:t xml:space="preserve">2024 NEO Compensation Program and Components </w:t>
      </w:r>
    </w:p>
    <w:p>
      <w:pPr>
        <w:pStyle w:val="TextBody"/>
        <w:bidi w:val="0"/>
        <w:spacing w:before="240" w:after="0"/>
        <w:jc w:val="both"/>
        <w:rPr>
          <w:rFonts w:ascii="arial" w:hAnsi="arial"/>
          <w:sz w:val="20"/>
        </w:rPr>
      </w:pPr>
      <w:r>
        <w:rPr>
          <w:rFonts w:ascii="arial" w:hAnsi="arial"/>
          <w:sz w:val="20"/>
        </w:rPr>
        <w:t xml:space="preserve">The Committee annually reviews and approves the form, timing, and amount of compensation for all of our executive officers, including those who are ultimately reported as NEOs, and makes recommendations to the Independent Directors for final approval. The Committee takes into account each NEO’s historical performance, individual roles and responsibilities, contributions expected from each NEO in the future as well as the recommendations of the CEO, including his assessment of each NEO’s performance. In February 2024, the Committee and the Independent Directors approved the 2024 compensation program, which is designed to be consistent with the Company’s pay-for-performance philosophy. </w:t>
      </w:r>
    </w:p>
    <w:p>
      <w:pPr>
        <w:pStyle w:val="TextBody"/>
        <w:bidi w:val="0"/>
        <w:spacing w:before="240" w:after="0"/>
        <w:jc w:val="both"/>
        <w:rPr>
          <w:rFonts w:ascii="arial" w:hAnsi="arial"/>
          <w:sz w:val="20"/>
        </w:rPr>
      </w:pPr>
      <w:r>
        <w:rPr>
          <w:rFonts w:ascii="arial" w:hAnsi="arial"/>
          <w:sz w:val="20"/>
        </w:rPr>
        <w:t xml:space="preserve">Based on market practices and trends, a review of peer comparator information and in response to stockholder feedback, NEO total target compensation is composed of 20% base salary, 25% cash incentive opportunity, and 55% long-term incentive opportunity, which will consist of performance shares and stock-settled RSUs as determined by the Committee. The Committee believes that this pay mix balances stockholder interests while effectively rewarding and motivating key talent. </w:t>
      </w:r>
    </w:p>
    <w:p>
      <w:pPr>
        <w:pStyle w:val="TextBody"/>
        <w:bidi w:val="0"/>
        <w:spacing w:before="240" w:after="0"/>
        <w:jc w:val="both"/>
        <w:rPr>
          <w:rFonts w:ascii="arial" w:hAnsi="arial"/>
          <w:sz w:val="20"/>
        </w:rPr>
      </w:pPr>
      <w:r>
        <w:rPr>
          <w:rFonts w:ascii="arial" w:hAnsi="arial"/>
          <w:sz w:val="20"/>
        </w:rPr>
        <w:t xml:space="preserve">For the 2024 performance year, the NEOs received a mix of approximately 50% cash and 50% equity-based compensation as follows: cash salary, determined at the beginning of the performance year; and a cash incentive and long-term incentive awards, determined following the end of the performance year based on the Committee’s evaluation of Company and individual performance during the past year. The long-term incentive awards granted for the 2024 performance year consisted of performance shares (approximately 27% of total awarded compensation) and stock-settled RSUs (approximately 23% of total awarded compensation). All of the equity awards vest over a three-year period. The terms of the performance share awards are substantially similar to the terms of the Financial Performance Share awards granted to our CEO in 2024, as described earlier under “Performance Share Awards” beginning on page 69. The table below summarizes the NEO compensation program that the Committee and the Independent Directors approved for the 2024 performance year. </w:t>
      </w:r>
    </w:p>
    <w:p>
      <w:pPr>
        <w:pStyle w:val="TextBody"/>
        <w:bidi w:val="0"/>
        <w:spacing w:before="240" w:after="0"/>
        <w:jc w:val="both"/>
        <w:rPr>
          <w:rFonts w:ascii="arial" w:hAnsi="arial"/>
          <w:sz w:val="20"/>
        </w:rPr>
      </w:pPr>
      <w:r>
        <w:rPr>
          <w:rFonts w:ascii="arial" w:hAnsi="arial"/>
          <w:sz w:val="20"/>
        </w:rPr>
        <w:t xml:space="preserve">The total target compensation of the NEOs for the 2024 performance year was composed of base salary awarded at the beginning of the performance year and a year-end incentive opportunity that, if granted, may consist of equity awards in the form of performance shares and/or RSUs, and a cash incentive.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81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lef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The table below summarizes the components of the NEO compensation program for the 2024 performance year: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68"/>
        <w:gridCol w:w="60"/>
        <w:gridCol w:w="1490"/>
        <w:gridCol w:w="60"/>
        <w:gridCol w:w="2549"/>
        <w:gridCol w:w="60"/>
        <w:gridCol w:w="2041"/>
        <w:gridCol w:w="60"/>
        <w:gridCol w:w="2317"/>
      </w:tblGrid>
      <w:tr>
        <w:trPr/>
        <w:tc>
          <w:tcPr>
            <w:tcW w:w="1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r>
      <w:tr>
        <w:trPr/>
        <w:tc>
          <w:tcPr>
            <w:tcW w:w="1568" w:type="dxa"/>
            <w:tcBorders>
              <w:left w:val="single" w:sz="8" w:space="0" w:color="003A5D"/>
              <w:right w:val="single" w:sz="8" w:space="0" w:color="FFFFFF"/>
            </w:tcBorders>
            <w:shd w:fill="003A5D" w:val="clear"/>
            <w:tcMar>
              <w:left w:w="160" w:type="dxa"/>
              <w:right w:w="28" w:type="dxa"/>
            </w:tcMar>
            <w:vAlign w:val="center"/>
          </w:tcPr>
          <w:p>
            <w:pPr>
              <w:pStyle w:val="TableContents"/>
              <w:bidi w:val="0"/>
              <w:spacing w:before="0" w:after="283"/>
              <w:jc w:val="left"/>
              <w:rPr/>
            </w:pPr>
            <w:r>
              <w:rPr/>
              <w:t> </w:t>
            </w:r>
          </w:p>
        </w:tc>
        <w:tc>
          <w:tcPr>
            <w:tcW w:w="1550" w:type="dxa"/>
            <w:gridSpan w:val="2"/>
            <w:tcBorders/>
            <w:shd w:fill="003A5D" w:val="clear"/>
            <w:vAlign w:val="center"/>
          </w:tcPr>
          <w:p>
            <w:pPr>
              <w:pStyle w:val="TableContents"/>
              <w:bidi w:val="0"/>
              <w:spacing w:before="0" w:after="283"/>
              <w:jc w:val="left"/>
              <w:rPr>
                <w:sz w:val="4"/>
                <w:szCs w:val="4"/>
              </w:rPr>
            </w:pPr>
            <w:r>
              <w:rPr>
                <w:sz w:val="4"/>
                <w:szCs w:val="4"/>
              </w:rPr>
            </w:r>
          </w:p>
        </w:tc>
        <w:tc>
          <w:tcPr>
            <w:tcW w:w="2609" w:type="dxa"/>
            <w:gridSpan w:val="2"/>
            <w:tcBorders>
              <w:left w:val="single" w:sz="8" w:space="0" w:color="FFFFFF"/>
              <w:right w:val="single" w:sz="8" w:space="0" w:color="FFFFFF"/>
            </w:tcBorders>
            <w:shd w:fill="003A5D" w:val="clear"/>
            <w:tcMar>
              <w:left w:w="28" w:type="dxa"/>
              <w:right w:w="28" w:type="dxa"/>
            </w:tcMar>
            <w:vAlign w:val="center"/>
          </w:tcPr>
          <w:p>
            <w:pPr>
              <w:pStyle w:val="TableContents"/>
              <w:bidi w:val="0"/>
              <w:spacing w:before="0" w:after="283"/>
              <w:jc w:val="left"/>
              <w:rPr/>
            </w:pPr>
            <w:r>
              <w:rPr/>
              <w:t> </w:t>
            </w:r>
          </w:p>
        </w:tc>
        <w:tc>
          <w:tcPr>
            <w:tcW w:w="2101" w:type="dxa"/>
            <w:gridSpan w:val="2"/>
            <w:tcBorders/>
            <w:shd w:fill="003A5D" w:val="clear"/>
            <w:vAlign w:val="center"/>
          </w:tcPr>
          <w:p>
            <w:pPr>
              <w:pStyle w:val="TableContents"/>
              <w:bidi w:val="0"/>
              <w:spacing w:before="0" w:after="283"/>
              <w:jc w:val="left"/>
              <w:rPr>
                <w:sz w:val="4"/>
                <w:szCs w:val="4"/>
              </w:rPr>
            </w:pPr>
            <w:r>
              <w:rPr>
                <w:sz w:val="4"/>
                <w:szCs w:val="4"/>
              </w:rPr>
            </w:r>
          </w:p>
        </w:tc>
        <w:tc>
          <w:tcPr>
            <w:tcW w:w="2377" w:type="dxa"/>
            <w:gridSpan w:val="2"/>
            <w:tcBorders>
              <w:left w:val="single" w:sz="8" w:space="0" w:color="FFFFFF"/>
              <w:right w:val="single" w:sz="8" w:space="0" w:color="FFFFFF"/>
            </w:tcBorders>
            <w:shd w:fill="003A5D" w:val="clear"/>
            <w:tcMar>
              <w:left w:w="28" w:type="dxa"/>
              <w:right w:w="28" w:type="dxa"/>
            </w:tcMar>
            <w:vAlign w:val="center"/>
          </w:tcPr>
          <w:p>
            <w:pPr>
              <w:pStyle w:val="TableContents"/>
              <w:bidi w:val="0"/>
              <w:spacing w:before="0" w:after="283"/>
              <w:jc w:val="left"/>
              <w:rPr/>
            </w:pPr>
            <w:r>
              <w:rPr/>
              <w:t> </w:t>
            </w:r>
          </w:p>
        </w:tc>
      </w:tr>
      <w:tr>
        <w:trPr/>
        <w:tc>
          <w:tcPr>
            <w:tcW w:w="1568" w:type="dxa"/>
            <w:tcBorders>
              <w:left w:val="single" w:sz="8" w:space="0" w:color="003A5D"/>
              <w:right w:val="single" w:sz="8" w:space="0" w:color="FFFFFF"/>
            </w:tcBorders>
            <w:shd w:fill="003A5D" w:val="clear"/>
            <w:tcMar>
              <w:left w:w="160" w:type="dxa"/>
              <w:right w:w="28" w:type="dxa"/>
            </w:tcMar>
            <w:vAlign w:val="center"/>
          </w:tcPr>
          <w:p>
            <w:pPr>
              <w:pStyle w:val="TableContents"/>
              <w:bidi w:val="0"/>
              <w:spacing w:before="0" w:after="283"/>
              <w:jc w:val="center"/>
              <w:rPr>
                <w:b/>
                <w:color w:val="FFFFFF"/>
              </w:rPr>
            </w:pPr>
            <w:r>
              <w:rPr>
                <w:b/>
                <w:color w:val="FFFFFF"/>
              </w:rPr>
              <w:t>Compensation</w:t>
              <w:br/>
              <w:t>Element</w:t>
            </w:r>
          </w:p>
        </w:tc>
        <w:tc>
          <w:tcPr>
            <w:tcW w:w="60" w:type="dxa"/>
            <w:tcBorders/>
            <w:shd w:fill="003A5D" w:val="clear"/>
            <w:vAlign w:val="center"/>
          </w:tcPr>
          <w:p>
            <w:pPr>
              <w:pStyle w:val="TableContents"/>
              <w:bidi w:val="0"/>
              <w:spacing w:before="0" w:after="283"/>
              <w:jc w:val="left"/>
              <w:rPr/>
            </w:pPr>
            <w:r>
              <w:rPr/>
              <w:t> </w:t>
            </w:r>
          </w:p>
        </w:tc>
        <w:tc>
          <w:tcPr>
            <w:tcW w:w="1490" w:type="dxa"/>
            <w:tcBorders/>
            <w:shd w:fill="003A5D" w:val="clear"/>
            <w:vAlign w:val="center"/>
          </w:tcPr>
          <w:p>
            <w:pPr>
              <w:pStyle w:val="TableContents"/>
              <w:bidi w:val="0"/>
              <w:spacing w:before="0" w:after="283"/>
              <w:jc w:val="center"/>
              <w:rPr>
                <w:b/>
                <w:color w:val="FFFFFF"/>
              </w:rPr>
            </w:pPr>
            <w:r>
              <w:rPr>
                <w:b/>
                <w:color w:val="FFFFFF"/>
              </w:rPr>
              <w:t>Timing of</w:t>
              <w:br/>
              <w:t>Award</w:t>
              <w:br/>
              <w:t>Determination</w:t>
            </w:r>
          </w:p>
        </w:tc>
        <w:tc>
          <w:tcPr>
            <w:tcW w:w="60" w:type="dxa"/>
            <w:tcBorders>
              <w:left w:val="single" w:sz="8" w:space="0" w:color="FFFFFF"/>
            </w:tcBorders>
            <w:shd w:fill="003A5D" w:val="clear"/>
            <w:tcMar>
              <w:left w:w="28" w:type="dxa"/>
            </w:tcMar>
            <w:vAlign w:val="center"/>
          </w:tcPr>
          <w:p>
            <w:pPr>
              <w:pStyle w:val="TableContents"/>
              <w:bidi w:val="0"/>
              <w:spacing w:before="0" w:after="283"/>
              <w:jc w:val="left"/>
              <w:rPr/>
            </w:pPr>
            <w:r>
              <w:rPr/>
              <w:t> </w:t>
            </w:r>
          </w:p>
        </w:tc>
        <w:tc>
          <w:tcPr>
            <w:tcW w:w="2549" w:type="dxa"/>
            <w:tcBorders>
              <w:right w:val="single" w:sz="8"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Basis for Award</w:t>
            </w:r>
          </w:p>
        </w:tc>
        <w:tc>
          <w:tcPr>
            <w:tcW w:w="60" w:type="dxa"/>
            <w:tcBorders/>
            <w:shd w:fill="003A5D" w:val="clear"/>
            <w:vAlign w:val="center"/>
          </w:tcPr>
          <w:p>
            <w:pPr>
              <w:pStyle w:val="TableContents"/>
              <w:bidi w:val="0"/>
              <w:spacing w:before="0" w:after="283"/>
              <w:jc w:val="left"/>
              <w:rPr/>
            </w:pPr>
            <w:r>
              <w:rPr/>
              <w:t> </w:t>
            </w:r>
          </w:p>
        </w:tc>
        <w:tc>
          <w:tcPr>
            <w:tcW w:w="2041" w:type="dxa"/>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Vesting</w:t>
            </w:r>
          </w:p>
          <w:p>
            <w:pPr>
              <w:pStyle w:val="TableContents"/>
              <w:bidi w:val="0"/>
              <w:spacing w:before="0" w:after="20"/>
              <w:jc w:val="center"/>
              <w:rPr>
                <w:rFonts w:ascii="arial" w:hAnsi="arial"/>
                <w:b/>
                <w:color w:val="FFFFFF"/>
                <w:sz w:val="18"/>
              </w:rPr>
            </w:pPr>
            <w:r>
              <w:rPr>
                <w:rFonts w:ascii="arial" w:hAnsi="arial"/>
                <w:b/>
                <w:color w:val="FFFFFF"/>
                <w:sz w:val="18"/>
              </w:rPr>
              <w:t>Schedule</w:t>
            </w:r>
          </w:p>
        </w:tc>
        <w:tc>
          <w:tcPr>
            <w:tcW w:w="60" w:type="dxa"/>
            <w:tcBorders>
              <w:left w:val="single" w:sz="8" w:space="0" w:color="FFFFFF"/>
            </w:tcBorders>
            <w:shd w:fill="003A5D" w:val="clear"/>
            <w:tcMar>
              <w:left w:w="28" w:type="dxa"/>
            </w:tcMar>
            <w:vAlign w:val="center"/>
          </w:tcPr>
          <w:p>
            <w:pPr>
              <w:pStyle w:val="TableContents"/>
              <w:bidi w:val="0"/>
              <w:spacing w:before="0" w:after="283"/>
              <w:jc w:val="left"/>
              <w:rPr/>
            </w:pPr>
            <w:r>
              <w:rPr/>
              <w:t> </w:t>
            </w:r>
          </w:p>
        </w:tc>
        <w:tc>
          <w:tcPr>
            <w:tcW w:w="2317" w:type="dxa"/>
            <w:tcBorders>
              <w:right w:val="single" w:sz="8" w:space="0" w:color="FFFFFF"/>
            </w:tcBorders>
            <w:shd w:fill="003A5D" w:val="clear"/>
            <w:tcMar>
              <w:right w:w="40" w:type="dxa"/>
            </w:tcMar>
            <w:vAlign w:val="center"/>
          </w:tcPr>
          <w:p>
            <w:pPr>
              <w:pStyle w:val="TableContents"/>
              <w:bidi w:val="0"/>
              <w:spacing w:before="0" w:after="283"/>
              <w:jc w:val="center"/>
              <w:rPr>
                <w:b/>
                <w:color w:val="FFFFFF"/>
              </w:rPr>
            </w:pPr>
            <w:r>
              <w:rPr>
                <w:b/>
                <w:color w:val="FFFFFF"/>
              </w:rPr>
              <w:t>Performance and</w:t>
              <w:br/>
              <w:t>Recovery Provisions</w:t>
            </w:r>
          </w:p>
        </w:tc>
      </w:tr>
      <w:tr>
        <w:trPr/>
        <w:tc>
          <w:tcPr>
            <w:tcW w:w="1568" w:type="dxa"/>
            <w:tcBorders>
              <w:left w:val="single" w:sz="8" w:space="0" w:color="003A5D"/>
              <w:right w:val="single" w:sz="8" w:space="0" w:color="003A5D"/>
            </w:tcBorders>
            <w:tcMar>
              <w:left w:w="160" w:type="dxa"/>
              <w:right w:w="28" w:type="dxa"/>
            </w:tcMar>
            <w:vAlign w:val="center"/>
          </w:tcPr>
          <w:p>
            <w:pPr>
              <w:pStyle w:val="TableContents"/>
              <w:bidi w:val="0"/>
              <w:spacing w:before="0" w:after="283"/>
              <w:jc w:val="left"/>
              <w:rPr/>
            </w:pPr>
            <w:r>
              <w:rPr/>
              <w:t> </w:t>
            </w:r>
          </w:p>
        </w:tc>
        <w:tc>
          <w:tcPr>
            <w:tcW w:w="1550" w:type="dxa"/>
            <w:gridSpan w:val="2"/>
            <w:tcBorders>
              <w:right w:val="single" w:sz="8" w:space="0" w:color="003A5D"/>
            </w:tcBorders>
            <w:tcMar>
              <w:right w:w="28" w:type="dxa"/>
            </w:tcMar>
            <w:vAlign w:val="center"/>
          </w:tcPr>
          <w:p>
            <w:pPr>
              <w:pStyle w:val="TableContents"/>
              <w:bidi w:val="0"/>
              <w:spacing w:before="0" w:after="283"/>
              <w:jc w:val="left"/>
              <w:rPr/>
            </w:pPr>
            <w:r>
              <w:rPr/>
              <w:t> </w:t>
            </w:r>
          </w:p>
        </w:tc>
        <w:tc>
          <w:tcPr>
            <w:tcW w:w="2609" w:type="dxa"/>
            <w:gridSpan w:val="2"/>
            <w:tcBorders>
              <w:right w:val="single" w:sz="8" w:space="0" w:color="003A5D"/>
            </w:tcBorders>
            <w:tcMar>
              <w:right w:w="28" w:type="dxa"/>
            </w:tcMar>
            <w:vAlign w:val="center"/>
          </w:tcPr>
          <w:p>
            <w:pPr>
              <w:pStyle w:val="TableContents"/>
              <w:bidi w:val="0"/>
              <w:spacing w:before="0" w:after="283"/>
              <w:jc w:val="left"/>
              <w:rPr/>
            </w:pPr>
            <w:r>
              <w:rPr/>
              <w:t> </w:t>
            </w:r>
          </w:p>
        </w:tc>
        <w:tc>
          <w:tcPr>
            <w:tcW w:w="2101" w:type="dxa"/>
            <w:gridSpan w:val="2"/>
            <w:tcBorders>
              <w:right w:val="single" w:sz="8" w:space="0" w:color="003A5D"/>
            </w:tcBorders>
            <w:tcMar>
              <w:right w:w="28" w:type="dxa"/>
            </w:tcMar>
            <w:vAlign w:val="center"/>
          </w:tcPr>
          <w:p>
            <w:pPr>
              <w:pStyle w:val="TableContents"/>
              <w:bidi w:val="0"/>
              <w:spacing w:before="0" w:after="283"/>
              <w:jc w:val="left"/>
              <w:rPr/>
            </w:pPr>
            <w:r>
              <w:rPr/>
              <w:t> </w:t>
            </w:r>
          </w:p>
        </w:tc>
        <w:tc>
          <w:tcPr>
            <w:tcW w:w="2377" w:type="dxa"/>
            <w:gridSpan w:val="2"/>
            <w:tcBorders>
              <w:right w:val="single" w:sz="8" w:space="0" w:color="003A5D"/>
            </w:tcBorders>
            <w:tcMar>
              <w:right w:w="28" w:type="dxa"/>
            </w:tcMar>
            <w:vAlign w:val="center"/>
          </w:tcPr>
          <w:p>
            <w:pPr>
              <w:pStyle w:val="TableContents"/>
              <w:bidi w:val="0"/>
              <w:spacing w:before="0" w:after="283"/>
              <w:jc w:val="left"/>
              <w:rPr/>
            </w:pPr>
            <w:r>
              <w:rPr/>
              <w:t> </w:t>
            </w:r>
          </w:p>
        </w:tc>
      </w:tr>
      <w:tr>
        <w:trPr/>
        <w:tc>
          <w:tcPr>
            <w:tcW w:w="1568" w:type="dxa"/>
            <w:tcBorders>
              <w:left w:val="single" w:sz="8" w:space="0" w:color="003A5D"/>
              <w:bottom w:val="single" w:sz="8" w:space="0" w:color="003A5D"/>
              <w:right w:val="single" w:sz="8" w:space="0" w:color="003A5D"/>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Base Salary</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490" w:type="dxa"/>
            <w:tcBorders>
              <w:bottom w:val="single" w:sz="8" w:space="0" w:color="003A5D"/>
              <w:right w:val="single" w:sz="8"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February 2024</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549" w:type="dxa"/>
            <w:tcBorders>
              <w:bottom w:val="single" w:sz="8" w:space="0" w:color="003A5D"/>
              <w:right w:val="single" w:sz="8"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Overall experience, skills, performance, knowledge, and market data</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041" w:type="dxa"/>
            <w:tcBorders>
              <w:bottom w:val="single" w:sz="8" w:space="0" w:color="003A5D"/>
              <w:right w:val="single" w:sz="8"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Paid in cash</w:t>
            </w:r>
          </w:p>
          <w:p>
            <w:pPr>
              <w:pStyle w:val="TableContents"/>
              <w:bidi w:val="0"/>
              <w:spacing w:before="0" w:after="0"/>
              <w:jc w:val="left"/>
              <w:rPr>
                <w:rFonts w:ascii="arial" w:hAnsi="arial"/>
                <w:sz w:val="18"/>
              </w:rPr>
            </w:pPr>
            <w:r>
              <w:rPr>
                <w:rFonts w:ascii="arial" w:hAnsi="arial"/>
                <w:sz w:val="18"/>
              </w:rPr>
              <w:t>throughout the performance year</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317" w:type="dxa"/>
            <w:tcBorders>
              <w:bottom w:val="single" w:sz="8" w:space="0" w:color="003A5D"/>
              <w:right w:val="single" w:sz="8" w:space="0" w:color="003A5D"/>
            </w:tcBorders>
            <w:tcMar>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Not applicable</w:t>
            </w:r>
          </w:p>
          <w:p>
            <w:pPr>
              <w:pStyle w:val="TableContents"/>
              <w:bidi w:val="0"/>
              <w:spacing w:before="0" w:after="20"/>
              <w:jc w:val="left"/>
              <w:rPr/>
            </w:pPr>
            <w:r>
              <w:rPr/>
              <w:t> </w:t>
            </w:r>
          </w:p>
        </w:tc>
      </w:tr>
      <w:tr>
        <w:trPr/>
        <w:tc>
          <w:tcPr>
            <w:tcW w:w="1568" w:type="dxa"/>
            <w:tcBorders>
              <w:left w:val="single" w:sz="8" w:space="0" w:color="003A5D"/>
              <w:right w:val="single" w:sz="8" w:space="0" w:color="003A5D"/>
            </w:tcBorders>
            <w:tcMar>
              <w:left w:w="160" w:type="dxa"/>
              <w:right w:w="28" w:type="dxa"/>
            </w:tcMar>
            <w:vAlign w:val="center"/>
          </w:tcPr>
          <w:p>
            <w:pPr>
              <w:pStyle w:val="TableContents"/>
              <w:bidi w:val="0"/>
              <w:spacing w:before="0" w:after="283"/>
              <w:jc w:val="left"/>
              <w:rPr/>
            </w:pPr>
            <w:r>
              <w:rPr/>
              <w:t> </w:t>
            </w:r>
          </w:p>
        </w:tc>
        <w:tc>
          <w:tcPr>
            <w:tcW w:w="1550" w:type="dxa"/>
            <w:gridSpan w:val="2"/>
            <w:tcBorders>
              <w:right w:val="single" w:sz="8" w:space="0" w:color="003A5D"/>
            </w:tcBorders>
            <w:tcMar>
              <w:right w:w="28" w:type="dxa"/>
            </w:tcMar>
            <w:vAlign w:val="center"/>
          </w:tcPr>
          <w:p>
            <w:pPr>
              <w:pStyle w:val="TableContents"/>
              <w:bidi w:val="0"/>
              <w:spacing w:before="0" w:after="283"/>
              <w:jc w:val="left"/>
              <w:rPr/>
            </w:pPr>
            <w:r>
              <w:rPr/>
              <w:t> </w:t>
            </w:r>
          </w:p>
        </w:tc>
        <w:tc>
          <w:tcPr>
            <w:tcW w:w="2609" w:type="dxa"/>
            <w:gridSpan w:val="2"/>
            <w:tcBorders>
              <w:right w:val="single" w:sz="8" w:space="0" w:color="003A5D"/>
            </w:tcBorders>
            <w:tcMar>
              <w:right w:w="28" w:type="dxa"/>
            </w:tcMar>
            <w:vAlign w:val="center"/>
          </w:tcPr>
          <w:p>
            <w:pPr>
              <w:pStyle w:val="TableContents"/>
              <w:bidi w:val="0"/>
              <w:spacing w:before="0" w:after="283"/>
              <w:jc w:val="left"/>
              <w:rPr/>
            </w:pPr>
            <w:r>
              <w:rPr/>
              <w:t> </w:t>
            </w:r>
          </w:p>
        </w:tc>
        <w:tc>
          <w:tcPr>
            <w:tcW w:w="2101" w:type="dxa"/>
            <w:gridSpan w:val="2"/>
            <w:tcBorders>
              <w:right w:val="single" w:sz="8" w:space="0" w:color="003A5D"/>
            </w:tcBorders>
            <w:tcMar>
              <w:right w:w="28" w:type="dxa"/>
            </w:tcMar>
            <w:vAlign w:val="center"/>
          </w:tcPr>
          <w:p>
            <w:pPr>
              <w:pStyle w:val="TableContents"/>
              <w:bidi w:val="0"/>
              <w:spacing w:before="0" w:after="283"/>
              <w:jc w:val="left"/>
              <w:rPr/>
            </w:pPr>
            <w:r>
              <w:rPr/>
              <w:t> </w:t>
            </w:r>
          </w:p>
        </w:tc>
        <w:tc>
          <w:tcPr>
            <w:tcW w:w="2377" w:type="dxa"/>
            <w:gridSpan w:val="2"/>
            <w:tcBorders>
              <w:right w:val="single" w:sz="8" w:space="0" w:color="003A5D"/>
            </w:tcBorders>
            <w:tcMar>
              <w:right w:w="28" w:type="dxa"/>
            </w:tcMar>
            <w:vAlign w:val="center"/>
          </w:tcPr>
          <w:p>
            <w:pPr>
              <w:pStyle w:val="TableContents"/>
              <w:bidi w:val="0"/>
              <w:spacing w:before="0" w:after="283"/>
              <w:jc w:val="left"/>
              <w:rPr/>
            </w:pPr>
            <w:r>
              <w:rPr/>
              <w:t> </w:t>
            </w:r>
          </w:p>
        </w:tc>
      </w:tr>
      <w:tr>
        <w:trPr/>
        <w:tc>
          <w:tcPr>
            <w:tcW w:w="1568" w:type="dxa"/>
            <w:tcBorders>
              <w:left w:val="single" w:sz="8" w:space="0" w:color="003A5D"/>
              <w:bottom w:val="single" w:sz="8" w:space="0" w:color="003A5D"/>
              <w:right w:val="single" w:sz="8" w:space="0" w:color="003A5D"/>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Cash Incentive</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490" w:type="dxa"/>
            <w:tcBorders>
              <w:bottom w:val="single" w:sz="8" w:space="0" w:color="003A5D"/>
              <w:right w:val="single" w:sz="8"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February 2025</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549" w:type="dxa"/>
            <w:tcBorders>
              <w:bottom w:val="single" w:sz="8" w:space="0" w:color="003A5D"/>
              <w:right w:val="single" w:sz="8"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Reward for 2024 Company</w:t>
            </w:r>
          </w:p>
          <w:p>
            <w:pPr>
              <w:pStyle w:val="TableContents"/>
              <w:bidi w:val="0"/>
              <w:spacing w:before="0" w:after="0"/>
              <w:jc w:val="left"/>
              <w:rPr>
                <w:rFonts w:ascii="arial" w:hAnsi="arial"/>
                <w:sz w:val="18"/>
              </w:rPr>
            </w:pPr>
            <w:r>
              <w:rPr>
                <w:rFonts w:ascii="arial" w:hAnsi="arial"/>
                <w:sz w:val="18"/>
              </w:rPr>
              <w:t>Performance</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041" w:type="dxa"/>
            <w:tcBorders>
              <w:bottom w:val="single" w:sz="8" w:space="0" w:color="003A5D"/>
              <w:right w:val="single" w:sz="8"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Paid in cash in</w:t>
            </w:r>
          </w:p>
          <w:p>
            <w:pPr>
              <w:pStyle w:val="TableContents"/>
              <w:bidi w:val="0"/>
              <w:spacing w:before="0" w:after="20"/>
              <w:jc w:val="left"/>
              <w:rPr>
                <w:rFonts w:ascii="arial" w:hAnsi="arial"/>
                <w:sz w:val="18"/>
              </w:rPr>
            </w:pPr>
            <w:r>
              <w:rPr>
                <w:rFonts w:ascii="arial" w:hAnsi="arial"/>
                <w:sz w:val="18"/>
              </w:rPr>
              <w:t>February 2025</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317" w:type="dxa"/>
            <w:tcBorders>
              <w:bottom w:val="single" w:sz="8" w:space="0" w:color="003A5D"/>
              <w:right w:val="single" w:sz="8" w:space="0" w:color="003A5D"/>
            </w:tcBorders>
            <w:tcMar>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Financial restatement clawback</w:t>
            </w:r>
          </w:p>
          <w:p>
            <w:pPr>
              <w:pStyle w:val="TableContents"/>
              <w:bidi w:val="0"/>
              <w:spacing w:before="0" w:after="20"/>
              <w:jc w:val="left"/>
              <w:rPr/>
            </w:pPr>
            <w:r>
              <w:rPr/>
              <w:t> </w:t>
            </w:r>
          </w:p>
        </w:tc>
      </w:tr>
      <w:tr>
        <w:trPr/>
        <w:tc>
          <w:tcPr>
            <w:tcW w:w="1568" w:type="dxa"/>
            <w:tcBorders>
              <w:left w:val="single" w:sz="8" w:space="0" w:color="003A5D"/>
              <w:bottom w:val="single" w:sz="8" w:space="0" w:color="003A5D"/>
            </w:tcBorders>
            <w:tcMar>
              <w:left w:w="160"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Performance Shares</w:t>
            </w:r>
          </w:p>
          <w:p>
            <w:pPr>
              <w:pStyle w:val="TableContents"/>
              <w:bidi w:val="0"/>
              <w:spacing w:before="0" w:after="20"/>
              <w:jc w:val="left"/>
              <w:rPr/>
            </w:pPr>
            <w:r>
              <w:rPr/>
              <w:t> </w:t>
            </w:r>
          </w:p>
        </w:tc>
        <w:tc>
          <w:tcPr>
            <w:tcW w:w="60" w:type="dxa"/>
            <w:vMerge w:val="restart"/>
            <w:tcBorders>
              <w:left w:val="single" w:sz="8" w:space="0" w:color="003A5D"/>
              <w:bottom w:val="single" w:sz="8" w:space="0" w:color="003A5D"/>
            </w:tcBorders>
            <w:tcMar>
              <w:left w:w="28" w:type="dxa"/>
              <w:bottom w:w="28" w:type="dxa"/>
            </w:tcMar>
            <w:vAlign w:val="center"/>
          </w:tcPr>
          <w:p>
            <w:pPr>
              <w:pStyle w:val="TableContents"/>
              <w:bidi w:val="0"/>
              <w:spacing w:before="0" w:after="283"/>
              <w:jc w:val="left"/>
              <w:rPr/>
            </w:pPr>
            <w:r>
              <w:rPr/>
              <w:t> </w:t>
            </w:r>
          </w:p>
        </w:tc>
        <w:tc>
          <w:tcPr>
            <w:tcW w:w="1490" w:type="dxa"/>
            <w:vMerge w:val="restart"/>
            <w:tcBorders>
              <w:bottom w:val="single" w:sz="8" w:space="0" w:color="003A5D"/>
              <w:right w:val="single" w:sz="8"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February 2025</w:t>
            </w:r>
          </w:p>
          <w:p>
            <w:pPr>
              <w:pStyle w:val="TableContents"/>
              <w:bidi w:val="0"/>
              <w:spacing w:before="0" w:after="20"/>
              <w:jc w:val="left"/>
              <w:rPr/>
            </w:pPr>
            <w:r>
              <w:rPr/>
              <w:t> </w:t>
            </w:r>
          </w:p>
        </w:tc>
        <w:tc>
          <w:tcPr>
            <w:tcW w:w="60" w:type="dxa"/>
            <w:vMerge w:val="restart"/>
            <w:tcBorders>
              <w:bottom w:val="single" w:sz="8" w:space="0" w:color="003A5D"/>
            </w:tcBorders>
            <w:tcMar>
              <w:bottom w:w="28" w:type="dxa"/>
            </w:tcMar>
            <w:vAlign w:val="center"/>
          </w:tcPr>
          <w:p>
            <w:pPr>
              <w:pStyle w:val="TableContents"/>
              <w:bidi w:val="0"/>
              <w:spacing w:before="0" w:after="283"/>
              <w:jc w:val="left"/>
              <w:rPr/>
            </w:pPr>
            <w:r>
              <w:rPr/>
              <w:t> </w:t>
            </w:r>
          </w:p>
        </w:tc>
        <w:tc>
          <w:tcPr>
            <w:tcW w:w="2549" w:type="dxa"/>
            <w:vMerge w:val="restart"/>
            <w:tcBorders>
              <w:bottom w:val="single" w:sz="8" w:space="0" w:color="003A5D"/>
              <w:right w:val="single" w:sz="8"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Reward for 2024 Individual Performance and Incentive for Long-Term Company Performance</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041" w:type="dxa"/>
            <w:tcBorders>
              <w:bottom w:val="single" w:sz="8" w:space="0" w:color="003A5D"/>
              <w:right w:val="single" w:sz="8"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Vest at the end of the 3-year performance period based on achievement of performance factors</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317" w:type="dxa"/>
            <w:tcBorders>
              <w:bottom w:val="single" w:sz="8" w:space="0" w:color="003A5D"/>
              <w:right w:val="single" w:sz="8" w:space="0" w:color="003A5D"/>
            </w:tcBorders>
            <w:tcMar>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Performance share reduction</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Misconduct clawback</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Financial restatement clawback</w:t>
            </w:r>
          </w:p>
          <w:p>
            <w:pPr>
              <w:pStyle w:val="TableContents"/>
              <w:bidi w:val="0"/>
              <w:spacing w:before="0" w:after="20"/>
              <w:jc w:val="left"/>
              <w:rPr/>
            </w:pPr>
            <w:r>
              <w:rPr/>
              <w:t> </w:t>
            </w:r>
          </w:p>
        </w:tc>
      </w:tr>
      <w:tr>
        <w:trPr/>
        <w:tc>
          <w:tcPr>
            <w:tcW w:w="1568" w:type="dxa"/>
            <w:tcBorders>
              <w:left w:val="single" w:sz="8" w:space="0" w:color="003A5D"/>
              <w:bottom w:val="single" w:sz="8" w:space="0" w:color="003A5D"/>
            </w:tcBorders>
            <w:tcMar>
              <w:left w:w="160"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Stock-Settled RSUs</w:t>
            </w:r>
          </w:p>
          <w:p>
            <w:pPr>
              <w:pStyle w:val="TableContents"/>
              <w:bidi w:val="0"/>
              <w:spacing w:before="0" w:after="20"/>
              <w:jc w:val="left"/>
              <w:rPr/>
            </w:pPr>
            <w:r>
              <w:rPr/>
              <w:t> </w:t>
            </w:r>
          </w:p>
        </w:tc>
        <w:tc>
          <w:tcPr>
            <w:tcW w:w="60" w:type="dxa"/>
            <w:vMerge w:val="continue"/>
            <w:tcBorders>
              <w:left w:val="single" w:sz="8" w:space="0" w:color="003A5D"/>
              <w:bottom w:val="single" w:sz="8" w:space="0" w:color="003A5D"/>
            </w:tcBorders>
            <w:tcMar>
              <w:left w:w="28" w:type="dxa"/>
              <w:bottom w:w="28" w:type="dxa"/>
            </w:tcMar>
            <w:vAlign w:val="center"/>
          </w:tcPr>
          <w:p>
            <w:pPr>
              <w:pStyle w:val="Normal"/>
              <w:bidi w:val="0"/>
              <w:jc w:val="left"/>
              <w:rPr/>
            </w:pPr>
            <w:r>
              <w:rPr/>
            </w:r>
          </w:p>
        </w:tc>
        <w:tc>
          <w:tcPr>
            <w:tcW w:w="1490" w:type="dxa"/>
            <w:vMerge w:val="continue"/>
            <w:tcBorders>
              <w:bottom w:val="single" w:sz="8" w:space="0" w:color="003A5D"/>
              <w:right w:val="single" w:sz="8" w:space="0" w:color="003A5D"/>
            </w:tcBorders>
            <w:tcMar>
              <w:bottom w:w="28" w:type="dxa"/>
              <w:right w:w="28" w:type="dxa"/>
            </w:tcMar>
            <w:vAlign w:val="center"/>
          </w:tcPr>
          <w:p>
            <w:pPr>
              <w:pStyle w:val="Normal"/>
              <w:bidi w:val="0"/>
              <w:jc w:val="left"/>
              <w:rPr/>
            </w:pPr>
            <w:r>
              <w:rPr/>
            </w:r>
          </w:p>
        </w:tc>
        <w:tc>
          <w:tcPr>
            <w:tcW w:w="60" w:type="dxa"/>
            <w:vMerge w:val="continue"/>
            <w:tcBorders>
              <w:bottom w:val="single" w:sz="8" w:space="0" w:color="003A5D"/>
            </w:tcBorders>
            <w:tcMar>
              <w:bottom w:w="28" w:type="dxa"/>
            </w:tcMar>
            <w:vAlign w:val="center"/>
          </w:tcPr>
          <w:p>
            <w:pPr>
              <w:pStyle w:val="Normal"/>
              <w:bidi w:val="0"/>
              <w:jc w:val="left"/>
              <w:rPr/>
            </w:pPr>
            <w:r>
              <w:rPr/>
            </w:r>
          </w:p>
        </w:tc>
        <w:tc>
          <w:tcPr>
            <w:tcW w:w="2549" w:type="dxa"/>
            <w:vMerge w:val="continue"/>
            <w:tcBorders>
              <w:bottom w:val="single" w:sz="8" w:space="0" w:color="003A5D"/>
              <w:right w:val="single" w:sz="8" w:space="0" w:color="003A5D"/>
            </w:tcBorders>
            <w:tcMar>
              <w:bottom w:w="28" w:type="dxa"/>
              <w:right w:w="28" w:type="dxa"/>
            </w:tcMar>
            <w:vAlign w:val="center"/>
          </w:tcPr>
          <w:p>
            <w:pPr>
              <w:pStyle w:val="Normal"/>
              <w:bidi w:val="0"/>
              <w:jc w:val="left"/>
              <w:rPr/>
            </w:pPr>
            <w:r>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041" w:type="dxa"/>
            <w:tcBorders>
              <w:bottom w:val="single" w:sz="8" w:space="0" w:color="003A5D"/>
              <w:right w:val="single" w:sz="8"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3-year ratable vesting</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317" w:type="dxa"/>
            <w:tcBorders>
              <w:bottom w:val="single" w:sz="8" w:space="0" w:color="003A5D"/>
              <w:right w:val="single" w:sz="8" w:space="0" w:color="003A5D"/>
            </w:tcBorders>
            <w:tcMar>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Performance-based vesting provisions</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Misconduct clawback</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Financial restatement clawback</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240" w:after="0"/>
        <w:jc w:val="both"/>
        <w:rPr>
          <w:rFonts w:ascii="arial" w:hAnsi="arial"/>
          <w:sz w:val="20"/>
        </w:rPr>
      </w:pPr>
      <w:r>
        <w:rPr>
          <w:rFonts w:ascii="arial" w:hAnsi="arial"/>
          <w:sz w:val="20"/>
        </w:rPr>
        <w:t xml:space="preserve">See “Additional Performance Conditions and Recovery Provisions” beginning on page 87 for more details regarding the performance and recovery provisions applicable to each element of compensation that the Committee approved for the 2024 performance year for the NEOs. </w:t>
      </w:r>
    </w:p>
    <w:p>
      <w:pPr>
        <w:pStyle w:val="TextBody"/>
        <w:bidi w:val="0"/>
        <w:spacing w:before="240" w:after="0"/>
        <w:jc w:val="both"/>
        <w:rPr>
          <w:rFonts w:ascii="arial" w:hAnsi="arial"/>
          <w:sz w:val="20"/>
        </w:rPr>
      </w:pPr>
      <w:r>
        <w:rPr>
          <w:rFonts w:ascii="arial" w:hAnsi="arial"/>
          <w:sz w:val="20"/>
        </w:rPr>
        <w:t xml:space="preserve">Based on the above framework, the Committee and the Independent Directors determined the 2024 total target compensation for each NEO by considering the following factors: </w:t>
      </w:r>
    </w:p>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215"/>
        <w:gridCol w:w="60"/>
        <w:gridCol w:w="632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both"/>
              <w:rPr>
                <w:rFonts w:ascii="arial" w:hAnsi="arial"/>
                <w:sz w:val="20"/>
              </w:rPr>
            </w:pPr>
            <w:r>
              <w:rPr>
                <w:rFonts w:ascii="arial" w:hAnsi="arial"/>
                <w:sz w:val="20"/>
              </w:rPr>
              <w:t xml:space="preserve">each NEO’s performance relative to the Company’s strategic objectives </w:t>
            </w:r>
          </w:p>
        </w:tc>
      </w:tr>
    </w:tbl>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75"/>
        <w:gridCol w:w="215"/>
        <w:gridCol w:w="60"/>
        <w:gridCol w:w="318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0"/>
              <w:jc w:val="both"/>
              <w:rPr>
                <w:rFonts w:ascii="arial" w:hAnsi="arial"/>
                <w:sz w:val="20"/>
              </w:rPr>
            </w:pPr>
            <w:r>
              <w:rPr>
                <w:rFonts w:ascii="arial" w:hAnsi="arial"/>
                <w:sz w:val="20"/>
              </w:rPr>
              <w:t xml:space="preserve">Capital One’s financial performance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75"/>
        <w:gridCol w:w="215"/>
        <w:gridCol w:w="60"/>
        <w:gridCol w:w="380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jc w:val="both"/>
              <w:rPr>
                <w:rFonts w:ascii="arial" w:hAnsi="arial"/>
                <w:sz w:val="20"/>
              </w:rPr>
            </w:pPr>
            <w:r>
              <w:rPr>
                <w:rFonts w:ascii="arial" w:hAnsi="arial"/>
                <w:sz w:val="20"/>
              </w:rPr>
              <w:t xml:space="preserve">the NEO’s appropriate management of risk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the role and qualifications of each NEO (for example, the NEO’s scope of responsibility, experience, and tenure and the demonstration of competencies consistent with the Company’s values and the ability to deliver strong, sustainable business results) </w:t>
            </w:r>
          </w:p>
        </w:tc>
      </w:tr>
    </w:tbl>
    <w:p>
      <w:pPr>
        <w:pStyle w:val="TextBody"/>
        <w:bidi w:val="0"/>
        <w:spacing w:before="0" w:after="0"/>
        <w:jc w:val="left"/>
        <w:rPr/>
      </w:pPr>
      <w:r>
        <w:rPr/>
        <w:t> </w:t>
      </w:r>
    </w:p>
    <w:tbl>
      <w:tblPr>
        <w:tblW w:w="8035" w:type="dxa"/>
        <w:jc w:val="left"/>
        <w:tblInd w:w="0" w:type="dxa"/>
        <w:tblLayout w:type="fixed"/>
        <w:tblCellMar>
          <w:top w:w="0" w:type="dxa"/>
          <w:left w:w="0" w:type="dxa"/>
          <w:bottom w:w="0" w:type="dxa"/>
          <w:right w:w="0" w:type="dxa"/>
        </w:tblCellMar>
      </w:tblPr>
      <w:tblGrid>
        <w:gridCol w:w="75"/>
        <w:gridCol w:w="215"/>
        <w:gridCol w:w="60"/>
        <w:gridCol w:w="768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0"/>
              <w:jc w:val="both"/>
              <w:rPr>
                <w:rFonts w:ascii="arial" w:hAnsi="arial"/>
                <w:sz w:val="20"/>
              </w:rPr>
            </w:pPr>
            <w:r>
              <w:rPr>
                <w:rFonts w:ascii="arial" w:hAnsi="arial"/>
                <w:sz w:val="20"/>
              </w:rPr>
              <w:t xml:space="preserve">appropriate internal pay differentials and the desire to foster teamwork and collaboration </w:t>
            </w:r>
          </w:p>
        </w:tc>
      </w:tr>
    </w:tbl>
    <w:p>
      <w:pPr>
        <w:pStyle w:val="TextBody"/>
        <w:bidi w:val="0"/>
        <w:spacing w:before="0" w:after="0"/>
        <w:jc w:val="left"/>
        <w:rPr/>
      </w:pPr>
      <w:r>
        <w:rPr/>
        <w:t> </w:t>
      </w:r>
    </w:p>
    <w:tbl>
      <w:tblPr>
        <w:tblW w:w="2170" w:type="dxa"/>
        <w:jc w:val="left"/>
        <w:tblInd w:w="0" w:type="dxa"/>
        <w:tblLayout w:type="fixed"/>
        <w:tblCellMar>
          <w:top w:w="0" w:type="dxa"/>
          <w:left w:w="0" w:type="dxa"/>
          <w:bottom w:w="0" w:type="dxa"/>
          <w:right w:w="0" w:type="dxa"/>
        </w:tblCellMar>
      </w:tblPr>
      <w:tblGrid>
        <w:gridCol w:w="75"/>
        <w:gridCol w:w="215"/>
        <w:gridCol w:w="60"/>
        <w:gridCol w:w="182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jc w:val="both"/>
              <w:rPr>
                <w:rFonts w:ascii="arial" w:hAnsi="arial"/>
                <w:sz w:val="20"/>
              </w:rPr>
            </w:pPr>
            <w:r>
              <w:rPr>
                <w:rFonts w:ascii="arial" w:hAnsi="arial"/>
                <w:sz w:val="20"/>
              </w:rPr>
              <w:t xml:space="preserve">historical pay levels </w:t>
            </w:r>
          </w:p>
        </w:tc>
      </w:tr>
    </w:tbl>
    <w:p>
      <w:pPr>
        <w:pStyle w:val="TextBody"/>
        <w:bidi w:val="0"/>
        <w:spacing w:before="0" w:after="0"/>
        <w:jc w:val="left"/>
        <w:rPr/>
      </w:pPr>
      <w:r>
        <w:rPr/>
        <w:t> </w:t>
      </w:r>
    </w:p>
    <w:tbl>
      <w:tblPr>
        <w:tblW w:w="7615" w:type="dxa"/>
        <w:jc w:val="left"/>
        <w:tblInd w:w="0" w:type="dxa"/>
        <w:tblLayout w:type="fixed"/>
        <w:tblCellMar>
          <w:top w:w="0" w:type="dxa"/>
          <w:left w:w="0" w:type="dxa"/>
          <w:bottom w:w="0" w:type="dxa"/>
          <w:right w:w="0" w:type="dxa"/>
        </w:tblCellMar>
      </w:tblPr>
      <w:tblGrid>
        <w:gridCol w:w="75"/>
        <w:gridCol w:w="215"/>
        <w:gridCol w:w="60"/>
        <w:gridCol w:w="726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0"/>
              <w:jc w:val="both"/>
              <w:rPr>
                <w:rFonts w:ascii="arial" w:hAnsi="arial"/>
                <w:sz w:val="20"/>
              </w:rPr>
            </w:pPr>
            <w:r>
              <w:rPr>
                <w:rFonts w:ascii="arial" w:hAnsi="arial"/>
                <w:sz w:val="20"/>
              </w:rPr>
              <w:t xml:space="preserve">available role-specific market compensation data from peer comparator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available information on the structure of compensation packages for senior executives at peer comparator companies </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82 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right"/>
              <w:rPr>
                <w:b/>
                <w:color w:val="003A5D"/>
              </w:rPr>
            </w:pPr>
            <w:r>
              <w:rPr>
                <w:b/>
                <w:color w:val="003A5D"/>
              </w:rPr>
              <w:t>Section V - Compensation Discussion and Analysis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market trends in executive compensation (for example, current rates of pay and the prevalence and types of incentive vehicles) </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75"/>
        <w:gridCol w:w="215"/>
        <w:gridCol w:w="60"/>
        <w:gridCol w:w="53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both"/>
              <w:rPr>
                <w:rFonts w:ascii="arial" w:hAnsi="arial"/>
                <w:sz w:val="20"/>
              </w:rPr>
            </w:pPr>
            <w:r>
              <w:rPr>
                <w:rFonts w:ascii="arial" w:hAnsi="arial"/>
                <w:sz w:val="20"/>
              </w:rPr>
              <w:t xml:space="preserve">the overall structure of the executive compensation program </w:t>
            </w:r>
          </w:p>
        </w:tc>
      </w:tr>
    </w:tbl>
    <w:p>
      <w:pPr>
        <w:pStyle w:val="TextBody"/>
        <w:bidi w:val="0"/>
        <w:spacing w:before="240" w:after="0"/>
        <w:jc w:val="left"/>
        <w:rPr>
          <w:rFonts w:ascii="arial" w:hAnsi="arial"/>
          <w:b/>
          <w:color w:val="003A5D"/>
          <w:sz w:val="20"/>
        </w:rPr>
      </w:pPr>
      <w:r>
        <w:rPr>
          <w:rFonts w:ascii="arial" w:hAnsi="arial"/>
          <w:b/>
          <w:color w:val="003A5D"/>
          <w:sz w:val="20"/>
        </w:rPr>
        <w:t xml:space="preserve">Base Salaries </w:t>
      </w:r>
    </w:p>
    <w:p>
      <w:pPr>
        <w:pStyle w:val="TextBody"/>
        <w:bidi w:val="0"/>
        <w:spacing w:before="240" w:after="0"/>
        <w:jc w:val="both"/>
        <w:rPr>
          <w:rFonts w:ascii="arial" w:hAnsi="arial"/>
          <w:sz w:val="20"/>
        </w:rPr>
      </w:pPr>
      <w:r>
        <w:rPr>
          <w:rFonts w:ascii="arial" w:hAnsi="arial"/>
          <w:sz w:val="20"/>
        </w:rPr>
        <w:t xml:space="preserve">In 2024, the Committee and the Independent Directors approved 2024 cash base salaries for the NEOs ranging from $1.0 million to $1.4 million. Individual details for each NEO are provided in the “NEO Compensation by Performance Year” table found on page 85. </w:t>
      </w:r>
    </w:p>
    <w:p>
      <w:pPr>
        <w:pStyle w:val="TextBody"/>
        <w:bidi w:val="0"/>
        <w:spacing w:before="240" w:after="0"/>
        <w:jc w:val="left"/>
        <w:rPr>
          <w:rFonts w:ascii="arial" w:hAnsi="arial"/>
          <w:b/>
          <w:color w:val="003A5D"/>
          <w:sz w:val="20"/>
        </w:rPr>
      </w:pPr>
      <w:r>
        <w:rPr>
          <w:rFonts w:ascii="arial" w:hAnsi="arial"/>
          <w:b/>
          <w:color w:val="003A5D"/>
          <w:sz w:val="20"/>
        </w:rPr>
        <w:t xml:space="preserve">Year-End Incentive Awards </w:t>
      </w:r>
    </w:p>
    <w:p>
      <w:pPr>
        <w:pStyle w:val="TextBody"/>
        <w:bidi w:val="0"/>
        <w:spacing w:before="240" w:after="0"/>
        <w:jc w:val="both"/>
        <w:rPr>
          <w:rFonts w:ascii="arial" w:hAnsi="arial"/>
          <w:sz w:val="20"/>
        </w:rPr>
      </w:pPr>
      <w:r>
        <w:rPr>
          <w:rFonts w:ascii="arial" w:hAnsi="arial"/>
          <w:sz w:val="20"/>
        </w:rPr>
        <w:t xml:space="preserve">A portion of the NEOs’ 2024 compensation consisted of an opportunity for a year-end incentive award based on Company and the NEO’s individual performance in 2024. This award, if granted, may consist of long-term incentive awards in the form of performance shares and/or RSUs, and a cash incentive award. In February 2025, the Committee and the Independent Directors determined to award each NEO performance shares, a cash incentive award, and RSUs as recognition of Company and NEO individual performance in 2024. The year-end incentive awards are subject to performance-based vesting and clawback provisions as discussed below under “Additional Performance Conditions and Recovery Provisions” beginning on page 87. </w:t>
      </w:r>
    </w:p>
    <w:p>
      <w:pPr>
        <w:pStyle w:val="TextBody"/>
        <w:bidi w:val="0"/>
        <w:spacing w:before="240" w:after="0"/>
        <w:jc w:val="left"/>
        <w:rPr>
          <w:rFonts w:ascii="arial" w:hAnsi="arial"/>
          <w:b/>
          <w:i/>
          <w:color w:val="003A5D"/>
          <w:sz w:val="20"/>
        </w:rPr>
      </w:pPr>
      <w:r>
        <w:rPr>
          <w:rFonts w:ascii="arial" w:hAnsi="arial"/>
          <w:b/>
          <w:i/>
          <w:color w:val="003A5D"/>
          <w:sz w:val="20"/>
        </w:rPr>
        <w:t xml:space="preserve">Cash Incentive Awards </w:t>
      </w:r>
    </w:p>
    <w:p>
      <w:pPr>
        <w:pStyle w:val="TextBody"/>
        <w:bidi w:val="0"/>
        <w:spacing w:before="240" w:after="0"/>
        <w:jc w:val="both"/>
        <w:rPr>
          <w:rFonts w:ascii="arial" w:hAnsi="arial"/>
          <w:sz w:val="20"/>
        </w:rPr>
      </w:pPr>
      <w:r>
        <w:rPr>
          <w:rFonts w:ascii="arial" w:hAnsi="arial"/>
          <w:sz w:val="20"/>
        </w:rPr>
        <w:t xml:space="preserve">The cash incentive awards provided to the NEOs are based on the Committee’s evaluation of the Company’s performance during 2024. In February 2024, the Committee and the Independent Directors established a target value for the cash incentive for each NEO consisting of approximately 25% of the NEOs’ total target compensation. The Committee and the Independent Directors may determine to award 0% to 150% of the cash incentive target value based on Company performance. For purposes of the cash incentive awards, the Committee and the Independent Directors assess the Company’s performance based on the Performance Factors. The Committee believes that these factors appropriately reflect and balance near-term performance and long-term success for the Company’s customers, associates, and stockholders. See “Company Performance Assessment” beginning on page 74 for details regarding the Performance Factors. </w:t>
      </w:r>
    </w:p>
    <w:p>
      <w:pPr>
        <w:pStyle w:val="TextBody"/>
        <w:bidi w:val="0"/>
        <w:spacing w:before="240" w:after="0"/>
        <w:jc w:val="both"/>
        <w:rPr>
          <w:rFonts w:ascii="arial" w:hAnsi="arial"/>
          <w:sz w:val="20"/>
        </w:rPr>
      </w:pPr>
      <w:r>
        <w:rPr>
          <w:rFonts w:ascii="arial" w:hAnsi="arial"/>
          <w:sz w:val="20"/>
        </w:rPr>
        <w:t xml:space="preserve">In February 2025, the Committee and the Independent Directors approved cash incentive awards for the NEOs ranging from approximately $1.95 million to $2.6 million, representing a payout at 150% of the target award values established by the Committee in February 2024, based on actual Company performance in 2024. Individual details for each NEO are provided in the table below showing compensation by performance year. The assessment of Company performance for the NEOs is consistent with the assessment performed in connection with the CEO year-end incentive award. The Committee and the Independent Directors determined that these awards were appropriate in light of the Company’s performance as described under “2024 Year-End Incentive Determination” beginning on page 73 in connection with the determinations by the Committee and the Independent Directors relating to the CEO’s year-end incentive awards. </w:t>
      </w:r>
    </w:p>
    <w:p>
      <w:pPr>
        <w:pStyle w:val="TextBody"/>
        <w:bidi w:val="0"/>
        <w:spacing w:before="240" w:after="0"/>
        <w:jc w:val="left"/>
        <w:rPr>
          <w:rFonts w:ascii="arial" w:hAnsi="arial"/>
          <w:b/>
          <w:i/>
          <w:color w:val="003A5D"/>
          <w:sz w:val="20"/>
        </w:rPr>
      </w:pPr>
      <w:r>
        <w:rPr>
          <w:rFonts w:ascii="arial" w:hAnsi="arial"/>
          <w:b/>
          <w:i/>
          <w:color w:val="003A5D"/>
          <w:sz w:val="20"/>
        </w:rPr>
        <w:t xml:space="preserve">Long-Term Incentive Awards </w:t>
      </w:r>
    </w:p>
    <w:p>
      <w:pPr>
        <w:pStyle w:val="TextBody"/>
        <w:bidi w:val="0"/>
        <w:spacing w:before="240" w:after="0"/>
        <w:jc w:val="both"/>
        <w:rPr>
          <w:rFonts w:ascii="arial" w:hAnsi="arial"/>
          <w:sz w:val="20"/>
        </w:rPr>
      </w:pPr>
      <w:r>
        <w:rPr>
          <w:rFonts w:ascii="arial" w:hAnsi="arial"/>
          <w:sz w:val="20"/>
        </w:rPr>
        <w:t xml:space="preserve">Long-term incentive awards are designed to reward individual performance and align a significant portion of compensation with achievement of both annual and long-term performance goals. In determining the actual amounts to be awarded to each NEO, the Committee considered each NEO’s contribution to the Company’s performance for 2024, as well as the individual performance of each NEO. The Committee also received input from the CEO on his assessment of each NEO’s individual performance and his recommendations for compensation of the NEOs. The CEO also assessed the degree to which the NEO balanced risks inherent in the NEO’s role. These assessments included the use of both quantitative and qualitative risk measures and were compiled by the Chief Enterprise Risk Officer and reviewed by the Chief Human Resources Officer, and separately the Chief Audit Officer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83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lef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compiled and reviewed the assessment for the Chief Enterprise Risk Officer and Chief Credit and Financial Risk Officer, before such assessments were presented to the Committee and the Independent Directors for their consideration. </w:t>
      </w:r>
    </w:p>
    <w:p>
      <w:pPr>
        <w:pStyle w:val="TextBody"/>
        <w:bidi w:val="0"/>
        <w:spacing w:before="240" w:after="0"/>
        <w:jc w:val="both"/>
        <w:rPr>
          <w:rFonts w:ascii="arial" w:hAnsi="arial"/>
          <w:sz w:val="20"/>
        </w:rPr>
      </w:pPr>
      <w:r>
        <w:rPr>
          <w:rFonts w:ascii="arial" w:hAnsi="arial"/>
          <w:sz w:val="20"/>
        </w:rPr>
        <w:t xml:space="preserve">In February 2025, the Committee and the Independent Directors granted long-term incentive awards, consisting of stock-settled RSUs and performance shares, to the NEOs, as recognition for individual NEO performance in 2024 and to drive further long-term performance. The long-term incentive awards granted to these NEOs for performance year 2024 ranged from approximately $2.9 million to $3.8 million. Long-term incentive awards are linked to performance in two ways: </w:t>
      </w:r>
    </w:p>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75"/>
        <w:gridCol w:w="215"/>
        <w:gridCol w:w="60"/>
        <w:gridCol w:w="966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both"/>
              <w:rPr>
                <w:rFonts w:ascii="arial" w:hAnsi="arial"/>
                <w:sz w:val="20"/>
              </w:rPr>
            </w:pPr>
            <w:r>
              <w:rPr>
                <w:rFonts w:ascii="arial" w:hAnsi="arial"/>
                <w:sz w:val="20"/>
              </w:rPr>
              <w:t xml:space="preserve">The size of the award is based on each NEO’s individual performance assessment for the year just completed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215"/>
        <w:gridCol w:w="60"/>
        <w:gridCol w:w="750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both"/>
              <w:rPr>
                <w:rFonts w:ascii="arial" w:hAnsi="arial"/>
                <w:sz w:val="20"/>
              </w:rPr>
            </w:pPr>
            <w:r>
              <w:rPr>
                <w:rFonts w:ascii="arial" w:hAnsi="arial"/>
                <w:sz w:val="20"/>
              </w:rPr>
              <w:t xml:space="preserve">The ultimate value of the award is dependent on Capital One’s performance over time </w:t>
            </w:r>
          </w:p>
        </w:tc>
      </w:tr>
    </w:tbl>
    <w:p>
      <w:pPr>
        <w:pStyle w:val="TextBody"/>
        <w:bidi w:val="0"/>
        <w:spacing w:before="240" w:after="0"/>
        <w:jc w:val="both"/>
        <w:rPr>
          <w:rFonts w:ascii="arial" w:hAnsi="arial"/>
          <w:sz w:val="20"/>
        </w:rPr>
      </w:pPr>
      <w:r>
        <w:rPr>
          <w:rFonts w:ascii="arial" w:hAnsi="arial"/>
          <w:sz w:val="20"/>
        </w:rPr>
        <w:t xml:space="preserve">The terms of the performance share awards are substantially similar to the terms of the Financial Performance Shares awarded to our CEO for performance year 2024, as described earlier under “Performance Share Award Metrics” beginning on page 69. The NEOs do not receive TSR Performance Shares. The NEO stock-settled RSUs vest ratably in one-third increments starting on the first anniversary of the grant date. </w:t>
      </w:r>
    </w:p>
    <w:p>
      <w:pPr>
        <w:pStyle w:val="TextBody"/>
        <w:bidi w:val="0"/>
        <w:spacing w:before="240" w:after="0"/>
        <w:jc w:val="left"/>
        <w:rPr>
          <w:rFonts w:ascii="arial" w:hAnsi="arial"/>
          <w:b/>
          <w:i/>
          <w:color w:val="003A5D"/>
          <w:sz w:val="24"/>
        </w:rPr>
      </w:pPr>
      <w:bookmarkStart w:id="77" w:name="txa845790_212"/>
      <w:bookmarkEnd w:id="77"/>
      <w:r>
        <w:rPr>
          <w:rFonts w:ascii="arial" w:hAnsi="arial"/>
          <w:b/>
          <w:i/>
          <w:color w:val="003A5D"/>
          <w:sz w:val="24"/>
        </w:rPr>
        <w:t xml:space="preserve">2024 NEO Year-End Incentive Compensation Decisions </w:t>
      </w:r>
    </w:p>
    <w:p>
      <w:pPr>
        <w:pStyle w:val="TextBody"/>
        <w:bidi w:val="0"/>
        <w:spacing w:before="240" w:after="0"/>
        <w:jc w:val="left"/>
        <w:rPr>
          <w:rFonts w:ascii="arial" w:hAnsi="arial"/>
          <w:b/>
          <w:color w:val="003A5D"/>
          <w:sz w:val="20"/>
        </w:rPr>
      </w:pPr>
      <w:r>
        <w:rPr>
          <w:rFonts w:ascii="arial" w:hAnsi="arial"/>
          <w:b/>
          <w:color w:val="003A5D"/>
          <w:sz w:val="20"/>
        </w:rPr>
        <w:t xml:space="preserve">Andrew M. Young - Chief Financial Officer </w:t>
      </w:r>
    </w:p>
    <w:p>
      <w:pPr>
        <w:pStyle w:val="TextBody"/>
        <w:bidi w:val="0"/>
        <w:spacing w:before="240" w:after="0"/>
        <w:jc w:val="both"/>
        <w:rPr>
          <w:rFonts w:ascii="arial" w:hAnsi="arial"/>
          <w:sz w:val="20"/>
        </w:rPr>
      </w:pPr>
      <w:r>
        <w:rPr>
          <w:rFonts w:ascii="arial" w:hAnsi="arial"/>
          <w:sz w:val="20"/>
        </w:rPr>
        <w:t xml:space="preserve">Mr. Young was awarded a cash incentive of $1,950,000 and long-term incentive awards consisting of 6,497 stock-settled RSUs and a target amount of 7,796 performance shares with a total grant date fair value for both awards of $2,860,315. The Committee and the Independent Directors determined to grant these awards based upon Mr. Young’s leadership of the Company’s finance organization, his evaluation and integration preparation efforts relating to the Discover Transaction, his skillful approach to maintaining relationships with stockholders, his well-managed execution of key corporate initiatives, and his robust risk management. In addition, the Committee and the Independent Directors also considered Mr. Young’s collaborative partnership across the management team, sound judgment, maintenance of a strong balance sheet, funding and liquidity management, and commitment to talent development and Company culture. </w:t>
      </w:r>
    </w:p>
    <w:p>
      <w:pPr>
        <w:pStyle w:val="TextBody"/>
        <w:bidi w:val="0"/>
        <w:spacing w:before="240" w:after="0"/>
        <w:jc w:val="left"/>
        <w:rPr>
          <w:rFonts w:ascii="arial" w:hAnsi="arial"/>
          <w:b/>
          <w:color w:val="003A5D"/>
          <w:sz w:val="20"/>
        </w:rPr>
      </w:pPr>
      <w:r>
        <w:rPr>
          <w:rFonts w:ascii="arial" w:hAnsi="arial"/>
          <w:b/>
          <w:color w:val="003A5D"/>
          <w:sz w:val="20"/>
        </w:rPr>
        <w:t xml:space="preserve">Frank G. LaPrade, III - Chief Enterprise Services Officer and Chief of Staff to the CEO </w:t>
      </w:r>
    </w:p>
    <w:p>
      <w:pPr>
        <w:pStyle w:val="TextBody"/>
        <w:bidi w:val="0"/>
        <w:spacing w:before="240" w:after="0"/>
        <w:jc w:val="both"/>
        <w:rPr>
          <w:rFonts w:ascii="arial" w:hAnsi="arial"/>
          <w:sz w:val="20"/>
        </w:rPr>
      </w:pPr>
      <w:r>
        <w:rPr>
          <w:rFonts w:ascii="arial" w:hAnsi="arial"/>
          <w:sz w:val="20"/>
        </w:rPr>
        <w:t xml:space="preserve">Mr. LaPrade was awarded a cash incentive of $2,602,500 and long-term incentive awards consisting of 8,670 stock-settled RSUs and a target amount of 10,404 performance shares with a total grant date fair value for both awards of $3,817,089. The Committee and the Independent Directors determined to grant these awards based upon Mr. LaPrade’s role in key strategic initiatives, including the Discover Transaction and technology and data transformation initiatives, his work on critical vendor arrangements, the exceptional performance of the Company’s brand marketing, his sound judgment, and his thoughtful and rigorous management of risk. The Committee and the Independent Directors also considered Mr. LaPrade’s inspirational leadership and problem solving, as well as his demonstrated talent in recruiting, developing, and retaining strong talent. </w:t>
      </w:r>
    </w:p>
    <w:p>
      <w:pPr>
        <w:pStyle w:val="TextBody"/>
        <w:bidi w:val="0"/>
        <w:spacing w:before="240" w:after="0"/>
        <w:jc w:val="left"/>
        <w:rPr>
          <w:rFonts w:ascii="arial" w:hAnsi="arial"/>
          <w:b/>
          <w:color w:val="003A5D"/>
          <w:sz w:val="20"/>
        </w:rPr>
      </w:pPr>
      <w:r>
        <w:rPr>
          <w:rFonts w:ascii="arial" w:hAnsi="arial"/>
          <w:b/>
          <w:color w:val="003A5D"/>
          <w:sz w:val="20"/>
        </w:rPr>
        <w:t xml:space="preserve">Matthew W. Cooper - General Counsel and Corporate Secretary </w:t>
      </w:r>
    </w:p>
    <w:p>
      <w:pPr>
        <w:pStyle w:val="TextBody"/>
        <w:bidi w:val="0"/>
        <w:spacing w:before="240" w:after="0"/>
        <w:jc w:val="both"/>
        <w:rPr>
          <w:rFonts w:ascii="arial" w:hAnsi="arial"/>
          <w:sz w:val="20"/>
        </w:rPr>
      </w:pPr>
      <w:r>
        <w:rPr>
          <w:rFonts w:ascii="arial" w:hAnsi="arial"/>
          <w:sz w:val="20"/>
        </w:rPr>
        <w:t xml:space="preserve">Mr. Cooper was awarded a cash incentive of $2,089,500 and long-term incentive awards consisting of 8,001 stock-settled RSUs and a target amount of 9,601 performance shares with a total grant date fair value for both awards of $3,522,512. The Committee and the Independent Directors determined to grant these awards to Mr. Cooper based upon his excellent execution of significant and complex legal matters, his support of international expansion and advisory work on strategic initiatives, and his leadership of regulatory and integration matters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84 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righ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relating to the Discover Transaction. The Committee and the Independent Directors also considered Mr. Cooper’s broad knowledge and excellent judgment, his success in building a strong and talented legal team, and his values-oriented people leadership. </w:t>
      </w:r>
    </w:p>
    <w:p>
      <w:pPr>
        <w:pStyle w:val="TextBody"/>
        <w:bidi w:val="0"/>
        <w:spacing w:before="240" w:after="0"/>
        <w:jc w:val="left"/>
        <w:rPr>
          <w:rFonts w:ascii="arial" w:hAnsi="arial"/>
          <w:b/>
          <w:color w:val="003A5D"/>
          <w:sz w:val="20"/>
        </w:rPr>
      </w:pPr>
      <w:r>
        <w:rPr>
          <w:rFonts w:ascii="arial" w:hAnsi="arial"/>
          <w:b/>
          <w:color w:val="003A5D"/>
          <w:sz w:val="20"/>
        </w:rPr>
        <w:t xml:space="preserve">Sanjiv Yajnik - President, Financial Services </w:t>
      </w:r>
    </w:p>
    <w:p>
      <w:pPr>
        <w:pStyle w:val="TextBody"/>
        <w:bidi w:val="0"/>
        <w:spacing w:before="240" w:after="0"/>
        <w:jc w:val="both"/>
        <w:rPr>
          <w:rFonts w:ascii="arial" w:hAnsi="arial"/>
          <w:sz w:val="20"/>
        </w:rPr>
      </w:pPr>
      <w:r>
        <w:rPr>
          <w:rFonts w:ascii="arial" w:hAnsi="arial"/>
          <w:sz w:val="20"/>
        </w:rPr>
        <w:t xml:space="preserve">Mr. Yajnik was awarded a cash incentive of $2,442,000 and long-term incentive awards consisting of 8,132 stock-settled RSUs and a target amount of 9,758 performance shares with a total grant date fair value for both awards of $3,580,147. The Committee and the Independent Directors determined to grant these awards based upon Mr. Yajnik’s leadership driving strong performance in the Financial Services business, establishment of partnerships, delivery of excellent customer experience on the Dealer Navigator, Auto Navigator, and Refinance platforms, leadership in identifying and addressing unmet customer needs, and focus on constant innovation. The Committee and the Independent Directors also considered Mr. Yajnik’s motivational leadership, disciplined and well-managed execution, and identification and development of strong talent. </w:t>
      </w:r>
    </w:p>
    <w:p>
      <w:pPr>
        <w:pStyle w:val="TextBody"/>
        <w:bidi w:val="0"/>
        <w:spacing w:before="240" w:after="0"/>
        <w:jc w:val="left"/>
        <w:rPr>
          <w:rFonts w:ascii="arial" w:hAnsi="arial"/>
          <w:b/>
          <w:i/>
          <w:color w:val="003A5D"/>
          <w:sz w:val="24"/>
        </w:rPr>
      </w:pPr>
      <w:bookmarkStart w:id="78" w:name="txa845790_85aaa"/>
      <w:bookmarkStart w:id="79" w:name="txa845790_213"/>
      <w:bookmarkEnd w:id="78"/>
      <w:bookmarkEnd w:id="79"/>
      <w:r>
        <w:rPr>
          <w:rFonts w:ascii="arial" w:hAnsi="arial"/>
          <w:b/>
          <w:i/>
          <w:color w:val="003A5D"/>
          <w:sz w:val="24"/>
        </w:rPr>
        <w:t xml:space="preserve">NEO Compensation by Performance Year </w:t>
      </w:r>
    </w:p>
    <w:p>
      <w:pPr>
        <w:pStyle w:val="TextBody"/>
        <w:bidi w:val="0"/>
        <w:spacing w:before="240" w:after="0"/>
        <w:jc w:val="both"/>
        <w:rPr>
          <w:rFonts w:ascii="arial" w:hAnsi="arial"/>
          <w:sz w:val="20"/>
        </w:rPr>
      </w:pPr>
      <w:r>
        <w:rPr>
          <w:rFonts w:ascii="arial" w:hAnsi="arial"/>
          <w:sz w:val="20"/>
        </w:rPr>
        <w:t xml:space="preserve">The table below shows actual NEO compensation as it is attributable to the performance year indicated.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48"/>
        <w:gridCol w:w="60"/>
        <w:gridCol w:w="1351"/>
        <w:gridCol w:w="60"/>
        <w:gridCol w:w="1545"/>
        <w:gridCol w:w="60"/>
        <w:gridCol w:w="1262"/>
        <w:gridCol w:w="60"/>
        <w:gridCol w:w="1100"/>
        <w:gridCol w:w="60"/>
        <w:gridCol w:w="1621"/>
        <w:gridCol w:w="60"/>
        <w:gridCol w:w="1118"/>
      </w:tblGrid>
      <w:tr>
        <w:trPr/>
        <w:tc>
          <w:tcPr>
            <w:tcW w:w="18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1848" w:type="dxa"/>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411" w:type="dxa"/>
            <w:gridSpan w:val="2"/>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605" w:type="dxa"/>
            <w:gridSpan w:val="2"/>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4163" w:type="dxa"/>
            <w:gridSpan w:val="6"/>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178"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1848" w:type="dxa"/>
            <w:vMerge w:val="restart"/>
            <w:tcBorders>
              <w:right w:val="single" w:sz="24" w:space="0" w:color="FFFFFF"/>
            </w:tcBorders>
            <w:shd w:fill="003A5D" w:val="clear"/>
            <w:tcMar>
              <w:right w:w="28" w:type="dxa"/>
            </w:tcMar>
            <w:vAlign w:val="center"/>
          </w:tcPr>
          <w:p>
            <w:pPr>
              <w:pStyle w:val="TableContents"/>
              <w:bidi w:val="0"/>
              <w:spacing w:before="0" w:after="0"/>
              <w:jc w:val="left"/>
              <w:rPr/>
            </w:pPr>
            <w:r>
              <w:rPr/>
              <w:t> </w:t>
            </w:r>
          </w:p>
          <w:p>
            <w:pPr>
              <w:pStyle w:val="TableContents"/>
              <w:bidi w:val="0"/>
              <w:spacing w:before="0" w:after="20"/>
              <w:jc w:val="left"/>
              <w:rPr>
                <w:color w:val="FFFFFF"/>
              </w:rPr>
            </w:pPr>
            <w:r>
              <w:rPr>
                <w:color w:val="FFFFFF"/>
              </w:rPr>
              <w:t> </w:t>
            </w:r>
            <w:r>
              <w:rPr>
                <w:rFonts w:ascii="arial" w:hAnsi="arial"/>
                <w:b/>
                <w:color w:val="FFFFFF"/>
                <w:sz w:val="18"/>
              </w:rPr>
              <w:t>Name</w:t>
            </w:r>
          </w:p>
        </w:tc>
        <w:tc>
          <w:tcPr>
            <w:tcW w:w="60" w:type="dxa"/>
            <w:vMerge w:val="restart"/>
            <w:tcBorders/>
            <w:shd w:fill="003A5D" w:val="clear"/>
            <w:vAlign w:val="center"/>
          </w:tcPr>
          <w:p>
            <w:pPr>
              <w:pStyle w:val="TableContents"/>
              <w:bidi w:val="0"/>
              <w:spacing w:before="0" w:after="283"/>
              <w:jc w:val="left"/>
              <w:rPr/>
            </w:pPr>
            <w:r>
              <w:rPr/>
              <w:t> </w:t>
            </w:r>
          </w:p>
        </w:tc>
        <w:tc>
          <w:tcPr>
            <w:tcW w:w="1351" w:type="dxa"/>
            <w:vMerge w:val="restart"/>
            <w:tcBorders>
              <w:right w:val="single" w:sz="24" w:space="0" w:color="FFFFFF"/>
            </w:tcBorders>
            <w:shd w:fill="003A5D" w:val="clear"/>
            <w:tcMar>
              <w:right w:w="28" w:type="dxa"/>
            </w:tcM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Performance </w:t>
            </w:r>
          </w:p>
          <w:p>
            <w:pPr>
              <w:pStyle w:val="TableContents"/>
              <w:bidi w:val="0"/>
              <w:spacing w:before="0" w:after="20"/>
              <w:jc w:val="center"/>
              <w:rPr>
                <w:rFonts w:ascii="arial" w:hAnsi="arial"/>
                <w:b/>
                <w:color w:val="FFFFFF"/>
                <w:sz w:val="18"/>
              </w:rPr>
            </w:pPr>
            <w:r>
              <w:rPr>
                <w:rFonts w:ascii="arial" w:hAnsi="arial"/>
                <w:b/>
                <w:color w:val="FFFFFF"/>
                <w:sz w:val="18"/>
              </w:rPr>
              <w:t>Year</w:t>
            </w:r>
          </w:p>
        </w:tc>
        <w:tc>
          <w:tcPr>
            <w:tcW w:w="60" w:type="dxa"/>
            <w:tcBorders>
              <w:bottom w:val="single" w:sz="24" w:space="0" w:color="FFFFFF"/>
            </w:tcBorders>
            <w:shd w:fill="003A5D" w:val="clear"/>
            <w:tcMar>
              <w:bottom w:w="28" w:type="dxa"/>
            </w:tcMar>
            <w:vAlign w:val="center"/>
          </w:tcPr>
          <w:p>
            <w:pPr>
              <w:pStyle w:val="TableContents"/>
              <w:bidi w:val="0"/>
              <w:spacing w:before="0" w:after="283"/>
              <w:jc w:val="left"/>
              <w:rPr/>
            </w:pPr>
            <w:r>
              <w:rPr/>
              <w:t> </w:t>
            </w:r>
          </w:p>
        </w:tc>
        <w:tc>
          <w:tcPr>
            <w:tcW w:w="1545" w:type="dxa"/>
            <w:tcBorders>
              <w:bottom w:val="single" w:sz="24" w:space="0" w:color="FFFFFF"/>
              <w:right w:val="single" w:sz="24" w:space="0" w:color="FFFFFF"/>
            </w:tcBorders>
            <w:shd w:fill="003A5D" w:val="clear"/>
            <w:tcMar>
              <w:bottom w:w="28"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Base Salary</w:t>
            </w:r>
          </w:p>
        </w:tc>
        <w:tc>
          <w:tcPr>
            <w:tcW w:w="60" w:type="dxa"/>
            <w:tcBorders>
              <w:bottom w:val="single" w:sz="24" w:space="0" w:color="FFFFFF"/>
            </w:tcBorders>
            <w:shd w:fill="003A5D" w:val="clear"/>
            <w:tcMar>
              <w:bottom w:w="28" w:type="dxa"/>
            </w:tcMar>
            <w:vAlign w:val="center"/>
          </w:tcPr>
          <w:p>
            <w:pPr>
              <w:pStyle w:val="TableContents"/>
              <w:bidi w:val="0"/>
              <w:spacing w:before="0" w:after="283"/>
              <w:jc w:val="left"/>
              <w:rPr/>
            </w:pPr>
            <w:r>
              <w:rPr/>
              <w:t> </w:t>
            </w:r>
          </w:p>
        </w:tc>
        <w:tc>
          <w:tcPr>
            <w:tcW w:w="4103" w:type="dxa"/>
            <w:gridSpan w:val="5"/>
            <w:tcBorders>
              <w:bottom w:val="single" w:sz="24" w:space="0" w:color="FFFFFF"/>
              <w:right w:val="single" w:sz="24" w:space="0" w:color="FFFFFF"/>
            </w:tcBorders>
            <w:shd w:fill="003A5D" w:val="clear"/>
            <w:tcMar>
              <w:bottom w:w="28"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Year-End Incentive</w:t>
            </w:r>
          </w:p>
        </w:tc>
        <w:tc>
          <w:tcPr>
            <w:tcW w:w="60" w:type="dxa"/>
            <w:vMerge w:val="restart"/>
            <w:tcBorders/>
            <w:shd w:fill="003A5D" w:val="clear"/>
            <w:vAlign w:val="center"/>
          </w:tcPr>
          <w:p>
            <w:pPr>
              <w:pStyle w:val="TableContents"/>
              <w:bidi w:val="0"/>
              <w:spacing w:before="0" w:after="283"/>
              <w:jc w:val="left"/>
              <w:rPr/>
            </w:pPr>
            <w:r>
              <w:rPr/>
              <w:t> </w:t>
            </w:r>
          </w:p>
        </w:tc>
        <w:tc>
          <w:tcPr>
            <w:tcW w:w="1118" w:type="dxa"/>
            <w:vMerge w:val="restart"/>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Total</w:t>
            </w:r>
          </w:p>
        </w:tc>
      </w:tr>
      <w:tr>
        <w:trPr/>
        <w:tc>
          <w:tcPr>
            <w:tcW w:w="1848" w:type="dxa"/>
            <w:vMerge w:val="continue"/>
            <w:tcBorders>
              <w:right w:val="single" w:sz="24" w:space="0" w:color="FFFFFF"/>
            </w:tcBorders>
            <w:shd w:fill="003A5D" w:val="clear"/>
            <w:tcMar>
              <w:right w:w="28" w:type="dxa"/>
            </w:tcMar>
            <w:vAlign w:val="center"/>
          </w:tcPr>
          <w:p>
            <w:pPr>
              <w:pStyle w:val="Normal"/>
              <w:bidi w:val="0"/>
              <w:jc w:val="left"/>
              <w:rPr/>
            </w:pPr>
            <w:r>
              <w:rPr/>
            </w:r>
          </w:p>
        </w:tc>
        <w:tc>
          <w:tcPr>
            <w:tcW w:w="60" w:type="dxa"/>
            <w:vMerge w:val="continue"/>
            <w:tcBorders/>
            <w:shd w:fill="003A5D" w:val="clear"/>
            <w:vAlign w:val="center"/>
          </w:tcPr>
          <w:p>
            <w:pPr>
              <w:pStyle w:val="Normal"/>
              <w:bidi w:val="0"/>
              <w:jc w:val="left"/>
              <w:rPr/>
            </w:pPr>
            <w:r>
              <w:rPr/>
            </w:r>
          </w:p>
        </w:tc>
        <w:tc>
          <w:tcPr>
            <w:tcW w:w="1351" w:type="dxa"/>
            <w:vMerge w:val="continue"/>
            <w:tcBorders>
              <w:right w:val="single" w:sz="24" w:space="0" w:color="FFFFFF"/>
            </w:tcBorders>
            <w:shd w:fill="003A5D" w:val="clear"/>
            <w:tcMar>
              <w:right w:w="28" w:type="dxa"/>
            </w:tcMar>
            <w:vAlign w:val="center"/>
          </w:tcPr>
          <w:p>
            <w:pPr>
              <w:pStyle w:val="Normal"/>
              <w:bidi w:val="0"/>
              <w:jc w:val="left"/>
              <w:rPr/>
            </w:pPr>
            <w:r>
              <w:rPr/>
            </w:r>
          </w:p>
        </w:tc>
        <w:tc>
          <w:tcPr>
            <w:tcW w:w="60" w:type="dxa"/>
            <w:vMerge w:val="restart"/>
            <w:tcBorders/>
            <w:shd w:fill="003A5D" w:val="clear"/>
            <w:vAlign w:val="center"/>
          </w:tcPr>
          <w:p>
            <w:pPr>
              <w:pStyle w:val="TableContents"/>
              <w:bidi w:val="0"/>
              <w:spacing w:before="0" w:after="283"/>
              <w:jc w:val="left"/>
              <w:rPr/>
            </w:pPr>
            <w:r>
              <w:rPr/>
              <w:t> </w:t>
            </w:r>
          </w:p>
        </w:tc>
        <w:tc>
          <w:tcPr>
            <w:tcW w:w="1545" w:type="dxa"/>
            <w:vMerge w:val="restart"/>
            <w:tcBorders>
              <w:right w:val="single" w:sz="24" w:space="0" w:color="FFFFFF"/>
            </w:tcBorders>
            <w:shd w:fill="003A5D" w:val="clear"/>
            <w:tcMar>
              <w:right w:w="28" w:type="dxa"/>
            </w:tcMar>
            <w:vAlign w:val="center"/>
          </w:tcPr>
          <w:p>
            <w:pPr>
              <w:pStyle w:val="TableContents"/>
              <w:bidi w:val="0"/>
              <w:spacing w:before="0" w:after="283"/>
              <w:jc w:val="center"/>
              <w:rPr>
                <w:color w:val="FFFFFF"/>
              </w:rPr>
            </w:pPr>
            <w:r>
              <w:rPr>
                <w:color w:val="FFFFFF"/>
              </w:rPr>
              <w:t> </w:t>
            </w:r>
            <w:r>
              <w:rPr>
                <w:b/>
                <w:color w:val="FFFFFF"/>
              </w:rPr>
              <w:t>Cash Salary  </w:t>
            </w:r>
          </w:p>
        </w:tc>
        <w:tc>
          <w:tcPr>
            <w:tcW w:w="60" w:type="dxa"/>
            <w:vMerge w:val="restart"/>
            <w:tcBorders>
              <w:left w:val="single" w:sz="6" w:space="0" w:color="FFFFFF"/>
            </w:tcBorders>
            <w:shd w:fill="003A5D" w:val="clear"/>
            <w:tcMar>
              <w:left w:w="28" w:type="dxa"/>
            </w:tcMar>
            <w:vAlign w:val="center"/>
          </w:tcPr>
          <w:p>
            <w:pPr>
              <w:pStyle w:val="TableContents"/>
              <w:bidi w:val="0"/>
              <w:spacing w:before="0" w:after="283"/>
              <w:jc w:val="left"/>
              <w:rPr/>
            </w:pPr>
            <w:r>
              <w:rPr/>
              <w:t> </w:t>
            </w:r>
          </w:p>
        </w:tc>
        <w:tc>
          <w:tcPr>
            <w:tcW w:w="1262" w:type="dxa"/>
            <w:vMerge w:val="restart"/>
            <w:tcBorders>
              <w:right w:val="single" w:sz="24" w:space="0" w:color="FFFFFF"/>
            </w:tcBorders>
            <w:shd w:fill="003A5D" w:val="clear"/>
            <w:tcMar>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Cash</w:t>
            </w:r>
          </w:p>
          <w:p>
            <w:pPr>
              <w:pStyle w:val="TableContents"/>
              <w:bidi w:val="0"/>
              <w:spacing w:before="0" w:after="20"/>
              <w:jc w:val="center"/>
              <w:rPr>
                <w:color w:val="FFFFFF"/>
              </w:rPr>
            </w:pPr>
            <w:r>
              <w:rPr>
                <w:color w:val="FFFFFF"/>
              </w:rPr>
              <w:t> </w:t>
            </w:r>
            <w:r>
              <w:rPr>
                <w:rFonts w:ascii="arial" w:hAnsi="arial"/>
                <w:b/>
                <w:color w:val="FFFFFF"/>
                <w:sz w:val="18"/>
              </w:rPr>
              <w:t>Incentive(2)  </w:t>
            </w:r>
          </w:p>
        </w:tc>
        <w:tc>
          <w:tcPr>
            <w:tcW w:w="60" w:type="dxa"/>
            <w:tcBorders>
              <w:bottom w:val="single" w:sz="24" w:space="0" w:color="FFFFFF"/>
            </w:tcBorders>
            <w:shd w:fill="003A5D" w:val="clear"/>
            <w:tcMar>
              <w:bottom w:w="28" w:type="dxa"/>
            </w:tcMar>
            <w:vAlign w:val="center"/>
          </w:tcPr>
          <w:p>
            <w:pPr>
              <w:pStyle w:val="TableContents"/>
              <w:bidi w:val="0"/>
              <w:spacing w:before="0" w:after="283"/>
              <w:jc w:val="left"/>
              <w:rPr/>
            </w:pPr>
            <w:r>
              <w:rPr/>
              <w:t> </w:t>
            </w:r>
          </w:p>
        </w:tc>
        <w:tc>
          <w:tcPr>
            <w:tcW w:w="2781" w:type="dxa"/>
            <w:gridSpan w:val="3"/>
            <w:tcBorders>
              <w:bottom w:val="single" w:sz="24" w:space="0" w:color="FFFFFF"/>
              <w:right w:val="single" w:sz="24" w:space="0" w:color="FFFFFF"/>
            </w:tcBorders>
            <w:shd w:fill="003A5D" w:val="clear"/>
            <w:tcMar>
              <w:bottom w:w="28"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Long-Term Incentive</w:t>
            </w:r>
          </w:p>
        </w:tc>
        <w:tc>
          <w:tcPr>
            <w:tcW w:w="60" w:type="dxa"/>
            <w:vMerge w:val="continue"/>
            <w:tcBorders/>
            <w:shd w:fill="003A5D" w:val="clear"/>
            <w:vAlign w:val="center"/>
          </w:tcPr>
          <w:p>
            <w:pPr>
              <w:pStyle w:val="Normal"/>
              <w:bidi w:val="0"/>
              <w:jc w:val="left"/>
              <w:rPr/>
            </w:pPr>
            <w:r>
              <w:rPr/>
            </w:r>
          </w:p>
        </w:tc>
        <w:tc>
          <w:tcPr>
            <w:tcW w:w="1118" w:type="dxa"/>
            <w:vMerge w:val="continue"/>
            <w:tcBorders/>
            <w:shd w:fill="003A5D" w:val="clear"/>
            <w:vAlign w:val="center"/>
          </w:tcPr>
          <w:p>
            <w:pPr>
              <w:pStyle w:val="Normal"/>
              <w:bidi w:val="0"/>
              <w:jc w:val="left"/>
              <w:rPr/>
            </w:pPr>
            <w:r>
              <w:rPr/>
            </w:r>
          </w:p>
        </w:tc>
      </w:tr>
      <w:tr>
        <w:trPr/>
        <w:tc>
          <w:tcPr>
            <w:tcW w:w="1848" w:type="dxa"/>
            <w:vMerge w:val="continue"/>
            <w:tcBorders>
              <w:right w:val="single" w:sz="24" w:space="0" w:color="FFFFFF"/>
            </w:tcBorders>
            <w:shd w:fill="003A5D" w:val="clear"/>
            <w:tcMar>
              <w:right w:w="28" w:type="dxa"/>
            </w:tcMar>
            <w:vAlign w:val="center"/>
          </w:tcPr>
          <w:p>
            <w:pPr>
              <w:pStyle w:val="Normal"/>
              <w:bidi w:val="0"/>
              <w:jc w:val="left"/>
              <w:rPr/>
            </w:pPr>
            <w:r>
              <w:rPr/>
            </w:r>
          </w:p>
        </w:tc>
        <w:tc>
          <w:tcPr>
            <w:tcW w:w="60" w:type="dxa"/>
            <w:vMerge w:val="continue"/>
            <w:tcBorders/>
            <w:shd w:fill="003A5D" w:val="clear"/>
            <w:vAlign w:val="center"/>
          </w:tcPr>
          <w:p>
            <w:pPr>
              <w:pStyle w:val="Normal"/>
              <w:bidi w:val="0"/>
              <w:jc w:val="left"/>
              <w:rPr/>
            </w:pPr>
            <w:r>
              <w:rPr/>
            </w:r>
          </w:p>
        </w:tc>
        <w:tc>
          <w:tcPr>
            <w:tcW w:w="1351" w:type="dxa"/>
            <w:vMerge w:val="continue"/>
            <w:tcBorders>
              <w:right w:val="single" w:sz="24" w:space="0" w:color="FFFFFF"/>
            </w:tcBorders>
            <w:shd w:fill="003A5D" w:val="clear"/>
            <w:tcMar>
              <w:right w:w="28" w:type="dxa"/>
            </w:tcMar>
            <w:vAlign w:val="center"/>
          </w:tcPr>
          <w:p>
            <w:pPr>
              <w:pStyle w:val="Normal"/>
              <w:bidi w:val="0"/>
              <w:jc w:val="left"/>
              <w:rPr/>
            </w:pPr>
            <w:r>
              <w:rPr/>
            </w:r>
          </w:p>
        </w:tc>
        <w:tc>
          <w:tcPr>
            <w:tcW w:w="60" w:type="dxa"/>
            <w:vMerge w:val="continue"/>
            <w:tcBorders/>
            <w:shd w:fill="003A5D" w:val="clear"/>
            <w:vAlign w:val="center"/>
          </w:tcPr>
          <w:p>
            <w:pPr>
              <w:pStyle w:val="Normal"/>
              <w:bidi w:val="0"/>
              <w:jc w:val="left"/>
              <w:rPr/>
            </w:pPr>
            <w:r>
              <w:rPr/>
            </w:r>
          </w:p>
        </w:tc>
        <w:tc>
          <w:tcPr>
            <w:tcW w:w="1545" w:type="dxa"/>
            <w:vMerge w:val="continue"/>
            <w:tcBorders>
              <w:right w:val="single" w:sz="24" w:space="0" w:color="FFFFFF"/>
            </w:tcBorders>
            <w:shd w:fill="003A5D" w:val="clear"/>
            <w:tcMar>
              <w:right w:w="28" w:type="dxa"/>
            </w:tcMar>
            <w:vAlign w:val="center"/>
          </w:tcPr>
          <w:p>
            <w:pPr>
              <w:pStyle w:val="Normal"/>
              <w:bidi w:val="0"/>
              <w:jc w:val="left"/>
              <w:rPr/>
            </w:pPr>
            <w:r>
              <w:rPr/>
            </w:r>
          </w:p>
        </w:tc>
        <w:tc>
          <w:tcPr>
            <w:tcW w:w="60" w:type="dxa"/>
            <w:vMerge w:val="continue"/>
            <w:tcBorders>
              <w:left w:val="single" w:sz="6" w:space="0" w:color="FFFFFF"/>
            </w:tcBorders>
            <w:shd w:fill="003A5D" w:val="clear"/>
            <w:tcMar>
              <w:left w:w="28" w:type="dxa"/>
            </w:tcMar>
            <w:vAlign w:val="center"/>
          </w:tcPr>
          <w:p>
            <w:pPr>
              <w:pStyle w:val="Normal"/>
              <w:bidi w:val="0"/>
              <w:jc w:val="left"/>
              <w:rPr/>
            </w:pPr>
            <w:r>
              <w:rPr/>
            </w:r>
          </w:p>
        </w:tc>
        <w:tc>
          <w:tcPr>
            <w:tcW w:w="1262" w:type="dxa"/>
            <w:vMerge w:val="continue"/>
            <w:tcBorders>
              <w:right w:val="single" w:sz="24" w:space="0" w:color="FFFFFF"/>
            </w:tcBorders>
            <w:shd w:fill="003A5D" w:val="clear"/>
            <w:tcMar>
              <w:right w:w="28" w:type="dxa"/>
            </w:tcMar>
            <w:vAlign w:val="center"/>
          </w:tcPr>
          <w:p>
            <w:pPr>
              <w:pStyle w:val="Normal"/>
              <w:bidi w:val="0"/>
              <w:jc w:val="left"/>
              <w:rPr/>
            </w:pPr>
            <w:r>
              <w:rPr/>
            </w:r>
          </w:p>
        </w:tc>
        <w:tc>
          <w:tcPr>
            <w:tcW w:w="60" w:type="dxa"/>
            <w:tcBorders/>
            <w:shd w:fill="003A5D" w:val="clear"/>
            <w:vAlign w:val="center"/>
          </w:tcPr>
          <w:p>
            <w:pPr>
              <w:pStyle w:val="TableContents"/>
              <w:bidi w:val="0"/>
              <w:spacing w:before="0" w:after="283"/>
              <w:jc w:val="left"/>
              <w:rPr/>
            </w:pPr>
            <w:r>
              <w:rPr/>
              <w:t> </w:t>
            </w:r>
          </w:p>
        </w:tc>
        <w:tc>
          <w:tcPr>
            <w:tcW w:w="1100" w:type="dxa"/>
            <w:tcBorders>
              <w:right w:val="single" w:sz="24" w:space="0" w:color="FFFFFF"/>
            </w:tcBorders>
            <w:shd w:fill="003A5D" w:val="clear"/>
            <w:tcMar>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Stock-</w:t>
            </w:r>
          </w:p>
          <w:p>
            <w:pPr>
              <w:pStyle w:val="TableContents"/>
              <w:bidi w:val="0"/>
              <w:spacing w:before="0" w:after="0"/>
              <w:jc w:val="center"/>
              <w:rPr>
                <w:color w:val="FFFFFF"/>
              </w:rPr>
            </w:pPr>
            <w:r>
              <w:rPr>
                <w:color w:val="FFFFFF"/>
              </w:rPr>
              <w:t> </w:t>
            </w:r>
            <w:r>
              <w:rPr>
                <w:rFonts w:ascii="arial" w:hAnsi="arial"/>
                <w:b/>
                <w:color w:val="FFFFFF"/>
                <w:sz w:val="18"/>
              </w:rPr>
              <w:t>Settled </w:t>
            </w:r>
          </w:p>
          <w:p>
            <w:pPr>
              <w:pStyle w:val="TableContents"/>
              <w:bidi w:val="0"/>
              <w:spacing w:before="0" w:after="20"/>
              <w:jc w:val="center"/>
              <w:rPr>
                <w:rFonts w:ascii="arial" w:hAnsi="arial"/>
                <w:b/>
                <w:color w:val="FFFFFF"/>
                <w:sz w:val="18"/>
              </w:rPr>
            </w:pPr>
            <w:r>
              <w:rPr>
                <w:rFonts w:ascii="arial" w:hAnsi="arial"/>
                <w:b/>
                <w:color w:val="FFFFFF"/>
                <w:sz w:val="18"/>
              </w:rPr>
              <w:t>RSUs</w:t>
            </w:r>
          </w:p>
        </w:tc>
        <w:tc>
          <w:tcPr>
            <w:tcW w:w="60" w:type="dxa"/>
            <w:tcBorders/>
            <w:shd w:fill="003A5D" w:val="clear"/>
            <w:vAlign w:val="center"/>
          </w:tcPr>
          <w:p>
            <w:pPr>
              <w:pStyle w:val="TableContents"/>
              <w:bidi w:val="0"/>
              <w:spacing w:before="0" w:after="283"/>
              <w:jc w:val="left"/>
              <w:rPr/>
            </w:pPr>
            <w:r>
              <w:rPr/>
              <w:t> </w:t>
            </w:r>
          </w:p>
        </w:tc>
        <w:tc>
          <w:tcPr>
            <w:tcW w:w="1621" w:type="dxa"/>
            <w:tcBorders>
              <w:right w:val="single" w:sz="24" w:space="0" w:color="FFFFFF"/>
            </w:tcBorders>
            <w:shd w:fill="003A5D" w:val="clear"/>
            <w:tcMar>
              <w:right w:w="28" w:type="dxa"/>
            </w:tcMar>
            <w:vAlign w:val="center"/>
          </w:tcPr>
          <w:p>
            <w:pPr>
              <w:pStyle w:val="TableContents"/>
              <w:bidi w:val="0"/>
              <w:spacing w:before="0" w:after="283"/>
              <w:jc w:val="center"/>
              <w:rPr>
                <w:color w:val="FFFFFF"/>
              </w:rPr>
            </w:pPr>
            <w:r>
              <w:rPr>
                <w:color w:val="FFFFFF"/>
              </w:rPr>
              <w:t> </w:t>
            </w:r>
            <w:r>
              <w:rPr>
                <w:b/>
                <w:color w:val="FFFFFF"/>
              </w:rPr>
              <w:t>Performance  </w:t>
              <w:br/>
              <w:t>Shares</w:t>
            </w:r>
          </w:p>
        </w:tc>
        <w:tc>
          <w:tcPr>
            <w:tcW w:w="60" w:type="dxa"/>
            <w:vMerge w:val="continue"/>
            <w:tcBorders/>
            <w:shd w:fill="003A5D" w:val="clear"/>
            <w:vAlign w:val="center"/>
          </w:tcPr>
          <w:p>
            <w:pPr>
              <w:pStyle w:val="Normal"/>
              <w:bidi w:val="0"/>
              <w:jc w:val="left"/>
              <w:rPr/>
            </w:pPr>
            <w:r>
              <w:rPr/>
            </w:r>
          </w:p>
        </w:tc>
        <w:tc>
          <w:tcPr>
            <w:tcW w:w="1118" w:type="dxa"/>
            <w:vMerge w:val="continue"/>
            <w:tcBorders/>
            <w:shd w:fill="003A5D" w:val="clear"/>
            <w:vAlign w:val="center"/>
          </w:tcPr>
          <w:p>
            <w:pPr>
              <w:pStyle w:val="Normal"/>
              <w:bidi w:val="0"/>
              <w:jc w:val="left"/>
              <w:rPr/>
            </w:pPr>
            <w:r>
              <w:rPr/>
            </w:r>
          </w:p>
        </w:tc>
      </w:tr>
      <w:tr>
        <w:trPr/>
        <w:tc>
          <w:tcPr>
            <w:tcW w:w="1848" w:type="dxa"/>
            <w:tcBorders>
              <w:top w:val="single" w:sz="8" w:space="0" w:color="FFFFFF"/>
              <w:right w:val="single" w:sz="24" w:space="0" w:color="FFFFFF"/>
            </w:tcBorders>
            <w:tcMar>
              <w:top w:w="28" w:type="dxa"/>
              <w:right w:w="28" w:type="dxa"/>
            </w:tcMar>
            <w:vAlign w:val="center"/>
          </w:tcPr>
          <w:p>
            <w:pPr>
              <w:pStyle w:val="TableContents"/>
              <w:bidi w:val="0"/>
              <w:spacing w:before="0" w:after="283"/>
              <w:jc w:val="left"/>
              <w:rPr/>
            </w:pPr>
            <w:r>
              <w:rPr/>
              <w:t> </w:t>
            </w:r>
          </w:p>
        </w:tc>
        <w:tc>
          <w:tcPr>
            <w:tcW w:w="1411"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605"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322" w:type="dxa"/>
            <w:gridSpan w:val="2"/>
            <w:tcBorders>
              <w:top w:val="single" w:sz="8" w:space="0" w:color="FFFFFF"/>
              <w:left w:val="single" w:sz="6" w:space="0" w:color="FFFFFF"/>
              <w:right w:val="single" w:sz="24" w:space="0" w:color="FFFFFF"/>
            </w:tcBorders>
            <w:shd w:fill="E5EBEE" w:val="clear"/>
            <w:tcMar>
              <w:top w:w="28" w:type="dxa"/>
              <w:left w:w="28" w:type="dxa"/>
              <w:right w:w="28" w:type="dxa"/>
            </w:tcMar>
            <w:vAlign w:val="center"/>
          </w:tcPr>
          <w:p>
            <w:pPr>
              <w:pStyle w:val="TableContents"/>
              <w:bidi w:val="0"/>
              <w:spacing w:before="0" w:after="283"/>
              <w:jc w:val="left"/>
              <w:rPr/>
            </w:pPr>
            <w:r>
              <w:rPr/>
              <w:t> </w:t>
            </w:r>
          </w:p>
        </w:tc>
        <w:tc>
          <w:tcPr>
            <w:tcW w:w="1160"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681"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178"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r>
      <w:tr>
        <w:trPr/>
        <w:tc>
          <w:tcPr>
            <w:tcW w:w="1848" w:type="dxa"/>
            <w:tcBorders>
              <w:right w:val="single" w:sz="24" w:space="0" w:color="FFFFFF"/>
            </w:tcBorders>
            <w:tcMar>
              <w:right w:w="28" w:type="dxa"/>
            </w:tcMar>
            <w:vAlign w:val="center"/>
          </w:tcPr>
          <w:p>
            <w:pPr>
              <w:pStyle w:val="TableContents"/>
              <w:bidi w:val="0"/>
              <w:spacing w:before="0" w:after="0"/>
              <w:jc w:val="left"/>
              <w:rPr>
                <w:rFonts w:ascii="arial" w:hAnsi="arial"/>
                <w:sz w:val="18"/>
              </w:rPr>
            </w:pPr>
            <w:r>
              <w:rPr>
                <w:rFonts w:ascii="arial" w:hAnsi="arial"/>
                <w:sz w:val="18"/>
              </w:rPr>
              <w:t>Andrew M. Young</w:t>
            </w:r>
          </w:p>
        </w:tc>
        <w:tc>
          <w:tcPr>
            <w:tcW w:w="60" w:type="dxa"/>
            <w:tcBorders/>
            <w:shd w:fill="E5EBEE" w:val="clear"/>
            <w:vAlign w:val="center"/>
          </w:tcPr>
          <w:p>
            <w:pPr>
              <w:pStyle w:val="TableContents"/>
              <w:bidi w:val="0"/>
              <w:spacing w:before="0" w:after="283"/>
              <w:jc w:val="left"/>
              <w:rPr/>
            </w:pPr>
            <w:r>
              <w:rPr/>
              <w:t> </w:t>
            </w:r>
          </w:p>
        </w:tc>
        <w:tc>
          <w:tcPr>
            <w:tcW w:w="1351" w:type="dxa"/>
            <w:tcBorders>
              <w:right w:val="single" w:sz="24" w:space="0" w:color="FFFFFF"/>
            </w:tcBorders>
            <w:shd w:fill="E5EBEE" w:val="clear"/>
            <w:tcMar>
              <w:right w:w="28" w:type="dxa"/>
            </w:tcMar>
            <w:vAlign w:val="center"/>
          </w:tcPr>
          <w:p>
            <w:pPr>
              <w:pStyle w:val="TableContents"/>
              <w:bidi w:val="0"/>
              <w:jc w:val="center"/>
              <w:rPr/>
            </w:pPr>
            <w:r>
              <w:rPr/>
              <w:t>2024</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1545" w:type="dxa"/>
            <w:tcBorders>
              <w:right w:val="single" w:sz="24" w:space="0" w:color="FFFFFF"/>
            </w:tcBorders>
            <w:shd w:fill="E5EBEE" w:val="clear"/>
            <w:tcMar>
              <w:right w:w="28" w:type="dxa"/>
            </w:tcMar>
            <w:vAlign w:val="center"/>
          </w:tcPr>
          <w:p>
            <w:pPr>
              <w:pStyle w:val="TableContents"/>
              <w:bidi w:val="0"/>
              <w:jc w:val="center"/>
              <w:rPr/>
            </w:pPr>
            <w:r>
              <w:rPr/>
              <w:t>$1,034,577</w:t>
            </w:r>
          </w:p>
          <w:p>
            <w:pPr>
              <w:pStyle w:val="TableContents"/>
              <w:bidi w:val="0"/>
              <w:spacing w:before="0" w:after="20"/>
              <w:jc w:val="left"/>
              <w:rPr/>
            </w:pPr>
            <w:r>
              <w:rPr/>
              <w:t> </w:t>
            </w:r>
          </w:p>
        </w:tc>
        <w:tc>
          <w:tcPr>
            <w:tcW w:w="60" w:type="dxa"/>
            <w:tcBorders>
              <w:left w:val="single" w:sz="6" w:space="0" w:color="FFFFFF"/>
            </w:tcBorders>
            <w:shd w:fill="E5EBEE" w:val="clear"/>
            <w:tcMar>
              <w:left w:w="28" w:type="dxa"/>
            </w:tcMar>
            <w:vAlign w:val="center"/>
          </w:tcPr>
          <w:p>
            <w:pPr>
              <w:pStyle w:val="TableContents"/>
              <w:bidi w:val="0"/>
              <w:spacing w:before="0" w:after="283"/>
              <w:jc w:val="left"/>
              <w:rPr/>
            </w:pPr>
            <w:r>
              <w:rPr/>
              <w:t> </w:t>
            </w:r>
          </w:p>
        </w:tc>
        <w:tc>
          <w:tcPr>
            <w:tcW w:w="1262" w:type="dxa"/>
            <w:tcBorders>
              <w:right w:val="single" w:sz="24" w:space="0" w:color="FFFFFF"/>
            </w:tcBorders>
            <w:shd w:fill="E5EBEE" w:val="clear"/>
            <w:tcMar>
              <w:right w:w="28" w:type="dxa"/>
            </w:tcMar>
            <w:vAlign w:val="center"/>
          </w:tcPr>
          <w:p>
            <w:pPr>
              <w:pStyle w:val="TableContents"/>
              <w:bidi w:val="0"/>
              <w:jc w:val="center"/>
              <w:rPr/>
            </w:pPr>
            <w:r>
              <w:rPr/>
              <w:t>$1,950,000</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00" w:type="dxa"/>
            <w:tcBorders>
              <w:right w:val="single" w:sz="24" w:space="0" w:color="FFFFFF"/>
            </w:tcBorders>
            <w:shd w:fill="E5EBEE" w:val="clear"/>
            <w:tcMar>
              <w:right w:w="28" w:type="dxa"/>
            </w:tcMar>
            <w:vAlign w:val="center"/>
          </w:tcPr>
          <w:p>
            <w:pPr>
              <w:pStyle w:val="TableContents"/>
              <w:bidi w:val="0"/>
              <w:jc w:val="center"/>
              <w:rPr/>
            </w:pPr>
            <w:r>
              <w:rPr/>
              <w:t>$1,300,180</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1621" w:type="dxa"/>
            <w:tcBorders>
              <w:right w:val="single" w:sz="24" w:space="0" w:color="FFFFFF"/>
            </w:tcBorders>
            <w:shd w:fill="E5EBEE" w:val="clear"/>
            <w:tcMar>
              <w:right w:w="28" w:type="dxa"/>
            </w:tcMar>
            <w:vAlign w:val="center"/>
          </w:tcPr>
          <w:p>
            <w:pPr>
              <w:pStyle w:val="TableContents"/>
              <w:bidi w:val="0"/>
              <w:jc w:val="center"/>
              <w:rPr/>
            </w:pPr>
            <w:r>
              <w:rPr/>
              <w:t>$1,560,136</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18" w:type="dxa"/>
            <w:tcBorders/>
            <w:shd w:fill="E5EBEE" w:val="clear"/>
            <w:vAlign w:val="center"/>
          </w:tcPr>
          <w:p>
            <w:pPr>
              <w:pStyle w:val="TableContents"/>
              <w:bidi w:val="0"/>
              <w:jc w:val="center"/>
              <w:rPr/>
            </w:pPr>
            <w:r>
              <w:rPr/>
              <w:t>$5,844,892</w:t>
            </w:r>
          </w:p>
          <w:p>
            <w:pPr>
              <w:pStyle w:val="TableContents"/>
              <w:bidi w:val="0"/>
              <w:spacing w:before="0" w:after="20"/>
              <w:jc w:val="left"/>
              <w:rPr/>
            </w:pPr>
            <w:r>
              <w:rPr/>
              <w:t> </w:t>
            </w:r>
          </w:p>
        </w:tc>
      </w:tr>
      <w:tr>
        <w:trPr/>
        <w:tc>
          <w:tcPr>
            <w:tcW w:w="1848" w:type="dxa"/>
            <w:tcBorders>
              <w:right w:val="single" w:sz="24" w:space="0" w:color="FFFFFF"/>
            </w:tcBorders>
            <w:tcMar>
              <w:right w:w="28" w:type="dxa"/>
            </w:tcMar>
            <w:vAlign w:val="center"/>
          </w:tcPr>
          <w:p>
            <w:pPr>
              <w:pStyle w:val="TableContents"/>
              <w:bidi w:val="0"/>
              <w:spacing w:before="0" w:after="283"/>
              <w:jc w:val="left"/>
              <w:rPr/>
            </w:pPr>
            <w:r>
              <w:rPr/>
              <w:t> </w:t>
            </w:r>
          </w:p>
        </w:tc>
        <w:tc>
          <w:tcPr>
            <w:tcW w:w="1411"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60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322" w:type="dxa"/>
            <w:gridSpan w:val="2"/>
            <w:tcBorders>
              <w:left w:val="single" w:sz="6" w:space="0" w:color="FFFFFF"/>
              <w:right w:val="single" w:sz="24" w:space="0" w:color="FFFFFF"/>
            </w:tcBorders>
            <w:tcMar>
              <w:left w:w="28" w:type="dxa"/>
              <w:right w:w="28" w:type="dxa"/>
            </w:tcMar>
            <w:vAlign w:val="center"/>
          </w:tcPr>
          <w:p>
            <w:pPr>
              <w:pStyle w:val="TableContents"/>
              <w:bidi w:val="0"/>
              <w:spacing w:before="0" w:after="283"/>
              <w:jc w:val="left"/>
              <w:rPr/>
            </w:pPr>
            <w:r>
              <w:rPr/>
              <w:t> </w:t>
            </w:r>
          </w:p>
        </w:tc>
        <w:tc>
          <w:tcPr>
            <w:tcW w:w="1160"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681"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178" w:type="dxa"/>
            <w:gridSpan w:val="2"/>
            <w:tcBorders/>
            <w:vAlign w:val="center"/>
          </w:tcPr>
          <w:p>
            <w:pPr>
              <w:pStyle w:val="TableContents"/>
              <w:bidi w:val="0"/>
              <w:spacing w:before="0" w:after="283"/>
              <w:jc w:val="left"/>
              <w:rPr>
                <w:sz w:val="4"/>
                <w:szCs w:val="4"/>
              </w:rPr>
            </w:pPr>
            <w:r>
              <w:rPr>
                <w:sz w:val="4"/>
                <w:szCs w:val="4"/>
              </w:rPr>
            </w:r>
          </w:p>
        </w:tc>
      </w:tr>
      <w:tr>
        <w:trPr/>
        <w:tc>
          <w:tcPr>
            <w:tcW w:w="1848" w:type="dxa"/>
            <w:tcBorders>
              <w:right w:val="single" w:sz="24" w:space="0" w:color="FFFFFF"/>
            </w:tcBorders>
            <w:tcMar>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1" w:type="dxa"/>
            <w:tcBorders>
              <w:right w:val="single" w:sz="24" w:space="0" w:color="FFFFFF"/>
            </w:tcBorders>
            <w:tcMar>
              <w:right w:w="28" w:type="dxa"/>
            </w:tcMar>
            <w:vAlign w:val="center"/>
          </w:tcPr>
          <w:p>
            <w:pPr>
              <w:pStyle w:val="TableContents"/>
              <w:bidi w:val="0"/>
              <w:jc w:val="center"/>
              <w:rPr/>
            </w:pPr>
            <w:r>
              <w:rPr/>
              <w:t>2023</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545" w:type="dxa"/>
            <w:tcBorders>
              <w:right w:val="single" w:sz="24" w:space="0" w:color="FFFFFF"/>
            </w:tcBorders>
            <w:tcMar>
              <w:right w:w="28" w:type="dxa"/>
            </w:tcMar>
            <w:vAlign w:val="center"/>
          </w:tcPr>
          <w:p>
            <w:pPr>
              <w:pStyle w:val="TableContents"/>
              <w:bidi w:val="0"/>
              <w:jc w:val="center"/>
              <w:rPr/>
            </w:pPr>
            <w:r>
              <w:rPr/>
              <w:t>$987,577</w:t>
            </w:r>
          </w:p>
          <w:p>
            <w:pPr>
              <w:pStyle w:val="TableContents"/>
              <w:bidi w:val="0"/>
              <w:spacing w:before="0" w:after="20"/>
              <w:jc w:val="left"/>
              <w:rPr/>
            </w:pPr>
            <w:r>
              <w:rPr/>
              <w:t> </w:t>
            </w:r>
          </w:p>
        </w:tc>
        <w:tc>
          <w:tcPr>
            <w:tcW w:w="60" w:type="dxa"/>
            <w:tcBorders>
              <w:left w:val="single" w:sz="6" w:space="0" w:color="FFFFFF"/>
            </w:tcBorders>
            <w:tcMar>
              <w:left w:w="28" w:type="dxa"/>
            </w:tcMar>
            <w:vAlign w:val="center"/>
          </w:tcPr>
          <w:p>
            <w:pPr>
              <w:pStyle w:val="TableContents"/>
              <w:bidi w:val="0"/>
              <w:spacing w:before="0" w:after="283"/>
              <w:jc w:val="left"/>
              <w:rPr/>
            </w:pPr>
            <w:r>
              <w:rPr/>
              <w:t> </w:t>
            </w:r>
          </w:p>
        </w:tc>
        <w:tc>
          <w:tcPr>
            <w:tcW w:w="1262" w:type="dxa"/>
            <w:tcBorders>
              <w:right w:val="single" w:sz="24" w:space="0" w:color="FFFFFF"/>
            </w:tcBorders>
            <w:tcMar>
              <w:right w:w="28" w:type="dxa"/>
            </w:tcMar>
            <w:vAlign w:val="center"/>
          </w:tcPr>
          <w:p>
            <w:pPr>
              <w:pStyle w:val="TableContents"/>
              <w:bidi w:val="0"/>
              <w:jc w:val="center"/>
              <w:rPr/>
            </w:pPr>
            <w:r>
              <w:rPr/>
              <w:t>$1,864,500</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100" w:type="dxa"/>
            <w:tcBorders>
              <w:right w:val="single" w:sz="24" w:space="0" w:color="FFFFFF"/>
            </w:tcBorders>
            <w:tcMar>
              <w:right w:w="28" w:type="dxa"/>
            </w:tcMar>
            <w:vAlign w:val="center"/>
          </w:tcPr>
          <w:p>
            <w:pPr>
              <w:pStyle w:val="TableContents"/>
              <w:bidi w:val="0"/>
              <w:jc w:val="center"/>
              <w:rPr/>
            </w:pPr>
            <w:r>
              <w:rPr/>
              <w:t>$1,242,796</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621" w:type="dxa"/>
            <w:tcBorders>
              <w:right w:val="single" w:sz="24" w:space="0" w:color="FFFFFF"/>
            </w:tcBorders>
            <w:tcMar>
              <w:right w:w="28" w:type="dxa"/>
            </w:tcMar>
            <w:vAlign w:val="center"/>
          </w:tcPr>
          <w:p>
            <w:pPr>
              <w:pStyle w:val="TableContents"/>
              <w:bidi w:val="0"/>
              <w:jc w:val="center"/>
              <w:rPr/>
            </w:pPr>
            <w:r>
              <w:rPr/>
              <w:t>$1,491,328</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jc w:val="center"/>
              <w:rPr/>
            </w:pPr>
            <w:r>
              <w:rPr/>
              <w:t>$5,586,201</w:t>
            </w:r>
          </w:p>
          <w:p>
            <w:pPr>
              <w:pStyle w:val="TableContents"/>
              <w:bidi w:val="0"/>
              <w:spacing w:before="0" w:after="20"/>
              <w:jc w:val="left"/>
              <w:rPr/>
            </w:pPr>
            <w:r>
              <w:rPr/>
              <w:t> </w:t>
            </w:r>
          </w:p>
        </w:tc>
      </w:tr>
      <w:tr>
        <w:trPr/>
        <w:tc>
          <w:tcPr>
            <w:tcW w:w="1848" w:type="dxa"/>
            <w:tcBorders>
              <w:right w:val="single" w:sz="24" w:space="0" w:color="FFFFFF"/>
            </w:tcBorders>
            <w:tcMar>
              <w:right w:w="28" w:type="dxa"/>
            </w:tcMar>
            <w:vAlign w:val="center"/>
          </w:tcPr>
          <w:p>
            <w:pPr>
              <w:pStyle w:val="TableContents"/>
              <w:bidi w:val="0"/>
              <w:spacing w:before="0" w:after="283"/>
              <w:jc w:val="left"/>
              <w:rPr/>
            </w:pPr>
            <w:r>
              <w:rPr/>
              <w:t> </w:t>
            </w:r>
          </w:p>
        </w:tc>
        <w:tc>
          <w:tcPr>
            <w:tcW w:w="1411"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605"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322"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160"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681"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178"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1848" w:type="dxa"/>
            <w:tcBorders>
              <w:bottom w:val="single" w:sz="8" w:space="0" w:color="003A5D"/>
              <w:right w:val="single" w:sz="24" w:space="0" w:color="FFFFFF"/>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351" w:type="dxa"/>
            <w:tcBorders>
              <w:bottom w:val="single" w:sz="8" w:space="0" w:color="003A5D"/>
              <w:right w:val="single" w:sz="24" w:space="0" w:color="FFFFFF"/>
            </w:tcBorders>
            <w:shd w:fill="E5EBEE" w:val="clear"/>
            <w:tcMar>
              <w:bottom w:w="28" w:type="dxa"/>
              <w:right w:w="28" w:type="dxa"/>
            </w:tcMar>
            <w:vAlign w:val="center"/>
          </w:tcPr>
          <w:p>
            <w:pPr>
              <w:pStyle w:val="TableContents"/>
              <w:bidi w:val="0"/>
              <w:jc w:val="center"/>
              <w:rPr/>
            </w:pPr>
            <w:r>
              <w:rPr/>
              <w:t>2022</w:t>
            </w:r>
          </w:p>
          <w:p>
            <w:pPr>
              <w:pStyle w:val="TableContents"/>
              <w:bidi w:val="0"/>
              <w:spacing w:before="0" w:after="2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545" w:type="dxa"/>
            <w:tcBorders>
              <w:bottom w:val="single" w:sz="8" w:space="0" w:color="003A5D"/>
              <w:right w:val="single" w:sz="24" w:space="0" w:color="FFFFFF"/>
            </w:tcBorders>
            <w:shd w:fill="E5EBEE" w:val="clear"/>
            <w:tcMar>
              <w:bottom w:w="28" w:type="dxa"/>
              <w:right w:w="28" w:type="dxa"/>
            </w:tcMar>
            <w:vAlign w:val="center"/>
          </w:tcPr>
          <w:p>
            <w:pPr>
              <w:pStyle w:val="TableContents"/>
              <w:bidi w:val="0"/>
              <w:jc w:val="center"/>
              <w:rPr/>
            </w:pPr>
            <w:r>
              <w:rPr/>
              <w:t>$940,692</w:t>
            </w:r>
          </w:p>
          <w:p>
            <w:pPr>
              <w:pStyle w:val="TableContents"/>
              <w:bidi w:val="0"/>
              <w:spacing w:before="0" w:after="2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62" w:type="dxa"/>
            <w:tcBorders>
              <w:bottom w:val="single" w:sz="8" w:space="0" w:color="003A5D"/>
              <w:right w:val="single" w:sz="24" w:space="0" w:color="FFFFFF"/>
            </w:tcBorders>
            <w:shd w:fill="E5EBEE" w:val="clear"/>
            <w:tcMar>
              <w:bottom w:w="28" w:type="dxa"/>
              <w:right w:w="28" w:type="dxa"/>
            </w:tcMar>
            <w:vAlign w:val="center"/>
          </w:tcPr>
          <w:p>
            <w:pPr>
              <w:pStyle w:val="TableContents"/>
              <w:bidi w:val="0"/>
              <w:jc w:val="center"/>
              <w:rPr/>
            </w:pPr>
            <w:r>
              <w:rPr/>
              <w:t>$1,656,200</w:t>
            </w:r>
          </w:p>
          <w:p>
            <w:pPr>
              <w:pStyle w:val="TableContents"/>
              <w:bidi w:val="0"/>
              <w:spacing w:before="0" w:after="2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00" w:type="dxa"/>
            <w:tcBorders>
              <w:bottom w:val="single" w:sz="8" w:space="0" w:color="003A5D"/>
              <w:right w:val="single" w:sz="24" w:space="0" w:color="FFFFFF"/>
            </w:tcBorders>
            <w:shd w:fill="E5EBEE" w:val="clear"/>
            <w:tcMar>
              <w:bottom w:w="28" w:type="dxa"/>
              <w:right w:w="28" w:type="dxa"/>
            </w:tcMar>
            <w:vAlign w:val="center"/>
          </w:tcPr>
          <w:p>
            <w:pPr>
              <w:pStyle w:val="TableContents"/>
              <w:bidi w:val="0"/>
              <w:jc w:val="center"/>
              <w:rPr/>
            </w:pPr>
            <w:r>
              <w:rPr/>
              <w:t>$1,182,289</w:t>
            </w:r>
          </w:p>
          <w:p>
            <w:pPr>
              <w:pStyle w:val="TableContents"/>
              <w:bidi w:val="0"/>
              <w:spacing w:before="0" w:after="2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621" w:type="dxa"/>
            <w:tcBorders>
              <w:bottom w:val="single" w:sz="8" w:space="0" w:color="003A5D"/>
              <w:right w:val="single" w:sz="24" w:space="0" w:color="FFFFFF"/>
            </w:tcBorders>
            <w:shd w:fill="E5EBEE" w:val="clear"/>
            <w:tcMar>
              <w:bottom w:w="28" w:type="dxa"/>
              <w:right w:w="28" w:type="dxa"/>
            </w:tcMar>
            <w:vAlign w:val="center"/>
          </w:tcPr>
          <w:p>
            <w:pPr>
              <w:pStyle w:val="TableContents"/>
              <w:bidi w:val="0"/>
              <w:jc w:val="center"/>
              <w:rPr/>
            </w:pPr>
            <w:r>
              <w:rPr/>
              <w:t>$1,418,840</w:t>
            </w:r>
          </w:p>
          <w:p>
            <w:pPr>
              <w:pStyle w:val="TableContents"/>
              <w:bidi w:val="0"/>
              <w:spacing w:before="0" w:after="2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18" w:type="dxa"/>
            <w:tcBorders>
              <w:bottom w:val="single" w:sz="8" w:space="0" w:color="003A5D"/>
            </w:tcBorders>
            <w:shd w:fill="E5EBEE" w:val="clear"/>
            <w:tcMar>
              <w:bottom w:w="28" w:type="dxa"/>
            </w:tcMar>
            <w:vAlign w:val="center"/>
          </w:tcPr>
          <w:p>
            <w:pPr>
              <w:pStyle w:val="TableContents"/>
              <w:bidi w:val="0"/>
              <w:jc w:val="center"/>
              <w:rPr/>
            </w:pPr>
            <w:r>
              <w:rPr/>
              <w:t>$5,198,021</w:t>
            </w:r>
          </w:p>
          <w:p>
            <w:pPr>
              <w:pStyle w:val="TableContents"/>
              <w:bidi w:val="0"/>
              <w:spacing w:before="0" w:after="20"/>
              <w:jc w:val="left"/>
              <w:rPr/>
            </w:pPr>
            <w:r>
              <w:rPr/>
              <w:t> </w:t>
            </w:r>
          </w:p>
        </w:tc>
      </w:tr>
      <w:tr>
        <w:trPr/>
        <w:tc>
          <w:tcPr>
            <w:tcW w:w="1848" w:type="dxa"/>
            <w:tcBorders>
              <w:right w:val="single" w:sz="24" w:space="0" w:color="FFFFFF"/>
            </w:tcBorders>
            <w:tcMar>
              <w:right w:w="28" w:type="dxa"/>
            </w:tcMar>
            <w:vAlign w:val="center"/>
          </w:tcPr>
          <w:p>
            <w:pPr>
              <w:pStyle w:val="TableContents"/>
              <w:bidi w:val="0"/>
              <w:spacing w:before="0" w:after="283"/>
              <w:jc w:val="left"/>
              <w:rPr/>
            </w:pPr>
            <w:r>
              <w:rPr/>
              <w:t> </w:t>
            </w:r>
          </w:p>
        </w:tc>
        <w:tc>
          <w:tcPr>
            <w:tcW w:w="1411"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60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322" w:type="dxa"/>
            <w:gridSpan w:val="2"/>
            <w:tcBorders>
              <w:left w:val="single" w:sz="6" w:space="0" w:color="FFFFFF"/>
              <w:right w:val="single" w:sz="24" w:space="0" w:color="FFFFFF"/>
            </w:tcBorders>
            <w:tcMar>
              <w:left w:w="28" w:type="dxa"/>
              <w:right w:w="28" w:type="dxa"/>
            </w:tcMar>
            <w:vAlign w:val="center"/>
          </w:tcPr>
          <w:p>
            <w:pPr>
              <w:pStyle w:val="TableContents"/>
              <w:bidi w:val="0"/>
              <w:spacing w:before="0" w:after="283"/>
              <w:jc w:val="left"/>
              <w:rPr/>
            </w:pPr>
            <w:r>
              <w:rPr/>
              <w:t> </w:t>
            </w:r>
          </w:p>
        </w:tc>
        <w:tc>
          <w:tcPr>
            <w:tcW w:w="1160"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681"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178" w:type="dxa"/>
            <w:gridSpan w:val="2"/>
            <w:tcBorders/>
            <w:vAlign w:val="center"/>
          </w:tcPr>
          <w:p>
            <w:pPr>
              <w:pStyle w:val="TableContents"/>
              <w:bidi w:val="0"/>
              <w:spacing w:before="0" w:after="283"/>
              <w:jc w:val="left"/>
              <w:rPr>
                <w:sz w:val="4"/>
                <w:szCs w:val="4"/>
              </w:rPr>
            </w:pPr>
            <w:r>
              <w:rPr>
                <w:sz w:val="4"/>
                <w:szCs w:val="4"/>
              </w:rPr>
            </w:r>
          </w:p>
        </w:tc>
      </w:tr>
      <w:tr>
        <w:trPr/>
        <w:tc>
          <w:tcPr>
            <w:tcW w:w="1848" w:type="dxa"/>
            <w:tcBorders>
              <w:right w:val="single" w:sz="24" w:space="0" w:color="FFFFFF"/>
            </w:tcBorders>
            <w:tcMar>
              <w:right w:w="28" w:type="dxa"/>
            </w:tcMar>
            <w:vAlign w:val="center"/>
          </w:tcPr>
          <w:p>
            <w:pPr>
              <w:pStyle w:val="TableContents"/>
              <w:bidi w:val="0"/>
              <w:spacing w:before="0" w:after="0"/>
              <w:jc w:val="left"/>
              <w:rPr>
                <w:rFonts w:ascii="arial" w:hAnsi="arial"/>
                <w:sz w:val="18"/>
              </w:rPr>
            </w:pPr>
            <w:r>
              <w:rPr>
                <w:rFonts w:ascii="arial" w:hAnsi="arial"/>
                <w:sz w:val="18"/>
              </w:rPr>
              <w:t>Frank G. LaPrade, III</w:t>
            </w:r>
          </w:p>
        </w:tc>
        <w:tc>
          <w:tcPr>
            <w:tcW w:w="60" w:type="dxa"/>
            <w:tcBorders/>
            <w:vAlign w:val="center"/>
          </w:tcPr>
          <w:p>
            <w:pPr>
              <w:pStyle w:val="TableContents"/>
              <w:bidi w:val="0"/>
              <w:spacing w:before="0" w:after="283"/>
              <w:jc w:val="left"/>
              <w:rPr/>
            </w:pPr>
            <w:r>
              <w:rPr/>
              <w:t> </w:t>
            </w:r>
          </w:p>
        </w:tc>
        <w:tc>
          <w:tcPr>
            <w:tcW w:w="1351" w:type="dxa"/>
            <w:tcBorders>
              <w:right w:val="single" w:sz="24" w:space="0" w:color="FFFFFF"/>
            </w:tcBorders>
            <w:tcMar>
              <w:right w:w="28" w:type="dxa"/>
            </w:tcMar>
            <w:vAlign w:val="center"/>
          </w:tcPr>
          <w:p>
            <w:pPr>
              <w:pStyle w:val="TableContents"/>
              <w:bidi w:val="0"/>
              <w:jc w:val="center"/>
              <w:rPr/>
            </w:pPr>
            <w:r>
              <w:rPr/>
              <w:t>2024</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545" w:type="dxa"/>
            <w:tcBorders>
              <w:right w:val="single" w:sz="24" w:space="0" w:color="FFFFFF"/>
            </w:tcBorders>
            <w:tcMar>
              <w:right w:w="28" w:type="dxa"/>
            </w:tcMar>
            <w:vAlign w:val="center"/>
          </w:tcPr>
          <w:p>
            <w:pPr>
              <w:pStyle w:val="TableContents"/>
              <w:bidi w:val="0"/>
              <w:jc w:val="center"/>
              <w:rPr/>
            </w:pPr>
            <w:r>
              <w:rPr/>
              <w:t>$1,383,154</w:t>
            </w:r>
          </w:p>
          <w:p>
            <w:pPr>
              <w:pStyle w:val="TableContents"/>
              <w:bidi w:val="0"/>
              <w:spacing w:before="0" w:after="20"/>
              <w:jc w:val="left"/>
              <w:rPr/>
            </w:pPr>
            <w:r>
              <w:rPr/>
              <w:t> </w:t>
            </w:r>
          </w:p>
        </w:tc>
        <w:tc>
          <w:tcPr>
            <w:tcW w:w="60" w:type="dxa"/>
            <w:tcBorders>
              <w:left w:val="single" w:sz="6" w:space="0" w:color="FFFFFF"/>
            </w:tcBorders>
            <w:tcMar>
              <w:left w:w="28" w:type="dxa"/>
            </w:tcMar>
            <w:vAlign w:val="center"/>
          </w:tcPr>
          <w:p>
            <w:pPr>
              <w:pStyle w:val="TableContents"/>
              <w:bidi w:val="0"/>
              <w:spacing w:before="0" w:after="283"/>
              <w:jc w:val="left"/>
              <w:rPr/>
            </w:pPr>
            <w:r>
              <w:rPr/>
              <w:t> </w:t>
            </w:r>
          </w:p>
        </w:tc>
        <w:tc>
          <w:tcPr>
            <w:tcW w:w="1262" w:type="dxa"/>
            <w:tcBorders>
              <w:right w:val="single" w:sz="24" w:space="0" w:color="FFFFFF"/>
            </w:tcBorders>
            <w:tcMar>
              <w:right w:w="28" w:type="dxa"/>
            </w:tcMar>
            <w:vAlign w:val="center"/>
          </w:tcPr>
          <w:p>
            <w:pPr>
              <w:pStyle w:val="TableContents"/>
              <w:bidi w:val="0"/>
              <w:jc w:val="center"/>
              <w:rPr/>
            </w:pPr>
            <w:r>
              <w:rPr/>
              <w:t>$2,602,500</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100" w:type="dxa"/>
            <w:tcBorders>
              <w:right w:val="single" w:sz="24" w:space="0" w:color="FFFFFF"/>
            </w:tcBorders>
            <w:tcMar>
              <w:right w:w="28" w:type="dxa"/>
            </w:tcMar>
            <w:vAlign w:val="center"/>
          </w:tcPr>
          <w:p>
            <w:pPr>
              <w:pStyle w:val="TableContents"/>
              <w:bidi w:val="0"/>
              <w:jc w:val="center"/>
              <w:rPr/>
            </w:pPr>
            <w:r>
              <w:rPr/>
              <w:t>$1,735,040</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621" w:type="dxa"/>
            <w:tcBorders>
              <w:right w:val="single" w:sz="24" w:space="0" w:color="FFFFFF"/>
            </w:tcBorders>
            <w:tcMar>
              <w:right w:w="28" w:type="dxa"/>
            </w:tcMar>
            <w:vAlign w:val="center"/>
          </w:tcPr>
          <w:p>
            <w:pPr>
              <w:pStyle w:val="TableContents"/>
              <w:bidi w:val="0"/>
              <w:jc w:val="center"/>
              <w:rPr/>
            </w:pPr>
            <w:r>
              <w:rPr/>
              <w:t>$2,082,048</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jc w:val="center"/>
              <w:rPr/>
            </w:pPr>
            <w:r>
              <w:rPr/>
              <w:t>$7,802,743</w:t>
            </w:r>
          </w:p>
          <w:p>
            <w:pPr>
              <w:pStyle w:val="TableContents"/>
              <w:bidi w:val="0"/>
              <w:spacing w:before="0" w:after="20"/>
              <w:jc w:val="left"/>
              <w:rPr/>
            </w:pPr>
            <w:r>
              <w:rPr/>
              <w:t> </w:t>
            </w:r>
          </w:p>
        </w:tc>
      </w:tr>
      <w:tr>
        <w:trPr/>
        <w:tc>
          <w:tcPr>
            <w:tcW w:w="1848" w:type="dxa"/>
            <w:tcBorders>
              <w:right w:val="single" w:sz="24" w:space="0" w:color="FFFFFF"/>
            </w:tcBorders>
            <w:tcMar>
              <w:right w:w="28" w:type="dxa"/>
            </w:tcMar>
            <w:vAlign w:val="center"/>
          </w:tcPr>
          <w:p>
            <w:pPr>
              <w:pStyle w:val="TableContents"/>
              <w:bidi w:val="0"/>
              <w:spacing w:before="0" w:after="283"/>
              <w:jc w:val="left"/>
              <w:rPr/>
            </w:pPr>
            <w:r>
              <w:rPr/>
              <w:t> </w:t>
            </w:r>
          </w:p>
        </w:tc>
        <w:tc>
          <w:tcPr>
            <w:tcW w:w="1411"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605"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322" w:type="dxa"/>
            <w:gridSpan w:val="2"/>
            <w:tcBorders>
              <w:left w:val="single" w:sz="6"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1160"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681"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178"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1848" w:type="dxa"/>
            <w:tcBorders>
              <w:right w:val="single" w:sz="24" w:space="0" w:color="FFFFFF"/>
            </w:tcBorders>
            <w:tcMar>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shd w:fill="E5EBEE" w:val="clear"/>
            <w:vAlign w:val="center"/>
          </w:tcPr>
          <w:p>
            <w:pPr>
              <w:pStyle w:val="TableContents"/>
              <w:bidi w:val="0"/>
              <w:spacing w:before="0" w:after="283"/>
              <w:jc w:val="left"/>
              <w:rPr/>
            </w:pPr>
            <w:r>
              <w:rPr/>
              <w:t> </w:t>
            </w:r>
          </w:p>
        </w:tc>
        <w:tc>
          <w:tcPr>
            <w:tcW w:w="1351" w:type="dxa"/>
            <w:tcBorders>
              <w:right w:val="single" w:sz="24" w:space="0" w:color="FFFFFF"/>
            </w:tcBorders>
            <w:shd w:fill="E5EBEE" w:val="clear"/>
            <w:tcMar>
              <w:right w:w="28" w:type="dxa"/>
            </w:tcMar>
            <w:vAlign w:val="center"/>
          </w:tcPr>
          <w:p>
            <w:pPr>
              <w:pStyle w:val="TableContents"/>
              <w:bidi w:val="0"/>
              <w:jc w:val="center"/>
              <w:rPr/>
            </w:pPr>
            <w:r>
              <w:rPr/>
              <w:t>2023</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1545" w:type="dxa"/>
            <w:tcBorders>
              <w:right w:val="single" w:sz="24" w:space="0" w:color="FFFFFF"/>
            </w:tcBorders>
            <w:shd w:fill="E5EBEE" w:val="clear"/>
            <w:tcMar>
              <w:right w:w="28" w:type="dxa"/>
            </w:tcMar>
            <w:vAlign w:val="center"/>
          </w:tcPr>
          <w:p>
            <w:pPr>
              <w:pStyle w:val="TableContents"/>
              <w:bidi w:val="0"/>
              <w:jc w:val="center"/>
              <w:rPr/>
            </w:pPr>
            <w:r>
              <w:rPr/>
              <w:t>$1,341,385</w:t>
            </w:r>
          </w:p>
          <w:p>
            <w:pPr>
              <w:pStyle w:val="TableContents"/>
              <w:bidi w:val="0"/>
              <w:spacing w:before="0" w:after="20"/>
              <w:jc w:val="left"/>
              <w:rPr/>
            </w:pPr>
            <w:r>
              <w:rPr/>
              <w:t> </w:t>
            </w:r>
          </w:p>
        </w:tc>
        <w:tc>
          <w:tcPr>
            <w:tcW w:w="60" w:type="dxa"/>
            <w:tcBorders>
              <w:left w:val="single" w:sz="6" w:space="0" w:color="FFFFFF"/>
            </w:tcBorders>
            <w:shd w:fill="E5EBEE" w:val="clear"/>
            <w:tcMar>
              <w:left w:w="28" w:type="dxa"/>
            </w:tcMar>
            <w:vAlign w:val="center"/>
          </w:tcPr>
          <w:p>
            <w:pPr>
              <w:pStyle w:val="TableContents"/>
              <w:bidi w:val="0"/>
              <w:spacing w:before="0" w:after="283"/>
              <w:jc w:val="left"/>
              <w:rPr/>
            </w:pPr>
            <w:r>
              <w:rPr/>
              <w:t> </w:t>
            </w:r>
          </w:p>
        </w:tc>
        <w:tc>
          <w:tcPr>
            <w:tcW w:w="1262" w:type="dxa"/>
            <w:tcBorders>
              <w:right w:val="single" w:sz="24" w:space="0" w:color="FFFFFF"/>
            </w:tcBorders>
            <w:shd w:fill="E5EBEE" w:val="clear"/>
            <w:tcMar>
              <w:right w:w="28" w:type="dxa"/>
            </w:tcMar>
            <w:vAlign w:val="center"/>
          </w:tcPr>
          <w:p>
            <w:pPr>
              <w:pStyle w:val="TableContents"/>
              <w:bidi w:val="0"/>
              <w:jc w:val="center"/>
              <w:rPr/>
            </w:pPr>
            <w:r>
              <w:rPr/>
              <w:t>$2,524,500</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00" w:type="dxa"/>
            <w:tcBorders>
              <w:right w:val="single" w:sz="24" w:space="0" w:color="FFFFFF"/>
            </w:tcBorders>
            <w:shd w:fill="E5EBEE" w:val="clear"/>
            <w:tcMar>
              <w:right w:w="28" w:type="dxa"/>
            </w:tcMar>
            <w:vAlign w:val="center"/>
          </w:tcPr>
          <w:p>
            <w:pPr>
              <w:pStyle w:val="TableContents"/>
              <w:bidi w:val="0"/>
              <w:jc w:val="center"/>
              <w:rPr/>
            </w:pPr>
            <w:r>
              <w:rPr/>
              <w:t>$1,682,404</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1621" w:type="dxa"/>
            <w:tcBorders>
              <w:right w:val="single" w:sz="24" w:space="0" w:color="FFFFFF"/>
            </w:tcBorders>
            <w:shd w:fill="E5EBEE" w:val="clear"/>
            <w:tcMar>
              <w:right w:w="28" w:type="dxa"/>
            </w:tcMar>
            <w:vAlign w:val="center"/>
          </w:tcPr>
          <w:p>
            <w:pPr>
              <w:pStyle w:val="TableContents"/>
              <w:bidi w:val="0"/>
              <w:jc w:val="center"/>
              <w:rPr/>
            </w:pPr>
            <w:r>
              <w:rPr/>
              <w:t>$2,018,804</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18" w:type="dxa"/>
            <w:tcBorders/>
            <w:shd w:fill="E5EBEE" w:val="clear"/>
            <w:vAlign w:val="center"/>
          </w:tcPr>
          <w:p>
            <w:pPr>
              <w:pStyle w:val="TableContents"/>
              <w:bidi w:val="0"/>
              <w:jc w:val="center"/>
              <w:rPr/>
            </w:pPr>
            <w:r>
              <w:rPr/>
              <w:t>$7,567,093</w:t>
            </w:r>
          </w:p>
          <w:p>
            <w:pPr>
              <w:pStyle w:val="TableContents"/>
              <w:bidi w:val="0"/>
              <w:spacing w:before="0" w:after="20"/>
              <w:jc w:val="left"/>
              <w:rPr/>
            </w:pPr>
            <w:r>
              <w:rPr/>
              <w:t> </w:t>
            </w:r>
          </w:p>
        </w:tc>
      </w:tr>
      <w:tr>
        <w:trPr/>
        <w:tc>
          <w:tcPr>
            <w:tcW w:w="1848" w:type="dxa"/>
            <w:tcBorders>
              <w:right w:val="single" w:sz="24" w:space="0" w:color="FFFFFF"/>
            </w:tcBorders>
            <w:tcMar>
              <w:right w:w="28" w:type="dxa"/>
            </w:tcMar>
            <w:vAlign w:val="center"/>
          </w:tcPr>
          <w:p>
            <w:pPr>
              <w:pStyle w:val="TableContents"/>
              <w:bidi w:val="0"/>
              <w:spacing w:before="0" w:after="283"/>
              <w:jc w:val="left"/>
              <w:rPr/>
            </w:pPr>
            <w:r>
              <w:rPr/>
              <w:t> </w:t>
            </w:r>
          </w:p>
        </w:tc>
        <w:tc>
          <w:tcPr>
            <w:tcW w:w="1411"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60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322"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160"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681"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178" w:type="dxa"/>
            <w:gridSpan w:val="2"/>
            <w:tcBorders/>
            <w:vAlign w:val="center"/>
          </w:tcPr>
          <w:p>
            <w:pPr>
              <w:pStyle w:val="TableContents"/>
              <w:bidi w:val="0"/>
              <w:spacing w:before="0" w:after="283"/>
              <w:jc w:val="left"/>
              <w:rPr>
                <w:sz w:val="4"/>
                <w:szCs w:val="4"/>
              </w:rPr>
            </w:pPr>
            <w:r>
              <w:rPr>
                <w:sz w:val="4"/>
                <w:szCs w:val="4"/>
              </w:rPr>
            </w:r>
          </w:p>
        </w:tc>
      </w:tr>
      <w:tr>
        <w:trPr/>
        <w:tc>
          <w:tcPr>
            <w:tcW w:w="1848" w:type="dxa"/>
            <w:tcBorders>
              <w:bottom w:val="single" w:sz="8" w:space="0" w:color="003A5D"/>
              <w:right w:val="single" w:sz="24" w:space="0" w:color="FFFFFF"/>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351" w:type="dxa"/>
            <w:tcBorders>
              <w:bottom w:val="single" w:sz="8" w:space="0" w:color="003A5D"/>
              <w:right w:val="single" w:sz="24" w:space="0" w:color="FFFFFF"/>
            </w:tcBorders>
            <w:tcMar>
              <w:bottom w:w="28" w:type="dxa"/>
              <w:right w:w="28" w:type="dxa"/>
            </w:tcMar>
            <w:vAlign w:val="center"/>
          </w:tcPr>
          <w:p>
            <w:pPr>
              <w:pStyle w:val="TableContents"/>
              <w:bidi w:val="0"/>
              <w:jc w:val="center"/>
              <w:rPr/>
            </w:pPr>
            <w:r>
              <w:rPr/>
              <w:t>2022</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545" w:type="dxa"/>
            <w:tcBorders>
              <w:bottom w:val="single" w:sz="8" w:space="0" w:color="003A5D"/>
              <w:right w:val="single" w:sz="24" w:space="0" w:color="FFFFFF"/>
            </w:tcBorders>
            <w:tcMar>
              <w:bottom w:w="28" w:type="dxa"/>
              <w:right w:w="28" w:type="dxa"/>
            </w:tcMar>
            <w:vAlign w:val="center"/>
          </w:tcPr>
          <w:p>
            <w:pPr>
              <w:pStyle w:val="TableContents"/>
              <w:bidi w:val="0"/>
              <w:jc w:val="center"/>
              <w:rPr/>
            </w:pPr>
            <w:r>
              <w:rPr/>
              <w:t>$1,292,154</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262" w:type="dxa"/>
            <w:tcBorders>
              <w:bottom w:val="single" w:sz="8" w:space="0" w:color="003A5D"/>
              <w:right w:val="single" w:sz="24" w:space="0" w:color="FFFFFF"/>
            </w:tcBorders>
            <w:tcMar>
              <w:bottom w:w="28" w:type="dxa"/>
              <w:right w:w="28" w:type="dxa"/>
            </w:tcMar>
            <w:vAlign w:val="center"/>
          </w:tcPr>
          <w:p>
            <w:pPr>
              <w:pStyle w:val="TableContents"/>
              <w:bidi w:val="0"/>
              <w:jc w:val="center"/>
              <w:rPr/>
            </w:pPr>
            <w:r>
              <w:rPr/>
              <w:t>$2,286,200</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00" w:type="dxa"/>
            <w:tcBorders>
              <w:bottom w:val="single" w:sz="8" w:space="0" w:color="003A5D"/>
              <w:right w:val="single" w:sz="24" w:space="0" w:color="FFFFFF"/>
            </w:tcBorders>
            <w:tcMar>
              <w:bottom w:w="28" w:type="dxa"/>
              <w:right w:w="28" w:type="dxa"/>
            </w:tcMar>
            <w:vAlign w:val="center"/>
          </w:tcPr>
          <w:p>
            <w:pPr>
              <w:pStyle w:val="TableContents"/>
              <w:bidi w:val="0"/>
              <w:jc w:val="center"/>
              <w:rPr/>
            </w:pPr>
            <w:r>
              <w:rPr/>
              <w:t>$1,877,200</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621" w:type="dxa"/>
            <w:tcBorders>
              <w:bottom w:val="single" w:sz="8" w:space="0" w:color="003A5D"/>
              <w:right w:val="single" w:sz="24" w:space="0" w:color="FFFFFF"/>
            </w:tcBorders>
            <w:tcMar>
              <w:bottom w:w="28" w:type="dxa"/>
              <w:right w:w="28" w:type="dxa"/>
            </w:tcMar>
            <w:vAlign w:val="center"/>
          </w:tcPr>
          <w:p>
            <w:pPr>
              <w:pStyle w:val="TableContents"/>
              <w:bidi w:val="0"/>
              <w:jc w:val="center"/>
              <w:rPr/>
            </w:pPr>
            <w:r>
              <w:rPr/>
              <w:t>$2,252,570</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18" w:type="dxa"/>
            <w:tcBorders>
              <w:bottom w:val="single" w:sz="8" w:space="0" w:color="003A5D"/>
            </w:tcBorders>
            <w:tcMar>
              <w:bottom w:w="28" w:type="dxa"/>
            </w:tcMar>
            <w:vAlign w:val="center"/>
          </w:tcPr>
          <w:p>
            <w:pPr>
              <w:pStyle w:val="TableContents"/>
              <w:bidi w:val="0"/>
              <w:jc w:val="center"/>
              <w:rPr/>
            </w:pPr>
            <w:r>
              <w:rPr/>
              <w:t>$7,708,124</w:t>
            </w:r>
          </w:p>
          <w:p>
            <w:pPr>
              <w:pStyle w:val="TableContents"/>
              <w:bidi w:val="0"/>
              <w:spacing w:before="0" w:after="20"/>
              <w:jc w:val="left"/>
              <w:rPr/>
            </w:pPr>
            <w:r>
              <w:rPr/>
              <w:t> </w:t>
            </w:r>
          </w:p>
        </w:tc>
      </w:tr>
      <w:tr>
        <w:trPr/>
        <w:tc>
          <w:tcPr>
            <w:tcW w:w="1848" w:type="dxa"/>
            <w:tcBorders>
              <w:right w:val="single" w:sz="24" w:space="0" w:color="FFFFFF"/>
            </w:tcBorders>
            <w:tcMar>
              <w:right w:w="28" w:type="dxa"/>
            </w:tcMar>
            <w:vAlign w:val="center"/>
          </w:tcPr>
          <w:p>
            <w:pPr>
              <w:pStyle w:val="TableContents"/>
              <w:bidi w:val="0"/>
              <w:spacing w:before="0" w:after="283"/>
              <w:jc w:val="left"/>
              <w:rPr/>
            </w:pPr>
            <w:r>
              <w:rPr/>
              <w:t> </w:t>
            </w:r>
          </w:p>
        </w:tc>
        <w:tc>
          <w:tcPr>
            <w:tcW w:w="1411"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605"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322" w:type="dxa"/>
            <w:gridSpan w:val="2"/>
            <w:tcBorders>
              <w:left w:val="single" w:sz="6"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1160"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681"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178"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1848" w:type="dxa"/>
            <w:tcBorders>
              <w:right w:val="single" w:sz="24" w:space="0" w:color="FFFFFF"/>
            </w:tcBorders>
            <w:tcMar>
              <w:right w:w="28" w:type="dxa"/>
            </w:tcMar>
            <w:vAlign w:val="center"/>
          </w:tcPr>
          <w:p>
            <w:pPr>
              <w:pStyle w:val="TableContents"/>
              <w:bidi w:val="0"/>
              <w:spacing w:before="0" w:after="0"/>
              <w:jc w:val="left"/>
              <w:rPr>
                <w:rFonts w:ascii="arial" w:hAnsi="arial"/>
                <w:sz w:val="18"/>
              </w:rPr>
            </w:pPr>
            <w:r>
              <w:rPr>
                <w:rFonts w:ascii="arial" w:hAnsi="arial"/>
                <w:sz w:val="18"/>
              </w:rPr>
              <w:t>Matthew W. Cooper(1)</w:t>
            </w:r>
          </w:p>
        </w:tc>
        <w:tc>
          <w:tcPr>
            <w:tcW w:w="60" w:type="dxa"/>
            <w:tcBorders/>
            <w:shd w:fill="E5EBEE" w:val="clear"/>
            <w:vAlign w:val="center"/>
          </w:tcPr>
          <w:p>
            <w:pPr>
              <w:pStyle w:val="TableContents"/>
              <w:bidi w:val="0"/>
              <w:spacing w:before="0" w:after="283"/>
              <w:jc w:val="left"/>
              <w:rPr/>
            </w:pPr>
            <w:r>
              <w:rPr/>
              <w:t> </w:t>
            </w:r>
          </w:p>
        </w:tc>
        <w:tc>
          <w:tcPr>
            <w:tcW w:w="1351" w:type="dxa"/>
            <w:tcBorders>
              <w:right w:val="single" w:sz="24" w:space="0" w:color="FFFFFF"/>
            </w:tcBorders>
            <w:shd w:fill="E5EBEE" w:val="clear"/>
            <w:tcMar>
              <w:right w:w="28" w:type="dxa"/>
            </w:tcMar>
            <w:vAlign w:val="center"/>
          </w:tcPr>
          <w:p>
            <w:pPr>
              <w:pStyle w:val="TableContents"/>
              <w:bidi w:val="0"/>
              <w:jc w:val="center"/>
              <w:rPr/>
            </w:pPr>
            <w:r>
              <w:rPr/>
              <w:t>2024</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1545" w:type="dxa"/>
            <w:tcBorders>
              <w:right w:val="single" w:sz="24" w:space="0" w:color="FFFFFF"/>
            </w:tcBorders>
            <w:shd w:fill="E5EBEE" w:val="clear"/>
            <w:tcMar>
              <w:right w:w="28" w:type="dxa"/>
            </w:tcMar>
            <w:vAlign w:val="center"/>
          </w:tcPr>
          <w:p>
            <w:pPr>
              <w:pStyle w:val="TableContents"/>
              <w:bidi w:val="0"/>
              <w:jc w:val="center"/>
              <w:rPr/>
            </w:pPr>
            <w:r>
              <w:rPr/>
              <w:t>$1,110,077</w:t>
            </w:r>
          </w:p>
          <w:p>
            <w:pPr>
              <w:pStyle w:val="TableContents"/>
              <w:bidi w:val="0"/>
              <w:spacing w:before="0" w:after="20"/>
              <w:jc w:val="left"/>
              <w:rPr/>
            </w:pPr>
            <w:r>
              <w:rPr/>
              <w:t> </w:t>
            </w:r>
          </w:p>
        </w:tc>
        <w:tc>
          <w:tcPr>
            <w:tcW w:w="60" w:type="dxa"/>
            <w:tcBorders>
              <w:left w:val="single" w:sz="6" w:space="0" w:color="FFFFFF"/>
            </w:tcBorders>
            <w:shd w:fill="E5EBEE" w:val="clear"/>
            <w:tcMar>
              <w:left w:w="28" w:type="dxa"/>
            </w:tcMar>
            <w:vAlign w:val="center"/>
          </w:tcPr>
          <w:p>
            <w:pPr>
              <w:pStyle w:val="TableContents"/>
              <w:bidi w:val="0"/>
              <w:spacing w:before="0" w:after="283"/>
              <w:jc w:val="left"/>
              <w:rPr/>
            </w:pPr>
            <w:r>
              <w:rPr/>
              <w:t> </w:t>
            </w:r>
          </w:p>
        </w:tc>
        <w:tc>
          <w:tcPr>
            <w:tcW w:w="1262" w:type="dxa"/>
            <w:tcBorders>
              <w:right w:val="single" w:sz="24" w:space="0" w:color="FFFFFF"/>
            </w:tcBorders>
            <w:shd w:fill="E5EBEE" w:val="clear"/>
            <w:tcMar>
              <w:right w:w="28" w:type="dxa"/>
            </w:tcMar>
            <w:vAlign w:val="center"/>
          </w:tcPr>
          <w:p>
            <w:pPr>
              <w:pStyle w:val="TableContents"/>
              <w:bidi w:val="0"/>
              <w:jc w:val="center"/>
              <w:rPr/>
            </w:pPr>
            <w:r>
              <w:rPr/>
              <w:t>$2,089,500</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00" w:type="dxa"/>
            <w:tcBorders>
              <w:right w:val="single" w:sz="24" w:space="0" w:color="FFFFFF"/>
            </w:tcBorders>
            <w:shd w:fill="E5EBEE" w:val="clear"/>
            <w:tcMar>
              <w:right w:w="28" w:type="dxa"/>
            </w:tcMar>
            <w:vAlign w:val="center"/>
          </w:tcPr>
          <w:p>
            <w:pPr>
              <w:pStyle w:val="TableContents"/>
              <w:bidi w:val="0"/>
              <w:jc w:val="center"/>
              <w:rPr/>
            </w:pPr>
            <w:r>
              <w:rPr/>
              <w:t>$1,601,160</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1621" w:type="dxa"/>
            <w:tcBorders>
              <w:right w:val="single" w:sz="24" w:space="0" w:color="FFFFFF"/>
            </w:tcBorders>
            <w:shd w:fill="E5EBEE" w:val="clear"/>
            <w:tcMar>
              <w:right w:w="28" w:type="dxa"/>
            </w:tcMar>
            <w:vAlign w:val="center"/>
          </w:tcPr>
          <w:p>
            <w:pPr>
              <w:pStyle w:val="TableContents"/>
              <w:bidi w:val="0"/>
              <w:jc w:val="center"/>
              <w:rPr/>
            </w:pPr>
            <w:r>
              <w:rPr/>
              <w:t>$1,921,352</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18" w:type="dxa"/>
            <w:tcBorders/>
            <w:shd w:fill="E5EBEE" w:val="clear"/>
            <w:vAlign w:val="center"/>
          </w:tcPr>
          <w:p>
            <w:pPr>
              <w:pStyle w:val="TableContents"/>
              <w:bidi w:val="0"/>
              <w:jc w:val="center"/>
              <w:rPr/>
            </w:pPr>
            <w:r>
              <w:rPr/>
              <w:t>$6,722,089</w:t>
            </w:r>
          </w:p>
          <w:p>
            <w:pPr>
              <w:pStyle w:val="TableContents"/>
              <w:bidi w:val="0"/>
              <w:spacing w:before="0" w:after="20"/>
              <w:jc w:val="left"/>
              <w:rPr/>
            </w:pPr>
            <w:r>
              <w:rPr/>
              <w:t> </w:t>
            </w:r>
          </w:p>
        </w:tc>
      </w:tr>
      <w:tr>
        <w:trPr/>
        <w:tc>
          <w:tcPr>
            <w:tcW w:w="1848" w:type="dxa"/>
            <w:tcBorders>
              <w:right w:val="single" w:sz="24" w:space="0" w:color="FFFFFF"/>
            </w:tcBorders>
            <w:tcMar>
              <w:right w:w="28" w:type="dxa"/>
            </w:tcMar>
            <w:vAlign w:val="center"/>
          </w:tcPr>
          <w:p>
            <w:pPr>
              <w:pStyle w:val="TableContents"/>
              <w:bidi w:val="0"/>
              <w:spacing w:before="0" w:after="283"/>
              <w:jc w:val="left"/>
              <w:rPr/>
            </w:pPr>
            <w:r>
              <w:rPr/>
              <w:t> </w:t>
            </w:r>
          </w:p>
        </w:tc>
        <w:tc>
          <w:tcPr>
            <w:tcW w:w="1411"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60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322" w:type="dxa"/>
            <w:gridSpan w:val="2"/>
            <w:tcBorders>
              <w:left w:val="single" w:sz="6" w:space="0" w:color="FFFFFF"/>
              <w:right w:val="single" w:sz="24" w:space="0" w:color="FFFFFF"/>
            </w:tcBorders>
            <w:tcMar>
              <w:left w:w="28" w:type="dxa"/>
              <w:right w:w="28" w:type="dxa"/>
            </w:tcMar>
            <w:vAlign w:val="center"/>
          </w:tcPr>
          <w:p>
            <w:pPr>
              <w:pStyle w:val="TableContents"/>
              <w:bidi w:val="0"/>
              <w:spacing w:before="0" w:after="283"/>
              <w:jc w:val="left"/>
              <w:rPr/>
            </w:pPr>
            <w:r>
              <w:rPr/>
              <w:t> </w:t>
            </w:r>
          </w:p>
        </w:tc>
        <w:tc>
          <w:tcPr>
            <w:tcW w:w="1160"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681"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178" w:type="dxa"/>
            <w:gridSpan w:val="2"/>
            <w:tcBorders/>
            <w:vAlign w:val="center"/>
          </w:tcPr>
          <w:p>
            <w:pPr>
              <w:pStyle w:val="TableContents"/>
              <w:bidi w:val="0"/>
              <w:spacing w:before="0" w:after="283"/>
              <w:jc w:val="left"/>
              <w:rPr>
                <w:sz w:val="4"/>
                <w:szCs w:val="4"/>
              </w:rPr>
            </w:pPr>
            <w:r>
              <w:rPr>
                <w:sz w:val="4"/>
                <w:szCs w:val="4"/>
              </w:rPr>
            </w:r>
          </w:p>
        </w:tc>
      </w:tr>
      <w:tr>
        <w:trPr/>
        <w:tc>
          <w:tcPr>
            <w:tcW w:w="1848" w:type="dxa"/>
            <w:tcBorders>
              <w:right w:val="single" w:sz="24" w:space="0" w:color="FFFFFF"/>
            </w:tcBorders>
            <w:tcMar>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51" w:type="dxa"/>
            <w:tcBorders>
              <w:right w:val="single" w:sz="24" w:space="0" w:color="FFFFFF"/>
            </w:tcBorders>
            <w:tcMar>
              <w:right w:w="28" w:type="dxa"/>
            </w:tcMar>
            <w:vAlign w:val="center"/>
          </w:tcPr>
          <w:p>
            <w:pPr>
              <w:pStyle w:val="TableContents"/>
              <w:bidi w:val="0"/>
              <w:jc w:val="center"/>
              <w:rPr/>
            </w:pPr>
            <w:r>
              <w:rPr/>
              <w:t>2023</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545" w:type="dxa"/>
            <w:tcBorders>
              <w:right w:val="single" w:sz="24" w:space="0" w:color="FFFFFF"/>
            </w:tcBorders>
            <w:tcMar>
              <w:right w:w="28" w:type="dxa"/>
            </w:tcMar>
            <w:vAlign w:val="center"/>
          </w:tcPr>
          <w:p>
            <w:pPr>
              <w:pStyle w:val="TableContents"/>
              <w:bidi w:val="0"/>
              <w:jc w:val="center"/>
              <w:rPr/>
            </w:pPr>
            <w:r>
              <w:rPr/>
              <w:t>$—</w:t>
            </w:r>
          </w:p>
          <w:p>
            <w:pPr>
              <w:pStyle w:val="TableContents"/>
              <w:bidi w:val="0"/>
              <w:spacing w:before="0" w:after="20"/>
              <w:jc w:val="left"/>
              <w:rPr/>
            </w:pPr>
            <w:r>
              <w:rPr/>
              <w:t> </w:t>
            </w:r>
          </w:p>
        </w:tc>
        <w:tc>
          <w:tcPr>
            <w:tcW w:w="60" w:type="dxa"/>
            <w:tcBorders>
              <w:left w:val="single" w:sz="6" w:space="0" w:color="FFFFFF"/>
            </w:tcBorders>
            <w:tcMar>
              <w:left w:w="28" w:type="dxa"/>
            </w:tcMar>
            <w:vAlign w:val="center"/>
          </w:tcPr>
          <w:p>
            <w:pPr>
              <w:pStyle w:val="TableContents"/>
              <w:bidi w:val="0"/>
              <w:spacing w:before="0" w:after="283"/>
              <w:jc w:val="left"/>
              <w:rPr/>
            </w:pPr>
            <w:r>
              <w:rPr/>
              <w:t> </w:t>
            </w:r>
          </w:p>
        </w:tc>
        <w:tc>
          <w:tcPr>
            <w:tcW w:w="1262" w:type="dxa"/>
            <w:tcBorders>
              <w:right w:val="single" w:sz="24" w:space="0" w:color="FFFFFF"/>
            </w:tcBorders>
            <w:tcMar>
              <w:right w:w="28" w:type="dxa"/>
            </w:tcMar>
            <w:vAlign w:val="center"/>
          </w:tcPr>
          <w:p>
            <w:pPr>
              <w:pStyle w:val="TableContents"/>
              <w:bidi w:val="0"/>
              <w:jc w:val="center"/>
              <w:rPr/>
            </w:pPr>
            <w:r>
              <w:rPr/>
              <w:t>$—</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100" w:type="dxa"/>
            <w:tcBorders>
              <w:right w:val="single" w:sz="24" w:space="0" w:color="FFFFFF"/>
            </w:tcBorders>
            <w:tcMar>
              <w:right w:w="28" w:type="dxa"/>
            </w:tcMar>
            <w:vAlign w:val="center"/>
          </w:tcPr>
          <w:p>
            <w:pPr>
              <w:pStyle w:val="TableContents"/>
              <w:bidi w:val="0"/>
              <w:jc w:val="center"/>
              <w:rPr/>
            </w:pPr>
            <w:r>
              <w:rPr/>
              <w:t>$—</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621" w:type="dxa"/>
            <w:tcBorders>
              <w:right w:val="single" w:sz="24" w:space="0" w:color="FFFFFF"/>
            </w:tcBorders>
            <w:tcMar>
              <w:right w:w="28" w:type="dxa"/>
            </w:tcMar>
            <w:vAlign w:val="center"/>
          </w:tcPr>
          <w:p>
            <w:pPr>
              <w:pStyle w:val="TableContents"/>
              <w:bidi w:val="0"/>
              <w:jc w:val="center"/>
              <w:rPr/>
            </w:pPr>
            <w:r>
              <w:rPr/>
              <w:t>$—</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jc w:val="center"/>
              <w:rPr/>
            </w:pPr>
            <w:r>
              <w:rPr/>
              <w:t>$—</w:t>
            </w:r>
          </w:p>
          <w:p>
            <w:pPr>
              <w:pStyle w:val="TableContents"/>
              <w:bidi w:val="0"/>
              <w:spacing w:before="0" w:after="20"/>
              <w:jc w:val="left"/>
              <w:rPr/>
            </w:pPr>
            <w:r>
              <w:rPr/>
              <w:t> </w:t>
            </w:r>
          </w:p>
        </w:tc>
      </w:tr>
      <w:tr>
        <w:trPr/>
        <w:tc>
          <w:tcPr>
            <w:tcW w:w="1848" w:type="dxa"/>
            <w:tcBorders>
              <w:right w:val="single" w:sz="24" w:space="0" w:color="FFFFFF"/>
            </w:tcBorders>
            <w:tcMar>
              <w:right w:w="28" w:type="dxa"/>
            </w:tcMar>
            <w:vAlign w:val="center"/>
          </w:tcPr>
          <w:p>
            <w:pPr>
              <w:pStyle w:val="TableContents"/>
              <w:bidi w:val="0"/>
              <w:spacing w:before="0" w:after="283"/>
              <w:jc w:val="left"/>
              <w:rPr/>
            </w:pPr>
            <w:r>
              <w:rPr/>
              <w:t> </w:t>
            </w:r>
          </w:p>
        </w:tc>
        <w:tc>
          <w:tcPr>
            <w:tcW w:w="1411"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605"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322"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160"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681"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178"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1848" w:type="dxa"/>
            <w:tcBorders>
              <w:bottom w:val="single" w:sz="8" w:space="0" w:color="003A5D"/>
              <w:right w:val="single" w:sz="24" w:space="0" w:color="FFFFFF"/>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351" w:type="dxa"/>
            <w:tcBorders>
              <w:bottom w:val="single" w:sz="8" w:space="0" w:color="003A5D"/>
              <w:right w:val="single" w:sz="24" w:space="0" w:color="FFFFFF"/>
            </w:tcBorders>
            <w:shd w:fill="E5EBEE" w:val="clear"/>
            <w:tcMar>
              <w:bottom w:w="28" w:type="dxa"/>
              <w:right w:w="28" w:type="dxa"/>
            </w:tcMar>
            <w:vAlign w:val="center"/>
          </w:tcPr>
          <w:p>
            <w:pPr>
              <w:pStyle w:val="TableContents"/>
              <w:bidi w:val="0"/>
              <w:jc w:val="center"/>
              <w:rPr/>
            </w:pPr>
            <w:r>
              <w:rPr/>
              <w:t>2022</w:t>
            </w:r>
          </w:p>
          <w:p>
            <w:pPr>
              <w:pStyle w:val="TableContents"/>
              <w:bidi w:val="0"/>
              <w:spacing w:before="0" w:after="2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545" w:type="dxa"/>
            <w:tcBorders>
              <w:bottom w:val="single" w:sz="8" w:space="0" w:color="003A5D"/>
              <w:right w:val="single" w:sz="24" w:space="0" w:color="FFFFFF"/>
            </w:tcBorders>
            <w:shd w:fill="E5EBEE" w:val="clear"/>
            <w:tcMar>
              <w:bottom w:w="28" w:type="dxa"/>
              <w:right w:w="28" w:type="dxa"/>
            </w:tcMar>
            <w:vAlign w:val="center"/>
          </w:tcPr>
          <w:p>
            <w:pPr>
              <w:pStyle w:val="TableContents"/>
              <w:bidi w:val="0"/>
              <w:jc w:val="center"/>
              <w:rPr/>
            </w:pPr>
            <w:r>
              <w:rPr/>
              <w:t>$—</w:t>
            </w:r>
          </w:p>
          <w:p>
            <w:pPr>
              <w:pStyle w:val="TableContents"/>
              <w:bidi w:val="0"/>
              <w:spacing w:before="0" w:after="2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62" w:type="dxa"/>
            <w:tcBorders>
              <w:bottom w:val="single" w:sz="8" w:space="0" w:color="003A5D"/>
              <w:right w:val="single" w:sz="24" w:space="0" w:color="FFFFFF"/>
            </w:tcBorders>
            <w:shd w:fill="E5EBEE" w:val="clear"/>
            <w:tcMar>
              <w:bottom w:w="28" w:type="dxa"/>
              <w:right w:w="28" w:type="dxa"/>
            </w:tcMar>
            <w:vAlign w:val="center"/>
          </w:tcPr>
          <w:p>
            <w:pPr>
              <w:pStyle w:val="TableContents"/>
              <w:bidi w:val="0"/>
              <w:jc w:val="center"/>
              <w:rPr/>
            </w:pPr>
            <w:r>
              <w:rPr/>
              <w:t>$—</w:t>
            </w:r>
          </w:p>
          <w:p>
            <w:pPr>
              <w:pStyle w:val="TableContents"/>
              <w:bidi w:val="0"/>
              <w:spacing w:before="0" w:after="2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00" w:type="dxa"/>
            <w:tcBorders>
              <w:bottom w:val="single" w:sz="8" w:space="0" w:color="003A5D"/>
              <w:right w:val="single" w:sz="24" w:space="0" w:color="FFFFFF"/>
            </w:tcBorders>
            <w:shd w:fill="E5EBEE" w:val="clear"/>
            <w:tcMar>
              <w:bottom w:w="28" w:type="dxa"/>
              <w:right w:w="28" w:type="dxa"/>
            </w:tcMar>
            <w:vAlign w:val="center"/>
          </w:tcPr>
          <w:p>
            <w:pPr>
              <w:pStyle w:val="TableContents"/>
              <w:bidi w:val="0"/>
              <w:jc w:val="center"/>
              <w:rPr/>
            </w:pPr>
            <w:r>
              <w:rPr/>
              <w:t>$—</w:t>
            </w:r>
          </w:p>
          <w:p>
            <w:pPr>
              <w:pStyle w:val="TableContents"/>
              <w:bidi w:val="0"/>
              <w:spacing w:before="0" w:after="2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621" w:type="dxa"/>
            <w:tcBorders>
              <w:bottom w:val="single" w:sz="8" w:space="0" w:color="003A5D"/>
              <w:right w:val="single" w:sz="24" w:space="0" w:color="FFFFFF"/>
            </w:tcBorders>
            <w:shd w:fill="E5EBEE" w:val="clear"/>
            <w:tcMar>
              <w:bottom w:w="28" w:type="dxa"/>
              <w:right w:w="28" w:type="dxa"/>
            </w:tcMar>
            <w:vAlign w:val="center"/>
          </w:tcPr>
          <w:p>
            <w:pPr>
              <w:pStyle w:val="TableContents"/>
              <w:bidi w:val="0"/>
              <w:jc w:val="center"/>
              <w:rPr/>
            </w:pPr>
            <w:r>
              <w:rPr/>
              <w:t>$—</w:t>
            </w:r>
          </w:p>
          <w:p>
            <w:pPr>
              <w:pStyle w:val="TableContents"/>
              <w:bidi w:val="0"/>
              <w:spacing w:before="0" w:after="2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18" w:type="dxa"/>
            <w:tcBorders>
              <w:bottom w:val="single" w:sz="8" w:space="0" w:color="003A5D"/>
            </w:tcBorders>
            <w:shd w:fill="E5EBEE" w:val="clear"/>
            <w:tcMar>
              <w:bottom w:w="28" w:type="dxa"/>
            </w:tcMar>
            <w:vAlign w:val="center"/>
          </w:tcPr>
          <w:p>
            <w:pPr>
              <w:pStyle w:val="TableContents"/>
              <w:bidi w:val="0"/>
              <w:jc w:val="center"/>
              <w:rPr/>
            </w:pPr>
            <w:r>
              <w:rPr/>
              <w:t>$—</w:t>
            </w:r>
          </w:p>
          <w:p>
            <w:pPr>
              <w:pStyle w:val="TableContents"/>
              <w:bidi w:val="0"/>
              <w:spacing w:before="0" w:after="20"/>
              <w:jc w:val="left"/>
              <w:rPr/>
            </w:pPr>
            <w:r>
              <w:rPr/>
              <w:t> </w:t>
            </w:r>
          </w:p>
        </w:tc>
      </w:tr>
      <w:tr>
        <w:trPr/>
        <w:tc>
          <w:tcPr>
            <w:tcW w:w="1848" w:type="dxa"/>
            <w:tcBorders>
              <w:right w:val="single" w:sz="24" w:space="0" w:color="FFFFFF"/>
            </w:tcBorders>
            <w:tcMar>
              <w:right w:w="28" w:type="dxa"/>
            </w:tcMar>
            <w:vAlign w:val="center"/>
          </w:tcPr>
          <w:p>
            <w:pPr>
              <w:pStyle w:val="TableContents"/>
              <w:bidi w:val="0"/>
              <w:spacing w:before="0" w:after="283"/>
              <w:jc w:val="left"/>
              <w:rPr/>
            </w:pPr>
            <w:r>
              <w:rPr/>
              <w:t> </w:t>
            </w:r>
          </w:p>
        </w:tc>
        <w:tc>
          <w:tcPr>
            <w:tcW w:w="1411"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60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322" w:type="dxa"/>
            <w:gridSpan w:val="2"/>
            <w:tcBorders>
              <w:left w:val="single" w:sz="6" w:space="0" w:color="FFFFFF"/>
              <w:right w:val="single" w:sz="24" w:space="0" w:color="FFFFFF"/>
            </w:tcBorders>
            <w:tcMar>
              <w:left w:w="28" w:type="dxa"/>
              <w:right w:w="28" w:type="dxa"/>
            </w:tcMar>
            <w:vAlign w:val="center"/>
          </w:tcPr>
          <w:p>
            <w:pPr>
              <w:pStyle w:val="TableContents"/>
              <w:bidi w:val="0"/>
              <w:spacing w:before="0" w:after="283"/>
              <w:jc w:val="left"/>
              <w:rPr/>
            </w:pPr>
            <w:r>
              <w:rPr/>
              <w:t> </w:t>
            </w:r>
          </w:p>
        </w:tc>
        <w:tc>
          <w:tcPr>
            <w:tcW w:w="1160"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681"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178" w:type="dxa"/>
            <w:gridSpan w:val="2"/>
            <w:tcBorders/>
            <w:vAlign w:val="center"/>
          </w:tcPr>
          <w:p>
            <w:pPr>
              <w:pStyle w:val="TableContents"/>
              <w:bidi w:val="0"/>
              <w:spacing w:before="0" w:after="283"/>
              <w:jc w:val="left"/>
              <w:rPr>
                <w:sz w:val="4"/>
                <w:szCs w:val="4"/>
              </w:rPr>
            </w:pPr>
            <w:r>
              <w:rPr>
                <w:sz w:val="4"/>
                <w:szCs w:val="4"/>
              </w:rPr>
            </w:r>
          </w:p>
        </w:tc>
      </w:tr>
      <w:tr>
        <w:trPr/>
        <w:tc>
          <w:tcPr>
            <w:tcW w:w="1848" w:type="dxa"/>
            <w:tcBorders>
              <w:right w:val="single" w:sz="24" w:space="0" w:color="FFFFFF"/>
            </w:tcBorders>
            <w:tcMar>
              <w:right w:w="28" w:type="dxa"/>
            </w:tcMar>
            <w:vAlign w:val="center"/>
          </w:tcPr>
          <w:p>
            <w:pPr>
              <w:pStyle w:val="TableContents"/>
              <w:bidi w:val="0"/>
              <w:spacing w:before="0" w:after="0"/>
              <w:jc w:val="left"/>
              <w:rPr>
                <w:rFonts w:ascii="arial" w:hAnsi="arial"/>
                <w:sz w:val="18"/>
              </w:rPr>
            </w:pPr>
            <w:r>
              <w:rPr>
                <w:rFonts w:ascii="arial" w:hAnsi="arial"/>
                <w:sz w:val="18"/>
              </w:rPr>
              <w:t>Sanjiv Yajnik</w:t>
            </w:r>
          </w:p>
        </w:tc>
        <w:tc>
          <w:tcPr>
            <w:tcW w:w="60" w:type="dxa"/>
            <w:tcBorders/>
            <w:vAlign w:val="center"/>
          </w:tcPr>
          <w:p>
            <w:pPr>
              <w:pStyle w:val="TableContents"/>
              <w:bidi w:val="0"/>
              <w:spacing w:before="0" w:after="283"/>
              <w:jc w:val="left"/>
              <w:rPr/>
            </w:pPr>
            <w:r>
              <w:rPr/>
              <w:t> </w:t>
            </w:r>
          </w:p>
        </w:tc>
        <w:tc>
          <w:tcPr>
            <w:tcW w:w="1351" w:type="dxa"/>
            <w:tcBorders>
              <w:right w:val="single" w:sz="24" w:space="0" w:color="FFFFFF"/>
            </w:tcBorders>
            <w:tcMar>
              <w:right w:w="28" w:type="dxa"/>
            </w:tcMar>
            <w:vAlign w:val="center"/>
          </w:tcPr>
          <w:p>
            <w:pPr>
              <w:pStyle w:val="TableContents"/>
              <w:bidi w:val="0"/>
              <w:jc w:val="center"/>
              <w:rPr/>
            </w:pPr>
            <w:r>
              <w:rPr/>
              <w:t>2024</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545" w:type="dxa"/>
            <w:tcBorders>
              <w:right w:val="single" w:sz="24" w:space="0" w:color="FFFFFF"/>
            </w:tcBorders>
            <w:tcMar>
              <w:right w:w="28" w:type="dxa"/>
            </w:tcMar>
            <w:vAlign w:val="center"/>
          </w:tcPr>
          <w:p>
            <w:pPr>
              <w:pStyle w:val="TableContents"/>
              <w:bidi w:val="0"/>
              <w:jc w:val="center"/>
              <w:rPr/>
            </w:pPr>
            <w:r>
              <w:rPr/>
              <w:t>$1,297,615</w:t>
            </w:r>
          </w:p>
          <w:p>
            <w:pPr>
              <w:pStyle w:val="TableContents"/>
              <w:bidi w:val="0"/>
              <w:spacing w:before="0" w:after="20"/>
              <w:jc w:val="left"/>
              <w:rPr/>
            </w:pPr>
            <w:r>
              <w:rPr/>
              <w:t> </w:t>
            </w:r>
          </w:p>
        </w:tc>
        <w:tc>
          <w:tcPr>
            <w:tcW w:w="60" w:type="dxa"/>
            <w:tcBorders>
              <w:left w:val="single" w:sz="6" w:space="0" w:color="FFFFFF"/>
            </w:tcBorders>
            <w:tcMar>
              <w:left w:w="28" w:type="dxa"/>
            </w:tcMar>
            <w:vAlign w:val="center"/>
          </w:tcPr>
          <w:p>
            <w:pPr>
              <w:pStyle w:val="TableContents"/>
              <w:bidi w:val="0"/>
              <w:spacing w:before="0" w:after="283"/>
              <w:jc w:val="left"/>
              <w:rPr/>
            </w:pPr>
            <w:r>
              <w:rPr/>
              <w:t> </w:t>
            </w:r>
          </w:p>
        </w:tc>
        <w:tc>
          <w:tcPr>
            <w:tcW w:w="1262" w:type="dxa"/>
            <w:tcBorders>
              <w:right w:val="single" w:sz="24" w:space="0" w:color="FFFFFF"/>
            </w:tcBorders>
            <w:tcMar>
              <w:right w:w="28" w:type="dxa"/>
            </w:tcMar>
            <w:vAlign w:val="center"/>
          </w:tcPr>
          <w:p>
            <w:pPr>
              <w:pStyle w:val="TableContents"/>
              <w:bidi w:val="0"/>
              <w:jc w:val="center"/>
              <w:rPr/>
            </w:pPr>
            <w:r>
              <w:rPr/>
              <w:t>$2,442,000</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100" w:type="dxa"/>
            <w:tcBorders>
              <w:right w:val="single" w:sz="24" w:space="0" w:color="FFFFFF"/>
            </w:tcBorders>
            <w:tcMar>
              <w:right w:w="28" w:type="dxa"/>
            </w:tcMar>
            <w:vAlign w:val="center"/>
          </w:tcPr>
          <w:p>
            <w:pPr>
              <w:pStyle w:val="TableContents"/>
              <w:bidi w:val="0"/>
              <w:jc w:val="center"/>
              <w:rPr/>
            </w:pPr>
            <w:r>
              <w:rPr/>
              <w:t>$1,627,376</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621" w:type="dxa"/>
            <w:tcBorders>
              <w:right w:val="single" w:sz="24" w:space="0" w:color="FFFFFF"/>
            </w:tcBorders>
            <w:tcMar>
              <w:right w:w="28" w:type="dxa"/>
            </w:tcMar>
            <w:vAlign w:val="center"/>
          </w:tcPr>
          <w:p>
            <w:pPr>
              <w:pStyle w:val="TableContents"/>
              <w:bidi w:val="0"/>
              <w:jc w:val="center"/>
              <w:rPr/>
            </w:pPr>
            <w:r>
              <w:rPr/>
              <w:t>$1,952,771</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jc w:val="center"/>
              <w:rPr/>
            </w:pPr>
            <w:r>
              <w:rPr/>
              <w:t>$7,319,762</w:t>
            </w:r>
          </w:p>
          <w:p>
            <w:pPr>
              <w:pStyle w:val="TableContents"/>
              <w:bidi w:val="0"/>
              <w:spacing w:before="0" w:after="20"/>
              <w:jc w:val="left"/>
              <w:rPr/>
            </w:pPr>
            <w:r>
              <w:rPr/>
              <w:t> </w:t>
            </w:r>
          </w:p>
        </w:tc>
      </w:tr>
      <w:tr>
        <w:trPr/>
        <w:tc>
          <w:tcPr>
            <w:tcW w:w="1848" w:type="dxa"/>
            <w:tcBorders>
              <w:right w:val="single" w:sz="24" w:space="0" w:color="FFFFFF"/>
            </w:tcBorders>
            <w:tcMar>
              <w:right w:w="28" w:type="dxa"/>
            </w:tcMar>
            <w:vAlign w:val="center"/>
          </w:tcPr>
          <w:p>
            <w:pPr>
              <w:pStyle w:val="TableContents"/>
              <w:bidi w:val="0"/>
              <w:spacing w:before="0" w:after="283"/>
              <w:jc w:val="left"/>
              <w:rPr/>
            </w:pPr>
            <w:r>
              <w:rPr/>
              <w:t> </w:t>
            </w:r>
          </w:p>
        </w:tc>
        <w:tc>
          <w:tcPr>
            <w:tcW w:w="1411"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605"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322" w:type="dxa"/>
            <w:gridSpan w:val="2"/>
            <w:tcBorders>
              <w:left w:val="single" w:sz="6"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1160"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681"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178"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1848" w:type="dxa"/>
            <w:tcBorders>
              <w:right w:val="single" w:sz="24" w:space="0" w:color="FFFFFF"/>
            </w:tcBorders>
            <w:tcMar>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shd w:fill="E5EBEE" w:val="clear"/>
            <w:vAlign w:val="center"/>
          </w:tcPr>
          <w:p>
            <w:pPr>
              <w:pStyle w:val="TableContents"/>
              <w:bidi w:val="0"/>
              <w:spacing w:before="0" w:after="283"/>
              <w:jc w:val="left"/>
              <w:rPr/>
            </w:pPr>
            <w:r>
              <w:rPr/>
              <w:t> </w:t>
            </w:r>
          </w:p>
        </w:tc>
        <w:tc>
          <w:tcPr>
            <w:tcW w:w="1351" w:type="dxa"/>
            <w:tcBorders>
              <w:right w:val="single" w:sz="24" w:space="0" w:color="FFFFFF"/>
            </w:tcBorders>
            <w:shd w:fill="E5EBEE" w:val="clear"/>
            <w:tcMar>
              <w:right w:w="28" w:type="dxa"/>
            </w:tcMar>
            <w:vAlign w:val="center"/>
          </w:tcPr>
          <w:p>
            <w:pPr>
              <w:pStyle w:val="TableContents"/>
              <w:bidi w:val="0"/>
              <w:jc w:val="center"/>
              <w:rPr/>
            </w:pPr>
            <w:r>
              <w:rPr/>
              <w:t>2023</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1545" w:type="dxa"/>
            <w:tcBorders>
              <w:right w:val="single" w:sz="24" w:space="0" w:color="FFFFFF"/>
            </w:tcBorders>
            <w:shd w:fill="E5EBEE" w:val="clear"/>
            <w:tcMar>
              <w:right w:w="28" w:type="dxa"/>
            </w:tcMar>
            <w:vAlign w:val="center"/>
          </w:tcPr>
          <w:p>
            <w:pPr>
              <w:pStyle w:val="TableContents"/>
              <w:bidi w:val="0"/>
              <w:jc w:val="center"/>
              <w:rPr/>
            </w:pPr>
            <w:r>
              <w:rPr/>
              <w:t>$1,259,615</w:t>
            </w:r>
          </w:p>
          <w:p>
            <w:pPr>
              <w:pStyle w:val="TableContents"/>
              <w:bidi w:val="0"/>
              <w:spacing w:before="0" w:after="20"/>
              <w:jc w:val="left"/>
              <w:rPr/>
            </w:pPr>
            <w:r>
              <w:rPr/>
              <w:t> </w:t>
            </w:r>
          </w:p>
        </w:tc>
        <w:tc>
          <w:tcPr>
            <w:tcW w:w="60" w:type="dxa"/>
            <w:tcBorders>
              <w:left w:val="single" w:sz="6" w:space="0" w:color="FFFFFF"/>
            </w:tcBorders>
            <w:shd w:fill="E5EBEE" w:val="clear"/>
            <w:tcMar>
              <w:left w:w="28" w:type="dxa"/>
            </w:tcMar>
            <w:vAlign w:val="center"/>
          </w:tcPr>
          <w:p>
            <w:pPr>
              <w:pStyle w:val="TableContents"/>
              <w:bidi w:val="0"/>
              <w:spacing w:before="0" w:after="283"/>
              <w:jc w:val="left"/>
              <w:rPr/>
            </w:pPr>
            <w:r>
              <w:rPr/>
              <w:t> </w:t>
            </w:r>
          </w:p>
        </w:tc>
        <w:tc>
          <w:tcPr>
            <w:tcW w:w="1262" w:type="dxa"/>
            <w:tcBorders>
              <w:right w:val="single" w:sz="24" w:space="0" w:color="FFFFFF"/>
            </w:tcBorders>
            <w:shd w:fill="E5EBEE" w:val="clear"/>
            <w:tcMar>
              <w:right w:w="28" w:type="dxa"/>
            </w:tcMar>
            <w:vAlign w:val="center"/>
          </w:tcPr>
          <w:p>
            <w:pPr>
              <w:pStyle w:val="TableContents"/>
              <w:bidi w:val="0"/>
              <w:jc w:val="center"/>
              <w:rPr/>
            </w:pPr>
            <w:r>
              <w:rPr/>
              <w:t>$2,370,000</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00" w:type="dxa"/>
            <w:tcBorders>
              <w:right w:val="single" w:sz="24" w:space="0" w:color="FFFFFF"/>
            </w:tcBorders>
            <w:shd w:fill="E5EBEE" w:val="clear"/>
            <w:tcMar>
              <w:right w:w="28" w:type="dxa"/>
            </w:tcMar>
            <w:vAlign w:val="center"/>
          </w:tcPr>
          <w:p>
            <w:pPr>
              <w:pStyle w:val="TableContents"/>
              <w:bidi w:val="0"/>
              <w:jc w:val="center"/>
              <w:rPr/>
            </w:pPr>
            <w:r>
              <w:rPr/>
              <w:t>$1,580,004</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1621" w:type="dxa"/>
            <w:tcBorders>
              <w:right w:val="single" w:sz="24" w:space="0" w:color="FFFFFF"/>
            </w:tcBorders>
            <w:shd w:fill="E5EBEE" w:val="clear"/>
            <w:tcMar>
              <w:right w:w="28" w:type="dxa"/>
            </w:tcMar>
            <w:vAlign w:val="center"/>
          </w:tcPr>
          <w:p>
            <w:pPr>
              <w:pStyle w:val="TableContents"/>
              <w:bidi w:val="0"/>
              <w:jc w:val="center"/>
              <w:rPr/>
            </w:pPr>
            <w:r>
              <w:rPr/>
              <w:t>$1,896,085</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18" w:type="dxa"/>
            <w:tcBorders/>
            <w:shd w:fill="E5EBEE" w:val="clear"/>
            <w:vAlign w:val="center"/>
          </w:tcPr>
          <w:p>
            <w:pPr>
              <w:pStyle w:val="TableContents"/>
              <w:bidi w:val="0"/>
              <w:jc w:val="center"/>
              <w:rPr/>
            </w:pPr>
            <w:r>
              <w:rPr/>
              <w:t>$7,105,704</w:t>
            </w:r>
          </w:p>
          <w:p>
            <w:pPr>
              <w:pStyle w:val="TableContents"/>
              <w:bidi w:val="0"/>
              <w:spacing w:before="0" w:after="20"/>
              <w:jc w:val="left"/>
              <w:rPr/>
            </w:pPr>
            <w:r>
              <w:rPr/>
              <w:t> </w:t>
            </w:r>
          </w:p>
        </w:tc>
      </w:tr>
      <w:tr>
        <w:trPr/>
        <w:tc>
          <w:tcPr>
            <w:tcW w:w="1848" w:type="dxa"/>
            <w:tcBorders>
              <w:right w:val="single" w:sz="24" w:space="0" w:color="FFFFFF"/>
            </w:tcBorders>
            <w:tcMar>
              <w:right w:w="28" w:type="dxa"/>
            </w:tcMar>
            <w:vAlign w:val="center"/>
          </w:tcPr>
          <w:p>
            <w:pPr>
              <w:pStyle w:val="TableContents"/>
              <w:bidi w:val="0"/>
              <w:spacing w:before="0" w:after="283"/>
              <w:jc w:val="left"/>
              <w:rPr/>
            </w:pPr>
            <w:r>
              <w:rPr/>
              <w:t> </w:t>
            </w:r>
          </w:p>
        </w:tc>
        <w:tc>
          <w:tcPr>
            <w:tcW w:w="1411"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60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322"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160"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681"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178" w:type="dxa"/>
            <w:gridSpan w:val="2"/>
            <w:tcBorders/>
            <w:vAlign w:val="center"/>
          </w:tcPr>
          <w:p>
            <w:pPr>
              <w:pStyle w:val="TableContents"/>
              <w:bidi w:val="0"/>
              <w:spacing w:before="0" w:after="283"/>
              <w:jc w:val="left"/>
              <w:rPr>
                <w:sz w:val="4"/>
                <w:szCs w:val="4"/>
              </w:rPr>
            </w:pPr>
            <w:r>
              <w:rPr>
                <w:sz w:val="4"/>
                <w:szCs w:val="4"/>
              </w:rPr>
            </w:r>
          </w:p>
        </w:tc>
      </w:tr>
      <w:tr>
        <w:trPr/>
        <w:tc>
          <w:tcPr>
            <w:tcW w:w="1848" w:type="dxa"/>
            <w:tcBorders>
              <w:bottom w:val="single" w:sz="8" w:space="0" w:color="003A5D"/>
              <w:right w:val="single" w:sz="24" w:space="0" w:color="FFFFFF"/>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351" w:type="dxa"/>
            <w:tcBorders>
              <w:bottom w:val="single" w:sz="8" w:space="0" w:color="003A5D"/>
              <w:right w:val="single" w:sz="24" w:space="0" w:color="FFFFFF"/>
            </w:tcBorders>
            <w:tcMar>
              <w:bottom w:w="28" w:type="dxa"/>
              <w:right w:w="28" w:type="dxa"/>
            </w:tcMar>
            <w:vAlign w:val="center"/>
          </w:tcPr>
          <w:p>
            <w:pPr>
              <w:pStyle w:val="TableContents"/>
              <w:bidi w:val="0"/>
              <w:jc w:val="center"/>
              <w:rPr/>
            </w:pPr>
            <w:r>
              <w:rPr/>
              <w:t>2022</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545" w:type="dxa"/>
            <w:tcBorders>
              <w:bottom w:val="single" w:sz="8" w:space="0" w:color="003A5D"/>
              <w:right w:val="single" w:sz="24" w:space="0" w:color="FFFFFF"/>
            </w:tcBorders>
            <w:tcMar>
              <w:bottom w:w="28" w:type="dxa"/>
              <w:right w:w="28" w:type="dxa"/>
            </w:tcMar>
            <w:vAlign w:val="center"/>
          </w:tcPr>
          <w:p>
            <w:pPr>
              <w:pStyle w:val="TableContents"/>
              <w:bidi w:val="0"/>
              <w:jc w:val="center"/>
              <w:rPr/>
            </w:pPr>
            <w:r>
              <w:rPr/>
              <w:t>$1,219,077</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262" w:type="dxa"/>
            <w:tcBorders>
              <w:bottom w:val="single" w:sz="8" w:space="0" w:color="003A5D"/>
              <w:right w:val="single" w:sz="24" w:space="0" w:color="FFFFFF"/>
            </w:tcBorders>
            <w:tcMar>
              <w:bottom w:w="28" w:type="dxa"/>
              <w:right w:w="28" w:type="dxa"/>
            </w:tcMar>
            <w:vAlign w:val="center"/>
          </w:tcPr>
          <w:p>
            <w:pPr>
              <w:pStyle w:val="TableContents"/>
              <w:bidi w:val="0"/>
              <w:jc w:val="center"/>
              <w:rPr/>
            </w:pPr>
            <w:r>
              <w:rPr/>
              <w:t>$2,146,200</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00" w:type="dxa"/>
            <w:tcBorders>
              <w:bottom w:val="single" w:sz="8" w:space="0" w:color="003A5D"/>
              <w:right w:val="single" w:sz="24" w:space="0" w:color="FFFFFF"/>
            </w:tcBorders>
            <w:tcMar>
              <w:bottom w:w="28" w:type="dxa"/>
              <w:right w:w="28" w:type="dxa"/>
            </w:tcMar>
            <w:vAlign w:val="center"/>
          </w:tcPr>
          <w:p>
            <w:pPr>
              <w:pStyle w:val="TableContents"/>
              <w:bidi w:val="0"/>
              <w:jc w:val="center"/>
              <w:rPr/>
            </w:pPr>
            <w:r>
              <w:rPr/>
              <w:t>$1,532,356</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621" w:type="dxa"/>
            <w:tcBorders>
              <w:bottom w:val="single" w:sz="8" w:space="0" w:color="003A5D"/>
              <w:right w:val="single" w:sz="24" w:space="0" w:color="FFFFFF"/>
            </w:tcBorders>
            <w:tcMar>
              <w:bottom w:w="28" w:type="dxa"/>
              <w:right w:w="28" w:type="dxa"/>
            </w:tcMar>
            <w:vAlign w:val="center"/>
          </w:tcPr>
          <w:p>
            <w:pPr>
              <w:pStyle w:val="TableContents"/>
              <w:bidi w:val="0"/>
              <w:jc w:val="center"/>
              <w:rPr/>
            </w:pPr>
            <w:r>
              <w:rPr/>
              <w:t>$1,838,781</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18" w:type="dxa"/>
            <w:tcBorders>
              <w:bottom w:val="single" w:sz="8" w:space="0" w:color="003A5D"/>
            </w:tcBorders>
            <w:tcMar>
              <w:bottom w:w="28" w:type="dxa"/>
            </w:tcMar>
            <w:vAlign w:val="center"/>
          </w:tcPr>
          <w:p>
            <w:pPr>
              <w:pStyle w:val="TableContents"/>
              <w:bidi w:val="0"/>
              <w:jc w:val="center"/>
              <w:rPr/>
            </w:pPr>
            <w:r>
              <w:rPr/>
              <w:t>$6,736,414</w:t>
            </w:r>
          </w:p>
          <w:p>
            <w:pPr>
              <w:pStyle w:val="TableContents"/>
              <w:bidi w:val="0"/>
              <w:spacing w:before="0" w:after="20"/>
              <w:jc w:val="left"/>
              <w:rPr/>
            </w:pPr>
            <w:r>
              <w:rPr/>
              <w:t> </w:t>
            </w:r>
          </w:p>
        </w:tc>
      </w:tr>
    </w:tbl>
    <w:p>
      <w:pPr>
        <w:pStyle w:val="TextBody"/>
        <w:pBdr>
          <w:bottom w:val="single" w:sz="2" w:space="1" w:color="000000"/>
        </w:pBdr>
        <w:bidi w:val="0"/>
        <w:spacing w:lineRule="atLeast" w:line="160" w:before="0" w:after="40"/>
        <w:jc w:val="left"/>
        <w:rPr/>
      </w:pPr>
      <w:r>
        <w:rPr/>
        <w:t> </w:t>
      </w:r>
    </w:p>
    <w:tbl>
      <w:tblPr>
        <w:tblW w:w="8170" w:type="dxa"/>
        <w:jc w:val="left"/>
        <w:tblInd w:w="0" w:type="dxa"/>
        <w:tblLayout w:type="fixed"/>
        <w:tblCellMar>
          <w:top w:w="0" w:type="dxa"/>
          <w:left w:w="0" w:type="dxa"/>
          <w:bottom w:w="0" w:type="dxa"/>
          <w:right w:w="0" w:type="dxa"/>
        </w:tblCellMar>
      </w:tblPr>
      <w:tblGrid>
        <w:gridCol w:w="305"/>
        <w:gridCol w:w="7865"/>
      </w:tblGrid>
      <w:tr>
        <w:trPr/>
        <w:tc>
          <w:tcPr>
            <w:tcW w:w="305" w:type="dxa"/>
            <w:tcBorders/>
            <w:vAlign w:val="center"/>
          </w:tcPr>
          <w:p>
            <w:pPr>
              <w:pStyle w:val="TableContents"/>
              <w:bidi w:val="0"/>
              <w:spacing w:before="0" w:after="283"/>
              <w:jc w:val="left"/>
              <w:rPr/>
            </w:pPr>
            <w:r>
              <w:rPr/>
              <w:t>(1)</w:t>
            </w:r>
          </w:p>
        </w:tc>
        <w:tc>
          <w:tcPr>
            <w:tcW w:w="7865" w:type="dxa"/>
            <w:tcBorders/>
            <w:vAlign w:val="center"/>
          </w:tcPr>
          <w:p>
            <w:pPr>
              <w:pStyle w:val="TableContents"/>
              <w:bidi w:val="0"/>
              <w:spacing w:before="0" w:after="0"/>
              <w:jc w:val="both"/>
              <w:rPr>
                <w:rFonts w:ascii="arial" w:hAnsi="arial"/>
                <w:sz w:val="16"/>
              </w:rPr>
            </w:pPr>
            <w:r>
              <w:rPr>
                <w:rFonts w:ascii="arial" w:hAnsi="arial"/>
                <w:sz w:val="16"/>
              </w:rPr>
              <w:t xml:space="preserve">No amounts are reported for Mr. Cooper for 2023 and 2022 because he was not an NEO in 2023 and 2022. </w:t>
            </w:r>
          </w:p>
        </w:tc>
      </w:tr>
    </w:tbl>
    <w:p>
      <w:pPr>
        <w:pStyle w:val="TextBody"/>
        <w:bidi w:val="0"/>
        <w:spacing w:before="0" w:after="0"/>
        <w:jc w:val="left"/>
        <w:rPr/>
      </w:pPr>
      <w:r>
        <w:rPr/>
        <w:t> </w:t>
      </w:r>
    </w:p>
    <w:tbl>
      <w:tblPr>
        <w:tblW w:w="3790" w:type="dxa"/>
        <w:jc w:val="left"/>
        <w:tblInd w:w="0" w:type="dxa"/>
        <w:tblLayout w:type="fixed"/>
        <w:tblCellMar>
          <w:top w:w="0" w:type="dxa"/>
          <w:left w:w="0" w:type="dxa"/>
          <w:bottom w:w="0" w:type="dxa"/>
          <w:right w:w="0" w:type="dxa"/>
        </w:tblCellMar>
      </w:tblPr>
      <w:tblGrid>
        <w:gridCol w:w="305"/>
        <w:gridCol w:w="3485"/>
      </w:tblGrid>
      <w:tr>
        <w:trPr/>
        <w:tc>
          <w:tcPr>
            <w:tcW w:w="305" w:type="dxa"/>
            <w:tcBorders/>
            <w:vAlign w:val="center"/>
          </w:tcPr>
          <w:p>
            <w:pPr>
              <w:pStyle w:val="TableContents"/>
              <w:bidi w:val="0"/>
              <w:spacing w:before="0" w:after="283"/>
              <w:jc w:val="left"/>
              <w:rPr/>
            </w:pPr>
            <w:bookmarkStart w:id="80" w:name="txa845790_207a"/>
            <w:bookmarkEnd w:id="80"/>
            <w:r>
              <w:rPr/>
              <w:t>(2)</w:t>
            </w:r>
          </w:p>
        </w:tc>
        <w:tc>
          <w:tcPr>
            <w:tcW w:w="3485" w:type="dxa"/>
            <w:tcBorders/>
            <w:vAlign w:val="center"/>
          </w:tcPr>
          <w:p>
            <w:pPr>
              <w:pStyle w:val="TableContents"/>
              <w:bidi w:val="0"/>
              <w:spacing w:before="0" w:after="0"/>
              <w:jc w:val="both"/>
              <w:rPr>
                <w:rFonts w:ascii="arial" w:hAnsi="arial"/>
                <w:sz w:val="16"/>
              </w:rPr>
            </w:pPr>
            <w:r>
              <w:rPr>
                <w:rFonts w:ascii="arial" w:hAnsi="arial"/>
                <w:sz w:val="16"/>
              </w:rPr>
              <w:t xml:space="preserve">Amounts do not include discretionary bonuses.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85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lef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This table is presented to show how the Committee views compensation actions and to which year the compensation awards relate, but it differs substantially from the Summary Compensation Table and Pay Versus Performance Table beginning on pages 96 and 113, respectively, required to be included in this proxy statement and is therefore not a substitute for the information required in those tables. There are two principal differences between the Summary Compensation Table and the above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The table above reports equity-based awards as compensation for the performance year for which they were awarded, even if the award was granted in one year based on performance for the prior year. The Summary Compensation Table reports equity-based awards in the year in which they were granted. As a result, the stock-settled RSUs and performance share awards granted in February 2025 for the 2024 performance year, for example, are shown in the above table as 2024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The Summary Compensation Table reports the change in pension value, non-qualified deferred compensation earnings, and all other compensation. These amounts generally are not a result of current-year compensation determinations and are not shown above. </w:t>
            </w:r>
          </w:p>
        </w:tc>
      </w:tr>
    </w:tbl>
    <w:p>
      <w:pPr>
        <w:pStyle w:val="TextBody"/>
        <w:bidi w:val="0"/>
        <w:spacing w:before="240" w:after="0"/>
        <w:jc w:val="left"/>
        <w:rPr>
          <w:rFonts w:ascii="arial" w:hAnsi="arial"/>
          <w:b/>
          <w:i/>
          <w:color w:val="003A5D"/>
          <w:sz w:val="24"/>
        </w:rPr>
      </w:pPr>
      <w:bookmarkStart w:id="81" w:name="txa845790_214"/>
      <w:bookmarkEnd w:id="81"/>
      <w:r>
        <w:rPr>
          <w:rFonts w:ascii="arial" w:hAnsi="arial"/>
          <w:b/>
          <w:i/>
          <w:color w:val="003A5D"/>
          <w:sz w:val="24"/>
        </w:rPr>
        <w:t xml:space="preserve">Additional Pay Elements </w:t>
      </w:r>
    </w:p>
    <w:p>
      <w:pPr>
        <w:pStyle w:val="TextBody"/>
        <w:bidi w:val="0"/>
        <w:spacing w:before="120" w:after="0"/>
        <w:jc w:val="both"/>
        <w:rPr>
          <w:rFonts w:ascii="arial" w:hAnsi="arial"/>
          <w:sz w:val="20"/>
        </w:rPr>
      </w:pPr>
      <w:r>
        <w:rPr>
          <w:rFonts w:ascii="arial" w:hAnsi="arial"/>
          <w:sz w:val="20"/>
        </w:rPr>
        <w:t xml:space="preserve">The Committee provides certain other programs intended to support the NEOs’ productivity, well-being, and security. These programs provide some level of personal benefit and are not generally available to all associates. For 2024, these programs included the following: </w:t>
      </w:r>
    </w:p>
    <w:p>
      <w:pPr>
        <w:pStyle w:val="TextBody"/>
        <w:bidi w:val="0"/>
        <w:spacing w:before="0" w:after="0"/>
        <w:jc w:val="left"/>
        <w:rPr/>
      </w:pPr>
      <w:r>
        <w:rPr/>
        <w:t> </w:t>
      </w:r>
    </w:p>
    <w:tbl>
      <w:tblPr>
        <w:tblW w:w="5770" w:type="dxa"/>
        <w:jc w:val="left"/>
        <w:tblInd w:w="0" w:type="dxa"/>
        <w:tblLayout w:type="fixed"/>
        <w:tblCellMar>
          <w:top w:w="0" w:type="dxa"/>
          <w:left w:w="0" w:type="dxa"/>
          <w:bottom w:w="0" w:type="dxa"/>
          <w:right w:w="0" w:type="dxa"/>
        </w:tblCellMar>
      </w:tblPr>
      <w:tblGrid>
        <w:gridCol w:w="75"/>
        <w:gridCol w:w="215"/>
        <w:gridCol w:w="60"/>
        <w:gridCol w:w="542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0"/>
              <w:jc w:val="both"/>
              <w:rPr>
                <w:rFonts w:ascii="arial" w:hAnsi="arial"/>
                <w:sz w:val="20"/>
              </w:rPr>
            </w:pPr>
            <w:r>
              <w:rPr>
                <w:rFonts w:ascii="arial" w:hAnsi="arial"/>
                <w:sz w:val="20"/>
              </w:rPr>
              <w:t xml:space="preserve">Executive term life insurance with a benefit level of $5 million </w:t>
            </w:r>
          </w:p>
        </w:tc>
      </w:tr>
    </w:tbl>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75"/>
        <w:gridCol w:w="215"/>
        <w:gridCol w:w="60"/>
        <w:gridCol w:w="690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both"/>
              <w:rPr>
                <w:rFonts w:ascii="arial" w:hAnsi="arial"/>
                <w:sz w:val="20"/>
              </w:rPr>
            </w:pPr>
            <w:r>
              <w:rPr>
                <w:rFonts w:ascii="arial" w:hAnsi="arial"/>
                <w:sz w:val="20"/>
              </w:rPr>
              <w:t xml:space="preserve">The ability to participate in a comprehensive voluntary annual health screening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215"/>
        <w:gridCol w:w="60"/>
        <w:gridCol w:w="506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both"/>
              <w:rPr>
                <w:rFonts w:ascii="arial" w:hAnsi="arial"/>
                <w:sz w:val="20"/>
              </w:rPr>
            </w:pPr>
            <w:r>
              <w:rPr>
                <w:rFonts w:ascii="arial" w:hAnsi="arial"/>
                <w:sz w:val="20"/>
              </w:rPr>
              <w:t xml:space="preserve">An automobile lease or the use of transportation services </w:t>
            </w:r>
          </w:p>
        </w:tc>
      </w:tr>
    </w:tbl>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215"/>
        <w:gridCol w:w="60"/>
        <w:gridCol w:w="632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both"/>
              <w:rPr>
                <w:rFonts w:ascii="arial" w:hAnsi="arial"/>
                <w:sz w:val="20"/>
              </w:rPr>
            </w:pPr>
            <w:r>
              <w:rPr>
                <w:rFonts w:ascii="arial" w:hAnsi="arial"/>
                <w:sz w:val="20"/>
              </w:rPr>
              <w:t xml:space="preserve">The monitoring and maintenance of an electronic home security system </w:t>
            </w:r>
          </w:p>
        </w:tc>
      </w:tr>
    </w:tbl>
    <w:p>
      <w:pPr>
        <w:pStyle w:val="TextBody"/>
        <w:bidi w:val="0"/>
        <w:spacing w:before="0" w:after="0"/>
        <w:jc w:val="left"/>
        <w:rPr/>
      </w:pPr>
      <w:r>
        <w:rPr/>
        <w:t> </w:t>
      </w:r>
    </w:p>
    <w:tbl>
      <w:tblPr>
        <w:tblW w:w="4465" w:type="dxa"/>
        <w:jc w:val="left"/>
        <w:tblInd w:w="0" w:type="dxa"/>
        <w:tblLayout w:type="fixed"/>
        <w:tblCellMar>
          <w:top w:w="0" w:type="dxa"/>
          <w:left w:w="0" w:type="dxa"/>
          <w:bottom w:w="0" w:type="dxa"/>
          <w:right w:w="0" w:type="dxa"/>
        </w:tblCellMar>
      </w:tblPr>
      <w:tblGrid>
        <w:gridCol w:w="75"/>
        <w:gridCol w:w="215"/>
        <w:gridCol w:w="60"/>
        <w:gridCol w:w="41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0"/>
              <w:jc w:val="both"/>
              <w:rPr>
                <w:rFonts w:ascii="arial" w:hAnsi="arial"/>
                <w:sz w:val="20"/>
              </w:rPr>
            </w:pPr>
            <w:r>
              <w:rPr>
                <w:rFonts w:ascii="arial" w:hAnsi="arial"/>
                <w:sz w:val="20"/>
              </w:rPr>
              <w:t xml:space="preserve">Personal use of the corporate aircraft services </w:t>
            </w:r>
          </w:p>
        </w:tc>
      </w:tr>
    </w:tbl>
    <w:p>
      <w:pPr>
        <w:pStyle w:val="TextBody"/>
        <w:bidi w:val="0"/>
        <w:spacing w:before="240" w:after="0"/>
        <w:jc w:val="both"/>
        <w:rPr>
          <w:rFonts w:ascii="arial" w:hAnsi="arial"/>
          <w:sz w:val="20"/>
        </w:rPr>
      </w:pPr>
      <w:r>
        <w:rPr>
          <w:rFonts w:ascii="arial" w:hAnsi="arial"/>
          <w:sz w:val="20"/>
        </w:rPr>
        <w:t xml:space="preserve">The Committee has determined that the nature and value of these programs are comparable to those offered to similarly situated executives at our peers. Additional details on these programs can be found in the “Named Executive Officer Compensation” section beginning on page 96. </w:t>
      </w:r>
    </w:p>
    <w:p>
      <w:pPr>
        <w:pStyle w:val="TextBody"/>
        <w:bidi w:val="0"/>
        <w:spacing w:before="240" w:after="0"/>
        <w:jc w:val="both"/>
        <w:rPr>
          <w:rFonts w:ascii="arial" w:hAnsi="arial"/>
          <w:sz w:val="20"/>
        </w:rPr>
      </w:pPr>
      <w:r>
        <w:rPr>
          <w:rFonts w:ascii="arial" w:hAnsi="arial"/>
          <w:sz w:val="20"/>
        </w:rPr>
        <w:t xml:space="preserve">In addition, from time to time the Committee and the Independent Directors may approve discretionary bonuses to NEOs for exceptional contributions to important initiatives or for accepting incremental responsibilities. In 2024, the Company entered into a cash retention agreement with Mr. Cooper based on his expected critical role in the potential acquisition and integration of Discover. On October 1, 2024, 50% of the award, in the amount of $625,000, was earned and, subject to continuous employment and certain other conditions, the remaining 50% will be earned on the later of the closing date of the Discover Transaction and December 31, 2025. </w:t>
      </w:r>
    </w:p>
    <w:p>
      <w:pPr>
        <w:pStyle w:val="TextBody"/>
        <w:bidi w:val="0"/>
        <w:spacing w:before="240" w:after="0"/>
        <w:jc w:val="left"/>
        <w:rPr>
          <w:rFonts w:ascii="arial" w:hAnsi="arial"/>
          <w:b/>
          <w:i/>
          <w:color w:val="003A5D"/>
          <w:sz w:val="24"/>
        </w:rPr>
      </w:pPr>
      <w:bookmarkStart w:id="82" w:name="txa845790_215"/>
      <w:bookmarkEnd w:id="82"/>
      <w:r>
        <w:rPr>
          <w:rFonts w:ascii="arial" w:hAnsi="arial"/>
          <w:b/>
          <w:i/>
          <w:color w:val="003A5D"/>
          <w:sz w:val="24"/>
        </w:rPr>
        <w:t xml:space="preserve">2025 NEO Compensation Program </w:t>
      </w:r>
    </w:p>
    <w:p>
      <w:pPr>
        <w:pStyle w:val="TextBody"/>
        <w:bidi w:val="0"/>
        <w:spacing w:before="240" w:after="0"/>
        <w:jc w:val="both"/>
        <w:rPr>
          <w:rFonts w:ascii="arial" w:hAnsi="arial"/>
          <w:sz w:val="20"/>
        </w:rPr>
      </w:pPr>
      <w:r>
        <w:rPr>
          <w:rFonts w:ascii="arial" w:hAnsi="arial"/>
          <w:sz w:val="20"/>
        </w:rPr>
        <w:t xml:space="preserve">Each year, the Committee reviews the NEO compensation program in light of Company performance data, peer comparator group performance data, historical pay information, data on specific market practices and trends, stockholder feedback, and other relevant points of information. The program consists of multiple compensation vehicles that directly link the NEOs’ compensation with the Company’s performance over multiple time horizons, align the NEOs’ interests with the interests of the Company’s stockholders, support safety and soundness, and encourage appropriate risk-taking. In February 2025, the Committee and the Independent Directors approved the 2025 compensation program for our NEOs, which is substantially similar to the 2024 program.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86 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righ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83" w:name="txa845790_216"/>
      <w:bookmarkStart w:id="84" w:name="txa845790_29"/>
      <w:bookmarkEnd w:id="83"/>
      <w:bookmarkEnd w:id="84"/>
      <w:r>
        <w:rPr>
          <w:rFonts w:ascii="arial" w:hAnsi="arial"/>
          <w:b/>
          <w:color w:val="003A5D"/>
          <w:sz w:val="32"/>
        </w:rPr>
        <w:t xml:space="preserve">Additional Performance Conditions and Recovery Provisions </w:t>
      </w:r>
    </w:p>
    <w:p>
      <w:pPr>
        <w:pStyle w:val="TextBody"/>
        <w:bidi w:val="0"/>
        <w:spacing w:before="240" w:after="0"/>
        <w:jc w:val="both"/>
        <w:rPr>
          <w:rFonts w:ascii="arial" w:hAnsi="arial"/>
          <w:sz w:val="20"/>
        </w:rPr>
      </w:pPr>
      <w:r>
        <w:rPr>
          <w:rFonts w:ascii="arial" w:hAnsi="arial"/>
          <w:sz w:val="20"/>
        </w:rPr>
        <w:t xml:space="preserve">The awards granted to our NEOs include the following provisions that are designed to further enhance alignment between pay and performance and balance the risks that our incentive compensation programs might otherwise encourage: </w:t>
      </w:r>
    </w:p>
    <w:p>
      <w:pPr>
        <w:pStyle w:val="TextBody"/>
        <w:bidi w:val="0"/>
        <w:spacing w:before="0" w:after="0"/>
        <w:jc w:val="left"/>
        <w:rPr/>
      </w:pPr>
      <w:r>
        <w:rPr/>
        <w:t> </w:t>
      </w:r>
    </w:p>
    <w:tbl>
      <w:tblPr>
        <w:tblW w:w="3775" w:type="dxa"/>
        <w:jc w:val="left"/>
        <w:tblInd w:w="0" w:type="dxa"/>
        <w:tblLayout w:type="fixed"/>
        <w:tblCellMar>
          <w:top w:w="0" w:type="dxa"/>
          <w:left w:w="0" w:type="dxa"/>
          <w:bottom w:w="0" w:type="dxa"/>
          <w:right w:w="0" w:type="dxa"/>
        </w:tblCellMar>
      </w:tblPr>
      <w:tblGrid>
        <w:gridCol w:w="75"/>
        <w:gridCol w:w="215"/>
        <w:gridCol w:w="60"/>
        <w:gridCol w:w="342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both"/>
              <w:rPr>
                <w:rFonts w:ascii="arial" w:hAnsi="arial"/>
                <w:sz w:val="20"/>
              </w:rPr>
            </w:pPr>
            <w:r>
              <w:rPr>
                <w:rFonts w:ascii="arial" w:hAnsi="arial"/>
                <w:sz w:val="20"/>
              </w:rPr>
              <w:t xml:space="preserve">Performance-based vesting provisions </w:t>
            </w:r>
          </w:p>
        </w:tc>
      </w:tr>
    </w:tbl>
    <w:p>
      <w:pPr>
        <w:pStyle w:val="TextBody"/>
        <w:bidi w:val="0"/>
        <w:spacing w:before="0" w:after="0"/>
        <w:jc w:val="left"/>
        <w:rPr/>
      </w:pPr>
      <w:r>
        <w:rPr/>
        <w:t> </w:t>
      </w:r>
    </w:p>
    <w:tbl>
      <w:tblPr>
        <w:tblW w:w="2950" w:type="dxa"/>
        <w:jc w:val="left"/>
        <w:tblInd w:w="0" w:type="dxa"/>
        <w:tblLayout w:type="fixed"/>
        <w:tblCellMar>
          <w:top w:w="0" w:type="dxa"/>
          <w:left w:w="0" w:type="dxa"/>
          <w:bottom w:w="0" w:type="dxa"/>
          <w:right w:w="0" w:type="dxa"/>
        </w:tblCellMar>
      </w:tblPr>
      <w:tblGrid>
        <w:gridCol w:w="75"/>
        <w:gridCol w:w="215"/>
        <w:gridCol w:w="60"/>
        <w:gridCol w:w="260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jc w:val="both"/>
              <w:rPr>
                <w:rFonts w:ascii="arial" w:hAnsi="arial"/>
                <w:sz w:val="20"/>
              </w:rPr>
            </w:pPr>
            <w:r>
              <w:rPr>
                <w:rFonts w:ascii="arial" w:hAnsi="arial"/>
                <w:sz w:val="20"/>
              </w:rPr>
              <w:t xml:space="preserve">Performance share reduction </w:t>
            </w:r>
          </w:p>
        </w:tc>
      </w:tr>
    </w:tbl>
    <w:p>
      <w:pPr>
        <w:pStyle w:val="TextBody"/>
        <w:bidi w:val="0"/>
        <w:spacing w:before="0" w:after="0"/>
        <w:jc w:val="left"/>
        <w:rPr/>
      </w:pPr>
      <w:r>
        <w:rPr/>
        <w:t> </w:t>
      </w:r>
    </w:p>
    <w:tbl>
      <w:tblPr>
        <w:tblW w:w="2320" w:type="dxa"/>
        <w:jc w:val="left"/>
        <w:tblInd w:w="0" w:type="dxa"/>
        <w:tblLayout w:type="fixed"/>
        <w:tblCellMar>
          <w:top w:w="0" w:type="dxa"/>
          <w:left w:w="0" w:type="dxa"/>
          <w:bottom w:w="0" w:type="dxa"/>
          <w:right w:w="0" w:type="dxa"/>
        </w:tblCellMar>
      </w:tblPr>
      <w:tblGrid>
        <w:gridCol w:w="75"/>
        <w:gridCol w:w="215"/>
        <w:gridCol w:w="60"/>
        <w:gridCol w:w="197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jc w:val="both"/>
              <w:rPr>
                <w:rFonts w:ascii="arial" w:hAnsi="arial"/>
                <w:sz w:val="20"/>
              </w:rPr>
            </w:pPr>
            <w:r>
              <w:rPr>
                <w:rFonts w:ascii="arial" w:hAnsi="arial"/>
                <w:sz w:val="20"/>
              </w:rPr>
              <w:t xml:space="preserve">Misconduct clawback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215"/>
        <w:gridCol w:w="60"/>
        <w:gridCol w:w="284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0"/>
              <w:jc w:val="both"/>
              <w:rPr>
                <w:rFonts w:ascii="arial" w:hAnsi="arial"/>
                <w:sz w:val="20"/>
              </w:rPr>
            </w:pPr>
            <w:r>
              <w:rPr>
                <w:rFonts w:ascii="arial" w:hAnsi="arial"/>
                <w:sz w:val="20"/>
              </w:rPr>
              <w:t xml:space="preserve">Financial restatement clawback </w:t>
            </w:r>
          </w:p>
        </w:tc>
      </w:tr>
    </w:tbl>
    <w:p>
      <w:pPr>
        <w:pStyle w:val="TextBody"/>
        <w:bidi w:val="0"/>
        <w:spacing w:before="240" w:after="0"/>
        <w:jc w:val="both"/>
        <w:rPr>
          <w:rFonts w:ascii="arial" w:hAnsi="arial"/>
          <w:sz w:val="20"/>
        </w:rPr>
      </w:pPr>
      <w:r>
        <w:rPr>
          <w:rFonts w:ascii="arial" w:hAnsi="arial"/>
          <w:sz w:val="20"/>
        </w:rPr>
        <w:t xml:space="preserve">These terms and conditions apply to certain incentive awards granted to every executive officer and not just to the NEOs. </w:t>
      </w:r>
    </w:p>
    <w:p>
      <w:pPr>
        <w:pStyle w:val="TextBody"/>
        <w:bidi w:val="0"/>
        <w:spacing w:before="360" w:after="0"/>
        <w:jc w:val="left"/>
        <w:rPr>
          <w:rFonts w:ascii="arial" w:hAnsi="arial"/>
          <w:b/>
          <w:i/>
          <w:color w:val="003A5D"/>
          <w:sz w:val="24"/>
        </w:rPr>
      </w:pPr>
      <w:bookmarkStart w:id="85" w:name="txa845790_217"/>
      <w:bookmarkEnd w:id="85"/>
      <w:r>
        <w:rPr>
          <w:rFonts w:ascii="arial" w:hAnsi="arial"/>
          <w:b/>
          <w:i/>
          <w:color w:val="003A5D"/>
          <w:sz w:val="24"/>
        </w:rPr>
        <w:t xml:space="preserve">Performance-Based Vesting Provisions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36"/>
        <w:gridCol w:w="60"/>
        <w:gridCol w:w="23"/>
        <w:gridCol w:w="120"/>
        <w:gridCol w:w="8367"/>
        <w:gridCol w:w="60"/>
        <w:gridCol w:w="39"/>
      </w:tblGrid>
      <w:tr>
        <w:trPr/>
        <w:tc>
          <w:tcPr>
            <w:tcW w:w="15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1536" w:type="dxa"/>
            <w:tcBorders/>
            <w:shd w:fill="003A5D" w:val="clear"/>
            <w:vAlign w:val="center"/>
          </w:tcPr>
          <w:p>
            <w:pPr>
              <w:pStyle w:val="TableContents"/>
              <w:bidi w:val="0"/>
              <w:spacing w:before="0" w:after="0"/>
              <w:jc w:val="center"/>
              <w:rPr>
                <w:rFonts w:ascii="arial" w:hAnsi="arial"/>
                <w:b/>
                <w:color w:val="FFFFFF"/>
                <w:sz w:val="20"/>
              </w:rPr>
            </w:pPr>
            <w:r>
              <w:rPr>
                <w:rFonts w:ascii="arial" w:hAnsi="arial"/>
                <w:b/>
                <w:color w:val="FFFFFF"/>
                <w:sz w:val="20"/>
              </w:rPr>
              <w:t>Performance- Based Vesting</w:t>
            </w:r>
          </w:p>
          <w:p>
            <w:pPr>
              <w:pStyle w:val="TableContents"/>
              <w:bidi w:val="0"/>
              <w:spacing w:before="0" w:after="20"/>
              <w:jc w:val="center"/>
              <w:rPr>
                <w:rFonts w:ascii="arial" w:hAnsi="arial"/>
                <w:b/>
                <w:color w:val="FFFFFF"/>
                <w:sz w:val="20"/>
              </w:rPr>
            </w:pPr>
            <w:r>
              <w:rPr>
                <w:rFonts w:ascii="arial" w:hAnsi="arial"/>
                <w:b/>
                <w:color w:val="FFFFFF"/>
                <w:sz w:val="20"/>
              </w:rPr>
              <w:t>Provisions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8367" w:type="dxa"/>
            <w:tcBorders/>
            <w:shd w:fill="E5EBEE"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We include performance-based vesting provisions in each award of stock-settled RSUs granted to NEOs and each award of cash-settled RSUs granted to the CEO. These provisions will reduce the total value delivered to the executive at vesting if the Company does not meet certain performance thresholds during the three-year vesting period. The total value can be reduced to zero if the performance threshold is not met in any of the three years in the performance period.</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39" w:type="dxa"/>
            <w:tcBorders/>
            <w:shd w:fill="E5EBEE" w:val="clear"/>
            <w:vAlign w:val="center"/>
          </w:tcPr>
          <w:p>
            <w:pPr>
              <w:pStyle w:val="TableContents"/>
              <w:bidi w:val="0"/>
              <w:spacing w:before="0" w:after="283"/>
              <w:jc w:val="left"/>
              <w:rPr>
                <w:sz w:val="4"/>
                <w:szCs w:val="4"/>
              </w:rPr>
            </w:pPr>
            <w:r>
              <w:rPr>
                <w:sz w:val="4"/>
                <w:szCs w:val="4"/>
              </w:rPr>
            </w:r>
          </w:p>
        </w:tc>
      </w:tr>
      <w:tr>
        <w:trPr/>
        <w:tc>
          <w:tcPr>
            <w:tcW w:w="15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arial" w:hAnsi="arial"/>
          <w:sz w:val="20"/>
        </w:rPr>
      </w:pPr>
      <w:r>
        <w:rPr>
          <w:rFonts w:ascii="arial" w:hAnsi="arial"/>
          <w:sz w:val="20"/>
        </w:rPr>
        <w:t xml:space="preserve">The ultimate value that our NEOs receive from equity-based incentive awards is tied to our stock price performance over the vesting period. In addition, the Committee nevertheless determined that these awards should be subject to additional performance conditions so that the value received by the executives is also conditioned upon the Company continuing to meet certain operating performance thresholds for each and every fiscal year ending in the three-year vesting period. Any forfeitures will be cumulative over the three-year vesting period. In this manner, regardless of our executives’ past performance and our stock price performance, the awards subject to performance-based vesting remain at risk of complete forfeiture over the three-year vesting period. </w:t>
      </w:r>
    </w:p>
    <w:p>
      <w:pPr>
        <w:pStyle w:val="TextBody"/>
        <w:bidi w:val="0"/>
        <w:spacing w:before="240" w:after="0"/>
        <w:jc w:val="both"/>
        <w:rPr>
          <w:rFonts w:ascii="arial" w:hAnsi="arial"/>
          <w:sz w:val="20"/>
        </w:rPr>
      </w:pPr>
      <w:r>
        <w:rPr>
          <w:rFonts w:ascii="arial" w:hAnsi="arial"/>
          <w:sz w:val="20"/>
        </w:rPr>
        <w:t xml:space="preserve">Performance-based vesting provisions apply to the following awards: </w:t>
      </w:r>
    </w:p>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75"/>
        <w:gridCol w:w="215"/>
        <w:gridCol w:w="60"/>
        <w:gridCol w:w="25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both"/>
              <w:rPr>
                <w:rFonts w:ascii="arial" w:hAnsi="arial"/>
                <w:sz w:val="20"/>
              </w:rPr>
            </w:pPr>
            <w:r>
              <w:rPr>
                <w:rFonts w:ascii="arial" w:hAnsi="arial"/>
                <w:sz w:val="20"/>
              </w:rPr>
              <w:t xml:space="preserve">All NEO stock-settled RSUs </w:t>
            </w:r>
          </w:p>
        </w:tc>
      </w:tr>
    </w:tbl>
    <w:p>
      <w:pPr>
        <w:pStyle w:val="TextBody"/>
        <w:bidi w:val="0"/>
        <w:spacing w:before="0" w:after="0"/>
        <w:jc w:val="left"/>
        <w:rPr/>
      </w:pPr>
      <w:r>
        <w:rPr/>
        <w:t> </w:t>
      </w:r>
    </w:p>
    <w:tbl>
      <w:tblPr>
        <w:tblW w:w="2845" w:type="dxa"/>
        <w:jc w:val="left"/>
        <w:tblInd w:w="0" w:type="dxa"/>
        <w:tblLayout w:type="fixed"/>
        <w:tblCellMar>
          <w:top w:w="0" w:type="dxa"/>
          <w:left w:w="0" w:type="dxa"/>
          <w:bottom w:w="0" w:type="dxa"/>
          <w:right w:w="0" w:type="dxa"/>
        </w:tblCellMar>
      </w:tblPr>
      <w:tblGrid>
        <w:gridCol w:w="75"/>
        <w:gridCol w:w="215"/>
        <w:gridCol w:w="60"/>
        <w:gridCol w:w="249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both"/>
              <w:rPr>
                <w:rFonts w:ascii="arial" w:hAnsi="arial"/>
                <w:sz w:val="20"/>
              </w:rPr>
            </w:pPr>
            <w:r>
              <w:rPr>
                <w:rFonts w:ascii="arial" w:hAnsi="arial"/>
                <w:sz w:val="20"/>
              </w:rPr>
              <w:t xml:space="preserve">All CEO cash-settled RSUs </w:t>
            </w:r>
          </w:p>
        </w:tc>
      </w:tr>
    </w:tbl>
    <w:p>
      <w:pPr>
        <w:pStyle w:val="TextBody"/>
        <w:bidi w:val="0"/>
        <w:spacing w:before="240" w:after="0"/>
        <w:jc w:val="both"/>
        <w:rPr>
          <w:rFonts w:ascii="arial" w:hAnsi="arial"/>
          <w:sz w:val="20"/>
        </w:rPr>
      </w:pPr>
      <w:r>
        <w:rPr>
          <w:rFonts w:ascii="arial" w:hAnsi="arial"/>
          <w:sz w:val="20"/>
        </w:rPr>
        <w:t xml:space="preserve">These performance conditions do not present any upside potential for the NEOs’ compensation but instead create an additional at-risk element to the compensation that has been awarded to them. Imposing these additional performance conditions is designed to further reflect our approach of balancing risk and performance over the long term. </w:t>
      </w:r>
    </w:p>
    <w:p>
      <w:pPr>
        <w:pStyle w:val="TextBody"/>
        <w:bidi w:val="0"/>
        <w:spacing w:before="240" w:after="0"/>
        <w:jc w:val="both"/>
        <w:rPr>
          <w:rFonts w:ascii="arial" w:hAnsi="arial"/>
          <w:sz w:val="20"/>
        </w:rPr>
      </w:pPr>
      <w:r>
        <w:rPr>
          <w:rFonts w:ascii="arial" w:hAnsi="arial"/>
          <w:sz w:val="20"/>
        </w:rPr>
        <w:t xml:space="preserve">For awards granted since January 2014, vesting is conditioned on the Company achieving positive Core Earnings (as defined below). If Core Earnings are not positive for any fiscal year in the vesting period, the named executive officer will automatically forfeit 50% of one year’s worth of vesting (i.e., one-sixth of the total award). In addition, the Committee will determine the extent to which any named executive officer was accountable for the outcome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87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283"/>
              <w:jc w:val="left"/>
              <w:rPr>
                <w:b/>
                <w:color w:val="003A5D"/>
              </w:rPr>
            </w:pPr>
            <w:r>
              <w:rPr>
                <w:b/>
                <w:color w:val="003A5D"/>
              </w:rPr>
              <w:t>Section V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and, based on such determination, the Committee will decide whether any or all of the remaining 50% of one year’s worth of vesting will also be forfeited. The Committee may also decide to delay the vesting of the applicable portion of the award not so forfeited. For the NEOs, these determinations will be made each year prior to the scheduled vesting date, based on the Core Earnings for the fiscal year ended prior to such vesting date. For the CEO, these determinations will be made prior to the scheduled vesting date at the end of the three-year vesting period, taking into account Core Earnings for each fiscal year within the period. </w:t>
      </w:r>
    </w:p>
    <w:p>
      <w:pPr>
        <w:pStyle w:val="TextBody"/>
        <w:bidi w:val="0"/>
        <w:spacing w:before="240" w:after="0"/>
        <w:jc w:val="both"/>
        <w:rPr>
          <w:rFonts w:ascii="arial" w:hAnsi="arial"/>
          <w:sz w:val="20"/>
        </w:rPr>
      </w:pPr>
      <w:r>
        <w:rPr>
          <w:rFonts w:ascii="arial" w:hAnsi="arial"/>
          <w:sz w:val="20"/>
        </w:rPr>
        <w:t xml:space="preserve">Core Earnings focuses on whether profits are being generated by our basic business, as opposed to other factors that may not reflect business fundamentals. The applicable award agreements define “Core Earnings” to mean the Company’s net income available to common stockholders, excluding, on a tax-adjusted basis, the impact of (i) impairment or amortization of goodwill and intangible assets and (ii) the build or release of the allowance for credit losses, calculated as the difference between the provision for credit losses and charge-offs, net of recoveries. The Committee believes that Core Earnings is an appropriate performance metric to employ for these performance-based vesting provisions because the metric captures major operational costs and risks to the Company’s business, including charge-offs, operating expenses, market and competitive risks, and costs to maintain adequate levels of capital and liquidity. The metric is based on net income available to common stockholders and it also includes the impact of discontinued operations. </w:t>
      </w:r>
    </w:p>
    <w:p>
      <w:pPr>
        <w:pStyle w:val="TextBody"/>
        <w:bidi w:val="0"/>
        <w:spacing w:before="240" w:after="0"/>
        <w:jc w:val="left"/>
        <w:rPr>
          <w:rFonts w:ascii="arial" w:hAnsi="arial"/>
          <w:b/>
          <w:i/>
          <w:color w:val="003A5D"/>
          <w:sz w:val="24"/>
        </w:rPr>
      </w:pPr>
      <w:bookmarkStart w:id="86" w:name="txa845790_218"/>
      <w:bookmarkEnd w:id="86"/>
      <w:r>
        <w:rPr>
          <w:rFonts w:ascii="arial" w:hAnsi="arial"/>
          <w:b/>
          <w:i/>
          <w:color w:val="003A5D"/>
          <w:sz w:val="24"/>
        </w:rPr>
        <w:t xml:space="preserve">Performance Share Reduction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8"/>
        <w:gridCol w:w="60"/>
        <w:gridCol w:w="23"/>
        <w:gridCol w:w="120"/>
        <w:gridCol w:w="8245"/>
        <w:gridCol w:w="60"/>
        <w:gridCol w:w="39"/>
      </w:tblGrid>
      <w:tr>
        <w:trPr/>
        <w:tc>
          <w:tcPr>
            <w:tcW w:w="16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1658" w:type="dxa"/>
            <w:tcBorders/>
            <w:shd w:fill="003A5D" w:val="clear"/>
            <w:vAlign w:val="center"/>
          </w:tcPr>
          <w:p>
            <w:pPr>
              <w:pStyle w:val="TableContents"/>
              <w:bidi w:val="0"/>
              <w:spacing w:before="0" w:after="283"/>
              <w:jc w:val="center"/>
              <w:rPr>
                <w:b/>
                <w:color w:val="FFFFFF"/>
                <w:sz w:val="20"/>
              </w:rPr>
            </w:pPr>
            <w:r>
              <w:rPr>
                <w:b/>
                <w:color w:val="FFFFFF"/>
                <w:sz w:val="20"/>
              </w:rPr>
              <w:t>Performance Share Reduction</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8245" w:type="dxa"/>
            <w:tcBorders/>
            <w:shd w:fill="E5EBEE"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Each performance share award granted to the NEOs provides that the total value delivered at vesting will be reduced if for any year in the three-year performance period the Company does not achieve positive Adjusted ROTCE. The total value can be reduced to zero if positive Adjusted ROTCE is not achieved in all of the three years in the performance period. This reduction can occur regardless of where Adjusted ROTCE ranks relative to a comparator group.</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39" w:type="dxa"/>
            <w:tcBorders/>
            <w:shd w:fill="E5EBEE" w:val="clear"/>
            <w:vAlign w:val="center"/>
          </w:tcPr>
          <w:p>
            <w:pPr>
              <w:pStyle w:val="TableContents"/>
              <w:bidi w:val="0"/>
              <w:spacing w:before="0" w:after="283"/>
              <w:jc w:val="left"/>
              <w:rPr>
                <w:sz w:val="4"/>
                <w:szCs w:val="4"/>
              </w:rPr>
            </w:pPr>
            <w:r>
              <w:rPr>
                <w:sz w:val="4"/>
                <w:szCs w:val="4"/>
              </w:rPr>
            </w:r>
          </w:p>
        </w:tc>
      </w:tr>
      <w:tr>
        <w:trPr/>
        <w:tc>
          <w:tcPr>
            <w:tcW w:w="16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arial" w:hAnsi="arial"/>
          <w:sz w:val="20"/>
        </w:rPr>
      </w:pPr>
      <w:r>
        <w:rPr>
          <w:rFonts w:ascii="arial" w:hAnsi="arial"/>
          <w:sz w:val="20"/>
        </w:rPr>
        <w:t xml:space="preserve">Each of the performance share awards granted to the NEOs is subject to reduction in the event that the Company’s Adjusted ROTCE for any fiscal year in the three-year performance period is not positive. These reductions will occur regardless of how well the Company’s Adjusted ROTCE compares to the Performance Share Peers. If the Company does not achieve positive Adjusted ROTCE for one year in the performance period, the total number of shares issued on the vesting date will be reduced by one-sixth. If the Company does not achieve positive Adjusted ROTCE for two years in the performance period, the total number of shares issued on the vesting date will be reduced by one-third. If the Company does not achieve positive Adjusted ROTCE for any of the three years in the performance period, the NEOs will forfeit the entire award. In this manner, even if we outperform compared to the comparator group, the performance share awards are at risk of complete forfeiture if we do not achieve a threshold level of performance on an absolute basis. For additional information, see “Performance Share Award Formula” on page 71.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88 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0"/>
              <w:jc w:val="right"/>
              <w:rPr>
                <w:b/>
                <w:color w:val="003A5D"/>
                <w:spacing w:val="0"/>
              </w:rPr>
            </w:pPr>
            <w:r>
              <w:rPr>
                <w:b/>
                <w:color w:val="003A5D"/>
                <w:spacing w:val="0"/>
              </w:rPr>
              <w:t>EXECUTIVE COMPENSATION</w:t>
            </w:r>
          </w:p>
        </w:tc>
      </w:tr>
    </w:tbl>
    <w:p>
      <w:pPr>
        <w:pStyle w:val="TextBody"/>
        <w:bidi w:val="0"/>
        <w:spacing w:lineRule="atLeast" w:line="142" w:before="0" w:after="40"/>
        <w:jc w:val="left"/>
        <w:rPr>
          <w:bdr w:val="single" w:sz="2" w:space="1" w:color="003A5D"/>
        </w:rPr>
      </w:pPr>
      <w:r>
        <w:rPr>
          <w:bdr w:val="single" w:sz="2" w:space="1" w:color="003A5D"/>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0"/>
              <w:jc w:val="right"/>
              <w:rPr>
                <w:b/>
                <w:color w:val="003A5D"/>
                <w:spacing w:val="0"/>
              </w:rPr>
            </w:pPr>
            <w:r>
              <w:rPr>
                <w:b/>
                <w:color w:val="003A5D"/>
                <w:spacing w:val="0"/>
              </w:rPr>
              <w:t>Section V - Compensation Discussion and Analysis</w:t>
            </w:r>
          </w:p>
        </w:tc>
      </w:tr>
    </w:tbl>
    <w:p>
      <w:pPr>
        <w:pStyle w:val="TextBody"/>
        <w:bidi w:val="0"/>
        <w:spacing w:before="0" w:after="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i/>
          <w:color w:val="003A5D"/>
          <w:spacing w:val="0"/>
          <w:sz w:val="24"/>
        </w:rPr>
      </w:pPr>
      <w:r>
        <w:rPr>
          <w:rFonts w:ascii="arial" w:hAnsi="arial"/>
          <w:b/>
          <w:i/>
          <w:color w:val="003A5D"/>
          <w:spacing w:val="0"/>
          <w:sz w:val="24"/>
        </w:rPr>
        <w:t xml:space="preserve">Misconduct Clawback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35"/>
        <w:gridCol w:w="60"/>
        <w:gridCol w:w="23"/>
        <w:gridCol w:w="120"/>
        <w:gridCol w:w="7968"/>
        <w:gridCol w:w="60"/>
        <w:gridCol w:w="39"/>
      </w:tblGrid>
      <w:tr>
        <w:trPr/>
        <w:tc>
          <w:tcPr>
            <w:tcW w:w="1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1935" w:type="dxa"/>
            <w:tcBorders/>
            <w:shd w:fill="003A5D" w:val="clear"/>
            <w:vAlign w:val="center"/>
          </w:tcPr>
          <w:p>
            <w:pPr>
              <w:pStyle w:val="TableContents"/>
              <w:bidi w:val="0"/>
              <w:spacing w:before="0" w:after="0"/>
              <w:jc w:val="left"/>
              <w:rPr>
                <w:color w:val="FFFFFF"/>
              </w:rPr>
            </w:pPr>
            <w:r>
              <w:rPr>
                <w:color w:val="FFFFFF"/>
              </w:rPr>
              <w:t>   </w:t>
            </w:r>
            <w:r>
              <w:rPr>
                <w:b/>
                <w:color w:val="FFFFFF"/>
                <w:sz w:val="20"/>
              </w:rPr>
              <w:t>Misconduct Clawback</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7968" w:type="dxa"/>
            <w:tcBorders/>
            <w:shd w:fill="E5EBEE"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Each incentive award granted to the NEOs, other than the cash incentive award granted to the NEOs other than the CEO, is subject to the Clawback Policy, which allows the Committee to seek recovery of all unvested portions of the awards in the event there has been misconduct resulting in a violation of law or Company policy and the NEO committed the misconduct or failed in their responsibility to manage or monitor the applicable conduct or risks.</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39" w:type="dxa"/>
            <w:tcBorders/>
            <w:shd w:fill="E5EBEE" w:val="clear"/>
            <w:vAlign w:val="center"/>
          </w:tcPr>
          <w:p>
            <w:pPr>
              <w:pStyle w:val="TableContents"/>
              <w:bidi w:val="0"/>
              <w:spacing w:before="0" w:after="283"/>
              <w:jc w:val="left"/>
              <w:rPr>
                <w:sz w:val="4"/>
                <w:szCs w:val="4"/>
              </w:rPr>
            </w:pPr>
            <w:r>
              <w:rPr>
                <w:sz w:val="4"/>
                <w:szCs w:val="4"/>
              </w:rPr>
            </w:r>
          </w:p>
        </w:tc>
      </w:tr>
      <w:tr>
        <w:trPr/>
        <w:tc>
          <w:tcPr>
            <w:tcW w:w="1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arial" w:hAnsi="arial"/>
          <w:sz w:val="20"/>
        </w:rPr>
      </w:pPr>
      <w:r>
        <w:rPr>
          <w:rFonts w:ascii="arial" w:hAnsi="arial"/>
          <w:sz w:val="20"/>
        </w:rPr>
        <w:t xml:space="preserve">The misconduct clawback provisions have been designed to apply broadly to a range of potential manifestations of misconduct at any level of the executive’s organization. Misconduct includes any violation of law or Company policy that causes significant financial or reputational harm to the Company that either the executive committed or failed in their responsibility to manage or monitor. The unvested portions of all applicable incentive awards are subject to recovery and at risk of complete forfeiture. In each case, the Committee will determine the amount of compensation to recover, allowing the Committee to calibrate each recovery to the facts and circumstances giving rise to the need for such recovery. In the event the Committee exercises these clawback provisions, the Company intends to disclose the aggregate amount that the Committee has determined to recover, so long as the underlying event has already been publicly disclosed in the Company’s filings with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b/>
          <w:i/>
          <w:color w:val="003A5D"/>
          <w:spacing w:val="0"/>
          <w:sz w:val="24"/>
        </w:rPr>
      </w:pPr>
      <w:r>
        <w:rPr>
          <w:rFonts w:ascii="arial" w:hAnsi="arial"/>
          <w:b/>
          <w:i/>
          <w:color w:val="003A5D"/>
          <w:spacing w:val="0"/>
          <w:sz w:val="24"/>
        </w:rPr>
        <w:t xml:space="preserve">Financial Restatement Clawback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75"/>
        <w:gridCol w:w="60"/>
        <w:gridCol w:w="23"/>
        <w:gridCol w:w="120"/>
        <w:gridCol w:w="8729"/>
        <w:gridCol w:w="60"/>
        <w:gridCol w:w="38"/>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003A5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20"/>
              </w:rPr>
            </w:pPr>
            <w:r>
              <w:rPr>
                <w:rFonts w:ascii="arial" w:hAnsi="arial"/>
                <w:b/>
                <w:color w:val="FFFFFF"/>
                <w:sz w:val="20"/>
              </w:rPr>
              <w:t>Financial</w:t>
              <w:br/>
              <w:t>Restatement</w:t>
            </w:r>
          </w:p>
          <w:p>
            <w:pPr>
              <w:pStyle w:val="TableContents"/>
              <w:bidi w:val="0"/>
              <w:spacing w:before="0" w:after="0"/>
              <w:jc w:val="center"/>
              <w:rPr>
                <w:rFonts w:ascii="arial" w:hAnsi="arial"/>
                <w:b/>
                <w:color w:val="FFFFFF"/>
                <w:sz w:val="20"/>
              </w:rPr>
            </w:pPr>
            <w:r>
              <w:rPr>
                <w:rFonts w:ascii="arial" w:hAnsi="arial"/>
                <w:b/>
                <w:color w:val="FFFFFF"/>
                <w:sz w:val="20"/>
              </w:rPr>
              <w:t>Clawback</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8729" w:type="dxa"/>
            <w:tcBorders/>
            <w:shd w:fill="E5EBEE"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 xml:space="preserve">Each incentive award granted to the NEOs is subject to the Clawback Policy, which allows the Company to recover compensation </w:t>
            </w:r>
          </w:p>
          <w:p>
            <w:pPr>
              <w:pStyle w:val="TableContents"/>
              <w:bidi w:val="0"/>
              <w:spacing w:before="0" w:after="0"/>
              <w:jc w:val="both"/>
              <w:rPr>
                <w:rFonts w:ascii="arial" w:hAnsi="arial"/>
                <w:sz w:val="18"/>
              </w:rPr>
            </w:pPr>
            <w:r>
              <w:rPr>
                <w:rFonts w:ascii="arial" w:hAnsi="arial"/>
                <w:sz w:val="18"/>
              </w:rPr>
              <w:t xml:space="preserve">following </w:t>
            </w:r>
          </w:p>
          <w:p>
            <w:pPr>
              <w:pStyle w:val="TableContents"/>
              <w:bidi w:val="0"/>
              <w:spacing w:before="0" w:after="0"/>
              <w:jc w:val="both"/>
              <w:rPr>
                <w:rFonts w:ascii="arial" w:hAnsi="arial"/>
                <w:sz w:val="18"/>
              </w:rPr>
            </w:pPr>
            <w:r>
              <w:rPr>
                <w:rFonts w:ascii="arial" w:hAnsi="arial"/>
                <w:sz w:val="18"/>
              </w:rPr>
              <w:t>a financial restatement.</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38" w:type="dxa"/>
            <w:tcBorders/>
            <w:shd w:fill="E5EBEE"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7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arial" w:hAnsi="arial"/>
          <w:sz w:val="20"/>
        </w:rPr>
      </w:pPr>
      <w:r>
        <w:rPr>
          <w:rFonts w:ascii="arial" w:hAnsi="arial"/>
          <w:sz w:val="20"/>
        </w:rPr>
        <w:t xml:space="preserve">The Company has adopted the Clawback Policy to comply with the Dodd-Frank Wall Street Reform and Consumer Protection Act (the “Dodd-Frank Act”), SEC, and NYSE requirements, and each incentive award granted to the NEOs is subject to the Clawback Policy. Incentive-based compensation granted to our executive officers includes a clawback that is triggered in the event that the Company is required to issue a restatement of its financial statements, pursuant to the Dodd-Frank Act. If the executive would have been entitled to less compensation under the restated financial statements, the Company shall reasonably and promptly recover the excess compensation awarded to such executive, on a </w:t>
      </w:r>
    </w:p>
    <w:p>
      <w:pPr>
        <w:pStyle w:val="TextBody"/>
        <w:bidi w:val="0"/>
        <w:spacing w:before="240" w:after="0"/>
        <w:jc w:val="both"/>
        <w:rPr>
          <w:rFonts w:ascii="arial" w:hAnsi="arial"/>
          <w:spacing w:val="0"/>
          <w:sz w:val="20"/>
        </w:rPr>
      </w:pPr>
      <w:r>
        <w:rPr>
          <w:rFonts w:ascii="arial" w:hAnsi="arial"/>
          <w:spacing w:val="0"/>
          <w:sz w:val="20"/>
        </w:rPr>
        <w:t>pre-tax</w:t>
      </w:r>
    </w:p>
    <w:p>
      <w:pPr>
        <w:pStyle w:val="TextBody"/>
        <w:bidi w:val="0"/>
        <w:spacing w:before="240" w:after="0"/>
        <w:jc w:val="both"/>
        <w:rPr>
          <w:rFonts w:ascii="arial" w:hAnsi="arial"/>
          <w:sz w:val="20"/>
        </w:rPr>
      </w:pPr>
      <w:r>
        <w:rPr>
          <w:rFonts w:ascii="arial" w:hAnsi="arial"/>
          <w:sz w:val="20"/>
        </w:rPr>
        <w:t xml:space="preserve">basis, subject to certain exceptions. The recoupment period covers compensation received during the three fiscal years preceding the date that the Board concludes or should have concluded that the Company is required to prepare a restatement or when the Company is directed to prepare a restatement by a court, regulatory body or other legally authorized body.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b/>
          <w:color w:val="003A5D"/>
          <w:spacing w:val="0"/>
          <w:sz w:val="32"/>
        </w:rPr>
      </w:pPr>
      <w:r>
        <w:rPr>
          <w:rFonts w:ascii="arial" w:hAnsi="arial"/>
          <w:b/>
          <w:color w:val="003A5D"/>
          <w:spacing w:val="0"/>
          <w:sz w:val="32"/>
        </w:rPr>
        <w:t xml:space="preserve">Process and Criteria for Compensation Decisions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arial" w:hAnsi="arial"/>
          <w:sz w:val="20"/>
        </w:rPr>
      </w:pPr>
      <w:r>
        <w:rPr>
          <w:rFonts w:ascii="arial" w:hAnsi="arial"/>
          <w:sz w:val="20"/>
        </w:rPr>
        <w:t xml:space="preserve">The Committee considers a number of factors in making compensation decisions with respect to the NEOs. The Committee relies on a range of objective data including Company performance data, peer comparator group performance data, historical pay information, data on specific market practices and trends, stockholder feedback, and other relevant points of information to inform its business judgment.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b/>
          <w:i/>
          <w:color w:val="003A5D"/>
          <w:spacing w:val="0"/>
          <w:sz w:val="24"/>
        </w:rPr>
      </w:pPr>
      <w:r>
        <w:rPr>
          <w:rFonts w:ascii="arial" w:hAnsi="arial"/>
          <w:b/>
          <w:i/>
          <w:color w:val="003A5D"/>
          <w:spacing w:val="0"/>
          <w:sz w:val="24"/>
        </w:rPr>
        <w:t xml:space="preserve">Use of Outside Consultants for NEO Compensation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arial" w:hAnsi="arial"/>
          <w:sz w:val="20"/>
        </w:rPr>
      </w:pPr>
      <w:r>
        <w:rPr>
          <w:rFonts w:ascii="arial" w:hAnsi="arial"/>
          <w:sz w:val="20"/>
        </w:rPr>
        <w:t xml:space="preserve">The Committee engages FW Cook, an independent compensation consultant, to assist in the design of the NEO compensation program. FW Cook assists the Committee in a number of ways, including proposing and evaluating a peer comparator group, gathering relevant compensation data from the peer group, discussing relevant market trends and context, and developing recommendations on possible plan designs. </w:t>
      </w:r>
    </w:p>
    <w:p>
      <w:pPr>
        <w:pStyle w:val="TextBody"/>
        <w:bidi w:val="0"/>
        <w:spacing w:before="0" w:after="0"/>
        <w:jc w:val="left"/>
        <w:rPr/>
      </w:pPr>
      <w:r>
        <w:rPr/>
        <w:t> </w:t>
      </w:r>
    </w:p>
    <w:tbl>
      <w:tblPr>
        <w:tblW w:w="6165" w:type="dxa"/>
        <w:jc w:val="left"/>
        <w:tblInd w:w="0" w:type="dxa"/>
        <w:tblLayout w:type="fixed"/>
        <w:tblCellMar>
          <w:top w:w="0" w:type="dxa"/>
          <w:left w:w="0" w:type="dxa"/>
          <w:bottom w:w="0" w:type="dxa"/>
          <w:right w:w="0" w:type="dxa"/>
        </w:tblCellMar>
      </w:tblPr>
      <w:tblGrid>
        <w:gridCol w:w="3395"/>
        <w:gridCol w:w="60"/>
        <w:gridCol w:w="2255"/>
        <w:gridCol w:w="60"/>
        <w:gridCol w:w="39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pacing w:val="0"/>
                <w:sz w:val="17"/>
              </w:rPr>
            </w:pPr>
            <w:r>
              <w:rPr>
                <w:rFonts w:ascii="arial" w:hAnsi="arial"/>
                <w:color w:val="003A5D"/>
                <w:spacing w:val="0"/>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spacing w:val="0"/>
              </w:rPr>
            </w:pPr>
            <w:r>
              <w:rPr>
                <w:color w:val="003A5D"/>
                <w:spacing w:val="0"/>
              </w:rPr>
              <w:t> </w:t>
            </w:r>
            <w:r>
              <w:rPr>
                <w:rFonts w:ascii="arial" w:hAnsi="arial"/>
                <w:b/>
                <w:color w:val="003A5D"/>
                <w:spacing w:val="0"/>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center"/>
              <w:rPr>
                <w:spacing w:val="0"/>
              </w:rPr>
            </w:pPr>
            <w:r>
              <w:rPr>
                <w:spacing w:val="0"/>
              </w:rPr>
              <w:t> </w:t>
            </w:r>
            <w:r>
              <w:rPr>
                <w:b/>
                <w:spacing w:val="0"/>
              </w:rPr>
              <w:t>89</w:t>
            </w:r>
          </w:p>
          <w:p>
            <w:pPr>
              <w:pStyle w:val="TableContents"/>
              <w:bidi w:val="0"/>
              <w:spacing w:before="0" w:after="20"/>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0"/>
              <w:jc w:val="left"/>
              <w:rPr>
                <w:b/>
                <w:color w:val="003A5D"/>
                <w:spacing w:val="0"/>
              </w:rPr>
            </w:pPr>
            <w:r>
              <w:rPr>
                <w:b/>
                <w:color w:val="003A5D"/>
                <w:spacing w:val="0"/>
              </w:rPr>
              <w:t>EXECUTIVE COMPENSATION</w:t>
            </w:r>
          </w:p>
        </w:tc>
      </w:tr>
    </w:tbl>
    <w:p>
      <w:pPr>
        <w:pStyle w:val="TextBody"/>
        <w:bidi w:val="0"/>
        <w:spacing w:lineRule="atLeast" w:line="142" w:before="0" w:after="40"/>
        <w:jc w:val="left"/>
        <w:rPr>
          <w:bdr w:val="single" w:sz="2" w:space="1" w:color="003A5D"/>
        </w:rPr>
      </w:pPr>
      <w:r>
        <w:rPr>
          <w:bdr w:val="single" w:sz="2" w:space="1" w:color="003A5D"/>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0"/>
              <w:jc w:val="left"/>
              <w:rPr>
                <w:b/>
                <w:color w:val="003A5D"/>
                <w:spacing w:val="0"/>
              </w:rPr>
            </w:pPr>
            <w:r>
              <w:rPr>
                <w:b/>
                <w:color w:val="003A5D"/>
                <w:spacing w:val="0"/>
              </w:rPr>
              <w:t>Section V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The Chief Human Resources Officer and other members of the Company’s Human Resources department assist the CEO in developing compensation recommendations for the NEOs other than the CEO for the Committee’s consideration. The Human Resources department typically uses multiple surveys as sources of market compensation data. FW Cook also provides additional market reference points that the Committee and the Independent Directors use when evaluating NEO compensation, and other outside consultants provide information to the Human Resources department regarding market practices, trends, and research reports. The Human Resources department is responsible for analyzing the information obtained from the outside consultants and presenting it to the CEO, who considers the information and makes his compensation recommendations for the other NEOs to the Committee and the Independent Directors. </w:t>
      </w:r>
    </w:p>
    <w:p>
      <w:pPr>
        <w:pStyle w:val="TextBody"/>
        <w:bidi w:val="0"/>
        <w:spacing w:before="240" w:after="0"/>
        <w:jc w:val="both"/>
        <w:rPr>
          <w:rFonts w:ascii="arial" w:hAnsi="arial"/>
          <w:sz w:val="20"/>
        </w:rPr>
      </w:pPr>
      <w:r>
        <w:rPr>
          <w:rFonts w:ascii="arial" w:hAnsi="arial"/>
          <w:sz w:val="20"/>
        </w:rPr>
        <w:t xml:space="preserve">A consultant from FW Cook is present at Committee meetings during which CEO and NEO compensation is discussed and provides market data as well as an independent perspective regarding CEO and NEO compensation practices. FW Cook has no other engagement with, and performs no other services for, Capital One other than the services described above. See the discussion under “Compensation Committee Consultant” beginning on page 40 for additional information about FW Cook.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b/>
          <w:i/>
          <w:color w:val="003A5D"/>
          <w:spacing w:val="0"/>
          <w:sz w:val="24"/>
        </w:rPr>
      </w:pPr>
      <w:r>
        <w:rPr>
          <w:rFonts w:ascii="arial" w:hAnsi="arial"/>
          <w:b/>
          <w:i/>
          <w:color w:val="003A5D"/>
          <w:spacing w:val="0"/>
          <w:sz w:val="24"/>
        </w:rPr>
        <w:t xml:space="preserve">Peer Groups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b/>
          <w:color w:val="003A5D"/>
          <w:spacing w:val="0"/>
          <w:sz w:val="20"/>
        </w:rPr>
      </w:pPr>
      <w:r>
        <w:rPr>
          <w:rFonts w:ascii="arial" w:hAnsi="arial"/>
          <w:b/>
          <w:color w:val="003A5D"/>
          <w:spacing w:val="0"/>
          <w:sz w:val="20"/>
        </w:rPr>
        <w:t xml:space="preserve">Peer Group to Determine Level and Components of Compensation </w:t>
      </w:r>
    </w:p>
    <w:p>
      <w:pPr>
        <w:pStyle w:val="TextBody"/>
        <w:bidi w:val="0"/>
        <w:spacing w:before="240" w:after="0"/>
        <w:jc w:val="both"/>
        <w:rPr>
          <w:rFonts w:ascii="arial" w:hAnsi="arial"/>
          <w:sz w:val="20"/>
        </w:rPr>
      </w:pPr>
      <w:r>
        <w:rPr>
          <w:rFonts w:ascii="arial" w:hAnsi="arial"/>
          <w:sz w:val="20"/>
        </w:rPr>
        <w:t xml:space="preserve">In order to attract, retain, and motivate top executive talent and </w:t>
      </w:r>
    </w:p>
    <w:p>
      <w:pPr>
        <w:pStyle w:val="TextBody"/>
        <w:bidi w:val="0"/>
        <w:spacing w:before="240" w:after="0"/>
        <w:jc w:val="both"/>
        <w:rPr>
          <w:rFonts w:ascii="arial" w:hAnsi="arial"/>
          <w:spacing w:val="0"/>
          <w:sz w:val="20"/>
        </w:rPr>
      </w:pPr>
      <w:r>
        <w:rPr>
          <w:rFonts w:ascii="arial" w:hAnsi="arial"/>
          <w:spacing w:val="0"/>
          <w:sz w:val="20"/>
        </w:rPr>
        <w:t>non-employee</w:t>
      </w:r>
    </w:p>
    <w:p>
      <w:pPr>
        <w:pStyle w:val="TextBody"/>
        <w:bidi w:val="0"/>
        <w:spacing w:before="240" w:after="0"/>
        <w:jc w:val="both"/>
        <w:rPr>
          <w:rFonts w:ascii="arial" w:hAnsi="arial"/>
          <w:sz w:val="20"/>
        </w:rPr>
      </w:pPr>
      <w:r>
        <w:rPr>
          <w:rFonts w:ascii="arial" w:hAnsi="arial"/>
          <w:sz w:val="20"/>
        </w:rPr>
        <w:t xml:space="preserve">directors consistent with our compensation program objectives, the Committee reviews data annually from a group of peer companies that are similar in size, business, and industry to the Company. These organizations are intended to represent the marketplace of companies with which Capital One competes for business and for executive talent. The compensation data from the peer group is used to inform the Committee’s determination of the structure and the total compensation target values of the compensation program for the NEOs other than the CEO as well as the total level of compensation for the CEO. The peer comparator group is reviewed each year and adjusted, as appropriate, so that the peer comparator group companies reflect Capital One’s competitive business and talent environment. The Committee examines pay practices and data for the peer group companies as a source of benchmarking data to assess the competitiveness of our compensation levels and pay components. As part of this analysis, a consultant from FW Cook presents a comprehensive report to the Committee that highlights the size, scope, and performance information from the peer companies across a variety of metrics and presents recommendations for changes to the peer group, as applicable. The Committee specifically considers the Company’s percentile rank versus peer comparator companies across the following financial and market metrics, including: </w:t>
      </w:r>
    </w:p>
    <w:p>
      <w:pPr>
        <w:pStyle w:val="TextBody"/>
        <w:bidi w:val="0"/>
        <w:spacing w:before="0" w:after="0"/>
        <w:jc w:val="left"/>
        <w:rPr/>
      </w:pPr>
      <w:r>
        <w:rPr/>
        <w:t> </w:t>
      </w:r>
    </w:p>
    <w:tbl>
      <w:tblPr>
        <w:tblW w:w="8110" w:type="dxa"/>
        <w:jc w:val="left"/>
        <w:tblInd w:w="0" w:type="dxa"/>
        <w:tblLayout w:type="fixed"/>
        <w:tblCellMar>
          <w:top w:w="0" w:type="dxa"/>
          <w:left w:w="0" w:type="dxa"/>
          <w:bottom w:w="0" w:type="dxa"/>
          <w:right w:w="0" w:type="dxa"/>
        </w:tblCellMar>
      </w:tblPr>
      <w:tblGrid>
        <w:gridCol w:w="4175"/>
        <w:gridCol w:w="120"/>
        <w:gridCol w:w="3815"/>
      </w:tblGrid>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Revenue</w:t>
            </w:r>
          </w:p>
          <w:p>
            <w:pPr>
              <w:pStyle w:val="TableContents"/>
              <w:bidi w:val="0"/>
              <w:spacing w:before="0" w:after="0"/>
              <w:jc w:val="left"/>
              <w:rPr/>
            </w:pPr>
            <w:r>
              <w:rPr/>
              <w:t> </w:t>
            </w:r>
          </w:p>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Assets</w:t>
            </w:r>
          </w:p>
          <w:p>
            <w:pPr>
              <w:pStyle w:val="TableContents"/>
              <w:bidi w:val="0"/>
              <w:spacing w:before="0" w:after="0"/>
              <w:jc w:val="left"/>
              <w:rPr/>
            </w:pPr>
            <w:r>
              <w:rPr/>
              <w:t> </w:t>
            </w:r>
          </w:p>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Market value</w:t>
            </w:r>
          </w:p>
          <w:p>
            <w:pPr>
              <w:pStyle w:val="TableContents"/>
              <w:bidi w:val="0"/>
              <w:spacing w:before="0" w:after="0"/>
              <w:jc w:val="left"/>
              <w:rPr/>
            </w:pPr>
            <w:r>
              <w:rPr/>
              <w:t> </w:t>
            </w:r>
          </w:p>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Net income available to common stockholders</w:t>
            </w:r>
          </w:p>
          <w:p>
            <w:pPr>
              <w:pStyle w:val="TableContents"/>
              <w:bidi w:val="0"/>
              <w:spacing w:before="0" w:after="0"/>
              <w:jc w:val="left"/>
              <w:rPr/>
            </w:pPr>
            <w:r>
              <w:rPr/>
              <w:t> </w:t>
            </w:r>
          </w:p>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U.S. deposits</w:t>
            </w:r>
          </w:p>
          <w:p>
            <w:pPr>
              <w:pStyle w:val="TableContents"/>
              <w:bidi w:val="0"/>
              <w:spacing w:before="0" w:after="0"/>
              <w:jc w:val="left"/>
              <w:rPr/>
            </w:pPr>
            <w:r>
              <w:rPr/>
              <w:t> </w:t>
            </w:r>
          </w:p>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Loans held for investment</w:t>
            </w:r>
          </w:p>
          <w:p>
            <w:pPr>
              <w:pStyle w:val="TableContents"/>
              <w:bidi w:val="0"/>
              <w:spacing w:before="0" w:after="0"/>
              <w:jc w:val="left"/>
              <w:rPr/>
            </w:pPr>
            <w:r>
              <w:rPr/>
              <w:t> </w:t>
            </w:r>
          </w:p>
          <w:p>
            <w:pPr>
              <w:pStyle w:val="TableContents"/>
              <w:bidi w:val="0"/>
              <w:spacing w:before="0" w:after="20"/>
              <w:jc w:val="both"/>
              <w:rPr>
                <w:color w:val="003A5D"/>
                <w:spacing w:val="0"/>
              </w:rPr>
            </w:pPr>
            <w:r>
              <w:rPr>
                <w:color w:val="003A5D"/>
                <w:spacing w:val="0"/>
              </w:rPr>
              <w:t>∎</w:t>
            </w:r>
          </w:p>
          <w:p>
            <w:pPr>
              <w:pStyle w:val="TableContents"/>
              <w:bidi w:val="0"/>
              <w:spacing w:before="0" w:after="20"/>
              <w:jc w:val="both"/>
              <w:rPr/>
            </w:pPr>
            <w:r>
              <w:rPr/>
              <w:t> </w:t>
            </w:r>
            <w:r>
              <w:rPr>
                <w:rFonts w:ascii="arial" w:hAnsi="arial"/>
                <w:sz w:val="20"/>
              </w:rPr>
              <w:t>Diluted EPS growth</w:t>
            </w:r>
          </w:p>
        </w:tc>
        <w:tc>
          <w:tcPr>
            <w:tcW w:w="12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Adjusted ROA</w:t>
            </w:r>
          </w:p>
          <w:p>
            <w:pPr>
              <w:pStyle w:val="TableContents"/>
              <w:bidi w:val="0"/>
              <w:spacing w:before="0" w:after="0"/>
              <w:jc w:val="left"/>
              <w:rPr/>
            </w:pPr>
            <w:r>
              <w:rPr/>
              <w:t> </w:t>
            </w:r>
          </w:p>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Common equity Tier 1 capital ratio</w:t>
            </w:r>
          </w:p>
          <w:p>
            <w:pPr>
              <w:pStyle w:val="TableContents"/>
              <w:bidi w:val="0"/>
              <w:spacing w:before="0" w:after="0"/>
              <w:jc w:val="left"/>
              <w:rPr/>
            </w:pPr>
            <w:r>
              <w:rPr/>
              <w:t> </w:t>
            </w:r>
          </w:p>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spacing w:val="0"/>
              </w:rPr>
            </w:pPr>
            <w:r>
              <w:rPr>
                <w:spacing w:val="0"/>
              </w:rPr>
              <w:t> </w:t>
            </w:r>
            <w:r>
              <w:rPr>
                <w:rFonts w:ascii="arial" w:hAnsi="arial"/>
                <w:spacing w:val="0"/>
                <w:sz w:val="20"/>
              </w:rPr>
              <w:t>Charge-off</w:t>
            </w:r>
          </w:p>
          <w:p>
            <w:pPr>
              <w:pStyle w:val="TableContents"/>
              <w:bidi w:val="0"/>
              <w:spacing w:before="0" w:after="0"/>
              <w:jc w:val="both"/>
              <w:rPr>
                <w:rFonts w:ascii="arial" w:hAnsi="arial"/>
                <w:sz w:val="20"/>
              </w:rPr>
            </w:pPr>
            <w:r>
              <w:rPr>
                <w:rFonts w:ascii="arial" w:hAnsi="arial"/>
                <w:sz w:val="20"/>
              </w:rPr>
              <w:t>rate</w:t>
            </w:r>
          </w:p>
          <w:p>
            <w:pPr>
              <w:pStyle w:val="TableContents"/>
              <w:bidi w:val="0"/>
              <w:spacing w:before="0" w:after="0"/>
              <w:jc w:val="left"/>
              <w:rPr/>
            </w:pPr>
            <w:r>
              <w:rPr/>
              <w:t> </w:t>
            </w:r>
          </w:p>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Ratio of stock price to tangible book value</w:t>
            </w:r>
          </w:p>
          <w:p>
            <w:pPr>
              <w:pStyle w:val="TableContents"/>
              <w:bidi w:val="0"/>
              <w:spacing w:before="0" w:after="0"/>
              <w:jc w:val="left"/>
              <w:rPr/>
            </w:pPr>
            <w:r>
              <w:rPr/>
              <w:t> </w:t>
            </w:r>
          </w:p>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Ratio of stock price to earnings</w:t>
            </w:r>
          </w:p>
          <w:p>
            <w:pPr>
              <w:pStyle w:val="TableContents"/>
              <w:bidi w:val="0"/>
              <w:spacing w:before="0" w:after="0"/>
              <w:jc w:val="left"/>
              <w:rPr/>
            </w:pPr>
            <w:r>
              <w:rPr/>
              <w:t> </w:t>
            </w:r>
          </w:p>
          <w:p>
            <w:pPr>
              <w:pStyle w:val="TableContents"/>
              <w:bidi w:val="0"/>
              <w:spacing w:before="0" w:after="20"/>
              <w:jc w:val="both"/>
              <w:rPr>
                <w:color w:val="003A5D"/>
                <w:spacing w:val="0"/>
              </w:rPr>
            </w:pPr>
            <w:r>
              <w:rPr>
                <w:color w:val="003A5D"/>
                <w:spacing w:val="0"/>
              </w:rPr>
              <w:t>∎</w:t>
            </w:r>
          </w:p>
          <w:p>
            <w:pPr>
              <w:pStyle w:val="TableContents"/>
              <w:bidi w:val="0"/>
              <w:spacing w:before="0" w:after="20"/>
              <w:jc w:val="both"/>
              <w:rPr/>
            </w:pPr>
            <w:r>
              <w:rPr/>
              <w:t> </w:t>
            </w:r>
            <w:r>
              <w:rPr>
                <w:rFonts w:ascii="arial" w:hAnsi="arial"/>
                <w:sz w:val="20"/>
              </w:rPr>
              <w:t>TSR</w:t>
            </w:r>
          </w:p>
        </w:tc>
      </w:tr>
    </w:tbl>
    <w:p>
      <w:pPr>
        <w:pStyle w:val="TextBody"/>
        <w:bidi w:val="0"/>
        <w:spacing w:before="0" w:after="0"/>
        <w:jc w:val="left"/>
        <w:rPr/>
      </w:pPr>
      <w:r>
        <w:rPr/>
        <w:t> </w:t>
      </w:r>
    </w:p>
    <w:tbl>
      <w:tblPr>
        <w:tblW w:w="6196" w:type="dxa"/>
        <w:jc w:val="left"/>
        <w:tblInd w:w="0" w:type="dxa"/>
        <w:tblLayout w:type="fixed"/>
        <w:tblCellMar>
          <w:top w:w="0" w:type="dxa"/>
          <w:left w:w="0" w:type="dxa"/>
          <w:bottom w:w="0" w:type="dxa"/>
          <w:right w:w="0" w:type="dxa"/>
        </w:tblCellMar>
      </w:tblPr>
      <w:tblGrid>
        <w:gridCol w:w="350"/>
        <w:gridCol w:w="60"/>
        <w:gridCol w:w="23"/>
        <w:gridCol w:w="60"/>
        <w:gridCol w:w="23"/>
        <w:gridCol w:w="60"/>
        <w:gridCol w:w="3380"/>
        <w:gridCol w:w="60"/>
        <w:gridCol w:w="2180"/>
      </w:tblGrid>
      <w:tr>
        <w:trPr/>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350" w:type="dxa"/>
            <w:tcBorders/>
            <w:vAlign w:val="center"/>
          </w:tcPr>
          <w:p>
            <w:pPr>
              <w:pStyle w:val="TableContents"/>
              <w:bidi w:val="0"/>
              <w:spacing w:before="0" w:after="0"/>
              <w:jc w:val="center"/>
              <w:rPr>
                <w:b/>
                <w:spacing w:val="0"/>
                <w:sz w:val="20"/>
              </w:rPr>
            </w:pPr>
            <w:r>
              <w:rPr>
                <w:b/>
                <w:spacing w:val="0"/>
                <w:sz w:val="20"/>
              </w:rPr>
              <w:t>90 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pacing w:val="0"/>
                <w:sz w:val="17"/>
              </w:rPr>
            </w:pPr>
            <w:r>
              <w:rPr>
                <w:rFonts w:ascii="arial" w:hAnsi="arial"/>
                <w:color w:val="003A5D"/>
                <w:spacing w:val="0"/>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spacing w:val="0"/>
              </w:rPr>
            </w:pPr>
            <w:r>
              <w:rPr>
                <w:color w:val="003A5D"/>
                <w:spacing w:val="0"/>
              </w:rPr>
              <w:t> </w:t>
            </w:r>
            <w:r>
              <w:rPr>
                <w:rFonts w:ascii="arial" w:hAnsi="arial"/>
                <w:b/>
                <w:color w:val="003A5D"/>
                <w:spacing w:val="0"/>
                <w:sz w:val="17"/>
              </w:rPr>
              <w:t>2025 PROXY STATEMENT</w:t>
            </w:r>
          </w:p>
          <w:p>
            <w:pPr>
              <w:pStyle w:val="TableContents"/>
              <w:bidi w:val="0"/>
              <w:spacing w:before="0" w:after="20"/>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0"/>
              <w:jc w:val="right"/>
              <w:rPr>
                <w:b/>
                <w:color w:val="003A5D"/>
                <w:spacing w:val="0"/>
              </w:rPr>
            </w:pPr>
            <w:r>
              <w:rPr>
                <w:b/>
                <w:color w:val="003A5D"/>
                <w:spacing w:val="0"/>
              </w:rPr>
              <w:t>EXECUTIVE COMPENSATION</w:t>
            </w:r>
          </w:p>
        </w:tc>
      </w:tr>
    </w:tbl>
    <w:p>
      <w:pPr>
        <w:pStyle w:val="TextBody"/>
        <w:bidi w:val="0"/>
        <w:spacing w:lineRule="atLeast" w:line="142" w:before="0" w:after="40"/>
        <w:jc w:val="left"/>
        <w:rPr>
          <w:bdr w:val="single" w:sz="2" w:space="1" w:color="003A5D"/>
        </w:rPr>
      </w:pPr>
      <w:r>
        <w:rPr>
          <w:bdr w:val="single" w:sz="2" w:space="1" w:color="003A5D"/>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0"/>
              <w:jc w:val="right"/>
              <w:rPr>
                <w:b/>
                <w:color w:val="003A5D"/>
                <w:spacing w:val="0"/>
              </w:rPr>
            </w:pPr>
            <w:r>
              <w:rPr>
                <w:b/>
                <w:color w:val="003A5D"/>
                <w:spacing w:val="0"/>
              </w:rPr>
              <w:t>Section V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After reviewing this information, the Committee recommends a final peer comparator group to the Independent Directors for approval. The peer comparator group is reviewed each year and adjusted, as appropriate, so that the size, scope, performance, and business focus of the peer comparator companies (i) reflect Capital One’s competitive environment, (ii) mitigate market data volatility, (iii) recognize the Company’s focus on technological innovations in the banking industry, and (iv) position the Company near the median with regard to the size of the companies in the group. For 2024, the peer comparator group was the same group as 2023 and included the following companies: </w:t>
      </w:r>
    </w:p>
    <w:p>
      <w:pPr>
        <w:pStyle w:val="TextBody"/>
        <w:bidi w:val="0"/>
        <w:spacing w:before="0" w:after="0"/>
        <w:jc w:val="left"/>
        <w:rPr/>
      </w:pPr>
      <w:r>
        <w:rPr/>
        <w:t> </w:t>
      </w:r>
    </w:p>
    <w:tbl>
      <w:tblPr>
        <w:tblW w:w="8235" w:type="dxa"/>
        <w:jc w:val="left"/>
        <w:tblInd w:w="0" w:type="dxa"/>
        <w:tblLayout w:type="fixed"/>
        <w:tblCellMar>
          <w:top w:w="0" w:type="dxa"/>
          <w:left w:w="0" w:type="dxa"/>
          <w:bottom w:w="0" w:type="dxa"/>
          <w:right w:w="0" w:type="dxa"/>
        </w:tblCellMar>
      </w:tblPr>
      <w:tblGrid>
        <w:gridCol w:w="3155"/>
        <w:gridCol w:w="120"/>
        <w:gridCol w:w="2795"/>
        <w:gridCol w:w="120"/>
        <w:gridCol w:w="2045"/>
      </w:tblGrid>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Ally Financial (ALLY)</w:t>
            </w:r>
          </w:p>
        </w:tc>
        <w:tc>
          <w:tcPr>
            <w:tcW w:w="12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Goldman Sachs (GS)</w:t>
            </w:r>
          </w:p>
        </w:tc>
        <w:tc>
          <w:tcPr>
            <w:tcW w:w="12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Regions (RF)</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2915"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American Express (AXP)</w:t>
            </w:r>
          </w:p>
        </w:tc>
        <w:tc>
          <w:tcPr>
            <w:tcW w:w="12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J.P. Morgan Chase (JPM)</w:t>
            </w:r>
          </w:p>
        </w:tc>
        <w:tc>
          <w:tcPr>
            <w:tcW w:w="12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Synchrony (SYF)</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2915"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Bank of America (BAC)</w:t>
            </w:r>
          </w:p>
        </w:tc>
        <w:tc>
          <w:tcPr>
            <w:tcW w:w="12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Mastercard (MA)</w:t>
            </w:r>
          </w:p>
        </w:tc>
        <w:tc>
          <w:tcPr>
            <w:tcW w:w="12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Truist Financial (TFC)</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2915"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Citigroup (C)</w:t>
            </w:r>
          </w:p>
        </w:tc>
        <w:tc>
          <w:tcPr>
            <w:tcW w:w="12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Morgan Stanley (MS)</w:t>
            </w:r>
          </w:p>
        </w:tc>
        <w:tc>
          <w:tcPr>
            <w:tcW w:w="12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U.S. Bancorp (USB)</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2915"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Discover Financial Services (DFS)</w:t>
            </w:r>
          </w:p>
        </w:tc>
        <w:tc>
          <w:tcPr>
            <w:tcW w:w="12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PayPal (PYPL)</w:t>
            </w:r>
          </w:p>
        </w:tc>
        <w:tc>
          <w:tcPr>
            <w:tcW w:w="12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Visa (V)</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2915"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Fifth Third Bancorp (FITB)</w:t>
            </w:r>
          </w:p>
        </w:tc>
        <w:tc>
          <w:tcPr>
            <w:tcW w:w="12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PNC Financial Services (PNC)</w:t>
            </w:r>
          </w:p>
        </w:tc>
        <w:tc>
          <w:tcPr>
            <w:tcW w:w="12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both"/>
              <w:rPr>
                <w:color w:val="003A5D"/>
                <w:spacing w:val="0"/>
              </w:rPr>
            </w:pPr>
            <w:r>
              <w:rPr>
                <w:color w:val="003A5D"/>
                <w:spacing w:val="0"/>
              </w:rPr>
              <w:t>∎</w:t>
            </w:r>
          </w:p>
          <w:p>
            <w:pPr>
              <w:pStyle w:val="TableContents"/>
              <w:bidi w:val="0"/>
              <w:spacing w:before="0" w:after="0"/>
              <w:jc w:val="both"/>
              <w:rPr/>
            </w:pPr>
            <w:r>
              <w:rPr/>
              <w:t> </w:t>
            </w:r>
            <w:r>
              <w:rPr>
                <w:rFonts w:ascii="arial" w:hAnsi="arial"/>
                <w:sz w:val="20"/>
              </w:rPr>
              <w:t>Wells Fargo (WFC)</w:t>
            </w:r>
          </w:p>
        </w:tc>
      </w:tr>
    </w:tbl>
    <w:p>
      <w:pPr>
        <w:pStyle w:val="TextBody"/>
        <w:bidi w:val="0"/>
        <w:spacing w:before="240" w:after="0"/>
        <w:jc w:val="both"/>
        <w:rPr>
          <w:rFonts w:ascii="arial" w:hAnsi="arial"/>
          <w:sz w:val="20"/>
        </w:rPr>
      </w:pPr>
      <w:r>
        <w:rPr>
          <w:rFonts w:ascii="arial" w:hAnsi="arial"/>
          <w:sz w:val="20"/>
        </w:rPr>
        <w:t xml:space="preserve">The Committee and the Independent Directors believe that this peer comparator group reflects the competitive environment for the Company, particularly the performance and business focus of the companies in the peer comparator group and the competition for executive talent. As of December 31, 2024, Capital One was positioned at or near the median of the peer comparator group in terms of total assets, loans, deposits, revenues, market value, and net income. </w:t>
      </w:r>
    </w:p>
    <w:p>
      <w:pPr>
        <w:pStyle w:val="TextBody"/>
        <w:bidi w:val="0"/>
        <w:spacing w:before="240" w:after="0"/>
        <w:jc w:val="left"/>
        <w:rPr>
          <w:rFonts w:ascii="arial" w:hAnsi="arial"/>
          <w:b/>
          <w:color w:val="003A5D"/>
          <w:spacing w:val="0"/>
          <w:sz w:val="20"/>
        </w:rPr>
      </w:pPr>
      <w:r>
        <w:rPr>
          <w:rFonts w:ascii="arial" w:hAnsi="arial"/>
          <w:b/>
          <w:color w:val="003A5D"/>
          <w:spacing w:val="0"/>
          <w:sz w:val="20"/>
        </w:rPr>
        <w:t xml:space="preserve">Peer Group to Determine Settlement of Performance Share Awards </w:t>
      </w:r>
    </w:p>
    <w:p>
      <w:pPr>
        <w:pStyle w:val="TextBody"/>
        <w:bidi w:val="0"/>
        <w:spacing w:before="240" w:after="0"/>
        <w:jc w:val="both"/>
        <w:rPr>
          <w:rFonts w:ascii="arial" w:hAnsi="arial"/>
          <w:sz w:val="20"/>
        </w:rPr>
      </w:pPr>
      <w:r>
        <w:rPr>
          <w:rFonts w:ascii="arial" w:hAnsi="arial"/>
          <w:sz w:val="20"/>
        </w:rPr>
        <w:t xml:space="preserve">For both the Financial Performance Shares and the TSR Performance Shares, the Company’s performance on each metric is assessed over the three-year period relative to the Performance Share Peers. See “Performance Share Award Peer Group” on page 71 for a description and discussion of the Performance Share Peers.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b/>
          <w:i/>
          <w:color w:val="003A5D"/>
          <w:spacing w:val="0"/>
          <w:sz w:val="24"/>
        </w:rPr>
      </w:pPr>
      <w:r>
        <w:rPr>
          <w:rFonts w:ascii="arial" w:hAnsi="arial"/>
          <w:b/>
          <w:i/>
          <w:color w:val="003A5D"/>
          <w:spacing w:val="0"/>
          <w:sz w:val="24"/>
        </w:rPr>
        <w:t xml:space="preserve">Tally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arial" w:hAnsi="arial"/>
          <w:sz w:val="20"/>
        </w:rPr>
      </w:pPr>
      <w:r>
        <w:rPr>
          <w:rFonts w:ascii="arial" w:hAnsi="arial"/>
          <w:sz w:val="20"/>
        </w:rPr>
        <w:t xml:space="preserve">In addition to considering market data from our peer comparator group (when available), the Committee also conducts an annual comprehensive review of tally sheets for the CEO and each NEO which reflect all components of compensation and include total compensation and potential payouts. Each tally sheet summarizes multiple components of current and historical compensation. The tally sheets assist with the Committee’s understanding of the historical context that is relevant to current compensation decisions, such as the CEO and each NEO’s unrealized equity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b/>
          <w:color w:val="003A5D"/>
          <w:spacing w:val="0"/>
          <w:sz w:val="32"/>
        </w:rPr>
      </w:pPr>
      <w:r>
        <w:rPr>
          <w:rFonts w:ascii="arial" w:hAnsi="arial"/>
          <w:b/>
          <w:color w:val="003A5D"/>
          <w:spacing w:val="0"/>
          <w:sz w:val="32"/>
        </w:rPr>
        <w:t xml:space="preserve">Other Compensation Arrangements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b/>
          <w:i/>
          <w:color w:val="003A5D"/>
          <w:spacing w:val="0"/>
          <w:sz w:val="24"/>
        </w:rPr>
      </w:pPr>
      <w:r>
        <w:rPr>
          <w:rFonts w:ascii="arial" w:hAnsi="arial"/>
          <w:b/>
          <w:i/>
          <w:color w:val="003A5D"/>
          <w:spacing w:val="0"/>
          <w:sz w:val="24"/>
        </w:rPr>
        <w:t xml:space="preserve">Pension and </w:t>
      </w:r>
    </w:p>
    <w:p>
      <w:pPr>
        <w:pStyle w:val="TextBody"/>
        <w:bidi w:val="0"/>
        <w:spacing w:before="240" w:after="0"/>
        <w:jc w:val="left"/>
        <w:rPr>
          <w:rFonts w:ascii="arial" w:hAnsi="arial"/>
          <w:b/>
          <w:i/>
          <w:color w:val="003A5D"/>
          <w:spacing w:val="0"/>
          <w:sz w:val="24"/>
        </w:rPr>
      </w:pPr>
      <w:r>
        <w:rPr>
          <w:rFonts w:ascii="arial" w:hAnsi="arial"/>
          <w:b/>
          <w:i/>
          <w:color w:val="003A5D"/>
          <w:spacing w:val="0"/>
          <w:sz w:val="24"/>
        </w:rPr>
        <w:t>Non-Qualified</w:t>
      </w:r>
    </w:p>
    <w:p>
      <w:pPr>
        <w:pStyle w:val="TextBody"/>
        <w:bidi w:val="0"/>
        <w:spacing w:before="240" w:after="0"/>
        <w:jc w:val="left"/>
        <w:rPr>
          <w:rFonts w:ascii="arial" w:hAnsi="arial"/>
          <w:b/>
          <w:i/>
          <w:color w:val="003A5D"/>
          <w:spacing w:val="0"/>
          <w:sz w:val="24"/>
        </w:rPr>
      </w:pPr>
      <w:r>
        <w:rPr>
          <w:rFonts w:ascii="arial" w:hAnsi="arial"/>
          <w:b/>
          <w:i/>
          <w:color w:val="003A5D"/>
          <w:spacing w:val="0"/>
          <w:sz w:val="24"/>
        </w:rPr>
        <w:t xml:space="preserve">Deferred Compensation Plans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arial" w:hAnsi="arial"/>
          <w:sz w:val="20"/>
        </w:rPr>
      </w:pPr>
      <w:r>
        <w:rPr>
          <w:rFonts w:ascii="arial" w:hAnsi="arial"/>
          <w:sz w:val="20"/>
        </w:rPr>
        <w:t xml:space="preserve">Capital One does not have any active pension plans for the NEOs. In 2024, each of our NEOs participated in Capital One’s VNQDCP, which is a voluntary, </w:t>
      </w:r>
    </w:p>
    <w:p>
      <w:pPr>
        <w:pStyle w:val="TextBody"/>
        <w:bidi w:val="0"/>
        <w:spacing w:before="240" w:after="0"/>
        <w:jc w:val="both"/>
        <w:rPr>
          <w:rFonts w:ascii="arial" w:hAnsi="arial"/>
          <w:spacing w:val="0"/>
          <w:sz w:val="20"/>
        </w:rPr>
      </w:pPr>
      <w:r>
        <w:rPr>
          <w:rFonts w:ascii="arial" w:hAnsi="arial"/>
          <w:spacing w:val="0"/>
          <w:sz w:val="20"/>
        </w:rPr>
        <w:t>non-qualified</w:t>
      </w:r>
    </w:p>
    <w:p>
      <w:pPr>
        <w:pStyle w:val="TextBody"/>
        <w:bidi w:val="0"/>
        <w:spacing w:before="240" w:after="0"/>
        <w:jc w:val="both"/>
        <w:rPr>
          <w:rFonts w:ascii="arial" w:hAnsi="arial"/>
          <w:sz w:val="20"/>
        </w:rPr>
      </w:pPr>
      <w:r>
        <w:rPr>
          <w:rFonts w:ascii="arial" w:hAnsi="arial"/>
          <w:sz w:val="20"/>
        </w:rPr>
        <w:t xml:space="preserve">deferred compensation plan that restores participating NEOs, excluding the CEO, to the level of savings they would have achieved if they had not been impacted by Internal Revenue Service limits governing our qualified 401(k) plan. It also allows the NEOs, excluding the CEO, to defer additional </w:t>
      </w:r>
    </w:p>
    <w:p>
      <w:pPr>
        <w:pStyle w:val="TextBody"/>
        <w:bidi w:val="0"/>
        <w:spacing w:before="240" w:after="0"/>
        <w:jc w:val="both"/>
        <w:rPr>
          <w:rFonts w:ascii="arial" w:hAnsi="arial"/>
          <w:spacing w:val="0"/>
          <w:sz w:val="20"/>
        </w:rPr>
      </w:pPr>
      <w:r>
        <w:rPr>
          <w:rFonts w:ascii="arial" w:hAnsi="arial"/>
          <w:spacing w:val="0"/>
          <w:sz w:val="20"/>
        </w:rPr>
        <w:t>pre-tax</w:t>
      </w:r>
    </w:p>
    <w:p>
      <w:pPr>
        <w:pStyle w:val="TextBody"/>
        <w:bidi w:val="0"/>
        <w:spacing w:before="240" w:after="0"/>
        <w:jc w:val="both"/>
        <w:rPr>
          <w:rFonts w:ascii="arial" w:hAnsi="arial"/>
          <w:sz w:val="20"/>
        </w:rPr>
      </w:pPr>
      <w:r>
        <w:rPr>
          <w:rFonts w:ascii="arial" w:hAnsi="arial"/>
          <w:sz w:val="20"/>
        </w:rPr>
        <w:t xml:space="preserve">compensation to save for retirement. The CEO participates in the VNQDCP on a </w:t>
      </w:r>
    </w:p>
    <w:p>
      <w:pPr>
        <w:pStyle w:val="TextBody"/>
        <w:bidi w:val="0"/>
        <w:spacing w:before="240" w:after="0"/>
        <w:jc w:val="both"/>
        <w:rPr>
          <w:rFonts w:ascii="arial" w:hAnsi="arial"/>
          <w:spacing w:val="0"/>
          <w:sz w:val="20"/>
        </w:rPr>
      </w:pPr>
      <w:r>
        <w:rPr>
          <w:rFonts w:ascii="arial" w:hAnsi="arial"/>
          <w:spacing w:val="0"/>
          <w:sz w:val="20"/>
        </w:rPr>
        <w:t>non-voluntary</w:t>
      </w:r>
    </w:p>
    <w:p>
      <w:pPr>
        <w:pStyle w:val="TextBody"/>
        <w:bidi w:val="0"/>
        <w:spacing w:before="240" w:after="0"/>
        <w:jc w:val="both"/>
        <w:rPr>
          <w:rFonts w:ascii="arial" w:hAnsi="arial"/>
          <w:sz w:val="20"/>
        </w:rPr>
      </w:pPr>
      <w:r>
        <w:rPr>
          <w:rFonts w:ascii="arial" w:hAnsi="arial"/>
          <w:sz w:val="20"/>
        </w:rPr>
        <w:t xml:space="preserve">basis, as the deferred cash portion of his </w:t>
      </w:r>
    </w:p>
    <w:p>
      <w:pPr>
        <w:pStyle w:val="TextBody"/>
        <w:bidi w:val="0"/>
        <w:spacing w:before="240" w:after="0"/>
        <w:jc w:val="both"/>
        <w:rPr>
          <w:rFonts w:ascii="arial" w:hAnsi="arial"/>
          <w:spacing w:val="0"/>
          <w:sz w:val="20"/>
        </w:rPr>
      </w:pPr>
      <w:r>
        <w:rPr>
          <w:rFonts w:ascii="arial" w:hAnsi="arial"/>
          <w:spacing w:val="0"/>
          <w:sz w:val="20"/>
        </w:rPr>
        <w:t>year-end</w:t>
      </w:r>
    </w:p>
    <w:p>
      <w:pPr>
        <w:pStyle w:val="TextBody"/>
        <w:bidi w:val="0"/>
        <w:spacing w:before="240" w:after="0"/>
        <w:jc w:val="both"/>
        <w:rPr>
          <w:rFonts w:ascii="arial" w:hAnsi="arial"/>
          <w:sz w:val="20"/>
        </w:rPr>
      </w:pPr>
      <w:r>
        <w:rPr>
          <w:rFonts w:ascii="arial" w:hAnsi="arial"/>
          <w:sz w:val="20"/>
        </w:rPr>
        <w:t xml:space="preserve">incentive is mandatorily deferred in the VNQDCP for three years. Capital One periodically reviews pension and other deferred compensation programs and practices at our peer comparator companies and across the financial services industry. We also review changes in the legal and regulatory environment pertaining to retirement programs. </w:t>
      </w:r>
    </w:p>
    <w:p>
      <w:pPr>
        <w:pStyle w:val="TextBody"/>
        <w:bidi w:val="0"/>
        <w:spacing w:before="0" w:after="0"/>
        <w:jc w:val="left"/>
        <w:rPr/>
      </w:pPr>
      <w:r>
        <w:rPr/>
        <w:t> </w:t>
      </w:r>
    </w:p>
    <w:tbl>
      <w:tblPr>
        <w:tblW w:w="6165" w:type="dxa"/>
        <w:jc w:val="left"/>
        <w:tblInd w:w="0" w:type="dxa"/>
        <w:tblLayout w:type="fixed"/>
        <w:tblCellMar>
          <w:top w:w="0" w:type="dxa"/>
          <w:left w:w="0" w:type="dxa"/>
          <w:bottom w:w="0" w:type="dxa"/>
          <w:right w:w="0" w:type="dxa"/>
        </w:tblCellMar>
      </w:tblPr>
      <w:tblGrid>
        <w:gridCol w:w="3395"/>
        <w:gridCol w:w="60"/>
        <w:gridCol w:w="2255"/>
        <w:gridCol w:w="60"/>
        <w:gridCol w:w="39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pacing w:val="0"/>
                <w:sz w:val="17"/>
              </w:rPr>
            </w:pPr>
            <w:r>
              <w:rPr>
                <w:rFonts w:ascii="arial" w:hAnsi="arial"/>
                <w:color w:val="003A5D"/>
                <w:spacing w:val="0"/>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spacing w:val="0"/>
              </w:rPr>
            </w:pPr>
            <w:r>
              <w:rPr>
                <w:color w:val="003A5D"/>
                <w:spacing w:val="0"/>
              </w:rPr>
              <w:t> </w:t>
            </w:r>
            <w:r>
              <w:rPr>
                <w:rFonts w:ascii="arial" w:hAnsi="arial"/>
                <w:b/>
                <w:color w:val="003A5D"/>
                <w:spacing w:val="0"/>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center"/>
              <w:rPr>
                <w:spacing w:val="0"/>
              </w:rPr>
            </w:pPr>
            <w:r>
              <w:rPr>
                <w:spacing w:val="0"/>
              </w:rPr>
              <w:t> </w:t>
            </w:r>
            <w:r>
              <w:rPr>
                <w:b/>
                <w:spacing w:val="0"/>
              </w:rPr>
              <w:t>91</w:t>
            </w:r>
          </w:p>
          <w:p>
            <w:pPr>
              <w:pStyle w:val="TableContents"/>
              <w:bidi w:val="0"/>
              <w:spacing w:before="0" w:after="20"/>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0"/>
              <w:jc w:val="left"/>
              <w:rPr>
                <w:b/>
                <w:color w:val="003A5D"/>
                <w:spacing w:val="0"/>
              </w:rPr>
            </w:pPr>
            <w:r>
              <w:rPr>
                <w:b/>
                <w:color w:val="003A5D"/>
                <w:spacing w:val="0"/>
              </w:rPr>
              <w:t>EXECUTIVE COMPENSATION</w:t>
            </w:r>
          </w:p>
        </w:tc>
      </w:tr>
    </w:tbl>
    <w:p>
      <w:pPr>
        <w:pStyle w:val="TextBody"/>
        <w:bidi w:val="0"/>
        <w:spacing w:lineRule="atLeast" w:line="142" w:before="0" w:after="40"/>
        <w:jc w:val="left"/>
        <w:rPr>
          <w:bdr w:val="single" w:sz="2" w:space="1" w:color="003A5D"/>
        </w:rPr>
      </w:pPr>
      <w:r>
        <w:rPr>
          <w:bdr w:val="single" w:sz="2" w:space="1" w:color="003A5D"/>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0"/>
              <w:jc w:val="left"/>
              <w:rPr>
                <w:b/>
                <w:color w:val="003A5D"/>
                <w:spacing w:val="0"/>
              </w:rPr>
            </w:pPr>
            <w:r>
              <w:rPr>
                <w:b/>
                <w:color w:val="003A5D"/>
                <w:spacing w:val="0"/>
              </w:rPr>
              <w:t>Section V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Details of the VNQDCP can be found under “Capital One’s Voluntary </w:t>
      </w:r>
    </w:p>
    <w:p>
      <w:pPr>
        <w:pStyle w:val="TextBody"/>
        <w:bidi w:val="0"/>
        <w:spacing w:before="0" w:after="0"/>
        <w:jc w:val="both"/>
        <w:rPr>
          <w:rFonts w:ascii="arial" w:hAnsi="arial"/>
          <w:spacing w:val="0"/>
          <w:sz w:val="20"/>
        </w:rPr>
      </w:pPr>
      <w:r>
        <w:rPr>
          <w:rFonts w:ascii="arial" w:hAnsi="arial"/>
          <w:spacing w:val="0"/>
          <w:sz w:val="20"/>
        </w:rPr>
        <w:t>Non-Qualified</w:t>
      </w:r>
    </w:p>
    <w:p>
      <w:pPr>
        <w:pStyle w:val="TextBody"/>
        <w:bidi w:val="0"/>
        <w:spacing w:before="0" w:after="0"/>
        <w:jc w:val="both"/>
        <w:rPr>
          <w:rFonts w:ascii="arial" w:hAnsi="arial"/>
          <w:sz w:val="20"/>
        </w:rPr>
      </w:pPr>
      <w:r>
        <w:rPr>
          <w:rFonts w:ascii="arial" w:hAnsi="arial"/>
          <w:sz w:val="20"/>
        </w:rPr>
        <w:t xml:space="preserve">Deferred Compensation Programs” on page 104.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b/>
          <w:i/>
          <w:color w:val="003A5D"/>
          <w:spacing w:val="0"/>
          <w:sz w:val="24"/>
        </w:rPr>
      </w:pPr>
      <w:r>
        <w:rPr>
          <w:rFonts w:ascii="arial" w:hAnsi="arial"/>
          <w:b/>
          <w:i/>
          <w:color w:val="003A5D"/>
          <w:spacing w:val="0"/>
          <w:sz w:val="24"/>
        </w:rPr>
        <w:t xml:space="preserve">Employment Agreements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arial" w:hAnsi="arial"/>
          <w:sz w:val="20"/>
        </w:rPr>
      </w:pPr>
      <w:r>
        <w:rPr>
          <w:rFonts w:ascii="arial" w:hAnsi="arial"/>
          <w:sz w:val="20"/>
        </w:rPr>
        <w:t xml:space="preserve">Capital One typically does not enter into defined term employment agreements with the NEOs to maintain maximum flexibility in establishing separation terms at the appropriate time and considering their current circumstances. The Committee retains full discretion to approve employment agreements on an exception basis and has done so for exceptional circumstances in the past. None of the current NEOs have an employment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b/>
          <w:i/>
          <w:color w:val="003A5D"/>
          <w:spacing w:val="0"/>
          <w:sz w:val="24"/>
        </w:rPr>
      </w:pPr>
      <w:r>
        <w:rPr>
          <w:rFonts w:ascii="arial" w:hAnsi="arial"/>
          <w:b/>
          <w:i/>
          <w:color w:val="003A5D"/>
          <w:spacing w:val="0"/>
          <w:sz w:val="24"/>
        </w:rPr>
        <w:t xml:space="preserve">Change of Control Agreements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arial" w:hAnsi="arial"/>
          <w:sz w:val="20"/>
        </w:rPr>
      </w:pPr>
      <w:r>
        <w:rPr>
          <w:rFonts w:ascii="arial" w:hAnsi="arial"/>
          <w:sz w:val="20"/>
        </w:rPr>
        <w:t xml:space="preserve">Each NEO currently employed by the Company is a party to an agreement providing certain benefits if the executive’s employment terminates in connection with a change of control, as well as compensation and benefits protections during the </w:t>
      </w:r>
    </w:p>
    <w:p>
      <w:pPr>
        <w:pStyle w:val="TextBody"/>
        <w:bidi w:val="0"/>
        <w:spacing w:before="240" w:after="0"/>
        <w:jc w:val="both"/>
        <w:rPr>
          <w:rFonts w:ascii="arial" w:hAnsi="arial"/>
          <w:spacing w:val="0"/>
          <w:sz w:val="20"/>
        </w:rPr>
      </w:pPr>
      <w:r>
        <w:rPr>
          <w:rFonts w:ascii="arial" w:hAnsi="arial"/>
          <w:spacing w:val="0"/>
          <w:sz w:val="20"/>
        </w:rPr>
        <w:t>two-year</w:t>
      </w:r>
    </w:p>
    <w:p>
      <w:pPr>
        <w:pStyle w:val="TextBody"/>
        <w:bidi w:val="0"/>
        <w:spacing w:before="240" w:after="0"/>
        <w:jc w:val="both"/>
        <w:rPr>
          <w:rFonts w:ascii="arial" w:hAnsi="arial"/>
          <w:sz w:val="20"/>
        </w:rPr>
      </w:pPr>
      <w:r>
        <w:rPr>
          <w:rFonts w:ascii="arial" w:hAnsi="arial"/>
          <w:sz w:val="20"/>
        </w:rPr>
        <w:t xml:space="preserve">period following the change of control. </w:t>
      </w:r>
    </w:p>
    <w:p>
      <w:pPr>
        <w:pStyle w:val="TextBody"/>
        <w:bidi w:val="0"/>
        <w:spacing w:before="240" w:after="0"/>
        <w:jc w:val="both"/>
        <w:rPr>
          <w:rFonts w:ascii="arial" w:hAnsi="arial"/>
          <w:sz w:val="20"/>
        </w:rPr>
      </w:pPr>
      <w:r>
        <w:rPr>
          <w:rFonts w:ascii="arial" w:hAnsi="arial"/>
          <w:sz w:val="20"/>
        </w:rPr>
        <w:t xml:space="preserve">The change of control agreements define compensation and benefits payable to NEOs in certain merger and acquisition scenarios. The Committee designed these agreements to provide the NEOs with some certainty and allow the NEOs to remain neutral and consider a full range of strategic decisions that are focused on maximizing stockholder value. The change of control agreements are also intended to allow Capital One’s businesses to operate with minimal disruption in the event of a change of control by providing each NEO with an incentive to remain in their leadership role up to and beyond the transaction date. In addition to compensation and benefits protections during a </w:t>
      </w:r>
    </w:p>
    <w:p>
      <w:pPr>
        <w:pStyle w:val="TextBody"/>
        <w:bidi w:val="0"/>
        <w:spacing w:before="240" w:after="0"/>
        <w:jc w:val="both"/>
        <w:rPr>
          <w:rFonts w:ascii="arial" w:hAnsi="arial"/>
          <w:spacing w:val="0"/>
          <w:sz w:val="20"/>
        </w:rPr>
      </w:pPr>
      <w:r>
        <w:rPr>
          <w:rFonts w:ascii="arial" w:hAnsi="arial"/>
          <w:spacing w:val="0"/>
          <w:sz w:val="20"/>
        </w:rPr>
        <w:t>two-year</w:t>
      </w:r>
    </w:p>
    <w:p>
      <w:pPr>
        <w:pStyle w:val="TextBody"/>
        <w:bidi w:val="0"/>
        <w:spacing w:before="240" w:after="0"/>
        <w:jc w:val="both"/>
        <w:rPr>
          <w:rFonts w:ascii="arial" w:hAnsi="arial"/>
          <w:sz w:val="20"/>
        </w:rPr>
      </w:pPr>
      <w:r>
        <w:rPr>
          <w:rFonts w:ascii="arial" w:hAnsi="arial"/>
          <w:sz w:val="20"/>
        </w:rPr>
        <w:t xml:space="preserve">protection period after a change of control, the NEOs are entitled to severance benefits under the agreements if their employment is terminated as a result of (or in anticipation of) certain merger and acquisition scenarios. </w:t>
      </w:r>
    </w:p>
    <w:p>
      <w:pPr>
        <w:pStyle w:val="TextBody"/>
        <w:bidi w:val="0"/>
        <w:spacing w:before="240" w:after="0"/>
        <w:jc w:val="both"/>
        <w:rPr>
          <w:rFonts w:ascii="arial" w:hAnsi="arial"/>
          <w:sz w:val="20"/>
        </w:rPr>
      </w:pPr>
      <w:r>
        <w:rPr>
          <w:rFonts w:ascii="arial" w:hAnsi="arial"/>
          <w:sz w:val="20"/>
        </w:rPr>
        <w:t xml:space="preserve">Both eligibility for participation and the structure of payments under these agreements are designed to be aligned with market practice in the banking and financial services industry. Our program is designed so that our stockholders are not faced with disproportionate severance costs that may impair potential merger opportunities. In addition, our change of control agreements for executive officers do not provide for excise tax </w:t>
      </w:r>
    </w:p>
    <w:p>
      <w:pPr>
        <w:pStyle w:val="TextBody"/>
        <w:bidi w:val="0"/>
        <w:spacing w:before="240" w:after="0"/>
        <w:jc w:val="both"/>
        <w:rPr>
          <w:spacing w:val="0"/>
        </w:rPr>
      </w:pPr>
      <w:r>
        <w:rPr>
          <w:spacing w:val="0"/>
        </w:rPr>
        <w:t>“</w:t>
      </w:r>
      <w:r>
        <w:rPr>
          <w:rFonts w:ascii="arial" w:hAnsi="arial"/>
          <w:spacing w:val="0"/>
          <w:sz w:val="20"/>
        </w:rPr>
        <w:t>gross-up”</w:t>
      </w:r>
    </w:p>
    <w:p>
      <w:pPr>
        <w:pStyle w:val="TextBody"/>
        <w:bidi w:val="0"/>
        <w:spacing w:before="240" w:after="0"/>
        <w:jc w:val="both"/>
        <w:rPr>
          <w:rFonts w:ascii="arial" w:hAnsi="arial"/>
          <w:sz w:val="20"/>
        </w:rPr>
      </w:pPr>
      <w:r>
        <w:rPr>
          <w:rFonts w:ascii="arial" w:hAnsi="arial"/>
          <w:sz w:val="20"/>
        </w:rPr>
        <w:t xml:space="preserve">payments.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b/>
          <w:i/>
          <w:color w:val="003A5D"/>
          <w:spacing w:val="0"/>
          <w:sz w:val="24"/>
        </w:rPr>
      </w:pPr>
      <w:r>
        <w:rPr>
          <w:rFonts w:ascii="arial" w:hAnsi="arial"/>
          <w:b/>
          <w:i/>
          <w:color w:val="003A5D"/>
          <w:spacing w:val="0"/>
          <w:sz w:val="24"/>
        </w:rPr>
        <w:t xml:space="preserve">Post-Employment Compensation Practices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arial" w:hAnsi="arial"/>
          <w:sz w:val="20"/>
        </w:rPr>
      </w:pPr>
      <w:r>
        <w:rPr>
          <w:rFonts w:ascii="arial" w:hAnsi="arial"/>
          <w:sz w:val="20"/>
        </w:rPr>
        <w:t xml:space="preserve">The CEO has no employment or severance arrangement with the Company other than the change of control agreement as described above. If an NEO, excluding the CEO, separates from Capital One, they are entitled to receive the amounts set forth in the Company’s Executive Severance Plan, which provides for a payment of up to 30% of the NEO’s then-current total target compensation plus a </w:t>
      </w:r>
    </w:p>
    <w:p>
      <w:pPr>
        <w:pStyle w:val="TextBody"/>
        <w:bidi w:val="0"/>
        <w:spacing w:before="240" w:after="0"/>
        <w:jc w:val="both"/>
        <w:rPr>
          <w:rFonts w:ascii="arial" w:hAnsi="arial"/>
          <w:spacing w:val="0"/>
          <w:sz w:val="20"/>
        </w:rPr>
      </w:pPr>
      <w:r>
        <w:rPr>
          <w:rFonts w:ascii="arial" w:hAnsi="arial"/>
          <w:spacing w:val="0"/>
          <w:sz w:val="20"/>
        </w:rPr>
        <w:t>pro-rated</w:t>
      </w:r>
    </w:p>
    <w:p>
      <w:pPr>
        <w:pStyle w:val="TextBody"/>
        <w:bidi w:val="0"/>
        <w:spacing w:before="240" w:after="0"/>
        <w:jc w:val="both"/>
        <w:rPr>
          <w:rFonts w:ascii="arial" w:hAnsi="arial"/>
          <w:sz w:val="20"/>
        </w:rPr>
      </w:pPr>
      <w:r>
        <w:rPr>
          <w:rFonts w:ascii="arial" w:hAnsi="arial"/>
          <w:sz w:val="20"/>
        </w:rPr>
        <w:t xml:space="preserve">severance bonus based on the NEO’s target cash incentive in the event of involuntary termination without cause. Additional benefits include partially subsidized health, dental, and vision benefits for a period of up to 18 months through continuation of health coverage (“COBRA”), and outplacement services for a period of up to one year following separation. The Committee may exercise its discretion in approving additional amounts considering all relevant circumstances, including the NEO’s term of employment, past accomplishments, reasons for separation from the Company, potential risks, and the NEO’s willingness to restrict their future action(s), such as through an agreement not to compete or solicit the Company’s customers or associates. In addition, following a separation from Capital One, certain equity-based awards will continue to vest according to their original terms, as described under “Payments Under Certain Termination Scenarios” beginning on page 107. </w:t>
      </w:r>
    </w:p>
    <w:p>
      <w:pPr>
        <w:pStyle w:val="TextBody"/>
        <w:bidi w:val="0"/>
        <w:spacing w:before="240" w:after="0"/>
        <w:jc w:val="both"/>
        <w:rPr>
          <w:rFonts w:ascii="arial" w:hAnsi="arial"/>
          <w:sz w:val="20"/>
        </w:rPr>
      </w:pPr>
      <w:r>
        <w:rPr>
          <w:rFonts w:ascii="arial" w:hAnsi="arial"/>
          <w:sz w:val="20"/>
        </w:rPr>
        <w:t xml:space="preserve">Capital One has entered into agreements with certain NEOs that contain restrictive covenants related to confidentiality, </w:t>
      </w:r>
    </w:p>
    <w:p>
      <w:pPr>
        <w:pStyle w:val="TextBody"/>
        <w:bidi w:val="0"/>
        <w:spacing w:before="240" w:after="0"/>
        <w:jc w:val="both"/>
        <w:rPr>
          <w:rFonts w:ascii="arial" w:hAnsi="arial"/>
          <w:spacing w:val="0"/>
          <w:sz w:val="20"/>
        </w:rPr>
      </w:pPr>
      <w:r>
        <w:rPr>
          <w:rFonts w:ascii="arial" w:hAnsi="arial"/>
          <w:spacing w:val="0"/>
          <w:sz w:val="20"/>
        </w:rPr>
        <w:t>non-competition,</w:t>
      </w:r>
    </w:p>
    <w:p>
      <w:pPr>
        <w:pStyle w:val="TextBody"/>
        <w:bidi w:val="0"/>
        <w:spacing w:before="240" w:after="0"/>
        <w:jc w:val="both"/>
        <w:rPr>
          <w:rFonts w:ascii="arial" w:hAnsi="arial"/>
          <w:spacing w:val="0"/>
          <w:sz w:val="20"/>
        </w:rPr>
      </w:pPr>
      <w:r>
        <w:rPr>
          <w:rFonts w:ascii="arial" w:hAnsi="arial"/>
          <w:spacing w:val="0"/>
          <w:sz w:val="20"/>
        </w:rPr>
        <w:t>non-solicitation,</w:t>
      </w:r>
    </w:p>
    <w:p>
      <w:pPr>
        <w:pStyle w:val="TextBody"/>
        <w:bidi w:val="0"/>
        <w:spacing w:before="240" w:after="0"/>
        <w:jc w:val="both"/>
        <w:rPr>
          <w:rFonts w:ascii="arial" w:hAnsi="arial"/>
          <w:sz w:val="20"/>
        </w:rPr>
      </w:pPr>
      <w:r>
        <w:rPr>
          <w:rFonts w:ascii="arial" w:hAnsi="arial"/>
          <w:sz w:val="20"/>
        </w:rPr>
        <w:t xml:space="preserve">and ownership of work product. For additional information, see “Restrictive Covenants” beginning on page 106. Upon retiring from the Company, associates, including the NEOs, will have access to a variety of medical plans through a private exchange. Generally, retirees who meet the criteria </w:t>
      </w:r>
    </w:p>
    <w:p>
      <w:pPr>
        <w:pStyle w:val="TextBody"/>
        <w:bidi w:val="0"/>
        <w:spacing w:before="0" w:after="0"/>
        <w:jc w:val="left"/>
        <w:rPr/>
      </w:pPr>
      <w:r>
        <w:rPr/>
        <w:t> </w:t>
      </w:r>
    </w:p>
    <w:tbl>
      <w:tblPr>
        <w:tblW w:w="6196" w:type="dxa"/>
        <w:jc w:val="left"/>
        <w:tblInd w:w="0" w:type="dxa"/>
        <w:tblLayout w:type="fixed"/>
        <w:tblCellMar>
          <w:top w:w="0" w:type="dxa"/>
          <w:left w:w="0" w:type="dxa"/>
          <w:bottom w:w="0" w:type="dxa"/>
          <w:right w:w="0" w:type="dxa"/>
        </w:tblCellMar>
      </w:tblPr>
      <w:tblGrid>
        <w:gridCol w:w="350"/>
        <w:gridCol w:w="60"/>
        <w:gridCol w:w="23"/>
        <w:gridCol w:w="60"/>
        <w:gridCol w:w="23"/>
        <w:gridCol w:w="60"/>
        <w:gridCol w:w="3380"/>
        <w:gridCol w:w="60"/>
        <w:gridCol w:w="2180"/>
      </w:tblGrid>
      <w:tr>
        <w:trPr/>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350" w:type="dxa"/>
            <w:tcBorders/>
            <w:vAlign w:val="center"/>
          </w:tcPr>
          <w:p>
            <w:pPr>
              <w:pStyle w:val="TableContents"/>
              <w:bidi w:val="0"/>
              <w:spacing w:before="0" w:after="0"/>
              <w:jc w:val="center"/>
              <w:rPr>
                <w:b/>
                <w:spacing w:val="0"/>
                <w:sz w:val="20"/>
              </w:rPr>
            </w:pPr>
            <w:r>
              <w:rPr>
                <w:b/>
                <w:spacing w:val="0"/>
                <w:sz w:val="20"/>
              </w:rPr>
              <w:t>92 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pacing w:val="0"/>
                <w:sz w:val="17"/>
              </w:rPr>
            </w:pPr>
            <w:r>
              <w:rPr>
                <w:rFonts w:ascii="arial" w:hAnsi="arial"/>
                <w:color w:val="003A5D"/>
                <w:spacing w:val="0"/>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spacing w:val="0"/>
              </w:rPr>
            </w:pPr>
            <w:r>
              <w:rPr>
                <w:color w:val="003A5D"/>
                <w:spacing w:val="0"/>
              </w:rPr>
              <w:t> </w:t>
            </w:r>
            <w:r>
              <w:rPr>
                <w:rFonts w:ascii="arial" w:hAnsi="arial"/>
                <w:b/>
                <w:color w:val="003A5D"/>
                <w:spacing w:val="0"/>
                <w:sz w:val="17"/>
              </w:rPr>
              <w:t>2025 PROXY STATEMENT</w:t>
            </w:r>
          </w:p>
          <w:p>
            <w:pPr>
              <w:pStyle w:val="TableContents"/>
              <w:bidi w:val="0"/>
              <w:spacing w:before="0" w:after="20"/>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0"/>
              <w:jc w:val="right"/>
              <w:rPr>
                <w:b/>
                <w:color w:val="003A5D"/>
                <w:spacing w:val="0"/>
              </w:rPr>
            </w:pPr>
            <w:r>
              <w:rPr>
                <w:b/>
                <w:color w:val="003A5D"/>
                <w:spacing w:val="0"/>
              </w:rPr>
              <w:t>EXECUTIVE COMPENSATION</w:t>
            </w:r>
          </w:p>
        </w:tc>
      </w:tr>
    </w:tbl>
    <w:p>
      <w:pPr>
        <w:pStyle w:val="TextBody"/>
        <w:bidi w:val="0"/>
        <w:spacing w:lineRule="atLeast" w:line="142" w:before="0" w:after="40"/>
        <w:jc w:val="left"/>
        <w:rPr>
          <w:bdr w:val="single" w:sz="2" w:space="1" w:color="003A5D"/>
        </w:rPr>
      </w:pPr>
      <w:r>
        <w:rPr>
          <w:bdr w:val="single" w:sz="2" w:space="1" w:color="003A5D"/>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0"/>
              <w:jc w:val="right"/>
              <w:rPr>
                <w:b/>
                <w:color w:val="003A5D"/>
                <w:spacing w:val="0"/>
              </w:rPr>
            </w:pPr>
            <w:r>
              <w:rPr>
                <w:b/>
                <w:color w:val="003A5D"/>
                <w:spacing w:val="0"/>
              </w:rPr>
              <w:t>Section V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for subsidized retiree medical coverage and enroll in a plan through the private exchange will receive funding from Capital One in a Health Reimbursement Account (“HRA”). NEOs who meet the retirement criteria may also elect to receive 18 months of COBRA coverage. In addition, certain equity-based awards will continue to vest according to their original terms, as described under “Payments Upon Retirement” beginning on page 107.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b/>
          <w:color w:val="003A5D"/>
          <w:spacing w:val="0"/>
          <w:sz w:val="32"/>
        </w:rPr>
      </w:pPr>
      <w:r>
        <w:rPr>
          <w:rFonts w:ascii="arial" w:hAnsi="arial"/>
          <w:b/>
          <w:color w:val="003A5D"/>
          <w:spacing w:val="0"/>
          <w:sz w:val="32"/>
        </w:rPr>
        <w:t xml:space="preserve">Other Aspects of Executive Compensation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b/>
          <w:i/>
          <w:color w:val="003A5D"/>
          <w:spacing w:val="0"/>
          <w:sz w:val="24"/>
        </w:rPr>
      </w:pPr>
      <w:r>
        <w:rPr>
          <w:rFonts w:ascii="arial" w:hAnsi="arial"/>
          <w:b/>
          <w:i/>
          <w:color w:val="003A5D"/>
          <w:spacing w:val="0"/>
          <w:sz w:val="24"/>
        </w:rPr>
        <w:t xml:space="preserve">Stock Ownership and Retention Requirements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arial" w:hAnsi="arial"/>
          <w:sz w:val="20"/>
        </w:rPr>
      </w:pPr>
      <w:r>
        <w:rPr>
          <w:rFonts w:ascii="arial" w:hAnsi="arial"/>
          <w:sz w:val="20"/>
        </w:rPr>
        <w:t xml:space="preserve">Consistent with their responsibilities to our stockholders, the executive officers are required to maintain a significant financial stake in the Company. To this end, the CEO and the other NEOs must own shares of Capital One common stock with a fair market value of at least the following (“Stock Ownership Requirement”): </w:t>
      </w:r>
    </w:p>
    <w:p>
      <w:pPr>
        <w:pStyle w:val="TextBody"/>
        <w:bidi w:val="0"/>
        <w:spacing w:before="0" w:after="0"/>
        <w:jc w:val="left"/>
        <w:rPr/>
      </w:pPr>
      <w:r>
        <w:rPr/>
        <w:t> </w:t>
      </w:r>
    </w:p>
    <w:tbl>
      <w:tblPr>
        <w:tblW w:w="9180" w:type="dxa"/>
        <w:jc w:val="left"/>
        <w:tblInd w:w="0" w:type="dxa"/>
        <w:tblLayout w:type="fixed"/>
        <w:tblCellMar>
          <w:top w:w="0" w:type="dxa"/>
          <w:left w:w="0" w:type="dxa"/>
          <w:bottom w:w="0" w:type="dxa"/>
          <w:right w:w="0" w:type="dxa"/>
        </w:tblCellMar>
      </w:tblPr>
      <w:tblGrid>
        <w:gridCol w:w="3380"/>
        <w:gridCol w:w="60"/>
        <w:gridCol w:w="60"/>
        <w:gridCol w:w="120"/>
        <w:gridCol w:w="2780"/>
        <w:gridCol w:w="60"/>
        <w:gridCol w:w="60"/>
        <w:gridCol w:w="120"/>
        <w:gridCol w:w="2540"/>
      </w:tblGrid>
      <w:tr>
        <w:trPr/>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r>
      <w:tr>
        <w:trPr/>
        <w:tc>
          <w:tcPr>
            <w:tcW w:w="3380" w:type="dxa"/>
            <w:tcBorders/>
            <w:shd w:fill="003A5D" w:val="clear"/>
            <w:vAlign w:val="center"/>
          </w:tcPr>
          <w:p>
            <w:pPr>
              <w:pStyle w:val="TableContents"/>
              <w:bidi w:val="0"/>
              <w:spacing w:before="0" w:after="0"/>
              <w:jc w:val="center"/>
              <w:rPr>
                <w:b/>
                <w:color w:val="FFFFFF"/>
                <w:spacing w:val="0"/>
              </w:rPr>
            </w:pPr>
            <w:r>
              <w:rPr>
                <w:b/>
                <w:color w:val="FFFFFF"/>
                <w:spacing w:val="0"/>
              </w:rPr>
              <w:t>Role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shd w:fill="003A5D" w:val="clear"/>
            <w:vAlign w:val="center"/>
          </w:tcPr>
          <w:p>
            <w:pPr>
              <w:pStyle w:val="TableContents"/>
              <w:bidi w:val="0"/>
              <w:spacing w:before="0" w:after="283"/>
              <w:jc w:val="left"/>
              <w:rPr/>
            </w:pPr>
            <w:r>
              <w:rPr/>
              <w:t>  </w:t>
            </w:r>
          </w:p>
        </w:tc>
        <w:tc>
          <w:tcPr>
            <w:tcW w:w="2780" w:type="dxa"/>
            <w:tcBorders/>
            <w:shd w:fill="003A5D" w:val="clear"/>
            <w:vAlign w:val="center"/>
          </w:tcPr>
          <w:p>
            <w:pPr>
              <w:pStyle w:val="TableContents"/>
              <w:bidi w:val="0"/>
              <w:spacing w:before="0" w:after="0"/>
              <w:jc w:val="center"/>
              <w:rPr>
                <w:color w:val="FFFFFF"/>
                <w:spacing w:val="0"/>
              </w:rPr>
            </w:pPr>
            <w:r>
              <w:rPr>
                <w:color w:val="FFFFFF"/>
                <w:spacing w:val="0"/>
              </w:rPr>
              <w:t> </w:t>
            </w:r>
            <w:r>
              <w:rPr>
                <w:b/>
                <w:color w:val="FFFFFF"/>
                <w:spacing w:val="0"/>
              </w:rPr>
              <w:t>Ownership Requirement 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shd w:fill="003A5D" w:val="clear"/>
            <w:vAlign w:val="center"/>
          </w:tcPr>
          <w:p>
            <w:pPr>
              <w:pStyle w:val="TableContents"/>
              <w:bidi w:val="0"/>
              <w:spacing w:before="0" w:after="283"/>
              <w:jc w:val="left"/>
              <w:rPr/>
            </w:pPr>
            <w:r>
              <w:rPr/>
              <w:t>  </w:t>
            </w:r>
          </w:p>
        </w:tc>
        <w:tc>
          <w:tcPr>
            <w:tcW w:w="2540" w:type="dxa"/>
            <w:tcBorders/>
            <w:shd w:fill="003A5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pacing w:val="0"/>
                <w:sz w:val="18"/>
              </w:rPr>
            </w:pPr>
            <w:r>
              <w:rPr>
                <w:rFonts w:ascii="arial" w:hAnsi="arial"/>
                <w:b/>
                <w:color w:val="FFFFFF"/>
                <w:spacing w:val="0"/>
                <w:sz w:val="18"/>
              </w:rPr>
              <w:t>Post-Termination</w:t>
            </w:r>
          </w:p>
          <w:p>
            <w:pPr>
              <w:pStyle w:val="TableContents"/>
              <w:bidi w:val="0"/>
              <w:spacing w:before="0" w:after="20"/>
              <w:jc w:val="center"/>
              <w:rPr>
                <w:rFonts w:ascii="arial" w:hAnsi="arial"/>
                <w:b/>
                <w:color w:val="FFFFFF"/>
                <w:spacing w:val="0"/>
                <w:sz w:val="18"/>
              </w:rPr>
            </w:pPr>
            <w:r>
              <w:rPr>
                <w:rFonts w:ascii="arial" w:hAnsi="arial"/>
                <w:b/>
                <w:color w:val="FFFFFF"/>
                <w:spacing w:val="0"/>
                <w:sz w:val="18"/>
              </w:rPr>
              <w:t>Ownership Requirement </w:t>
            </w:r>
          </w:p>
        </w:tc>
      </w:tr>
      <w:tr>
        <w:trPr/>
        <w:tc>
          <w:tcPr>
            <w:tcW w:w="3380"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CEO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2780"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$10.5 million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2540"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$5.25 million</w:t>
            </w:r>
          </w:p>
        </w:tc>
      </w:tr>
      <w:tr>
        <w:trPr/>
        <w:tc>
          <w:tcPr>
            <w:tcW w:w="3380"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Other NEOs and Executive Officers 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2780"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pPr>
            <w:r>
              <w:rPr/>
              <w:t> </w:t>
            </w:r>
            <w:r>
              <w:rPr>
                <w:rFonts w:ascii="arial" w:hAnsi="arial"/>
                <w:sz w:val="20"/>
              </w:rPr>
              <w:t>3x annual cash salary 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2540"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pPr>
            <w:r>
              <w:rPr/>
              <w:t> </w:t>
            </w:r>
            <w:r>
              <w:rPr>
                <w:rFonts w:ascii="arial" w:hAnsi="arial"/>
                <w:sz w:val="20"/>
              </w:rPr>
              <w:t>1.5x annual cash salary </w:t>
            </w:r>
          </w:p>
        </w:tc>
      </w:tr>
    </w:tbl>
    <w:p>
      <w:pPr>
        <w:pStyle w:val="TextBody"/>
        <w:bidi w:val="0"/>
        <w:spacing w:before="240" w:after="0"/>
        <w:jc w:val="both"/>
        <w:rPr>
          <w:rFonts w:ascii="arial" w:hAnsi="arial"/>
          <w:sz w:val="20"/>
        </w:rPr>
      </w:pPr>
      <w:r>
        <w:rPr>
          <w:rFonts w:ascii="arial" w:hAnsi="arial"/>
          <w:sz w:val="20"/>
        </w:rPr>
        <w:t xml:space="preserve">Given that the CEO’s compensation program does not include a base salary, his Stock Ownership Requirement is based on an amount established annually by the Committee and the Independent Directors. The CEO’s Stock Ownership Requirement is $10.5 million. In addition, the CEO and all other NEOs are required to continue to hold 50% of their Stock Ownership Requirement for one year following termination, retirement, or ceasing to serve as an executive officer, except in case of termination by death, disability, or in connection with a change of control. The Committee and the Independent Directors believe that these Stock Ownership Requirements have increased the alignment of CEO and all other NEO compensation with stockholder interests. </w:t>
      </w:r>
    </w:p>
    <w:p>
      <w:pPr>
        <w:pStyle w:val="TextBody"/>
        <w:bidi w:val="0"/>
        <w:spacing w:before="240" w:after="0"/>
        <w:jc w:val="both"/>
        <w:rPr>
          <w:rFonts w:ascii="arial" w:hAnsi="arial"/>
          <w:sz w:val="20"/>
        </w:rPr>
      </w:pPr>
      <w:r>
        <w:rPr>
          <w:rFonts w:ascii="arial" w:hAnsi="arial"/>
          <w:sz w:val="20"/>
        </w:rPr>
        <w:t xml:space="preserve">Ownership requirements may be fulfilled using the following shares: </w:t>
      </w:r>
    </w:p>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75"/>
        <w:gridCol w:w="215"/>
        <w:gridCol w:w="60"/>
        <w:gridCol w:w="2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color w:val="003A5D"/>
                <w:spacing w:val="0"/>
              </w:rPr>
            </w:pPr>
            <w:r>
              <w:rPr>
                <w:color w:val="003A5D"/>
                <w:spacing w:val="0"/>
              </w:rPr>
              <w:t>∎</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both"/>
              <w:rPr>
                <w:rFonts w:ascii="arial" w:hAnsi="arial"/>
                <w:sz w:val="20"/>
              </w:rPr>
            </w:pPr>
            <w:r>
              <w:rPr>
                <w:rFonts w:ascii="arial" w:hAnsi="arial"/>
                <w:sz w:val="20"/>
              </w:rPr>
              <w:t xml:space="preserve">Shares owned without restriction </w:t>
            </w:r>
          </w:p>
        </w:tc>
      </w:tr>
    </w:tbl>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75"/>
        <w:gridCol w:w="215"/>
        <w:gridCol w:w="60"/>
        <w:gridCol w:w="233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color w:val="003A5D"/>
                <w:spacing w:val="0"/>
              </w:rPr>
            </w:pPr>
            <w:r>
              <w:rPr>
                <w:color w:val="003A5D"/>
                <w:spacing w:val="0"/>
              </w:rPr>
              <w:t>∎</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jc w:val="both"/>
              <w:rPr>
                <w:rFonts w:ascii="arial" w:hAnsi="arial"/>
                <w:sz w:val="20"/>
              </w:rPr>
            </w:pPr>
            <w:r>
              <w:rPr>
                <w:rFonts w:ascii="arial" w:hAnsi="arial"/>
                <w:sz w:val="20"/>
              </w:rPr>
              <w:t xml:space="preserve">Unvested restricted stock </w:t>
            </w:r>
          </w:p>
        </w:tc>
      </w:tr>
    </w:tbl>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75"/>
        <w:gridCol w:w="215"/>
        <w:gridCol w:w="60"/>
        <w:gridCol w:w="267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color w:val="003A5D"/>
                <w:spacing w:val="0"/>
              </w:rPr>
            </w:pPr>
            <w:r>
              <w:rPr>
                <w:color w:val="003A5D"/>
                <w:spacing w:val="0"/>
              </w:rPr>
              <w:t>∎</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0"/>
              <w:jc w:val="both"/>
              <w:rPr>
                <w:rFonts w:ascii="arial" w:hAnsi="arial"/>
                <w:sz w:val="20"/>
              </w:rPr>
            </w:pPr>
            <w:r>
              <w:rPr>
                <w:rFonts w:ascii="arial" w:hAnsi="arial"/>
                <w:sz w:val="20"/>
              </w:rPr>
              <w:t xml:space="preserve">Unvested stock-settled RSUs </w:t>
            </w:r>
          </w:p>
        </w:tc>
      </w:tr>
    </w:tbl>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75"/>
        <w:gridCol w:w="215"/>
        <w:gridCol w:w="60"/>
        <w:gridCol w:w="5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color w:val="003A5D"/>
                <w:spacing w:val="0"/>
              </w:rPr>
            </w:pPr>
            <w:r>
              <w:rPr>
                <w:color w:val="003A5D"/>
                <w:spacing w:val="0"/>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both"/>
              <w:rPr>
                <w:rFonts w:ascii="arial" w:hAnsi="arial"/>
                <w:sz w:val="20"/>
              </w:rPr>
            </w:pPr>
            <w:r>
              <w:rPr>
                <w:rFonts w:ascii="arial" w:hAnsi="arial"/>
                <w:sz w:val="20"/>
              </w:rPr>
              <w:t xml:space="preserve">Shares acquired through the 2002 Associate Stock Purchase Plan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215"/>
        <w:gridCol w:w="60"/>
        <w:gridCol w:w="696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color w:val="003A5D"/>
                <w:spacing w:val="0"/>
              </w:rPr>
            </w:pPr>
            <w:r>
              <w:rPr>
                <w:color w:val="003A5D"/>
                <w:spacing w:val="0"/>
              </w:rPr>
              <w:t>∎</w:t>
            </w:r>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0"/>
              <w:jc w:val="both"/>
              <w:rPr>
                <w:rFonts w:ascii="arial" w:hAnsi="arial"/>
                <w:sz w:val="20"/>
              </w:rPr>
            </w:pPr>
            <w:r>
              <w:rPr>
                <w:rFonts w:ascii="arial" w:hAnsi="arial"/>
                <w:sz w:val="20"/>
              </w:rPr>
              <w:t xml:space="preserve">Shares owned through the Capital One Stock Fund in Capital One’s 401(k) plan </w:t>
            </w:r>
          </w:p>
        </w:tc>
      </w:tr>
    </w:tbl>
    <w:p>
      <w:pPr>
        <w:pStyle w:val="TextBody"/>
        <w:bidi w:val="0"/>
        <w:spacing w:before="240" w:after="0"/>
        <w:jc w:val="both"/>
        <w:rPr>
          <w:rFonts w:ascii="arial" w:hAnsi="arial"/>
          <w:sz w:val="20"/>
        </w:rPr>
      </w:pPr>
      <w:r>
        <w:rPr>
          <w:rFonts w:ascii="arial" w:hAnsi="arial"/>
          <w:sz w:val="20"/>
        </w:rPr>
        <w:t xml:space="preserve">Unexercised stock options and unvested performance share awards may not be used to fulfill ownership requirements. </w:t>
      </w:r>
    </w:p>
    <w:p>
      <w:pPr>
        <w:pStyle w:val="TextBody"/>
        <w:bidi w:val="0"/>
        <w:spacing w:before="240" w:after="0"/>
        <w:jc w:val="both"/>
        <w:rPr>
          <w:rFonts w:ascii="arial" w:hAnsi="arial"/>
          <w:sz w:val="20"/>
        </w:rPr>
      </w:pPr>
      <w:r>
        <w:rPr>
          <w:rFonts w:ascii="arial" w:hAnsi="arial"/>
          <w:sz w:val="20"/>
        </w:rPr>
        <w:t xml:space="preserve">The Committee reviews the guidelines and monitors the CEO’s and the other NEOs’ compliance with them. New executive officers are given five years from the date of promotion to or appointment as an executive officer to comply with the Stock Ownership Requirements. In the event that an executive officer is not in compliance with these requirements, the Committee has the right to take action, including reducing the executive officer’s compensation. The CEO and all other NEOs are currently in compliance with this requirement. </w:t>
      </w:r>
    </w:p>
    <w:p>
      <w:pPr>
        <w:pStyle w:val="TextBody"/>
        <w:bidi w:val="0"/>
        <w:spacing w:before="240" w:after="0"/>
        <w:jc w:val="both"/>
        <w:rPr>
          <w:rFonts w:ascii="arial" w:hAnsi="arial"/>
          <w:sz w:val="20"/>
        </w:rPr>
      </w:pPr>
      <w:r>
        <w:rPr>
          <w:rFonts w:ascii="arial" w:hAnsi="arial"/>
          <w:sz w:val="20"/>
        </w:rPr>
        <w:t xml:space="preserve">The Company has stock retention requirements for certain equity awards made to the CEO and the other NEOs. With respect to awards of performance shares and stock-settled RSUs that vest (i) during an executive’s term of employment with Capital One, or (ii) as applicable, prior to the first anniversary of such executive’s separation from Capital One, each executive must hold 50% of the </w:t>
      </w:r>
    </w:p>
    <w:p>
      <w:pPr>
        <w:pStyle w:val="TextBody"/>
        <w:bidi w:val="0"/>
        <w:spacing w:before="240" w:after="0"/>
        <w:jc w:val="both"/>
        <w:rPr>
          <w:rFonts w:ascii="arial" w:hAnsi="arial"/>
          <w:spacing w:val="0"/>
          <w:sz w:val="20"/>
        </w:rPr>
      </w:pPr>
      <w:r>
        <w:rPr>
          <w:rFonts w:ascii="arial" w:hAnsi="arial"/>
          <w:spacing w:val="0"/>
          <w:sz w:val="20"/>
        </w:rPr>
        <w:t>after-tax</w:t>
      </w:r>
    </w:p>
    <w:p>
      <w:pPr>
        <w:pStyle w:val="TextBody"/>
        <w:bidi w:val="0"/>
        <w:spacing w:before="240" w:after="0"/>
        <w:jc w:val="both"/>
        <w:rPr>
          <w:rFonts w:ascii="arial" w:hAnsi="arial"/>
          <w:sz w:val="20"/>
        </w:rPr>
      </w:pPr>
      <w:r>
        <w:rPr>
          <w:rFonts w:ascii="arial" w:hAnsi="arial"/>
          <w:sz w:val="20"/>
        </w:rPr>
        <w:t xml:space="preserve">net shares acquired (“Retained Shares”) for a period of one year after the acquisition date of the shares. In addition, the Company requires that Retained Shares </w:t>
      </w:r>
    </w:p>
    <w:p>
      <w:pPr>
        <w:pStyle w:val="TextBody"/>
        <w:bidi w:val="0"/>
        <w:spacing w:before="0" w:after="0"/>
        <w:jc w:val="left"/>
        <w:rPr/>
      </w:pPr>
      <w:r>
        <w:rPr/>
        <w:t> </w:t>
      </w:r>
    </w:p>
    <w:tbl>
      <w:tblPr>
        <w:tblW w:w="6165" w:type="dxa"/>
        <w:jc w:val="left"/>
        <w:tblInd w:w="0" w:type="dxa"/>
        <w:tblLayout w:type="fixed"/>
        <w:tblCellMar>
          <w:top w:w="0" w:type="dxa"/>
          <w:left w:w="0" w:type="dxa"/>
          <w:bottom w:w="0" w:type="dxa"/>
          <w:right w:w="0" w:type="dxa"/>
        </w:tblCellMar>
      </w:tblPr>
      <w:tblGrid>
        <w:gridCol w:w="3395"/>
        <w:gridCol w:w="60"/>
        <w:gridCol w:w="2255"/>
        <w:gridCol w:w="60"/>
        <w:gridCol w:w="39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pacing w:val="0"/>
                <w:sz w:val="17"/>
              </w:rPr>
            </w:pPr>
            <w:r>
              <w:rPr>
                <w:rFonts w:ascii="arial" w:hAnsi="arial"/>
                <w:color w:val="003A5D"/>
                <w:spacing w:val="0"/>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spacing w:val="0"/>
              </w:rPr>
            </w:pPr>
            <w:r>
              <w:rPr>
                <w:color w:val="003A5D"/>
                <w:spacing w:val="0"/>
              </w:rPr>
              <w:t> </w:t>
            </w:r>
            <w:r>
              <w:rPr>
                <w:rFonts w:ascii="arial" w:hAnsi="arial"/>
                <w:b/>
                <w:color w:val="003A5D"/>
                <w:spacing w:val="0"/>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center"/>
              <w:rPr>
                <w:spacing w:val="0"/>
              </w:rPr>
            </w:pPr>
            <w:r>
              <w:rPr>
                <w:spacing w:val="0"/>
              </w:rPr>
              <w:t> </w:t>
            </w:r>
            <w:r>
              <w:rPr>
                <w:b/>
                <w:spacing w:val="0"/>
              </w:rPr>
              <w:t>93</w:t>
            </w:r>
          </w:p>
          <w:p>
            <w:pPr>
              <w:pStyle w:val="TableContents"/>
              <w:bidi w:val="0"/>
              <w:spacing w:before="0" w:after="20"/>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0"/>
              <w:jc w:val="left"/>
              <w:rPr>
                <w:b/>
                <w:color w:val="003A5D"/>
                <w:spacing w:val="0"/>
              </w:rPr>
            </w:pPr>
            <w:r>
              <w:rPr>
                <w:b/>
                <w:color w:val="003A5D"/>
                <w:spacing w:val="0"/>
              </w:rPr>
              <w:t>EXECUTIVE COMPENSATION</w:t>
            </w:r>
          </w:p>
        </w:tc>
      </w:tr>
    </w:tbl>
    <w:p>
      <w:pPr>
        <w:pStyle w:val="TextBody"/>
        <w:bidi w:val="0"/>
        <w:spacing w:lineRule="atLeast" w:line="142" w:before="0" w:after="40"/>
        <w:jc w:val="left"/>
        <w:rPr>
          <w:bdr w:val="single" w:sz="2" w:space="1" w:color="003A5D"/>
        </w:rPr>
      </w:pPr>
      <w:r>
        <w:rPr>
          <w:bdr w:val="single" w:sz="2" w:space="1" w:color="003A5D"/>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0"/>
              <w:jc w:val="left"/>
              <w:rPr>
                <w:b/>
                <w:color w:val="003A5D"/>
                <w:spacing w:val="0"/>
              </w:rPr>
            </w:pPr>
            <w:r>
              <w:rPr>
                <w:b/>
                <w:color w:val="003A5D"/>
                <w:spacing w:val="0"/>
              </w:rPr>
              <w:t>Section V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continue to be held beyond the </w:t>
      </w:r>
    </w:p>
    <w:p>
      <w:pPr>
        <w:pStyle w:val="TextBody"/>
        <w:bidi w:val="0"/>
        <w:spacing w:before="0" w:after="0"/>
        <w:jc w:val="both"/>
        <w:rPr>
          <w:rFonts w:ascii="arial" w:hAnsi="arial"/>
          <w:spacing w:val="0"/>
          <w:sz w:val="20"/>
        </w:rPr>
      </w:pPr>
      <w:r>
        <w:rPr>
          <w:rFonts w:ascii="arial" w:hAnsi="arial"/>
          <w:spacing w:val="0"/>
          <w:sz w:val="20"/>
        </w:rPr>
        <w:t>one-year</w:t>
      </w:r>
    </w:p>
    <w:p>
      <w:pPr>
        <w:pStyle w:val="TextBody"/>
        <w:bidi w:val="0"/>
        <w:spacing w:before="0" w:after="0"/>
        <w:jc w:val="both"/>
        <w:rPr>
          <w:rFonts w:ascii="arial" w:hAnsi="arial"/>
          <w:sz w:val="20"/>
        </w:rPr>
      </w:pPr>
      <w:r>
        <w:rPr>
          <w:rFonts w:ascii="arial" w:hAnsi="arial"/>
          <w:sz w:val="20"/>
        </w:rPr>
        <w:t xml:space="preserve">period until the CEO and the other NEOs’ Stock Ownership Requirement, as described above, is met. These stock ownership and retention requirements apply to all of our executive officers.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b/>
          <w:i/>
          <w:color w:val="003A5D"/>
          <w:spacing w:val="0"/>
          <w:sz w:val="24"/>
        </w:rPr>
      </w:pPr>
      <w:r>
        <w:rPr>
          <w:rFonts w:ascii="arial" w:hAnsi="arial"/>
          <w:b/>
          <w:i/>
          <w:color w:val="003A5D"/>
          <w:spacing w:val="0"/>
          <w:sz w:val="24"/>
        </w:rPr>
        <w:t xml:space="preserve">Prohibition of Hedging, Speculative Trading Activities, and Pledging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arial" w:hAnsi="arial"/>
          <w:sz w:val="20"/>
        </w:rPr>
      </w:pPr>
      <w:r>
        <w:rPr>
          <w:rFonts w:ascii="arial" w:hAnsi="arial"/>
          <w:sz w:val="20"/>
        </w:rPr>
        <w:t xml:space="preserve">As part of the commitment by Capital One’s leadership team to maintain public confidence in the long-term growth of Capital One’s stock, Capital One maintains a policy prohibiting hedging and speculative trading activities. Specifically, the policy prohibits certain individuals from engaging in short sales, hedging transactions, or speculative trading in derivative securities of Capital One stock. The policy applies to all Capital One directors, officers (as defined under Section 16 of the Exchange Act) (directors and officers, together, “Control Group Members”), and associates who (i) serve at the Senior Vice President level or above, (ii) report directly to a Control Group Member, or (iii) are otherwise determined by Capital One’s General Counsel to be an “insider.” The policy applies to all shares of Capital One stock held by those persons covered by the policy, regardless of whether the stock was granted as compensation by Capital One or is otherwise held directly or indirectly. Capital One also prohibits its Control Group Members from using Capital One securities, including common stock, in a margin account or pledging Capital One securities as collateral for a loan.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b/>
          <w:i/>
          <w:color w:val="003A5D"/>
          <w:spacing w:val="0"/>
          <w:sz w:val="24"/>
        </w:rPr>
      </w:pPr>
      <w:r>
        <w:rPr>
          <w:rFonts w:ascii="arial" w:hAnsi="arial"/>
          <w:b/>
          <w:i/>
          <w:color w:val="003A5D"/>
          <w:spacing w:val="0"/>
          <w:sz w:val="24"/>
        </w:rPr>
        <w:t xml:space="preserve">Insider Trading Policy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arial" w:hAnsi="arial"/>
          <w:sz w:val="20"/>
        </w:rPr>
      </w:pPr>
      <w:r>
        <w:rPr>
          <w:rFonts w:ascii="arial" w:hAnsi="arial"/>
          <w:sz w:val="20"/>
        </w:rPr>
        <w:t xml:space="preserve">We maintain insider trading policies and procedures governing the purchase, sale, and/or other dispositions of Capital One’s securities by directors, officers, employees, and other covered persons that we believe are reasonably designed to promote compliance with insider trading laws, rules, and regulations, as well as applicable NYSE listing standards. A copy of our insider trading policy was filed as Exhibit 19 to our Annual Report on Form </w:t>
      </w:r>
    </w:p>
    <w:p>
      <w:pPr>
        <w:pStyle w:val="TextBody"/>
        <w:bidi w:val="0"/>
        <w:spacing w:before="240" w:after="0"/>
        <w:jc w:val="both"/>
        <w:rPr>
          <w:rFonts w:ascii="arial" w:hAnsi="arial"/>
          <w:spacing w:val="0"/>
          <w:sz w:val="20"/>
        </w:rPr>
      </w:pPr>
      <w:r>
        <w:rPr>
          <w:rFonts w:ascii="arial" w:hAnsi="arial"/>
          <w:spacing w:val="0"/>
          <w:sz w:val="20"/>
        </w:rPr>
        <w:t>10-K,</w:t>
      </w:r>
    </w:p>
    <w:p>
      <w:pPr>
        <w:pStyle w:val="TextBody"/>
        <w:bidi w:val="0"/>
        <w:spacing w:before="240" w:after="0"/>
        <w:jc w:val="both"/>
        <w:rPr>
          <w:rFonts w:ascii="arial" w:hAnsi="arial"/>
          <w:sz w:val="20"/>
        </w:rPr>
      </w:pPr>
      <w:r>
        <w:rPr>
          <w:rFonts w:ascii="arial" w:hAnsi="arial"/>
          <w:sz w:val="20"/>
        </w:rPr>
        <w:t xml:space="preserve">filed with the SEC on February 20,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b/>
          <w:i/>
          <w:color w:val="003A5D"/>
          <w:spacing w:val="0"/>
          <w:sz w:val="24"/>
        </w:rPr>
      </w:pPr>
      <w:r>
        <w:rPr>
          <w:rFonts w:ascii="arial" w:hAnsi="arial"/>
          <w:b/>
          <w:i/>
          <w:color w:val="003A5D"/>
          <w:spacing w:val="0"/>
          <w:sz w:val="24"/>
        </w:rPr>
        <w:t xml:space="preserve">Equity Grant Practices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arial" w:hAnsi="arial"/>
          <w:sz w:val="20"/>
        </w:rPr>
      </w:pPr>
      <w:r>
        <w:rPr>
          <w:rFonts w:ascii="arial" w:hAnsi="arial"/>
          <w:sz w:val="20"/>
        </w:rPr>
        <w:t xml:space="preserve">Capital One strives to maintain equity grant practices that demonstrate high standards of corporate governance. Annual incentive awards generally are approved by the Committee and the Independent Directors (or by authority delegated to the Chief Human Resources Officer for certain associates who are not executive officers) at regularly scheduled meetings in the first quarter of each year. The date of grant is the actual date on which the Committee approves the awards. The Committee may grant awards of restricted stock, RSUs, stock options, or other equity awards outside of the annual incentive cycle. The Committee has delegated authority to the CEO to award shares of restricted stock and RSUs, and to the Chief Human Resources Officer to award stock-settled and cash-settled RSUs (but not options or other equity awards) to associates who are not executive officers, subject to a maximum amount of $2 million for any associate in any one year with an aggregate $50 million annual limit. These awards are designed to be used for new hires and for special programs designed by management to incentivize, retain, and reward current associates of the Company. The Committee reviews all grants made by delegation at least once per year and approves all grants that exceed the annual delegation limit. </w:t>
      </w:r>
    </w:p>
    <w:p>
      <w:pPr>
        <w:pStyle w:val="TextBody"/>
        <w:bidi w:val="0"/>
        <w:spacing w:before="240" w:after="0"/>
        <w:jc w:val="both"/>
        <w:rPr>
          <w:rFonts w:ascii="arial" w:hAnsi="arial"/>
          <w:sz w:val="20"/>
        </w:rPr>
      </w:pPr>
      <w:r>
        <w:rPr>
          <w:rFonts w:ascii="arial" w:hAnsi="arial"/>
          <w:sz w:val="20"/>
        </w:rPr>
        <w:t xml:space="preserve">With respect to awards of stock options, the exercise price is always the Fair Market Value of Capital One common stock on the date of grant. Under the terms of our 2004 Stock Incentive Plan, “Fair Market Value” is equal to the closing price of Capital One common stock on the date of grant. Item 402(x) of Regulation </w:t>
      </w:r>
    </w:p>
    <w:p>
      <w:pPr>
        <w:pStyle w:val="TextBody"/>
        <w:bidi w:val="0"/>
        <w:spacing w:before="240" w:after="0"/>
        <w:jc w:val="both"/>
        <w:rPr>
          <w:rFonts w:ascii="arial" w:hAnsi="arial"/>
          <w:spacing w:val="0"/>
          <w:sz w:val="20"/>
        </w:rPr>
      </w:pPr>
      <w:r>
        <w:rPr>
          <w:rFonts w:ascii="arial" w:hAnsi="arial"/>
          <w:spacing w:val="0"/>
          <w:sz w:val="20"/>
        </w:rPr>
        <w:t>S-K</w:t>
      </w:r>
    </w:p>
    <w:p>
      <w:pPr>
        <w:pStyle w:val="TextBody"/>
        <w:bidi w:val="0"/>
        <w:spacing w:before="240" w:after="0"/>
        <w:jc w:val="both"/>
        <w:rPr>
          <w:rFonts w:ascii="arial" w:hAnsi="arial"/>
          <w:sz w:val="20"/>
        </w:rPr>
      </w:pPr>
      <w:r>
        <w:rPr>
          <w:rFonts w:ascii="arial" w:hAnsi="arial"/>
          <w:sz w:val="20"/>
        </w:rPr>
        <w:t xml:space="preserve">requires Capital One to discuss our policies and practices on the timing of awards of options in relation to our disclosure of material </w:t>
      </w:r>
    </w:p>
    <w:p>
      <w:pPr>
        <w:pStyle w:val="TextBody"/>
        <w:bidi w:val="0"/>
        <w:spacing w:before="240" w:after="0"/>
        <w:jc w:val="both"/>
        <w:rPr>
          <w:rFonts w:ascii="arial" w:hAnsi="arial"/>
          <w:spacing w:val="0"/>
          <w:sz w:val="20"/>
        </w:rPr>
      </w:pPr>
      <w:r>
        <w:rPr>
          <w:rFonts w:ascii="arial" w:hAnsi="arial"/>
          <w:spacing w:val="0"/>
          <w:sz w:val="20"/>
        </w:rPr>
        <w:t>non-public</w:t>
      </w:r>
    </w:p>
    <w:p>
      <w:pPr>
        <w:pStyle w:val="TextBody"/>
        <w:bidi w:val="0"/>
        <w:spacing w:before="240" w:after="0"/>
        <w:jc w:val="both"/>
        <w:rPr>
          <w:rFonts w:ascii="arial" w:hAnsi="arial"/>
          <w:sz w:val="20"/>
        </w:rPr>
      </w:pPr>
      <w:r>
        <w:rPr>
          <w:rFonts w:ascii="arial" w:hAnsi="arial"/>
          <w:sz w:val="20"/>
        </w:rPr>
        <w:t xml:space="preserve">information. Capital One does not seek to time equity grants to take advantage of material </w:t>
      </w:r>
    </w:p>
    <w:p>
      <w:pPr>
        <w:pStyle w:val="TextBody"/>
        <w:bidi w:val="0"/>
        <w:spacing w:before="240" w:after="0"/>
        <w:jc w:val="both"/>
        <w:rPr>
          <w:rFonts w:ascii="arial" w:hAnsi="arial"/>
          <w:spacing w:val="0"/>
          <w:sz w:val="20"/>
        </w:rPr>
      </w:pPr>
      <w:r>
        <w:rPr>
          <w:rFonts w:ascii="arial" w:hAnsi="arial"/>
          <w:spacing w:val="0"/>
          <w:sz w:val="20"/>
        </w:rPr>
        <w:t>non-public</w:t>
      </w:r>
    </w:p>
    <w:p>
      <w:pPr>
        <w:pStyle w:val="TextBody"/>
        <w:bidi w:val="0"/>
        <w:spacing w:before="240" w:after="0"/>
        <w:jc w:val="both"/>
        <w:rPr>
          <w:rFonts w:ascii="arial" w:hAnsi="arial"/>
          <w:sz w:val="20"/>
        </w:rPr>
      </w:pPr>
      <w:r>
        <w:rPr>
          <w:rFonts w:ascii="arial" w:hAnsi="arial"/>
          <w:sz w:val="20"/>
        </w:rPr>
        <w:t xml:space="preserve">information and has never had a practice of doing so. Capital One does not currently grant stock options or similar awards. Accordingly, we do not consider the release of material nonpublic information in relation to the grant of such awards and do not time such release for the purpose of affecting the value of executive compensation. </w:t>
      </w:r>
    </w:p>
    <w:p>
      <w:pPr>
        <w:pStyle w:val="TextBody"/>
        <w:bidi w:val="0"/>
        <w:spacing w:before="0" w:after="0"/>
        <w:jc w:val="left"/>
        <w:rPr/>
      </w:pPr>
      <w:r>
        <w:rPr/>
        <w:t> </w:t>
      </w:r>
    </w:p>
    <w:tbl>
      <w:tblPr>
        <w:tblW w:w="6196" w:type="dxa"/>
        <w:jc w:val="left"/>
        <w:tblInd w:w="0" w:type="dxa"/>
        <w:tblLayout w:type="fixed"/>
        <w:tblCellMar>
          <w:top w:w="0" w:type="dxa"/>
          <w:left w:w="0" w:type="dxa"/>
          <w:bottom w:w="0" w:type="dxa"/>
          <w:right w:w="0" w:type="dxa"/>
        </w:tblCellMar>
      </w:tblPr>
      <w:tblGrid>
        <w:gridCol w:w="350"/>
        <w:gridCol w:w="60"/>
        <w:gridCol w:w="23"/>
        <w:gridCol w:w="60"/>
        <w:gridCol w:w="23"/>
        <w:gridCol w:w="60"/>
        <w:gridCol w:w="3380"/>
        <w:gridCol w:w="60"/>
        <w:gridCol w:w="2180"/>
      </w:tblGrid>
      <w:tr>
        <w:trPr/>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350" w:type="dxa"/>
            <w:tcBorders/>
            <w:vAlign w:val="center"/>
          </w:tcPr>
          <w:p>
            <w:pPr>
              <w:pStyle w:val="TableContents"/>
              <w:bidi w:val="0"/>
              <w:spacing w:before="0" w:after="0"/>
              <w:jc w:val="center"/>
              <w:rPr>
                <w:b/>
                <w:spacing w:val="0"/>
                <w:sz w:val="20"/>
              </w:rPr>
            </w:pPr>
            <w:r>
              <w:rPr>
                <w:b/>
                <w:spacing w:val="0"/>
                <w:sz w:val="20"/>
              </w:rPr>
              <w:t>94 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pacing w:val="0"/>
                <w:sz w:val="17"/>
              </w:rPr>
            </w:pPr>
            <w:r>
              <w:rPr>
                <w:rFonts w:ascii="arial" w:hAnsi="arial"/>
                <w:color w:val="003A5D"/>
                <w:spacing w:val="0"/>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spacing w:val="0"/>
              </w:rPr>
            </w:pPr>
            <w:r>
              <w:rPr>
                <w:color w:val="003A5D"/>
                <w:spacing w:val="0"/>
              </w:rPr>
              <w:t> </w:t>
            </w:r>
            <w:r>
              <w:rPr>
                <w:rFonts w:ascii="arial" w:hAnsi="arial"/>
                <w:b/>
                <w:color w:val="003A5D"/>
                <w:spacing w:val="0"/>
                <w:sz w:val="17"/>
              </w:rPr>
              <w:t>2025 PROXY STATEMENT</w:t>
            </w:r>
          </w:p>
          <w:p>
            <w:pPr>
              <w:pStyle w:val="TableContents"/>
              <w:bidi w:val="0"/>
              <w:spacing w:before="0" w:after="20"/>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0"/>
              <w:jc w:val="right"/>
              <w:rPr>
                <w:b/>
                <w:color w:val="003A5D"/>
                <w:spacing w:val="0"/>
              </w:rPr>
            </w:pPr>
            <w:r>
              <w:rPr>
                <w:b/>
                <w:color w:val="003A5D"/>
                <w:spacing w:val="0"/>
              </w:rPr>
              <w:t>EXECUTIVE COMPENSATION</w:t>
            </w:r>
          </w:p>
        </w:tc>
      </w:tr>
    </w:tbl>
    <w:p>
      <w:pPr>
        <w:pStyle w:val="TextBody"/>
        <w:bidi w:val="0"/>
        <w:spacing w:lineRule="atLeast" w:line="142" w:before="0" w:after="40"/>
        <w:jc w:val="left"/>
        <w:rPr>
          <w:bdr w:val="single" w:sz="2" w:space="1" w:color="003A5D"/>
        </w:rPr>
      </w:pPr>
      <w:r>
        <w:rPr>
          <w:bdr w:val="single" w:sz="2" w:space="1" w:color="003A5D"/>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vAlign w:val="center"/>
          </w:tcPr>
          <w:p>
            <w:pPr>
              <w:pStyle w:val="TableContents"/>
              <w:bidi w:val="0"/>
              <w:spacing w:before="0" w:after="0"/>
              <w:jc w:val="right"/>
              <w:rPr>
                <w:b/>
                <w:color w:val="003A5D"/>
                <w:spacing w:val="0"/>
              </w:rPr>
            </w:pPr>
            <w:r>
              <w:rPr>
                <w:b/>
                <w:color w:val="003A5D"/>
                <w:spacing w:val="0"/>
              </w:rPr>
              <w:t>Section V - Compensation Discussion and Analysis</w:t>
            </w:r>
          </w:p>
        </w:tc>
      </w:tr>
    </w:tbl>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b/>
          <w:i/>
          <w:color w:val="003A5D"/>
          <w:spacing w:val="0"/>
          <w:sz w:val="24"/>
        </w:rPr>
      </w:pPr>
      <w:r>
        <w:rPr>
          <w:rFonts w:ascii="arial" w:hAnsi="arial"/>
          <w:b/>
          <w:i/>
          <w:color w:val="003A5D"/>
          <w:spacing w:val="0"/>
          <w:sz w:val="24"/>
        </w:rPr>
        <w:t xml:space="preserve">Tax Considerations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arial" w:hAnsi="arial"/>
          <w:sz w:val="20"/>
        </w:rPr>
      </w:pPr>
      <w:r>
        <w:rPr>
          <w:rFonts w:ascii="arial" w:hAnsi="arial"/>
          <w:sz w:val="20"/>
        </w:rPr>
        <w:t xml:space="preserve">The Committee carefully considers the tax impacts of its compensation programs on the Company, as well as on its executives. To maintain flexibility in compensating executive officers, the Committee does not require all compensation to be paid or awarded in a </w:t>
      </w:r>
    </w:p>
    <w:p>
      <w:pPr>
        <w:pStyle w:val="TextBody"/>
        <w:bidi w:val="0"/>
        <w:spacing w:before="240" w:after="0"/>
        <w:jc w:val="both"/>
        <w:rPr>
          <w:rFonts w:ascii="arial" w:hAnsi="arial"/>
          <w:spacing w:val="0"/>
          <w:sz w:val="20"/>
        </w:rPr>
      </w:pPr>
      <w:r>
        <w:rPr>
          <w:rFonts w:ascii="arial" w:hAnsi="arial"/>
          <w:spacing w:val="0"/>
          <w:sz w:val="20"/>
        </w:rPr>
        <w:t>tax-deductible</w:t>
      </w:r>
    </w:p>
    <w:p>
      <w:pPr>
        <w:pStyle w:val="TextBody"/>
        <w:bidi w:val="0"/>
        <w:spacing w:before="240" w:after="0"/>
        <w:jc w:val="both"/>
        <w:rPr>
          <w:rFonts w:ascii="arial" w:hAnsi="arial"/>
          <w:sz w:val="20"/>
        </w:rPr>
      </w:pPr>
      <w:r>
        <w:rPr>
          <w:rFonts w:ascii="arial" w:hAnsi="arial"/>
          <w:sz w:val="20"/>
        </w:rPr>
        <w:t xml:space="preserve">manner. </w:t>
      </w:r>
    </w:p>
    <w:p>
      <w:pPr>
        <w:pStyle w:val="TextBody"/>
        <w:bidi w:val="0"/>
        <w:spacing w:before="0" w:after="0"/>
        <w:jc w:val="left"/>
        <w:rPr/>
      </w:pPr>
      <w:r>
        <w:rPr/>
        <w:t> </w:t>
      </w:r>
    </w:p>
    <w:tbl>
      <w:tblPr>
        <w:tblW w:w="6165" w:type="dxa"/>
        <w:jc w:val="left"/>
        <w:tblInd w:w="0" w:type="dxa"/>
        <w:tblLayout w:type="fixed"/>
        <w:tblCellMar>
          <w:top w:w="0" w:type="dxa"/>
          <w:left w:w="0" w:type="dxa"/>
          <w:bottom w:w="0" w:type="dxa"/>
          <w:right w:w="0" w:type="dxa"/>
        </w:tblCellMar>
      </w:tblPr>
      <w:tblGrid>
        <w:gridCol w:w="3395"/>
        <w:gridCol w:w="60"/>
        <w:gridCol w:w="2255"/>
        <w:gridCol w:w="60"/>
        <w:gridCol w:w="39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pacing w:val="0"/>
                <w:sz w:val="17"/>
              </w:rPr>
            </w:pPr>
            <w:r>
              <w:rPr>
                <w:rFonts w:ascii="arial" w:hAnsi="arial"/>
                <w:color w:val="003A5D"/>
                <w:spacing w:val="0"/>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spacing w:val="0"/>
              </w:rPr>
            </w:pPr>
            <w:r>
              <w:rPr>
                <w:color w:val="003A5D"/>
                <w:spacing w:val="0"/>
              </w:rPr>
              <w:t> </w:t>
            </w:r>
            <w:r>
              <w:rPr>
                <w:rFonts w:ascii="arial" w:hAnsi="arial"/>
                <w:b/>
                <w:color w:val="003A5D"/>
                <w:spacing w:val="0"/>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center"/>
              <w:rPr>
                <w:spacing w:val="0"/>
              </w:rPr>
            </w:pPr>
            <w:r>
              <w:rPr>
                <w:spacing w:val="0"/>
              </w:rPr>
              <w:t> </w:t>
            </w:r>
            <w:r>
              <w:rPr>
                <w:b/>
                <w:spacing w:val="0"/>
              </w:rPr>
              <w:t>95</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lef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87" w:name="txa845790_33"/>
      <w:bookmarkEnd w:id="87"/>
      <w:r>
        <w:rPr>
          <w:rFonts w:ascii="arial" w:hAnsi="arial"/>
          <w:b/>
          <w:sz w:val="36"/>
        </w:rPr>
        <w:t xml:space="preserve">Section VI—Named Executive Officer Compensation </w:t>
      </w:r>
    </w:p>
    <w:p>
      <w:pPr>
        <w:pStyle w:val="TextBody"/>
        <w:pBdr>
          <w:bottom w:val="single" w:sz="8"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88" w:name="txa845790_34"/>
      <w:bookmarkEnd w:id="88"/>
      <w:r>
        <w:rPr>
          <w:rFonts w:ascii="arial" w:hAnsi="arial"/>
          <w:b/>
          <w:color w:val="003A5D"/>
          <w:sz w:val="32"/>
        </w:rPr>
        <w:t xml:space="preserve">2024 Summary Compensation Table </w:t>
      </w:r>
    </w:p>
    <w:p>
      <w:pPr>
        <w:pStyle w:val="TextBody"/>
        <w:bidi w:val="0"/>
        <w:spacing w:before="240" w:after="0"/>
        <w:jc w:val="both"/>
        <w:rPr>
          <w:rFonts w:ascii="arial" w:hAnsi="arial"/>
          <w:sz w:val="20"/>
        </w:rPr>
      </w:pPr>
      <w:r>
        <w:rPr>
          <w:rFonts w:ascii="arial" w:hAnsi="arial"/>
          <w:sz w:val="20"/>
        </w:rPr>
        <w:t xml:space="preserve">The Summary Compensation Table below provides information about compensation for the fiscal years ended December 31, 2024, 2023, and 2022 for the NEOs. As discussed in the “Compensation Discussion and Analysis” section beginning on page 55, our executive compensation program is heavily weighted towards equity-based and at-risk elements of compensation. Under SEC rules, equity-based compensation is reported in the Summary Compensation Table below in the year in which it is awarded, which may not correlate to the year for which it is paid. </w:t>
      </w:r>
    </w:p>
    <w:p>
      <w:pPr>
        <w:pStyle w:val="TextBody"/>
        <w:bidi w:val="0"/>
        <w:spacing w:before="240" w:after="0"/>
        <w:jc w:val="both"/>
        <w:rPr>
          <w:rFonts w:ascii="arial" w:hAnsi="arial"/>
          <w:sz w:val="20"/>
        </w:rPr>
      </w:pPr>
      <w:r>
        <w:rPr>
          <w:rFonts w:ascii="arial" w:hAnsi="arial"/>
          <w:sz w:val="20"/>
        </w:rPr>
        <w:t xml:space="preserve">With respect to the compensation reported below for our CEO: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82% of the CEO’s total compensation shown in the table below for 2024 and 84% of the CEO’s 2024 performance year compensation is equity-based and at-risk to the performance of the Company’s stock price, with 100% of his compensation deferred for at least three years.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Amounts shown in the table below for the CEO for 2024 represent cash-settled RSUs granted in February 2024 and a deferred cash bonus awarded in February 2025 for 2024 performance. The CEO also was granted cash-settled RSUs and performance shares in February 2025 for the 2024 performance year, which are not shown in the table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Amounts shown in the “Stock Awards” column for 2024 also include cash-settled RSUs granted to the CEO in February 2024 for the 2023 performance year. </w:t>
            </w:r>
          </w:p>
        </w:tc>
      </w:tr>
    </w:tbl>
    <w:p>
      <w:pPr>
        <w:pStyle w:val="TextBody"/>
        <w:bidi w:val="0"/>
        <w:spacing w:before="240" w:after="0"/>
        <w:jc w:val="both"/>
        <w:rPr>
          <w:rFonts w:ascii="arial" w:hAnsi="arial"/>
          <w:sz w:val="20"/>
        </w:rPr>
      </w:pPr>
      <w:r>
        <w:rPr>
          <w:rFonts w:ascii="arial" w:hAnsi="arial"/>
          <w:sz w:val="20"/>
        </w:rPr>
        <w:t xml:space="preserve">With respect to the compensation reported below for the NEOs other than the CEO: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In 2024, 2023 and 2022, base salary comprised approximately 20% of total target compensation and a cash incentive comprised approximately 25% of total target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Amounts shown in the table below also include performance shares and stock-settled RSUs granted in January or February of that year for the prior performance year. The NEOs also were granted equity awards in February 2025 for the 2024 performance year, which are not shown in the table below. </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96 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390" w:type="dxa"/>
        <w:jc w:val="left"/>
        <w:tblInd w:w="0" w:type="dxa"/>
        <w:tblLayout w:type="fixed"/>
        <w:tblCellMar>
          <w:top w:w="0" w:type="dxa"/>
          <w:left w:w="0" w:type="dxa"/>
          <w:bottom w:w="0" w:type="dxa"/>
          <w:right w:w="0" w:type="dxa"/>
        </w:tblCellMar>
      </w:tblPr>
      <w:tblGrid>
        <w:gridCol w:w="5390"/>
      </w:tblGrid>
      <w:tr>
        <w:trPr/>
        <w:tc>
          <w:tcPr>
            <w:tcW w:w="5390"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center"/>
          </w:tcPr>
          <w:p>
            <w:pPr>
              <w:pStyle w:val="TableContents"/>
              <w:bidi w:val="0"/>
              <w:spacing w:before="0" w:after="283"/>
              <w:jc w:val="right"/>
              <w:rPr>
                <w:b/>
                <w:color w:val="003A5D"/>
              </w:rPr>
            </w:pPr>
            <w:r>
              <w:rPr>
                <w:b/>
                <w:color w:val="003A5D"/>
              </w:rPr>
              <w:t>Section VI - Named Executive Officer Compensation</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Amounts paid to the CEO and the other NEOs in 2024 for other compensation and benefit programs are listed under the “Change in Pension Value and Non-Qualified Deferred Compensation Earnings” and “All Other Compensation” columns. The details of these program amounts are provided in the footnotes to the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6"/>
        <w:gridCol w:w="60"/>
        <w:gridCol w:w="72"/>
        <w:gridCol w:w="458"/>
        <w:gridCol w:w="60"/>
        <w:gridCol w:w="60"/>
        <w:gridCol w:w="830"/>
        <w:gridCol w:w="60"/>
        <w:gridCol w:w="901"/>
        <w:gridCol w:w="60"/>
        <w:gridCol w:w="1472"/>
        <w:gridCol w:w="60"/>
        <w:gridCol w:w="1490"/>
        <w:gridCol w:w="60"/>
        <w:gridCol w:w="1190"/>
        <w:gridCol w:w="60"/>
        <w:gridCol w:w="936"/>
      </w:tblGrid>
      <w:tr>
        <w:trPr/>
        <w:tc>
          <w:tcPr>
            <w:tcW w:w="23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2376" w:type="dxa"/>
            <w:tcBorders/>
            <w:shd w:fill="003A5D" w:val="clear"/>
            <w:vAlign w:val="center"/>
          </w:tcPr>
          <w:p>
            <w:pPr>
              <w:pStyle w:val="TableContents"/>
              <w:bidi w:val="0"/>
              <w:spacing w:before="0" w:after="283"/>
              <w:jc w:val="left"/>
              <w:rPr>
                <w:sz w:val="4"/>
                <w:szCs w:val="4"/>
              </w:rPr>
            </w:pPr>
            <w:r>
              <w:rPr>
                <w:sz w:val="4"/>
                <w:szCs w:val="4"/>
              </w:rPr>
            </w:r>
          </w:p>
        </w:tc>
        <w:tc>
          <w:tcPr>
            <w:tcW w:w="650" w:type="dxa"/>
            <w:gridSpan w:val="4"/>
            <w:tcBorders>
              <w:left w:val="single" w:sz="24" w:space="0" w:color="FFFFFF"/>
              <w:right w:val="single" w:sz="24" w:space="0" w:color="FFFFFF"/>
            </w:tcBorders>
            <w:shd w:fill="003A5D" w:val="clear"/>
            <w:tcMar>
              <w:left w:w="28" w:type="dxa"/>
              <w:right w:w="28" w:type="dxa"/>
            </w:tcMar>
            <w:vAlign w:val="center"/>
          </w:tcPr>
          <w:p>
            <w:pPr>
              <w:pStyle w:val="TableContents"/>
              <w:bidi w:val="0"/>
              <w:spacing w:before="0" w:after="283"/>
              <w:jc w:val="left"/>
              <w:rPr/>
            </w:pPr>
            <w:r>
              <w:rPr/>
              <w:t> </w:t>
            </w:r>
          </w:p>
        </w:tc>
        <w:tc>
          <w:tcPr>
            <w:tcW w:w="890" w:type="dxa"/>
            <w:gridSpan w:val="2"/>
            <w:tcBorders/>
            <w:shd w:fill="003A5D" w:val="clear"/>
            <w:vAlign w:val="center"/>
          </w:tcPr>
          <w:p>
            <w:pPr>
              <w:pStyle w:val="TableContents"/>
              <w:bidi w:val="0"/>
              <w:spacing w:before="0" w:after="283"/>
              <w:jc w:val="left"/>
              <w:rPr>
                <w:sz w:val="4"/>
                <w:szCs w:val="4"/>
              </w:rPr>
            </w:pPr>
            <w:r>
              <w:rPr>
                <w:sz w:val="4"/>
                <w:szCs w:val="4"/>
              </w:rPr>
            </w:r>
          </w:p>
        </w:tc>
        <w:tc>
          <w:tcPr>
            <w:tcW w:w="961" w:type="dxa"/>
            <w:gridSpan w:val="2"/>
            <w:tcBorders>
              <w:left w:val="single" w:sz="24" w:space="0" w:color="FFFFFF"/>
              <w:right w:val="single" w:sz="24" w:space="0" w:color="FFFFFF"/>
            </w:tcBorders>
            <w:shd w:fill="003A5D" w:val="clear"/>
            <w:tcMar>
              <w:left w:w="28" w:type="dxa"/>
              <w:right w:w="28" w:type="dxa"/>
            </w:tcMar>
            <w:vAlign w:val="center"/>
          </w:tcPr>
          <w:p>
            <w:pPr>
              <w:pStyle w:val="TableContents"/>
              <w:bidi w:val="0"/>
              <w:spacing w:before="0" w:after="283"/>
              <w:jc w:val="left"/>
              <w:rPr/>
            </w:pPr>
            <w:r>
              <w:rPr/>
              <w:t> </w:t>
            </w:r>
          </w:p>
        </w:tc>
        <w:tc>
          <w:tcPr>
            <w:tcW w:w="1532" w:type="dxa"/>
            <w:gridSpan w:val="2"/>
            <w:tcBorders/>
            <w:shd w:fill="003A5D" w:val="clear"/>
            <w:vAlign w:val="center"/>
          </w:tcPr>
          <w:p>
            <w:pPr>
              <w:pStyle w:val="TableContents"/>
              <w:bidi w:val="0"/>
              <w:spacing w:before="0" w:after="283"/>
              <w:jc w:val="left"/>
              <w:rPr>
                <w:sz w:val="4"/>
                <w:szCs w:val="4"/>
              </w:rPr>
            </w:pPr>
            <w:r>
              <w:rPr>
                <w:sz w:val="4"/>
                <w:szCs w:val="4"/>
              </w:rPr>
            </w:r>
          </w:p>
        </w:tc>
        <w:tc>
          <w:tcPr>
            <w:tcW w:w="1550" w:type="dxa"/>
            <w:gridSpan w:val="2"/>
            <w:tcBorders>
              <w:left w:val="single" w:sz="24" w:space="0" w:color="FFFFFF"/>
              <w:right w:val="single" w:sz="24" w:space="0" w:color="FFFFFF"/>
            </w:tcBorders>
            <w:shd w:fill="003A5D" w:val="clear"/>
            <w:tcMar>
              <w:left w:w="28" w:type="dxa"/>
              <w:right w:w="28" w:type="dxa"/>
            </w:tcMar>
            <w:vAlign w:val="center"/>
          </w:tcPr>
          <w:p>
            <w:pPr>
              <w:pStyle w:val="TableContents"/>
              <w:bidi w:val="0"/>
              <w:spacing w:before="0" w:after="283"/>
              <w:jc w:val="left"/>
              <w:rPr/>
            </w:pPr>
            <w:r>
              <w:rPr/>
              <w:t> </w:t>
            </w:r>
          </w:p>
        </w:tc>
        <w:tc>
          <w:tcPr>
            <w:tcW w:w="1250" w:type="dxa"/>
            <w:gridSpan w:val="2"/>
            <w:tcBorders/>
            <w:shd w:fill="003A5D" w:val="clear"/>
            <w:vAlign w:val="center"/>
          </w:tcPr>
          <w:p>
            <w:pPr>
              <w:pStyle w:val="TableContents"/>
              <w:bidi w:val="0"/>
              <w:spacing w:before="0" w:after="283"/>
              <w:jc w:val="left"/>
              <w:rPr>
                <w:sz w:val="4"/>
                <w:szCs w:val="4"/>
              </w:rPr>
            </w:pPr>
            <w:r>
              <w:rPr>
                <w:sz w:val="4"/>
                <w:szCs w:val="4"/>
              </w:rPr>
            </w:r>
          </w:p>
        </w:tc>
        <w:tc>
          <w:tcPr>
            <w:tcW w:w="996"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2376" w:type="dxa"/>
            <w:tcBorders>
              <w:bottom w:val="single" w:sz="8" w:space="0" w:color="FFFFFF"/>
            </w:tcBorders>
            <w:shd w:fill="003A5D" w:val="clear"/>
            <w:tcMar>
              <w:bottom w:w="60" w:type="dxa"/>
            </w:tcMar>
            <w:vAlign w:val="center"/>
          </w:tcPr>
          <w:p>
            <w:pPr>
              <w:pStyle w:val="TableContents"/>
              <w:bidi w:val="0"/>
              <w:spacing w:before="0" w:after="283"/>
              <w:jc w:val="left"/>
              <w:rPr>
                <w:color w:val="FFFFFF"/>
              </w:rPr>
            </w:pPr>
            <w:r>
              <w:rPr>
                <w:color w:val="FFFFFF"/>
              </w:rPr>
              <w:t> </w:t>
            </w:r>
            <w:r>
              <w:rPr>
                <w:b/>
                <w:color w:val="FFFFFF"/>
              </w:rPr>
              <w:t>Name and Principal  Position</w:t>
            </w:r>
          </w:p>
        </w:tc>
        <w:tc>
          <w:tcPr>
            <w:tcW w:w="60" w:type="dxa"/>
            <w:tcBorders>
              <w:left w:val="single" w:sz="24" w:space="0" w:color="FFFFFF"/>
              <w:bottom w:val="single" w:sz="8" w:space="0" w:color="FFFFFF"/>
            </w:tcBorders>
            <w:shd w:fill="003A5D" w:val="clear"/>
            <w:tcMar>
              <w:left w:w="28" w:type="dxa"/>
              <w:bottom w:w="28" w:type="dxa"/>
            </w:tcMar>
            <w:vAlign w:val="center"/>
          </w:tcPr>
          <w:p>
            <w:pPr>
              <w:pStyle w:val="TableContents"/>
              <w:bidi w:val="0"/>
              <w:spacing w:before="0" w:after="283"/>
              <w:jc w:val="left"/>
              <w:rPr/>
            </w:pPr>
            <w:r>
              <w:rPr/>
              <w:t> </w:t>
            </w:r>
          </w:p>
        </w:tc>
        <w:tc>
          <w:tcPr>
            <w:tcW w:w="530" w:type="dxa"/>
            <w:gridSpan w:val="2"/>
            <w:tcBorders>
              <w:bottom w:val="single" w:sz="8" w:space="0" w:color="FFFFFF"/>
            </w:tcBorders>
            <w:shd w:fill="003A5D" w:val="clear"/>
            <w:tcMar>
              <w:bottom w:w="60" w:type="dxa"/>
            </w:tcMar>
            <w:vAlign w:val="center"/>
          </w:tcPr>
          <w:p>
            <w:pPr>
              <w:pStyle w:val="TableContents"/>
              <w:bidi w:val="0"/>
              <w:spacing w:before="0" w:after="283"/>
              <w:jc w:val="center"/>
              <w:rPr>
                <w:b/>
                <w:color w:val="FFFFFF"/>
              </w:rPr>
            </w:pPr>
            <w:r>
              <w:rPr>
                <w:b/>
                <w:color w:val="FFFFFF"/>
              </w:rPr>
              <w:t>Year</w:t>
            </w:r>
          </w:p>
        </w:tc>
        <w:tc>
          <w:tcPr>
            <w:tcW w:w="60" w:type="dxa"/>
            <w:tcBorders>
              <w:bottom w:val="single" w:sz="8" w:space="0" w:color="FFFFFF"/>
              <w:right w:val="single" w:sz="24" w:space="0" w:color="FFFFFF"/>
            </w:tcBorders>
            <w:shd w:fill="003A5D"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FFFFFF"/>
            </w:tcBorders>
            <w:shd w:fill="003A5D" w:val="clear"/>
            <w:tcMar>
              <w:bottom w:w="28" w:type="dxa"/>
            </w:tcMar>
            <w:vAlign w:val="center"/>
          </w:tcPr>
          <w:p>
            <w:pPr>
              <w:pStyle w:val="TableContents"/>
              <w:bidi w:val="0"/>
              <w:spacing w:before="0" w:after="283"/>
              <w:jc w:val="left"/>
              <w:rPr/>
            </w:pPr>
            <w:r>
              <w:rPr/>
              <w:t> </w:t>
            </w:r>
          </w:p>
        </w:tc>
        <w:tc>
          <w:tcPr>
            <w:tcW w:w="830" w:type="dxa"/>
            <w:tcBorders>
              <w:bottom w:val="single" w:sz="8" w:space="0" w:color="FFFFFF"/>
            </w:tcBorders>
            <w:shd w:fill="003A5D" w:val="clear"/>
            <w:tcMar>
              <w:bottom w:w="60" w:type="dxa"/>
            </w:tcMar>
            <w:vAlign w:val="center"/>
          </w:tcPr>
          <w:p>
            <w:pPr>
              <w:pStyle w:val="TableContents"/>
              <w:bidi w:val="0"/>
              <w:spacing w:before="0" w:after="283"/>
              <w:jc w:val="center"/>
              <w:rPr>
                <w:b/>
                <w:color w:val="FFFFFF"/>
              </w:rPr>
            </w:pPr>
            <w:r>
              <w:rPr>
                <w:b/>
                <w:color w:val="FFFFFF"/>
              </w:rPr>
              <w:t>Salary</w:t>
            </w:r>
          </w:p>
        </w:tc>
        <w:tc>
          <w:tcPr>
            <w:tcW w:w="60" w:type="dxa"/>
            <w:tcBorders>
              <w:left w:val="single" w:sz="24" w:space="0" w:color="FFFFFF"/>
              <w:bottom w:val="single" w:sz="8" w:space="0" w:color="FFFFFF"/>
            </w:tcBorders>
            <w:shd w:fill="003A5D" w:val="clear"/>
            <w:tcMar>
              <w:left w:w="28" w:type="dxa"/>
              <w:bottom w:w="28" w:type="dxa"/>
            </w:tcMar>
            <w:vAlign w:val="center"/>
          </w:tcPr>
          <w:p>
            <w:pPr>
              <w:pStyle w:val="TableContents"/>
              <w:bidi w:val="0"/>
              <w:spacing w:before="0" w:after="283"/>
              <w:jc w:val="left"/>
              <w:rPr/>
            </w:pPr>
            <w:r>
              <w:rPr/>
              <w:t> </w:t>
            </w:r>
          </w:p>
        </w:tc>
        <w:tc>
          <w:tcPr>
            <w:tcW w:w="901" w:type="dxa"/>
            <w:tcBorders>
              <w:bottom w:val="single" w:sz="8" w:space="0" w:color="FFFFFF"/>
              <w:right w:val="single" w:sz="24" w:space="0" w:color="FFFFFF"/>
            </w:tcBorders>
            <w:shd w:fill="003A5D" w:val="clear"/>
            <w:tcMar>
              <w:bottom w:w="60" w:type="dxa"/>
              <w:right w:w="28" w:type="dxa"/>
            </w:tcMar>
            <w:vAlign w:val="center"/>
          </w:tcPr>
          <w:p>
            <w:pPr>
              <w:pStyle w:val="TableContents"/>
              <w:bidi w:val="0"/>
              <w:spacing w:before="0" w:after="283"/>
              <w:jc w:val="center"/>
              <w:rPr>
                <w:b/>
                <w:color w:val="FFFFFF"/>
              </w:rPr>
            </w:pPr>
            <w:r>
              <w:rPr>
                <w:b/>
                <w:color w:val="FFFFFF"/>
              </w:rPr>
              <w:t>Bonus(1)</w:t>
            </w:r>
          </w:p>
        </w:tc>
        <w:tc>
          <w:tcPr>
            <w:tcW w:w="60" w:type="dxa"/>
            <w:tcBorders>
              <w:bottom w:val="single" w:sz="8" w:space="0" w:color="FFFFFF"/>
            </w:tcBorders>
            <w:shd w:fill="003A5D" w:val="clear"/>
            <w:tcMar>
              <w:bottom w:w="28" w:type="dxa"/>
            </w:tcMar>
            <w:vAlign w:val="center"/>
          </w:tcPr>
          <w:p>
            <w:pPr>
              <w:pStyle w:val="TableContents"/>
              <w:bidi w:val="0"/>
              <w:spacing w:before="0" w:after="283"/>
              <w:jc w:val="left"/>
              <w:rPr/>
            </w:pPr>
            <w:r>
              <w:rPr/>
              <w:t> </w:t>
            </w:r>
          </w:p>
        </w:tc>
        <w:tc>
          <w:tcPr>
            <w:tcW w:w="1472" w:type="dxa"/>
            <w:tcBorders>
              <w:bottom w:val="single" w:sz="8" w:space="0" w:color="FFFFFF"/>
            </w:tcBorders>
            <w:shd w:fill="003A5D" w:val="clear"/>
            <w:tcMar>
              <w:bottom w:w="60" w:type="dxa"/>
            </w:tcMar>
            <w:vAlign w:val="center"/>
          </w:tcPr>
          <w:p>
            <w:pPr>
              <w:pStyle w:val="TableContents"/>
              <w:bidi w:val="0"/>
              <w:spacing w:before="0" w:after="283"/>
              <w:jc w:val="center"/>
              <w:rPr>
                <w:b/>
                <w:color w:val="FFFFFF"/>
              </w:rPr>
            </w:pPr>
            <w:r>
              <w:rPr>
                <w:b/>
                <w:color w:val="FFFFFF"/>
              </w:rPr>
              <w:t>Stock Awards(2)</w:t>
            </w:r>
          </w:p>
        </w:tc>
        <w:tc>
          <w:tcPr>
            <w:tcW w:w="60" w:type="dxa"/>
            <w:tcBorders>
              <w:left w:val="single" w:sz="24" w:space="0" w:color="FFFFFF"/>
              <w:bottom w:val="single" w:sz="8" w:space="0" w:color="FFFFFF"/>
            </w:tcBorders>
            <w:shd w:fill="003A5D" w:val="clear"/>
            <w:tcMar>
              <w:left w:w="28" w:type="dxa"/>
              <w:bottom w:w="28" w:type="dxa"/>
            </w:tcMar>
            <w:vAlign w:val="center"/>
          </w:tcPr>
          <w:p>
            <w:pPr>
              <w:pStyle w:val="TableContents"/>
              <w:bidi w:val="0"/>
              <w:spacing w:before="0" w:after="283"/>
              <w:jc w:val="left"/>
              <w:rPr/>
            </w:pPr>
            <w:r>
              <w:rPr/>
              <w:t> </w:t>
            </w:r>
          </w:p>
        </w:tc>
        <w:tc>
          <w:tcPr>
            <w:tcW w:w="1490" w:type="dxa"/>
            <w:tcBorders>
              <w:bottom w:val="single" w:sz="8" w:space="0" w:color="FFFFFF"/>
              <w:right w:val="single" w:sz="24" w:space="0" w:color="FFFFFF"/>
            </w:tcBorders>
            <w:shd w:fill="003A5D" w:val="clear"/>
            <w:tcMar>
              <w:bottom w:w="60" w:type="dxa"/>
              <w:right w:w="28" w:type="dxa"/>
            </w:tcMar>
            <w:vAlign w:val="center"/>
          </w:tcPr>
          <w:p>
            <w:pPr>
              <w:pStyle w:val="TableContents"/>
              <w:bidi w:val="0"/>
              <w:spacing w:before="0" w:after="283"/>
              <w:jc w:val="center"/>
              <w:rPr>
                <w:b/>
                <w:color w:val="FFFFFF"/>
              </w:rPr>
            </w:pPr>
            <w:r>
              <w:rPr>
                <w:b/>
                <w:color w:val="FFFFFF"/>
              </w:rPr>
              <w:t>Change in</w:t>
              <w:br/>
              <w:t>Pension</w:t>
              <w:br/>
              <w:t>Value</w:t>
              <w:br/>
              <w:t>and Non-</w:t>
              <w:br/>
              <w:t>Qualified</w:t>
              <w:br/>
              <w:t>Deferred</w:t>
              <w:br/>
              <w:t>Compensation</w:t>
              <w:br/>
              <w:t>Earnings(3)</w:t>
            </w:r>
          </w:p>
        </w:tc>
        <w:tc>
          <w:tcPr>
            <w:tcW w:w="60" w:type="dxa"/>
            <w:tcBorders>
              <w:bottom w:val="single" w:sz="8" w:space="0" w:color="FFFFFF"/>
            </w:tcBorders>
            <w:shd w:fill="003A5D" w:val="clear"/>
            <w:tcMar>
              <w:bottom w:w="28" w:type="dxa"/>
            </w:tcMar>
            <w:vAlign w:val="center"/>
          </w:tcPr>
          <w:p>
            <w:pPr>
              <w:pStyle w:val="TableContents"/>
              <w:bidi w:val="0"/>
              <w:spacing w:before="0" w:after="283"/>
              <w:jc w:val="left"/>
              <w:rPr/>
            </w:pPr>
            <w:r>
              <w:rPr/>
              <w:t> </w:t>
            </w:r>
          </w:p>
        </w:tc>
        <w:tc>
          <w:tcPr>
            <w:tcW w:w="1190" w:type="dxa"/>
            <w:tcBorders>
              <w:bottom w:val="single" w:sz="8" w:space="0" w:color="FFFFFF"/>
            </w:tcBorders>
            <w:shd w:fill="003A5D" w:val="clear"/>
            <w:tcMar>
              <w:bottom w:w="6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All Other</w:t>
              <w:br/>
              <w:t>Compensation</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60" w:type="dxa"/>
            <w:tcBorders>
              <w:left w:val="single" w:sz="24" w:space="0" w:color="FFFFFF"/>
              <w:bottom w:val="single" w:sz="8" w:space="0" w:color="FFFFFF"/>
            </w:tcBorders>
            <w:shd w:fill="003A5D" w:val="clear"/>
            <w:tcMar>
              <w:left w:w="28" w:type="dxa"/>
              <w:bottom w:w="28" w:type="dxa"/>
            </w:tcMar>
            <w:vAlign w:val="center"/>
          </w:tcPr>
          <w:p>
            <w:pPr>
              <w:pStyle w:val="TableContents"/>
              <w:bidi w:val="0"/>
              <w:spacing w:before="0" w:after="283"/>
              <w:jc w:val="left"/>
              <w:rPr/>
            </w:pPr>
            <w:r>
              <w:rPr/>
              <w:t> </w:t>
            </w:r>
          </w:p>
        </w:tc>
        <w:tc>
          <w:tcPr>
            <w:tcW w:w="936" w:type="dxa"/>
            <w:tcBorders>
              <w:bottom w:val="single" w:sz="8" w:space="0" w:color="FFFFFF"/>
            </w:tcBorders>
            <w:shd w:fill="003A5D" w:val="clear"/>
            <w:tcMar>
              <w:bottom w:w="60" w:type="dxa"/>
            </w:tcMar>
            <w:vAlign w:val="center"/>
          </w:tcPr>
          <w:p>
            <w:pPr>
              <w:pStyle w:val="TableContents"/>
              <w:bidi w:val="0"/>
              <w:spacing w:before="0" w:after="283"/>
              <w:jc w:val="center"/>
              <w:rPr>
                <w:b/>
                <w:color w:val="FFFFFF"/>
              </w:rPr>
            </w:pPr>
            <w:r>
              <w:rPr>
                <w:b/>
                <w:color w:val="FFFFFF"/>
              </w:rPr>
              <w:t>Total</w:t>
            </w:r>
          </w:p>
        </w:tc>
      </w:tr>
      <w:tr>
        <w:trPr/>
        <w:tc>
          <w:tcPr>
            <w:tcW w:w="2376" w:type="dxa"/>
            <w:vMerge w:val="restart"/>
            <w:tcBorders>
              <w:bottom w:val="single" w:sz="8" w:space="0" w:color="003A5D"/>
            </w:tcBorders>
            <w:tcMar>
              <w:bottom w:w="28" w:type="dxa"/>
            </w:tcMar>
            <w:vAlign w:val="center"/>
          </w:tcPr>
          <w:p>
            <w:pPr>
              <w:pStyle w:val="TableContents"/>
              <w:bidi w:val="0"/>
              <w:spacing w:lineRule="atLeast" w:line="240" w:before="0" w:after="0"/>
              <w:jc w:val="left"/>
              <w:rPr/>
            </w:pPr>
            <w:r>
              <w:rPr/>
              <w:t> </w:t>
            </w:r>
            <w:r>
              <w:rPr>
                <w:rFonts w:ascii="arial" w:hAnsi="arial"/>
                <w:sz w:val="16"/>
              </w:rPr>
              <w:t>Richard D. Fairbank</w:t>
            </w:r>
          </w:p>
          <w:p>
            <w:pPr>
              <w:pStyle w:val="TableContents"/>
              <w:bidi w:val="0"/>
              <w:spacing w:lineRule="atLeast" w:line="180" w:before="0" w:after="20"/>
              <w:jc w:val="left"/>
              <w:rPr/>
            </w:pPr>
            <w:r>
              <w:rPr/>
              <w:t> </w:t>
            </w:r>
            <w:r>
              <w:rPr>
                <w:rFonts w:ascii="arial" w:hAnsi="arial"/>
                <w:sz w:val="16"/>
              </w:rPr>
              <w:t>Chairman and CEO(4)</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72" w:type="dxa"/>
            <w:tcBorders/>
            <w:shd w:fill="E5EBEE" w:val="clear"/>
            <w:vAlign w:val="center"/>
          </w:tcPr>
          <w:p>
            <w:pPr>
              <w:pStyle w:val="TableContents"/>
              <w:bidi w:val="0"/>
              <w:spacing w:lineRule="atLeast" w:line="240" w:before="0" w:after="0"/>
              <w:jc w:val="left"/>
              <w:rPr/>
            </w:pPr>
            <w:r>
              <w:rPr/>
              <w:t> </w:t>
            </w:r>
          </w:p>
        </w:tc>
        <w:tc>
          <w:tcPr>
            <w:tcW w:w="458" w:type="dxa"/>
            <w:tcBorders/>
            <w:shd w:fill="E5EBEE" w:val="clear"/>
            <w:vAlign w:val="center"/>
          </w:tcPr>
          <w:p>
            <w:pPr>
              <w:pStyle w:val="TableContents"/>
              <w:bidi w:val="0"/>
              <w:spacing w:lineRule="atLeast" w:line="240" w:before="0" w:after="0"/>
              <w:jc w:val="right"/>
              <w:rPr>
                <w:rFonts w:ascii="arial" w:hAnsi="arial"/>
                <w:sz w:val="16"/>
              </w:rPr>
            </w:pPr>
            <w:r>
              <w:rPr>
                <w:rFonts w:ascii="arial" w:hAnsi="arial"/>
                <w:sz w:val="16"/>
              </w:rPr>
              <w:t>2024</w:t>
            </w:r>
          </w:p>
        </w:tc>
        <w:tc>
          <w:tcPr>
            <w:tcW w:w="60" w:type="dxa"/>
            <w:tcBorders>
              <w:right w:val="single" w:sz="24" w:space="0" w:color="FFFFFF"/>
            </w:tcBorders>
            <w:shd w:fill="E5EBEE" w:val="clear"/>
            <w:tcMar>
              <w:right w:w="28" w:type="dxa"/>
            </w:tcMar>
            <w:vAlign w:val="center"/>
          </w:tcPr>
          <w:p>
            <w:pPr>
              <w:pStyle w:val="TableContents"/>
              <w:bidi w:val="0"/>
              <w:spacing w:lineRule="atLeast" w:line="240" w:before="0" w:after="0"/>
              <w:jc w:val="left"/>
              <w:rPr/>
            </w:pPr>
            <w:r>
              <w:rPr/>
              <w:t> </w:t>
            </w:r>
          </w:p>
        </w:tc>
        <w:tc>
          <w:tcPr>
            <w:tcW w:w="60" w:type="dxa"/>
            <w:tcBorders/>
            <w:shd w:fill="E5EBEE" w:val="clear"/>
            <w:vAlign w:val="center"/>
          </w:tcPr>
          <w:p>
            <w:pPr>
              <w:pStyle w:val="TableContents"/>
              <w:bidi w:val="0"/>
              <w:spacing w:before="0" w:after="283"/>
              <w:jc w:val="left"/>
              <w:rPr/>
            </w:pPr>
            <w:r>
              <w:rPr/>
              <w:t> </w:t>
            </w:r>
          </w:p>
        </w:tc>
        <w:tc>
          <w:tcPr>
            <w:tcW w:w="830"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01" w:type="dxa"/>
            <w:tcBorders>
              <w:right w:val="single" w:sz="24" w:space="0" w:color="FFFFFF"/>
            </w:tcBorders>
            <w:shd w:fill="E5EBEE" w:val="clear"/>
            <w:tcMar>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$5,500,000</w:t>
            </w:r>
          </w:p>
        </w:tc>
        <w:tc>
          <w:tcPr>
            <w:tcW w:w="60" w:type="dxa"/>
            <w:tcBorders/>
            <w:shd w:fill="E5EBEE" w:val="clear"/>
            <w:vAlign w:val="center"/>
          </w:tcPr>
          <w:p>
            <w:pPr>
              <w:pStyle w:val="TableContents"/>
              <w:bidi w:val="0"/>
              <w:spacing w:before="0" w:after="283"/>
              <w:jc w:val="left"/>
              <w:rPr/>
            </w:pPr>
            <w:r>
              <w:rPr/>
              <w:t> </w:t>
            </w:r>
          </w:p>
        </w:tc>
        <w:tc>
          <w:tcPr>
            <w:tcW w:w="1472"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$25,206,709</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490" w:type="dxa"/>
            <w:tcBorders>
              <w:right w:val="single" w:sz="24" w:space="0" w:color="FFFFFF"/>
            </w:tcBorders>
            <w:shd w:fill="E5EBEE" w:val="clear"/>
            <w:tcMar>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$12,143</w:t>
            </w:r>
          </w:p>
        </w:tc>
        <w:tc>
          <w:tcPr>
            <w:tcW w:w="60" w:type="dxa"/>
            <w:tcBorders/>
            <w:shd w:fill="E5EBEE" w:val="clear"/>
            <w:vAlign w:val="center"/>
          </w:tcPr>
          <w:p>
            <w:pPr>
              <w:pStyle w:val="TableContents"/>
              <w:bidi w:val="0"/>
              <w:spacing w:before="0" w:after="283"/>
              <w:jc w:val="left"/>
              <w:rPr/>
            </w:pPr>
            <w:r>
              <w:rPr/>
              <w:t> </w:t>
            </w:r>
          </w:p>
        </w:tc>
        <w:tc>
          <w:tcPr>
            <w:tcW w:w="1190"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$110,218</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36"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$30,829,070</w:t>
            </w:r>
          </w:p>
        </w:tc>
      </w:tr>
      <w:tr>
        <w:trPr/>
        <w:tc>
          <w:tcPr>
            <w:tcW w:w="2376" w:type="dxa"/>
            <w:vMerge w:val="continue"/>
            <w:tcBorders>
              <w:bottom w:val="single" w:sz="8" w:space="0" w:color="003A5D"/>
            </w:tcBorders>
            <w:tcMar>
              <w:bottom w:w="28"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lineRule="atLeast" w:line="240" w:before="0" w:after="0"/>
              <w:jc w:val="left"/>
              <w:rPr/>
            </w:pPr>
            <w:r>
              <w:rPr/>
              <w:t> </w:t>
            </w:r>
          </w:p>
        </w:tc>
        <w:tc>
          <w:tcPr>
            <w:tcW w:w="458" w:type="dxa"/>
            <w:tcBorders/>
            <w:vAlign w:val="center"/>
          </w:tcPr>
          <w:p>
            <w:pPr>
              <w:pStyle w:val="TableContents"/>
              <w:bidi w:val="0"/>
              <w:spacing w:lineRule="atLeast" w:line="240" w:before="0" w:after="0"/>
              <w:jc w:val="right"/>
              <w:rPr>
                <w:rFonts w:ascii="arial" w:hAnsi="arial"/>
                <w:sz w:val="16"/>
              </w:rPr>
            </w:pPr>
            <w:r>
              <w:rPr>
                <w:rFonts w:ascii="arial" w:hAnsi="arial"/>
                <w:sz w:val="16"/>
              </w:rPr>
              <w:t>2023</w:t>
            </w:r>
          </w:p>
        </w:tc>
        <w:tc>
          <w:tcPr>
            <w:tcW w:w="60" w:type="dxa"/>
            <w:tcBorders>
              <w:right w:val="single" w:sz="24" w:space="0" w:color="FFFFFF"/>
            </w:tcBorders>
            <w:tcMar>
              <w:right w:w="28" w:type="dxa"/>
            </w:tcMar>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901" w:type="dxa"/>
            <w:tcBorders>
              <w:right w:val="single" w:sz="24" w:space="0" w:color="FFFFFF"/>
            </w:tcBorders>
            <w:tcMar>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$5,000,000</w:t>
            </w:r>
          </w:p>
        </w:tc>
        <w:tc>
          <w:tcPr>
            <w:tcW w:w="6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lineRule="atLeast" w:line="240" w:before="0" w:after="0"/>
              <w:jc w:val="center"/>
              <w:rPr>
                <w:rFonts w:ascii="arial" w:hAnsi="arial"/>
                <w:sz w:val="16"/>
              </w:rPr>
            </w:pPr>
            <w:r>
              <w:rPr>
                <w:rFonts w:ascii="arial" w:hAnsi="arial"/>
                <w:sz w:val="16"/>
              </w:rPr>
              <w:t>$23,458,681</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490" w:type="dxa"/>
            <w:tcBorders>
              <w:right w:val="single" w:sz="24" w:space="0" w:color="FFFFFF"/>
            </w:tcBorders>
            <w:tcMar>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$10,832</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lineRule="atLeast" w:line="240" w:before="0" w:after="0"/>
              <w:jc w:val="center"/>
              <w:rPr>
                <w:rFonts w:ascii="arial" w:hAnsi="arial"/>
                <w:sz w:val="16"/>
              </w:rPr>
            </w:pPr>
            <w:r>
              <w:rPr>
                <w:rFonts w:ascii="arial" w:hAnsi="arial"/>
                <w:sz w:val="16"/>
              </w:rPr>
              <w:t>$120,060</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936" w:type="dxa"/>
            <w:tcBorders/>
            <w:vAlign w:val="center"/>
          </w:tcPr>
          <w:p>
            <w:pPr>
              <w:pStyle w:val="TableContents"/>
              <w:bidi w:val="0"/>
              <w:spacing w:lineRule="atLeast" w:line="240" w:before="0" w:after="0"/>
              <w:jc w:val="center"/>
              <w:rPr>
                <w:rFonts w:ascii="arial" w:hAnsi="arial"/>
                <w:sz w:val="16"/>
              </w:rPr>
            </w:pPr>
            <w:r>
              <w:rPr>
                <w:rFonts w:ascii="arial" w:hAnsi="arial"/>
                <w:sz w:val="16"/>
              </w:rPr>
              <w:t>$28,589,573</w:t>
            </w:r>
          </w:p>
        </w:tc>
      </w:tr>
      <w:tr>
        <w:trPr/>
        <w:tc>
          <w:tcPr>
            <w:tcW w:w="2376" w:type="dxa"/>
            <w:vMerge w:val="continue"/>
            <w:tcBorders>
              <w:bottom w:val="single" w:sz="8" w:space="0" w:color="003A5D"/>
            </w:tcBorders>
            <w:tcMar>
              <w:bottom w:w="28" w:type="dxa"/>
            </w:tcMar>
            <w:vAlign w:val="center"/>
          </w:tcPr>
          <w:p>
            <w:pPr>
              <w:pStyle w:val="Normal"/>
              <w:bidi w:val="0"/>
              <w:jc w:val="left"/>
              <w:rPr/>
            </w:pPr>
            <w:r>
              <w:rPr/>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72" w:type="dxa"/>
            <w:tcBorders>
              <w:bottom w:val="single" w:sz="8" w:space="0" w:color="003A5D"/>
            </w:tcBorders>
            <w:shd w:fill="E5EBEE" w:val="clear"/>
            <w:tcMar>
              <w:bottom w:w="28" w:type="dxa"/>
            </w:tcMar>
            <w:vAlign w:val="center"/>
          </w:tcPr>
          <w:p>
            <w:pPr>
              <w:pStyle w:val="TableContents"/>
              <w:bidi w:val="0"/>
              <w:spacing w:lineRule="atLeast" w:line="240" w:before="0" w:after="0"/>
              <w:jc w:val="left"/>
              <w:rPr/>
            </w:pPr>
            <w:r>
              <w:rPr/>
              <w:t> </w:t>
            </w:r>
          </w:p>
        </w:tc>
        <w:tc>
          <w:tcPr>
            <w:tcW w:w="458" w:type="dxa"/>
            <w:tcBorders>
              <w:bottom w:val="single" w:sz="8" w:space="0" w:color="003A5D"/>
            </w:tcBorders>
            <w:shd w:fill="E5EBEE" w:val="clear"/>
            <w:tcMar>
              <w:bottom w:w="28" w:type="dxa"/>
            </w:tcMar>
            <w:vAlign w:val="center"/>
          </w:tcPr>
          <w:p>
            <w:pPr>
              <w:pStyle w:val="TableContents"/>
              <w:bidi w:val="0"/>
              <w:spacing w:lineRule="atLeast" w:line="240" w:before="0" w:after="0"/>
              <w:jc w:val="right"/>
              <w:rPr>
                <w:rFonts w:ascii="arial" w:hAnsi="arial"/>
                <w:sz w:val="16"/>
              </w:rPr>
            </w:pPr>
            <w:r>
              <w:rPr>
                <w:rFonts w:ascii="arial" w:hAnsi="arial"/>
                <w:sz w:val="16"/>
              </w:rPr>
              <w:t>2022</w:t>
            </w:r>
          </w:p>
        </w:tc>
        <w:tc>
          <w:tcPr>
            <w:tcW w:w="60" w:type="dxa"/>
            <w:tcBorders>
              <w:bottom w:val="single" w:sz="8" w:space="0" w:color="003A5D"/>
              <w:right w:val="single" w:sz="24" w:space="0" w:color="FFFFFF"/>
            </w:tcBorders>
            <w:shd w:fill="E5EBEE" w:val="clear"/>
            <w:tcMar>
              <w:bottom w:w="28" w:type="dxa"/>
              <w:right w:w="28" w:type="dxa"/>
            </w:tcMar>
            <w:vAlign w:val="center"/>
          </w:tcPr>
          <w:p>
            <w:pPr>
              <w:pStyle w:val="TableContents"/>
              <w:bidi w:val="0"/>
              <w:spacing w:lineRule="atLeast" w:line="240" w:before="0" w:after="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30" w:type="dxa"/>
            <w:tcBorders>
              <w:bottom w:val="single" w:sz="8"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901" w:type="dxa"/>
            <w:tcBorders>
              <w:bottom w:val="single" w:sz="8" w:space="0" w:color="003A5D"/>
              <w:right w:val="single" w:sz="24" w:space="0" w:color="FFFFFF"/>
            </w:tcBorders>
            <w:shd w:fill="E5EBEE" w:val="clear"/>
            <w:tcMar>
              <w:bottom w:w="28" w:type="dxa"/>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$4,250,000</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472" w:type="dxa"/>
            <w:tcBorders>
              <w:bottom w:val="single" w:sz="8"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$23,248,940</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90" w:type="dxa"/>
            <w:tcBorders>
              <w:bottom w:val="single" w:sz="8" w:space="0" w:color="003A5D"/>
              <w:right w:val="single" w:sz="24" w:space="0" w:color="FFFFFF"/>
            </w:tcBorders>
            <w:shd w:fill="E5EBEE" w:val="clear"/>
            <w:tcMar>
              <w:bottom w:w="28" w:type="dxa"/>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$5,462</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90" w:type="dxa"/>
            <w:tcBorders>
              <w:bottom w:val="single" w:sz="8"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$100,909</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936" w:type="dxa"/>
            <w:tcBorders>
              <w:bottom w:val="single" w:sz="8"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$27,605,311</w:t>
            </w:r>
          </w:p>
        </w:tc>
      </w:tr>
      <w:tr>
        <w:trPr/>
        <w:tc>
          <w:tcPr>
            <w:tcW w:w="2376" w:type="dxa"/>
            <w:vMerge w:val="restart"/>
            <w:tcBorders>
              <w:bottom w:val="single" w:sz="8" w:space="0" w:color="003A5D"/>
            </w:tcBorders>
            <w:tcMar>
              <w:bottom w:w="28" w:type="dxa"/>
            </w:tcMar>
            <w:vAlign w:val="center"/>
          </w:tcPr>
          <w:p>
            <w:pPr>
              <w:pStyle w:val="TableContents"/>
              <w:bidi w:val="0"/>
              <w:spacing w:lineRule="atLeast" w:line="240" w:before="0" w:after="0"/>
              <w:jc w:val="left"/>
              <w:rPr/>
            </w:pPr>
            <w:r>
              <w:rPr/>
              <w:t> </w:t>
            </w:r>
            <w:r>
              <w:rPr>
                <w:rFonts w:ascii="arial" w:hAnsi="arial"/>
                <w:sz w:val="16"/>
              </w:rPr>
              <w:t>Andrew M. Young</w:t>
            </w:r>
          </w:p>
          <w:p>
            <w:pPr>
              <w:pStyle w:val="TableContents"/>
              <w:bidi w:val="0"/>
              <w:spacing w:lineRule="atLeast" w:line="180" w:before="0" w:after="20"/>
              <w:jc w:val="left"/>
              <w:rPr/>
            </w:pPr>
            <w:r>
              <w:rPr/>
              <w:t> </w:t>
            </w:r>
            <w:r>
              <w:rPr>
                <w:rFonts w:ascii="arial" w:hAnsi="arial"/>
                <w:sz w:val="16"/>
              </w:rPr>
              <w:t>Chief Financial Officer(5)</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lineRule="atLeast" w:line="240" w:before="0" w:after="0"/>
              <w:jc w:val="left"/>
              <w:rPr/>
            </w:pPr>
            <w:r>
              <w:rPr/>
              <w:t> </w:t>
            </w:r>
          </w:p>
        </w:tc>
        <w:tc>
          <w:tcPr>
            <w:tcW w:w="458" w:type="dxa"/>
            <w:tcBorders/>
            <w:vAlign w:val="center"/>
          </w:tcPr>
          <w:p>
            <w:pPr>
              <w:pStyle w:val="TableContents"/>
              <w:bidi w:val="0"/>
              <w:spacing w:lineRule="atLeast" w:line="240" w:before="0" w:after="0"/>
              <w:jc w:val="right"/>
              <w:rPr>
                <w:rFonts w:ascii="arial" w:hAnsi="arial"/>
                <w:sz w:val="16"/>
              </w:rPr>
            </w:pPr>
            <w:r>
              <w:rPr>
                <w:rFonts w:ascii="arial" w:hAnsi="arial"/>
                <w:sz w:val="16"/>
              </w:rPr>
              <w:t>2024</w:t>
            </w:r>
          </w:p>
        </w:tc>
        <w:tc>
          <w:tcPr>
            <w:tcW w:w="60" w:type="dxa"/>
            <w:tcBorders>
              <w:right w:val="single" w:sz="24" w:space="0" w:color="FFFFFF"/>
            </w:tcBorders>
            <w:tcMar>
              <w:right w:w="28" w:type="dxa"/>
            </w:tcMar>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lineRule="atLeast" w:line="240" w:before="0" w:after="0"/>
              <w:jc w:val="center"/>
              <w:rPr>
                <w:rFonts w:ascii="arial" w:hAnsi="arial"/>
                <w:sz w:val="16"/>
              </w:rPr>
            </w:pPr>
            <w:r>
              <w:rPr>
                <w:rFonts w:ascii="arial" w:hAnsi="arial"/>
                <w:sz w:val="16"/>
              </w:rPr>
              <w:t>$1,034,577</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901" w:type="dxa"/>
            <w:tcBorders>
              <w:right w:val="single" w:sz="24" w:space="0" w:color="FFFFFF"/>
            </w:tcBorders>
            <w:tcMar>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$1,950,000</w:t>
            </w:r>
          </w:p>
        </w:tc>
        <w:tc>
          <w:tcPr>
            <w:tcW w:w="6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lineRule="atLeast" w:line="240" w:before="0" w:after="0"/>
              <w:jc w:val="center"/>
              <w:rPr>
                <w:rFonts w:ascii="arial" w:hAnsi="arial"/>
                <w:sz w:val="16"/>
              </w:rPr>
            </w:pPr>
            <w:r>
              <w:rPr>
                <w:rFonts w:ascii="arial" w:hAnsi="arial"/>
                <w:sz w:val="16"/>
              </w:rPr>
              <w:t>$2,829,397</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490" w:type="dxa"/>
            <w:tcBorders>
              <w:right w:val="single" w:sz="24" w:space="0" w:color="FFFFFF"/>
            </w:tcBorders>
            <w:tcMar>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lineRule="atLeast" w:line="240" w:before="0" w:after="0"/>
              <w:jc w:val="center"/>
              <w:rPr>
                <w:rFonts w:ascii="arial" w:hAnsi="arial"/>
                <w:sz w:val="16"/>
              </w:rPr>
            </w:pPr>
            <w:r>
              <w:rPr>
                <w:rFonts w:ascii="arial" w:hAnsi="arial"/>
                <w:sz w:val="16"/>
              </w:rPr>
              <w:t>$218,643</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936" w:type="dxa"/>
            <w:tcBorders/>
            <w:vAlign w:val="center"/>
          </w:tcPr>
          <w:p>
            <w:pPr>
              <w:pStyle w:val="TableContents"/>
              <w:bidi w:val="0"/>
              <w:spacing w:lineRule="atLeast" w:line="240" w:before="0" w:after="0"/>
              <w:jc w:val="center"/>
              <w:rPr>
                <w:rFonts w:ascii="arial" w:hAnsi="arial"/>
                <w:sz w:val="16"/>
              </w:rPr>
            </w:pPr>
            <w:r>
              <w:rPr>
                <w:rFonts w:ascii="arial" w:hAnsi="arial"/>
                <w:sz w:val="16"/>
              </w:rPr>
              <w:t>$6,032,617</w:t>
            </w:r>
          </w:p>
        </w:tc>
      </w:tr>
      <w:tr>
        <w:trPr/>
        <w:tc>
          <w:tcPr>
            <w:tcW w:w="2376" w:type="dxa"/>
            <w:vMerge w:val="continue"/>
            <w:tcBorders>
              <w:bottom w:val="single" w:sz="8" w:space="0" w:color="003A5D"/>
            </w:tcBorders>
            <w:tcMar>
              <w:bottom w:w="28"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72" w:type="dxa"/>
            <w:tcBorders/>
            <w:shd w:fill="E5EBEE" w:val="clear"/>
            <w:vAlign w:val="center"/>
          </w:tcPr>
          <w:p>
            <w:pPr>
              <w:pStyle w:val="TableContents"/>
              <w:bidi w:val="0"/>
              <w:spacing w:lineRule="atLeast" w:line="240" w:before="0" w:after="0"/>
              <w:jc w:val="left"/>
              <w:rPr/>
            </w:pPr>
            <w:r>
              <w:rPr/>
              <w:t> </w:t>
            </w:r>
          </w:p>
        </w:tc>
        <w:tc>
          <w:tcPr>
            <w:tcW w:w="458" w:type="dxa"/>
            <w:tcBorders/>
            <w:shd w:fill="E5EBEE" w:val="clear"/>
            <w:vAlign w:val="center"/>
          </w:tcPr>
          <w:p>
            <w:pPr>
              <w:pStyle w:val="TableContents"/>
              <w:bidi w:val="0"/>
              <w:spacing w:lineRule="atLeast" w:line="240" w:before="0" w:after="0"/>
              <w:jc w:val="right"/>
              <w:rPr>
                <w:rFonts w:ascii="arial" w:hAnsi="arial"/>
                <w:sz w:val="16"/>
              </w:rPr>
            </w:pPr>
            <w:r>
              <w:rPr>
                <w:rFonts w:ascii="arial" w:hAnsi="arial"/>
                <w:sz w:val="16"/>
              </w:rPr>
              <w:t>2023</w:t>
            </w:r>
          </w:p>
        </w:tc>
        <w:tc>
          <w:tcPr>
            <w:tcW w:w="60" w:type="dxa"/>
            <w:tcBorders>
              <w:right w:val="single" w:sz="24" w:space="0" w:color="FFFFFF"/>
            </w:tcBorders>
            <w:shd w:fill="E5EBEE" w:val="clear"/>
            <w:tcMar>
              <w:right w:w="28" w:type="dxa"/>
            </w:tcMar>
            <w:vAlign w:val="center"/>
          </w:tcPr>
          <w:p>
            <w:pPr>
              <w:pStyle w:val="TableContents"/>
              <w:bidi w:val="0"/>
              <w:spacing w:lineRule="atLeast" w:line="240" w:before="0" w:after="0"/>
              <w:jc w:val="left"/>
              <w:rPr/>
            </w:pPr>
            <w:r>
              <w:rPr/>
              <w:t> </w:t>
            </w:r>
          </w:p>
        </w:tc>
        <w:tc>
          <w:tcPr>
            <w:tcW w:w="60" w:type="dxa"/>
            <w:tcBorders/>
            <w:shd w:fill="E5EBEE" w:val="clear"/>
            <w:vAlign w:val="center"/>
          </w:tcPr>
          <w:p>
            <w:pPr>
              <w:pStyle w:val="TableContents"/>
              <w:bidi w:val="0"/>
              <w:spacing w:before="0" w:after="283"/>
              <w:jc w:val="left"/>
              <w:rPr/>
            </w:pPr>
            <w:r>
              <w:rPr/>
              <w:t> </w:t>
            </w:r>
          </w:p>
        </w:tc>
        <w:tc>
          <w:tcPr>
            <w:tcW w:w="830"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$987,577</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01" w:type="dxa"/>
            <w:tcBorders>
              <w:right w:val="single" w:sz="24" w:space="0" w:color="FFFFFF"/>
            </w:tcBorders>
            <w:shd w:fill="E5EBEE" w:val="clear"/>
            <w:tcMar>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$1,864,500</w:t>
            </w:r>
          </w:p>
        </w:tc>
        <w:tc>
          <w:tcPr>
            <w:tcW w:w="60" w:type="dxa"/>
            <w:tcBorders/>
            <w:shd w:fill="E5EBEE" w:val="clear"/>
            <w:vAlign w:val="center"/>
          </w:tcPr>
          <w:p>
            <w:pPr>
              <w:pStyle w:val="TableContents"/>
              <w:bidi w:val="0"/>
              <w:spacing w:before="0" w:after="283"/>
              <w:jc w:val="left"/>
              <w:rPr/>
            </w:pPr>
            <w:r>
              <w:rPr/>
              <w:t> </w:t>
            </w:r>
          </w:p>
        </w:tc>
        <w:tc>
          <w:tcPr>
            <w:tcW w:w="1472"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$2,601,129</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490" w:type="dxa"/>
            <w:tcBorders>
              <w:right w:val="single" w:sz="24" w:space="0" w:color="FFFFFF"/>
            </w:tcBorders>
            <w:shd w:fill="E5EBEE" w:val="clear"/>
            <w:tcMar>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before="0" w:after="283"/>
              <w:jc w:val="left"/>
              <w:rPr/>
            </w:pPr>
            <w:r>
              <w:rPr/>
              <w:t> </w:t>
            </w:r>
          </w:p>
        </w:tc>
        <w:tc>
          <w:tcPr>
            <w:tcW w:w="1190"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$206,771</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36"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$5,659,977</w:t>
            </w:r>
          </w:p>
        </w:tc>
      </w:tr>
      <w:tr>
        <w:trPr/>
        <w:tc>
          <w:tcPr>
            <w:tcW w:w="2376" w:type="dxa"/>
            <w:vMerge w:val="continue"/>
            <w:tcBorders>
              <w:bottom w:val="single" w:sz="8" w:space="0" w:color="003A5D"/>
            </w:tcBorders>
            <w:tcMar>
              <w:bottom w:w="28" w:type="dxa"/>
            </w:tcMar>
            <w:vAlign w:val="center"/>
          </w:tcPr>
          <w:p>
            <w:pPr>
              <w:pStyle w:val="Normal"/>
              <w:bidi w:val="0"/>
              <w:jc w:val="left"/>
              <w:rPr/>
            </w:pPr>
            <w:r>
              <w:rPr/>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72" w:type="dxa"/>
            <w:tcBorders>
              <w:bottom w:val="single" w:sz="8" w:space="0" w:color="003A5D"/>
            </w:tcBorders>
            <w:tcMar>
              <w:bottom w:w="28" w:type="dxa"/>
            </w:tcMar>
            <w:vAlign w:val="center"/>
          </w:tcPr>
          <w:p>
            <w:pPr>
              <w:pStyle w:val="TableContents"/>
              <w:bidi w:val="0"/>
              <w:spacing w:lineRule="atLeast" w:line="240" w:before="0" w:after="0"/>
              <w:jc w:val="left"/>
              <w:rPr/>
            </w:pPr>
            <w:r>
              <w:rPr/>
              <w:t> </w:t>
            </w:r>
          </w:p>
        </w:tc>
        <w:tc>
          <w:tcPr>
            <w:tcW w:w="458" w:type="dxa"/>
            <w:tcBorders>
              <w:bottom w:val="single" w:sz="8" w:space="0" w:color="003A5D"/>
            </w:tcBorders>
            <w:tcMar>
              <w:bottom w:w="28" w:type="dxa"/>
            </w:tcMar>
            <w:vAlign w:val="center"/>
          </w:tcPr>
          <w:p>
            <w:pPr>
              <w:pStyle w:val="TableContents"/>
              <w:bidi w:val="0"/>
              <w:spacing w:lineRule="atLeast" w:line="240" w:before="0" w:after="0"/>
              <w:jc w:val="right"/>
              <w:rPr>
                <w:rFonts w:ascii="arial" w:hAnsi="arial"/>
                <w:sz w:val="16"/>
              </w:rPr>
            </w:pPr>
            <w:r>
              <w:rPr>
                <w:rFonts w:ascii="arial" w:hAnsi="arial"/>
                <w:sz w:val="16"/>
              </w:rPr>
              <w:t>2022</w:t>
            </w:r>
          </w:p>
        </w:tc>
        <w:tc>
          <w:tcPr>
            <w:tcW w:w="60" w:type="dxa"/>
            <w:tcBorders>
              <w:bottom w:val="single" w:sz="8" w:space="0" w:color="003A5D"/>
              <w:right w:val="single" w:sz="24" w:space="0" w:color="FFFFFF"/>
            </w:tcBorders>
            <w:tcMar>
              <w:bottom w:w="28" w:type="dxa"/>
              <w:right w:w="28" w:type="dxa"/>
            </w:tcMar>
            <w:vAlign w:val="center"/>
          </w:tcPr>
          <w:p>
            <w:pPr>
              <w:pStyle w:val="TableContents"/>
              <w:bidi w:val="0"/>
              <w:spacing w:lineRule="atLeast" w:line="240" w:before="0" w:after="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30" w:type="dxa"/>
            <w:tcBorders>
              <w:bottom w:val="single" w:sz="8" w:space="0" w:color="003A5D"/>
            </w:tcBorders>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$940,692</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901" w:type="dxa"/>
            <w:tcBorders>
              <w:bottom w:val="single" w:sz="8" w:space="0" w:color="003A5D"/>
              <w:right w:val="single" w:sz="24" w:space="0" w:color="FFFFFF"/>
            </w:tcBorders>
            <w:tcMar>
              <w:bottom w:w="28" w:type="dxa"/>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$1,656,200</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472" w:type="dxa"/>
            <w:tcBorders>
              <w:bottom w:val="single" w:sz="8" w:space="0" w:color="003A5D"/>
            </w:tcBorders>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$2,475,108</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490" w:type="dxa"/>
            <w:tcBorders>
              <w:bottom w:val="single" w:sz="8" w:space="0" w:color="003A5D"/>
              <w:right w:val="single" w:sz="24" w:space="0" w:color="FFFFFF"/>
            </w:tcBorders>
            <w:tcMar>
              <w:bottom w:w="28" w:type="dxa"/>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90" w:type="dxa"/>
            <w:tcBorders>
              <w:bottom w:val="single" w:sz="8" w:space="0" w:color="003A5D"/>
            </w:tcBorders>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$190,486</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936" w:type="dxa"/>
            <w:tcBorders>
              <w:bottom w:val="single" w:sz="8" w:space="0" w:color="003A5D"/>
            </w:tcBorders>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$5,262,486</w:t>
            </w:r>
          </w:p>
        </w:tc>
      </w:tr>
      <w:tr>
        <w:trPr/>
        <w:tc>
          <w:tcPr>
            <w:tcW w:w="2376" w:type="dxa"/>
            <w:vMerge w:val="restart"/>
            <w:tcBorders>
              <w:bottom w:val="single" w:sz="8" w:space="0" w:color="003A5D"/>
            </w:tcBorders>
            <w:tcMar>
              <w:bottom w:w="28" w:type="dxa"/>
            </w:tcMar>
            <w:vAlign w:val="center"/>
          </w:tcPr>
          <w:p>
            <w:pPr>
              <w:pStyle w:val="TableContents"/>
              <w:bidi w:val="0"/>
              <w:spacing w:lineRule="atLeast" w:line="180" w:before="0" w:after="0"/>
              <w:jc w:val="left"/>
              <w:rPr/>
            </w:pPr>
            <w:r>
              <w:rPr/>
              <w:t> </w:t>
            </w:r>
            <w:r>
              <w:rPr>
                <w:rFonts w:ascii="arial" w:hAnsi="arial"/>
                <w:sz w:val="16"/>
              </w:rPr>
              <w:t>Frank G. LaPrade, III</w:t>
              <w:br/>
              <w:t> Chief Enterprise Services</w:t>
              <w:br/>
              <w:t> Officer and Chief of Staff</w:t>
              <w:br/>
              <w:t> to the CEO(5)</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72" w:type="dxa"/>
            <w:tcBorders/>
            <w:shd w:fill="E5EBEE" w:val="clear"/>
            <w:vAlign w:val="center"/>
          </w:tcPr>
          <w:p>
            <w:pPr>
              <w:pStyle w:val="TableContents"/>
              <w:bidi w:val="0"/>
              <w:spacing w:lineRule="atLeast" w:line="240" w:before="0" w:after="0"/>
              <w:jc w:val="left"/>
              <w:rPr/>
            </w:pPr>
            <w:r>
              <w:rPr/>
              <w:t> </w:t>
            </w:r>
          </w:p>
        </w:tc>
        <w:tc>
          <w:tcPr>
            <w:tcW w:w="458" w:type="dxa"/>
            <w:tcBorders/>
            <w:shd w:fill="E5EBEE" w:val="clear"/>
            <w:vAlign w:val="center"/>
          </w:tcPr>
          <w:p>
            <w:pPr>
              <w:pStyle w:val="TableContents"/>
              <w:bidi w:val="0"/>
              <w:spacing w:lineRule="atLeast" w:line="240" w:before="0" w:after="0"/>
              <w:jc w:val="right"/>
              <w:rPr>
                <w:rFonts w:ascii="arial" w:hAnsi="arial"/>
                <w:sz w:val="16"/>
              </w:rPr>
            </w:pPr>
            <w:r>
              <w:rPr>
                <w:rFonts w:ascii="arial" w:hAnsi="arial"/>
                <w:sz w:val="16"/>
              </w:rPr>
              <w:t>2024</w:t>
            </w:r>
          </w:p>
        </w:tc>
        <w:tc>
          <w:tcPr>
            <w:tcW w:w="60" w:type="dxa"/>
            <w:tcBorders>
              <w:right w:val="single" w:sz="24" w:space="0" w:color="FFFFFF"/>
            </w:tcBorders>
            <w:shd w:fill="E5EBEE" w:val="clear"/>
            <w:tcMar>
              <w:right w:w="28" w:type="dxa"/>
            </w:tcMar>
            <w:vAlign w:val="center"/>
          </w:tcPr>
          <w:p>
            <w:pPr>
              <w:pStyle w:val="TableContents"/>
              <w:bidi w:val="0"/>
              <w:spacing w:lineRule="atLeast" w:line="240" w:before="0" w:after="0"/>
              <w:jc w:val="left"/>
              <w:rPr/>
            </w:pPr>
            <w:r>
              <w:rPr/>
              <w:t> </w:t>
            </w:r>
          </w:p>
        </w:tc>
        <w:tc>
          <w:tcPr>
            <w:tcW w:w="60" w:type="dxa"/>
            <w:tcBorders/>
            <w:shd w:fill="E5EBEE" w:val="clear"/>
            <w:vAlign w:val="center"/>
          </w:tcPr>
          <w:p>
            <w:pPr>
              <w:pStyle w:val="TableContents"/>
              <w:bidi w:val="0"/>
              <w:spacing w:before="0" w:after="283"/>
              <w:jc w:val="left"/>
              <w:rPr/>
            </w:pPr>
            <w:r>
              <w:rPr/>
              <w:t> </w:t>
            </w:r>
          </w:p>
        </w:tc>
        <w:tc>
          <w:tcPr>
            <w:tcW w:w="830"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$1,383,154</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01" w:type="dxa"/>
            <w:tcBorders>
              <w:right w:val="single" w:sz="24" w:space="0" w:color="FFFFFF"/>
            </w:tcBorders>
            <w:shd w:fill="E5EBEE" w:val="clear"/>
            <w:tcMar>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$2,602,500</w:t>
            </w:r>
          </w:p>
        </w:tc>
        <w:tc>
          <w:tcPr>
            <w:tcW w:w="60" w:type="dxa"/>
            <w:tcBorders/>
            <w:shd w:fill="E5EBEE" w:val="clear"/>
            <w:vAlign w:val="center"/>
          </w:tcPr>
          <w:p>
            <w:pPr>
              <w:pStyle w:val="TableContents"/>
              <w:bidi w:val="0"/>
              <w:spacing w:before="0" w:after="283"/>
              <w:jc w:val="left"/>
              <w:rPr/>
            </w:pPr>
            <w:r>
              <w:rPr/>
              <w:t> </w:t>
            </w:r>
          </w:p>
        </w:tc>
        <w:tc>
          <w:tcPr>
            <w:tcW w:w="1472"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$3,836,290</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490" w:type="dxa"/>
            <w:tcBorders>
              <w:right w:val="single" w:sz="24" w:space="0" w:color="FFFFFF"/>
            </w:tcBorders>
            <w:shd w:fill="E5EBEE" w:val="clear"/>
            <w:tcMar>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before="0" w:after="283"/>
              <w:jc w:val="left"/>
              <w:rPr/>
            </w:pPr>
            <w:r>
              <w:rPr/>
              <w:t> </w:t>
            </w:r>
          </w:p>
        </w:tc>
        <w:tc>
          <w:tcPr>
            <w:tcW w:w="1190"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$250,460</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36"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$8,072,404</w:t>
            </w:r>
          </w:p>
        </w:tc>
      </w:tr>
      <w:tr>
        <w:trPr/>
        <w:tc>
          <w:tcPr>
            <w:tcW w:w="2376" w:type="dxa"/>
            <w:vMerge w:val="continue"/>
            <w:tcBorders>
              <w:bottom w:val="single" w:sz="8" w:space="0" w:color="003A5D"/>
            </w:tcBorders>
            <w:tcMar>
              <w:bottom w:w="28"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lineRule="atLeast" w:line="240" w:before="0" w:after="0"/>
              <w:jc w:val="left"/>
              <w:rPr/>
            </w:pPr>
            <w:r>
              <w:rPr/>
              <w:t> </w:t>
            </w:r>
          </w:p>
        </w:tc>
        <w:tc>
          <w:tcPr>
            <w:tcW w:w="458" w:type="dxa"/>
            <w:tcBorders/>
            <w:vAlign w:val="center"/>
          </w:tcPr>
          <w:p>
            <w:pPr>
              <w:pStyle w:val="TableContents"/>
              <w:bidi w:val="0"/>
              <w:spacing w:lineRule="atLeast" w:line="240" w:before="0" w:after="0"/>
              <w:jc w:val="right"/>
              <w:rPr>
                <w:rFonts w:ascii="arial" w:hAnsi="arial"/>
                <w:sz w:val="16"/>
              </w:rPr>
            </w:pPr>
            <w:r>
              <w:rPr>
                <w:rFonts w:ascii="arial" w:hAnsi="arial"/>
                <w:sz w:val="16"/>
              </w:rPr>
              <w:t>2023</w:t>
            </w:r>
          </w:p>
        </w:tc>
        <w:tc>
          <w:tcPr>
            <w:tcW w:w="60" w:type="dxa"/>
            <w:tcBorders>
              <w:right w:val="single" w:sz="24" w:space="0" w:color="FFFFFF"/>
            </w:tcBorders>
            <w:tcMar>
              <w:right w:w="28" w:type="dxa"/>
            </w:tcMar>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lineRule="atLeast" w:line="240" w:before="0" w:after="0"/>
              <w:jc w:val="center"/>
              <w:rPr>
                <w:rFonts w:ascii="arial" w:hAnsi="arial"/>
                <w:sz w:val="16"/>
              </w:rPr>
            </w:pPr>
            <w:r>
              <w:rPr>
                <w:rFonts w:ascii="arial" w:hAnsi="arial"/>
                <w:sz w:val="16"/>
              </w:rPr>
              <w:t>$1,341,385</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901" w:type="dxa"/>
            <w:tcBorders>
              <w:right w:val="single" w:sz="24" w:space="0" w:color="FFFFFF"/>
            </w:tcBorders>
            <w:tcMar>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$2,524,500</w:t>
            </w:r>
          </w:p>
        </w:tc>
        <w:tc>
          <w:tcPr>
            <w:tcW w:w="6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lineRule="atLeast" w:line="240" w:before="0" w:after="0"/>
              <w:jc w:val="center"/>
              <w:rPr>
                <w:rFonts w:ascii="arial" w:hAnsi="arial"/>
                <w:sz w:val="16"/>
              </w:rPr>
            </w:pPr>
            <w:r>
              <w:rPr>
                <w:rFonts w:ascii="arial" w:hAnsi="arial"/>
                <w:sz w:val="16"/>
              </w:rPr>
              <w:t>$4,345,491</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490" w:type="dxa"/>
            <w:tcBorders>
              <w:right w:val="single" w:sz="24" w:space="0" w:color="FFFFFF"/>
            </w:tcBorders>
            <w:tcMar>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lineRule="atLeast" w:line="240" w:before="0" w:after="0"/>
              <w:jc w:val="center"/>
              <w:rPr>
                <w:rFonts w:ascii="arial" w:hAnsi="arial"/>
                <w:sz w:val="16"/>
              </w:rPr>
            </w:pPr>
            <w:r>
              <w:rPr>
                <w:rFonts w:ascii="arial" w:hAnsi="arial"/>
                <w:sz w:val="16"/>
              </w:rPr>
              <w:t>$268,922</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936" w:type="dxa"/>
            <w:tcBorders/>
            <w:vAlign w:val="center"/>
          </w:tcPr>
          <w:p>
            <w:pPr>
              <w:pStyle w:val="TableContents"/>
              <w:bidi w:val="0"/>
              <w:spacing w:lineRule="atLeast" w:line="240" w:before="0" w:after="0"/>
              <w:jc w:val="center"/>
              <w:rPr>
                <w:rFonts w:ascii="arial" w:hAnsi="arial"/>
                <w:sz w:val="16"/>
              </w:rPr>
            </w:pPr>
            <w:r>
              <w:rPr>
                <w:rFonts w:ascii="arial" w:hAnsi="arial"/>
                <w:sz w:val="16"/>
              </w:rPr>
              <w:t>$8,480,298</w:t>
            </w:r>
          </w:p>
        </w:tc>
      </w:tr>
      <w:tr>
        <w:trPr/>
        <w:tc>
          <w:tcPr>
            <w:tcW w:w="2376" w:type="dxa"/>
            <w:vMerge w:val="continue"/>
            <w:tcBorders>
              <w:bottom w:val="single" w:sz="8" w:space="0" w:color="003A5D"/>
            </w:tcBorders>
            <w:tcMar>
              <w:bottom w:w="28" w:type="dxa"/>
            </w:tcMar>
            <w:vAlign w:val="center"/>
          </w:tcPr>
          <w:p>
            <w:pPr>
              <w:pStyle w:val="Normal"/>
              <w:bidi w:val="0"/>
              <w:jc w:val="left"/>
              <w:rPr/>
            </w:pPr>
            <w:r>
              <w:rPr/>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72" w:type="dxa"/>
            <w:tcBorders>
              <w:bottom w:val="single" w:sz="8" w:space="0" w:color="003A5D"/>
            </w:tcBorders>
            <w:shd w:fill="E5EBEE" w:val="clear"/>
            <w:tcMar>
              <w:bottom w:w="28" w:type="dxa"/>
            </w:tcMar>
            <w:vAlign w:val="center"/>
          </w:tcPr>
          <w:p>
            <w:pPr>
              <w:pStyle w:val="TableContents"/>
              <w:bidi w:val="0"/>
              <w:spacing w:lineRule="atLeast" w:line="240" w:before="0" w:after="0"/>
              <w:jc w:val="left"/>
              <w:rPr/>
            </w:pPr>
            <w:r>
              <w:rPr/>
              <w:t> </w:t>
            </w:r>
          </w:p>
          <w:p>
            <w:pPr>
              <w:pStyle w:val="TableContents"/>
              <w:bidi w:val="0"/>
              <w:spacing w:before="0" w:after="20"/>
              <w:jc w:val="left"/>
              <w:rPr/>
            </w:pPr>
            <w:r>
              <w:rPr/>
              <w:t> </w:t>
            </w:r>
          </w:p>
        </w:tc>
        <w:tc>
          <w:tcPr>
            <w:tcW w:w="458" w:type="dxa"/>
            <w:tcBorders>
              <w:bottom w:val="single" w:sz="8" w:space="0" w:color="003A5D"/>
            </w:tcBorders>
            <w:shd w:fill="E5EBEE" w:val="clear"/>
            <w:tcMar>
              <w:bottom w:w="28" w:type="dxa"/>
            </w:tcMar>
            <w:vAlign w:val="center"/>
          </w:tcPr>
          <w:p>
            <w:pPr>
              <w:pStyle w:val="TableContents"/>
              <w:bidi w:val="0"/>
              <w:spacing w:lineRule="atLeast" w:line="240" w:before="0" w:after="0"/>
              <w:jc w:val="right"/>
              <w:rPr>
                <w:rFonts w:ascii="arial" w:hAnsi="arial"/>
                <w:sz w:val="16"/>
              </w:rPr>
            </w:pPr>
            <w:r>
              <w:rPr>
                <w:rFonts w:ascii="arial" w:hAnsi="arial"/>
                <w:sz w:val="16"/>
              </w:rPr>
              <w:t>2022</w:t>
            </w:r>
          </w:p>
          <w:p>
            <w:pPr>
              <w:pStyle w:val="TableContents"/>
              <w:bidi w:val="0"/>
              <w:spacing w:before="0" w:after="20"/>
              <w:jc w:val="left"/>
              <w:rPr/>
            </w:pPr>
            <w:r>
              <w:rPr/>
              <w:t> </w:t>
            </w:r>
          </w:p>
        </w:tc>
        <w:tc>
          <w:tcPr>
            <w:tcW w:w="60" w:type="dxa"/>
            <w:tcBorders>
              <w:bottom w:val="single" w:sz="8" w:space="0" w:color="003A5D"/>
              <w:right w:val="single" w:sz="24" w:space="0" w:color="FFFFFF"/>
            </w:tcBorders>
            <w:shd w:fill="E5EBEE" w:val="clear"/>
            <w:tcMar>
              <w:bottom w:w="28" w:type="dxa"/>
              <w:right w:w="28" w:type="dxa"/>
            </w:tcMar>
            <w:vAlign w:val="center"/>
          </w:tcPr>
          <w:p>
            <w:pPr>
              <w:pStyle w:val="TableContents"/>
              <w:bidi w:val="0"/>
              <w:spacing w:lineRule="atLeast" w:line="240" w:before="0" w:after="0"/>
              <w:jc w:val="left"/>
              <w:rPr/>
            </w:pPr>
            <w:r>
              <w:rPr/>
              <w:t> </w:t>
            </w:r>
          </w:p>
          <w:p>
            <w:pPr>
              <w:pStyle w:val="TableContents"/>
              <w:bidi w:val="0"/>
              <w:spacing w:before="0" w:after="2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30" w:type="dxa"/>
            <w:tcBorders>
              <w:bottom w:val="single" w:sz="8"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$1,292,154</w:t>
            </w:r>
          </w:p>
          <w:p>
            <w:pPr>
              <w:pStyle w:val="TableContents"/>
              <w:bidi w:val="0"/>
              <w:spacing w:before="0" w:after="20"/>
              <w:jc w:val="left"/>
              <w:rPr/>
            </w:pPr>
            <w:r>
              <w:rPr/>
              <w:t> </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901" w:type="dxa"/>
            <w:tcBorders>
              <w:bottom w:val="single" w:sz="8" w:space="0" w:color="003A5D"/>
              <w:right w:val="single" w:sz="24" w:space="0" w:color="FFFFFF"/>
            </w:tcBorders>
            <w:shd w:fill="E5EBEE" w:val="clear"/>
            <w:tcMar>
              <w:bottom w:w="28" w:type="dxa"/>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$2,286,200</w:t>
            </w:r>
          </w:p>
          <w:p>
            <w:pPr>
              <w:pStyle w:val="TableContents"/>
              <w:bidi w:val="0"/>
              <w:spacing w:before="0" w:after="2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472" w:type="dxa"/>
            <w:tcBorders>
              <w:bottom w:val="single" w:sz="8"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$3,509,283</w:t>
            </w:r>
          </w:p>
          <w:p>
            <w:pPr>
              <w:pStyle w:val="TableContents"/>
              <w:bidi w:val="0"/>
              <w:spacing w:before="0" w:after="20"/>
              <w:jc w:val="left"/>
              <w:rPr/>
            </w:pPr>
            <w:r>
              <w:rPr/>
              <w:t> </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90" w:type="dxa"/>
            <w:tcBorders>
              <w:bottom w:val="single" w:sz="8" w:space="0" w:color="003A5D"/>
              <w:right w:val="single" w:sz="24" w:space="0" w:color="FFFFFF"/>
            </w:tcBorders>
            <w:shd w:fill="E5EBEE" w:val="clear"/>
            <w:tcMar>
              <w:bottom w:w="28" w:type="dxa"/>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p>
            <w:pPr>
              <w:pStyle w:val="TableContents"/>
              <w:bidi w:val="0"/>
              <w:spacing w:before="0" w:after="2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90" w:type="dxa"/>
            <w:tcBorders>
              <w:bottom w:val="single" w:sz="8"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$247,826</w:t>
            </w:r>
          </w:p>
          <w:p>
            <w:pPr>
              <w:pStyle w:val="TableContents"/>
              <w:bidi w:val="0"/>
              <w:spacing w:before="0" w:after="20"/>
              <w:jc w:val="left"/>
              <w:rPr/>
            </w:pPr>
            <w:r>
              <w:rPr/>
              <w:t> </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936" w:type="dxa"/>
            <w:tcBorders>
              <w:bottom w:val="single" w:sz="8"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$7,335,463</w:t>
            </w:r>
          </w:p>
          <w:p>
            <w:pPr>
              <w:pStyle w:val="TableContents"/>
              <w:bidi w:val="0"/>
              <w:spacing w:before="0" w:after="20"/>
              <w:jc w:val="left"/>
              <w:rPr/>
            </w:pPr>
            <w:r>
              <w:rPr/>
              <w:t> </w:t>
            </w:r>
          </w:p>
        </w:tc>
      </w:tr>
      <w:tr>
        <w:trPr/>
        <w:tc>
          <w:tcPr>
            <w:tcW w:w="2376" w:type="dxa"/>
            <w:vMerge w:val="restart"/>
            <w:tcBorders>
              <w:bottom w:val="single" w:sz="8" w:space="0" w:color="003A5D"/>
            </w:tcBorders>
            <w:tcMar>
              <w:bottom w:w="28" w:type="dxa"/>
            </w:tcMar>
            <w:vAlign w:val="center"/>
          </w:tcPr>
          <w:p>
            <w:pPr>
              <w:pStyle w:val="TableContents"/>
              <w:bidi w:val="0"/>
              <w:spacing w:lineRule="atLeast" w:line="180" w:before="0" w:after="0"/>
              <w:jc w:val="left"/>
              <w:rPr/>
            </w:pPr>
            <w:r>
              <w:rPr/>
              <w:t> </w:t>
            </w:r>
            <w:r>
              <w:rPr>
                <w:rFonts w:ascii="arial" w:hAnsi="arial"/>
                <w:sz w:val="16"/>
              </w:rPr>
              <w:t>Matthew W. Cooper</w:t>
              <w:br/>
              <w:t> General Counsel and</w:t>
              <w:br/>
              <w:t> Corporate Secretary(5)(6)</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lineRule="atLeast" w:line="240" w:before="0" w:after="0"/>
              <w:jc w:val="left"/>
              <w:rPr/>
            </w:pPr>
            <w:r>
              <w:rPr/>
              <w:t> </w:t>
            </w:r>
          </w:p>
        </w:tc>
        <w:tc>
          <w:tcPr>
            <w:tcW w:w="458" w:type="dxa"/>
            <w:tcBorders/>
            <w:vAlign w:val="center"/>
          </w:tcPr>
          <w:p>
            <w:pPr>
              <w:pStyle w:val="TableContents"/>
              <w:bidi w:val="0"/>
              <w:spacing w:lineRule="atLeast" w:line="240" w:before="0" w:after="0"/>
              <w:jc w:val="right"/>
              <w:rPr>
                <w:rFonts w:ascii="arial" w:hAnsi="arial"/>
                <w:sz w:val="16"/>
              </w:rPr>
            </w:pPr>
            <w:r>
              <w:rPr>
                <w:rFonts w:ascii="arial" w:hAnsi="arial"/>
                <w:sz w:val="16"/>
              </w:rPr>
              <w:t>2024</w:t>
            </w:r>
          </w:p>
        </w:tc>
        <w:tc>
          <w:tcPr>
            <w:tcW w:w="60" w:type="dxa"/>
            <w:tcBorders>
              <w:right w:val="single" w:sz="24" w:space="0" w:color="FFFFFF"/>
            </w:tcBorders>
            <w:tcMar>
              <w:right w:w="28" w:type="dxa"/>
            </w:tcMar>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lineRule="atLeast" w:line="240" w:before="0" w:after="0"/>
              <w:jc w:val="center"/>
              <w:rPr>
                <w:rFonts w:ascii="arial" w:hAnsi="arial"/>
                <w:sz w:val="16"/>
              </w:rPr>
            </w:pPr>
            <w:r>
              <w:rPr>
                <w:rFonts w:ascii="arial" w:hAnsi="arial"/>
                <w:sz w:val="16"/>
              </w:rPr>
              <w:t>$1,110,077</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901" w:type="dxa"/>
            <w:tcBorders>
              <w:right w:val="single" w:sz="24" w:space="0" w:color="FFFFFF"/>
            </w:tcBorders>
            <w:tcMar>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$3,214,500</w:t>
            </w:r>
          </w:p>
        </w:tc>
        <w:tc>
          <w:tcPr>
            <w:tcW w:w="6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lineRule="atLeast" w:line="240" w:before="0" w:after="0"/>
              <w:jc w:val="center"/>
              <w:rPr>
                <w:rFonts w:ascii="arial" w:hAnsi="arial"/>
                <w:sz w:val="16"/>
              </w:rPr>
            </w:pPr>
            <w:r>
              <w:rPr>
                <w:rFonts w:ascii="arial" w:hAnsi="arial"/>
                <w:sz w:val="16"/>
              </w:rPr>
              <w:t>$3,507,062</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490" w:type="dxa"/>
            <w:tcBorders>
              <w:right w:val="single" w:sz="24" w:space="0" w:color="FFFFFF"/>
            </w:tcBorders>
            <w:tcMar>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lineRule="atLeast" w:line="240" w:before="0" w:after="0"/>
              <w:jc w:val="center"/>
              <w:rPr>
                <w:rFonts w:ascii="arial" w:hAnsi="arial"/>
                <w:sz w:val="16"/>
              </w:rPr>
            </w:pPr>
            <w:r>
              <w:rPr>
                <w:rFonts w:ascii="arial" w:hAnsi="arial"/>
                <w:sz w:val="16"/>
              </w:rPr>
              <w:t>$216,480</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936" w:type="dxa"/>
            <w:tcBorders/>
            <w:vAlign w:val="center"/>
          </w:tcPr>
          <w:p>
            <w:pPr>
              <w:pStyle w:val="TableContents"/>
              <w:bidi w:val="0"/>
              <w:spacing w:lineRule="atLeast" w:line="240" w:before="0" w:after="0"/>
              <w:jc w:val="center"/>
              <w:rPr>
                <w:rFonts w:ascii="arial" w:hAnsi="arial"/>
                <w:sz w:val="16"/>
              </w:rPr>
            </w:pPr>
            <w:r>
              <w:rPr>
                <w:rFonts w:ascii="arial" w:hAnsi="arial"/>
                <w:sz w:val="16"/>
              </w:rPr>
              <w:t>$8,048,119</w:t>
            </w:r>
          </w:p>
        </w:tc>
      </w:tr>
      <w:tr>
        <w:trPr/>
        <w:tc>
          <w:tcPr>
            <w:tcW w:w="2376" w:type="dxa"/>
            <w:vMerge w:val="continue"/>
            <w:tcBorders>
              <w:bottom w:val="single" w:sz="8" w:space="0" w:color="003A5D"/>
            </w:tcBorders>
            <w:tcMar>
              <w:bottom w:w="28"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72" w:type="dxa"/>
            <w:tcBorders/>
            <w:shd w:fill="E5EBEE" w:val="clear"/>
            <w:vAlign w:val="center"/>
          </w:tcPr>
          <w:p>
            <w:pPr>
              <w:pStyle w:val="TableContents"/>
              <w:bidi w:val="0"/>
              <w:spacing w:lineRule="atLeast" w:line="240" w:before="0" w:after="0"/>
              <w:jc w:val="left"/>
              <w:rPr/>
            </w:pPr>
            <w:r>
              <w:rPr/>
              <w:t> </w:t>
            </w:r>
          </w:p>
        </w:tc>
        <w:tc>
          <w:tcPr>
            <w:tcW w:w="458" w:type="dxa"/>
            <w:tcBorders/>
            <w:shd w:fill="E5EBEE" w:val="clear"/>
            <w:vAlign w:val="center"/>
          </w:tcPr>
          <w:p>
            <w:pPr>
              <w:pStyle w:val="TableContents"/>
              <w:bidi w:val="0"/>
              <w:spacing w:lineRule="atLeast" w:line="240" w:before="0" w:after="0"/>
              <w:jc w:val="right"/>
              <w:rPr>
                <w:rFonts w:ascii="arial" w:hAnsi="arial"/>
                <w:sz w:val="16"/>
              </w:rPr>
            </w:pPr>
            <w:r>
              <w:rPr>
                <w:rFonts w:ascii="arial" w:hAnsi="arial"/>
                <w:sz w:val="16"/>
              </w:rPr>
              <w:t>2023</w:t>
            </w:r>
          </w:p>
        </w:tc>
        <w:tc>
          <w:tcPr>
            <w:tcW w:w="60" w:type="dxa"/>
            <w:tcBorders>
              <w:right w:val="single" w:sz="24" w:space="0" w:color="FFFFFF"/>
            </w:tcBorders>
            <w:shd w:fill="E5EBEE" w:val="clear"/>
            <w:tcMar>
              <w:right w:w="28" w:type="dxa"/>
            </w:tcMar>
            <w:vAlign w:val="center"/>
          </w:tcPr>
          <w:p>
            <w:pPr>
              <w:pStyle w:val="TableContents"/>
              <w:bidi w:val="0"/>
              <w:spacing w:lineRule="atLeast" w:line="240" w:before="0" w:after="0"/>
              <w:jc w:val="left"/>
              <w:rPr/>
            </w:pPr>
            <w:r>
              <w:rPr/>
              <w:t> </w:t>
            </w:r>
          </w:p>
        </w:tc>
        <w:tc>
          <w:tcPr>
            <w:tcW w:w="60" w:type="dxa"/>
            <w:tcBorders/>
            <w:shd w:fill="E5EBEE" w:val="clear"/>
            <w:vAlign w:val="center"/>
          </w:tcPr>
          <w:p>
            <w:pPr>
              <w:pStyle w:val="TableContents"/>
              <w:bidi w:val="0"/>
              <w:spacing w:before="0" w:after="283"/>
              <w:jc w:val="left"/>
              <w:rPr/>
            </w:pPr>
            <w:r>
              <w:rPr/>
              <w:t> </w:t>
            </w:r>
          </w:p>
        </w:tc>
        <w:tc>
          <w:tcPr>
            <w:tcW w:w="830"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01" w:type="dxa"/>
            <w:tcBorders>
              <w:right w:val="single" w:sz="24" w:space="0" w:color="FFFFFF"/>
            </w:tcBorders>
            <w:shd w:fill="E5EBEE" w:val="clear"/>
            <w:tcMar>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before="0" w:after="283"/>
              <w:jc w:val="left"/>
              <w:rPr/>
            </w:pPr>
            <w:r>
              <w:rPr/>
              <w:t> </w:t>
            </w:r>
          </w:p>
        </w:tc>
        <w:tc>
          <w:tcPr>
            <w:tcW w:w="1472"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490" w:type="dxa"/>
            <w:tcBorders>
              <w:right w:val="single" w:sz="24" w:space="0" w:color="FFFFFF"/>
            </w:tcBorders>
            <w:shd w:fill="E5EBEE" w:val="clear"/>
            <w:tcMar>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before="0" w:after="283"/>
              <w:jc w:val="left"/>
              <w:rPr/>
            </w:pPr>
            <w:r>
              <w:rPr/>
              <w:t> </w:t>
            </w:r>
          </w:p>
        </w:tc>
        <w:tc>
          <w:tcPr>
            <w:tcW w:w="1190"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36"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w:t>
            </w:r>
          </w:p>
        </w:tc>
      </w:tr>
      <w:tr>
        <w:trPr/>
        <w:tc>
          <w:tcPr>
            <w:tcW w:w="2376" w:type="dxa"/>
            <w:vMerge w:val="continue"/>
            <w:tcBorders>
              <w:bottom w:val="single" w:sz="8" w:space="0" w:color="003A5D"/>
            </w:tcBorders>
            <w:tcMar>
              <w:bottom w:w="28" w:type="dxa"/>
            </w:tcMar>
            <w:vAlign w:val="center"/>
          </w:tcPr>
          <w:p>
            <w:pPr>
              <w:pStyle w:val="Normal"/>
              <w:bidi w:val="0"/>
              <w:jc w:val="left"/>
              <w:rPr/>
            </w:pPr>
            <w:r>
              <w:rPr/>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72" w:type="dxa"/>
            <w:tcBorders>
              <w:bottom w:val="single" w:sz="8" w:space="0" w:color="003A5D"/>
            </w:tcBorders>
            <w:tcMar>
              <w:bottom w:w="28" w:type="dxa"/>
            </w:tcMar>
            <w:vAlign w:val="center"/>
          </w:tcPr>
          <w:p>
            <w:pPr>
              <w:pStyle w:val="TableContents"/>
              <w:bidi w:val="0"/>
              <w:spacing w:lineRule="atLeast" w:line="240" w:before="0" w:after="0"/>
              <w:jc w:val="left"/>
              <w:rPr/>
            </w:pPr>
            <w:r>
              <w:rPr/>
              <w:t> </w:t>
            </w:r>
          </w:p>
        </w:tc>
        <w:tc>
          <w:tcPr>
            <w:tcW w:w="458" w:type="dxa"/>
            <w:tcBorders>
              <w:bottom w:val="single" w:sz="8" w:space="0" w:color="003A5D"/>
            </w:tcBorders>
            <w:tcMar>
              <w:bottom w:w="28" w:type="dxa"/>
            </w:tcMar>
            <w:vAlign w:val="center"/>
          </w:tcPr>
          <w:p>
            <w:pPr>
              <w:pStyle w:val="TableContents"/>
              <w:bidi w:val="0"/>
              <w:spacing w:lineRule="atLeast" w:line="240" w:before="0" w:after="0"/>
              <w:jc w:val="right"/>
              <w:rPr>
                <w:rFonts w:ascii="arial" w:hAnsi="arial"/>
                <w:sz w:val="16"/>
              </w:rPr>
            </w:pPr>
            <w:r>
              <w:rPr>
                <w:rFonts w:ascii="arial" w:hAnsi="arial"/>
                <w:sz w:val="16"/>
              </w:rPr>
              <w:t>2022</w:t>
            </w:r>
          </w:p>
        </w:tc>
        <w:tc>
          <w:tcPr>
            <w:tcW w:w="60" w:type="dxa"/>
            <w:tcBorders>
              <w:bottom w:val="single" w:sz="8" w:space="0" w:color="003A5D"/>
              <w:right w:val="single" w:sz="24" w:space="0" w:color="FFFFFF"/>
            </w:tcBorders>
            <w:tcMar>
              <w:bottom w:w="28" w:type="dxa"/>
              <w:right w:w="28" w:type="dxa"/>
            </w:tcMar>
            <w:vAlign w:val="center"/>
          </w:tcPr>
          <w:p>
            <w:pPr>
              <w:pStyle w:val="TableContents"/>
              <w:bidi w:val="0"/>
              <w:spacing w:lineRule="atLeast" w:line="240" w:before="0" w:after="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30" w:type="dxa"/>
            <w:tcBorders>
              <w:bottom w:val="single" w:sz="8" w:space="0" w:color="003A5D"/>
            </w:tcBorders>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901" w:type="dxa"/>
            <w:tcBorders>
              <w:bottom w:val="single" w:sz="8" w:space="0" w:color="003A5D"/>
              <w:right w:val="single" w:sz="24" w:space="0" w:color="FFFFFF"/>
            </w:tcBorders>
            <w:tcMar>
              <w:bottom w:w="28" w:type="dxa"/>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472" w:type="dxa"/>
            <w:tcBorders>
              <w:bottom w:val="single" w:sz="8" w:space="0" w:color="003A5D"/>
            </w:tcBorders>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490" w:type="dxa"/>
            <w:tcBorders>
              <w:bottom w:val="single" w:sz="8" w:space="0" w:color="003A5D"/>
              <w:right w:val="single" w:sz="24" w:space="0" w:color="FFFFFF"/>
            </w:tcBorders>
            <w:tcMar>
              <w:bottom w:w="28" w:type="dxa"/>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90" w:type="dxa"/>
            <w:tcBorders>
              <w:bottom w:val="single" w:sz="8" w:space="0" w:color="003A5D"/>
            </w:tcBorders>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936" w:type="dxa"/>
            <w:tcBorders>
              <w:bottom w:val="single" w:sz="8" w:space="0" w:color="003A5D"/>
            </w:tcBorders>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r>
      <w:tr>
        <w:trPr/>
        <w:tc>
          <w:tcPr>
            <w:tcW w:w="2376" w:type="dxa"/>
            <w:vMerge w:val="restart"/>
            <w:tcBorders>
              <w:bottom w:val="single" w:sz="8" w:space="0" w:color="003A5D"/>
            </w:tcBorders>
            <w:tcMar>
              <w:bottom w:w="28" w:type="dxa"/>
            </w:tcMar>
            <w:vAlign w:val="center"/>
          </w:tcPr>
          <w:p>
            <w:pPr>
              <w:pStyle w:val="TableContents"/>
              <w:bidi w:val="0"/>
              <w:spacing w:lineRule="atLeast" w:line="240" w:before="0" w:after="0"/>
              <w:jc w:val="left"/>
              <w:rPr/>
            </w:pPr>
            <w:r>
              <w:rPr/>
              <w:t> </w:t>
            </w:r>
            <w:r>
              <w:rPr>
                <w:rFonts w:ascii="arial" w:hAnsi="arial"/>
                <w:sz w:val="16"/>
              </w:rPr>
              <w:t>Sanjiv Yajnik</w:t>
            </w:r>
          </w:p>
          <w:p>
            <w:pPr>
              <w:pStyle w:val="TableContents"/>
              <w:bidi w:val="0"/>
              <w:spacing w:lineRule="atLeast" w:line="240" w:before="0" w:after="0"/>
              <w:jc w:val="left"/>
              <w:rPr/>
            </w:pPr>
            <w:r>
              <w:rPr/>
              <w:t> </w:t>
            </w:r>
            <w:r>
              <w:rPr>
                <w:rFonts w:ascii="arial" w:hAnsi="arial"/>
                <w:sz w:val="16"/>
              </w:rPr>
              <w:t>President, Financial</w:t>
            </w:r>
          </w:p>
          <w:p>
            <w:pPr>
              <w:pStyle w:val="TableContents"/>
              <w:bidi w:val="0"/>
              <w:spacing w:lineRule="atLeast" w:line="180" w:before="0" w:after="20"/>
              <w:jc w:val="left"/>
              <w:rPr/>
            </w:pPr>
            <w:r>
              <w:rPr/>
              <w:t> </w:t>
            </w:r>
            <w:r>
              <w:rPr>
                <w:rFonts w:ascii="arial" w:hAnsi="arial"/>
                <w:sz w:val="16"/>
              </w:rPr>
              <w:t>Services(5)</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72" w:type="dxa"/>
            <w:tcBorders/>
            <w:shd w:fill="E5EBEE" w:val="clear"/>
            <w:vAlign w:val="center"/>
          </w:tcPr>
          <w:p>
            <w:pPr>
              <w:pStyle w:val="TableContents"/>
              <w:bidi w:val="0"/>
              <w:spacing w:lineRule="atLeast" w:line="240" w:before="0" w:after="0"/>
              <w:jc w:val="left"/>
              <w:rPr/>
            </w:pPr>
            <w:r>
              <w:rPr/>
              <w:t> </w:t>
            </w:r>
          </w:p>
        </w:tc>
        <w:tc>
          <w:tcPr>
            <w:tcW w:w="458" w:type="dxa"/>
            <w:tcBorders/>
            <w:shd w:fill="E5EBEE" w:val="clear"/>
            <w:vAlign w:val="center"/>
          </w:tcPr>
          <w:p>
            <w:pPr>
              <w:pStyle w:val="TableContents"/>
              <w:bidi w:val="0"/>
              <w:spacing w:lineRule="atLeast" w:line="240" w:before="0" w:after="0"/>
              <w:jc w:val="right"/>
              <w:rPr>
                <w:rFonts w:ascii="arial" w:hAnsi="arial"/>
                <w:sz w:val="16"/>
              </w:rPr>
            </w:pPr>
            <w:r>
              <w:rPr>
                <w:rFonts w:ascii="arial" w:hAnsi="arial"/>
                <w:sz w:val="16"/>
              </w:rPr>
              <w:t>2024</w:t>
            </w:r>
          </w:p>
        </w:tc>
        <w:tc>
          <w:tcPr>
            <w:tcW w:w="60" w:type="dxa"/>
            <w:tcBorders>
              <w:right w:val="single" w:sz="24" w:space="0" w:color="FFFFFF"/>
            </w:tcBorders>
            <w:shd w:fill="E5EBEE" w:val="clear"/>
            <w:tcMar>
              <w:right w:w="28" w:type="dxa"/>
            </w:tcMar>
            <w:vAlign w:val="center"/>
          </w:tcPr>
          <w:p>
            <w:pPr>
              <w:pStyle w:val="TableContents"/>
              <w:bidi w:val="0"/>
              <w:spacing w:lineRule="atLeast" w:line="240" w:before="0" w:after="0"/>
              <w:jc w:val="left"/>
              <w:rPr/>
            </w:pPr>
            <w:r>
              <w:rPr/>
              <w:t> </w:t>
            </w:r>
          </w:p>
        </w:tc>
        <w:tc>
          <w:tcPr>
            <w:tcW w:w="60" w:type="dxa"/>
            <w:tcBorders/>
            <w:shd w:fill="E5EBEE" w:val="clear"/>
            <w:vAlign w:val="center"/>
          </w:tcPr>
          <w:p>
            <w:pPr>
              <w:pStyle w:val="TableContents"/>
              <w:bidi w:val="0"/>
              <w:spacing w:before="0" w:after="283"/>
              <w:jc w:val="left"/>
              <w:rPr/>
            </w:pPr>
            <w:r>
              <w:rPr/>
              <w:t> </w:t>
            </w:r>
          </w:p>
        </w:tc>
        <w:tc>
          <w:tcPr>
            <w:tcW w:w="830"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$1,297,615</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01" w:type="dxa"/>
            <w:tcBorders>
              <w:right w:val="single" w:sz="24" w:space="0" w:color="FFFFFF"/>
            </w:tcBorders>
            <w:shd w:fill="E5EBEE" w:val="clear"/>
            <w:tcMar>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$2,442,000</w:t>
            </w:r>
          </w:p>
        </w:tc>
        <w:tc>
          <w:tcPr>
            <w:tcW w:w="60" w:type="dxa"/>
            <w:tcBorders/>
            <w:shd w:fill="E5EBEE" w:val="clear"/>
            <w:vAlign w:val="center"/>
          </w:tcPr>
          <w:p>
            <w:pPr>
              <w:pStyle w:val="TableContents"/>
              <w:bidi w:val="0"/>
              <w:spacing w:before="0" w:after="283"/>
              <w:jc w:val="left"/>
              <w:rPr/>
            </w:pPr>
            <w:r>
              <w:rPr/>
              <w:t> </w:t>
            </w:r>
          </w:p>
        </w:tc>
        <w:tc>
          <w:tcPr>
            <w:tcW w:w="1472"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$3,602,747</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490" w:type="dxa"/>
            <w:tcBorders>
              <w:right w:val="single" w:sz="24" w:space="0" w:color="FFFFFF"/>
            </w:tcBorders>
            <w:shd w:fill="E5EBEE" w:val="clear"/>
            <w:tcMar>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before="0" w:after="283"/>
              <w:jc w:val="left"/>
              <w:rPr/>
            </w:pPr>
            <w:r>
              <w:rPr/>
              <w:t> </w:t>
            </w:r>
          </w:p>
        </w:tc>
        <w:tc>
          <w:tcPr>
            <w:tcW w:w="1190"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$241,719</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36"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$7,584,081</w:t>
            </w:r>
          </w:p>
        </w:tc>
      </w:tr>
      <w:tr>
        <w:trPr/>
        <w:tc>
          <w:tcPr>
            <w:tcW w:w="2376" w:type="dxa"/>
            <w:vMerge w:val="continue"/>
            <w:tcBorders>
              <w:bottom w:val="single" w:sz="8" w:space="0" w:color="003A5D"/>
            </w:tcBorders>
            <w:tcMar>
              <w:bottom w:w="28"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lineRule="atLeast" w:line="240" w:before="0" w:after="0"/>
              <w:jc w:val="left"/>
              <w:rPr/>
            </w:pPr>
            <w:r>
              <w:rPr/>
              <w:t> </w:t>
            </w:r>
          </w:p>
        </w:tc>
        <w:tc>
          <w:tcPr>
            <w:tcW w:w="458" w:type="dxa"/>
            <w:tcBorders/>
            <w:vAlign w:val="center"/>
          </w:tcPr>
          <w:p>
            <w:pPr>
              <w:pStyle w:val="TableContents"/>
              <w:bidi w:val="0"/>
              <w:spacing w:lineRule="atLeast" w:line="240" w:before="0" w:after="0"/>
              <w:jc w:val="right"/>
              <w:rPr>
                <w:rFonts w:ascii="arial" w:hAnsi="arial"/>
                <w:sz w:val="16"/>
              </w:rPr>
            </w:pPr>
            <w:r>
              <w:rPr>
                <w:rFonts w:ascii="arial" w:hAnsi="arial"/>
                <w:sz w:val="16"/>
              </w:rPr>
              <w:t>2023</w:t>
            </w:r>
          </w:p>
        </w:tc>
        <w:tc>
          <w:tcPr>
            <w:tcW w:w="60" w:type="dxa"/>
            <w:tcBorders>
              <w:right w:val="single" w:sz="24" w:space="0" w:color="FFFFFF"/>
            </w:tcBorders>
            <w:tcMar>
              <w:right w:w="28" w:type="dxa"/>
            </w:tcMar>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lineRule="atLeast" w:line="240" w:before="0" w:after="0"/>
              <w:jc w:val="center"/>
              <w:rPr>
                <w:rFonts w:ascii="arial" w:hAnsi="arial"/>
                <w:sz w:val="16"/>
              </w:rPr>
            </w:pPr>
            <w:r>
              <w:rPr>
                <w:rFonts w:ascii="arial" w:hAnsi="arial"/>
                <w:sz w:val="16"/>
              </w:rPr>
              <w:t>$1,259,615</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901" w:type="dxa"/>
            <w:tcBorders>
              <w:right w:val="single" w:sz="24" w:space="0" w:color="FFFFFF"/>
            </w:tcBorders>
            <w:tcMar>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$2,370,000</w:t>
            </w:r>
          </w:p>
        </w:tc>
        <w:tc>
          <w:tcPr>
            <w:tcW w:w="60"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lineRule="atLeast" w:line="240" w:before="0" w:after="0"/>
              <w:jc w:val="center"/>
              <w:rPr>
                <w:rFonts w:ascii="arial" w:hAnsi="arial"/>
                <w:sz w:val="16"/>
              </w:rPr>
            </w:pPr>
            <w:r>
              <w:rPr>
                <w:rFonts w:ascii="arial" w:hAnsi="arial"/>
                <w:sz w:val="16"/>
              </w:rPr>
              <w:t>$3,604,059</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490" w:type="dxa"/>
            <w:tcBorders>
              <w:right w:val="single" w:sz="24" w:space="0" w:color="FFFFFF"/>
            </w:tcBorders>
            <w:tcMar>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lineRule="atLeast" w:line="240" w:before="0" w:after="0"/>
              <w:jc w:val="center"/>
              <w:rPr>
                <w:rFonts w:ascii="arial" w:hAnsi="arial"/>
                <w:sz w:val="16"/>
              </w:rPr>
            </w:pPr>
            <w:r>
              <w:rPr>
                <w:rFonts w:ascii="arial" w:hAnsi="arial"/>
                <w:sz w:val="16"/>
              </w:rPr>
              <w:t>$316,895</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936" w:type="dxa"/>
            <w:tcBorders/>
            <w:vAlign w:val="center"/>
          </w:tcPr>
          <w:p>
            <w:pPr>
              <w:pStyle w:val="TableContents"/>
              <w:bidi w:val="0"/>
              <w:spacing w:lineRule="atLeast" w:line="240" w:before="0" w:after="0"/>
              <w:jc w:val="center"/>
              <w:rPr>
                <w:rFonts w:ascii="arial" w:hAnsi="arial"/>
                <w:sz w:val="16"/>
              </w:rPr>
            </w:pPr>
            <w:r>
              <w:rPr>
                <w:rFonts w:ascii="arial" w:hAnsi="arial"/>
                <w:sz w:val="16"/>
              </w:rPr>
              <w:t>$7,550,569</w:t>
            </w:r>
          </w:p>
        </w:tc>
      </w:tr>
      <w:tr>
        <w:trPr/>
        <w:tc>
          <w:tcPr>
            <w:tcW w:w="2376" w:type="dxa"/>
            <w:vMerge w:val="continue"/>
            <w:tcBorders>
              <w:bottom w:val="single" w:sz="8" w:space="0" w:color="003A5D"/>
            </w:tcBorders>
            <w:tcMar>
              <w:bottom w:w="28" w:type="dxa"/>
            </w:tcMar>
            <w:vAlign w:val="center"/>
          </w:tcPr>
          <w:p>
            <w:pPr>
              <w:pStyle w:val="Normal"/>
              <w:bidi w:val="0"/>
              <w:jc w:val="left"/>
              <w:rPr/>
            </w:pPr>
            <w:r>
              <w:rPr/>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72" w:type="dxa"/>
            <w:tcBorders>
              <w:bottom w:val="single" w:sz="8" w:space="0" w:color="003A5D"/>
            </w:tcBorders>
            <w:shd w:fill="E5EBEE" w:val="clear"/>
            <w:tcMar>
              <w:bottom w:w="28" w:type="dxa"/>
            </w:tcMar>
            <w:vAlign w:val="center"/>
          </w:tcPr>
          <w:p>
            <w:pPr>
              <w:pStyle w:val="TableContents"/>
              <w:bidi w:val="0"/>
              <w:spacing w:lineRule="atLeast" w:line="240" w:before="0" w:after="0"/>
              <w:jc w:val="left"/>
              <w:rPr/>
            </w:pPr>
            <w:r>
              <w:rPr/>
              <w:t> </w:t>
            </w:r>
          </w:p>
        </w:tc>
        <w:tc>
          <w:tcPr>
            <w:tcW w:w="458" w:type="dxa"/>
            <w:tcBorders>
              <w:bottom w:val="single" w:sz="8" w:space="0" w:color="003A5D"/>
            </w:tcBorders>
            <w:shd w:fill="E5EBEE" w:val="clear"/>
            <w:tcMar>
              <w:bottom w:w="28" w:type="dxa"/>
            </w:tcMar>
            <w:vAlign w:val="center"/>
          </w:tcPr>
          <w:p>
            <w:pPr>
              <w:pStyle w:val="TableContents"/>
              <w:bidi w:val="0"/>
              <w:spacing w:lineRule="atLeast" w:line="240" w:before="0" w:after="0"/>
              <w:jc w:val="right"/>
              <w:rPr>
                <w:rFonts w:ascii="arial" w:hAnsi="arial"/>
                <w:sz w:val="16"/>
              </w:rPr>
            </w:pPr>
            <w:r>
              <w:rPr>
                <w:rFonts w:ascii="arial" w:hAnsi="arial"/>
                <w:sz w:val="16"/>
              </w:rPr>
              <w:t>2022</w:t>
            </w:r>
          </w:p>
        </w:tc>
        <w:tc>
          <w:tcPr>
            <w:tcW w:w="60" w:type="dxa"/>
            <w:tcBorders>
              <w:bottom w:val="single" w:sz="8" w:space="0" w:color="003A5D"/>
              <w:right w:val="single" w:sz="24" w:space="0" w:color="FFFFFF"/>
            </w:tcBorders>
            <w:shd w:fill="E5EBEE" w:val="clear"/>
            <w:tcMar>
              <w:bottom w:w="28" w:type="dxa"/>
              <w:right w:w="28" w:type="dxa"/>
            </w:tcMar>
            <w:vAlign w:val="center"/>
          </w:tcPr>
          <w:p>
            <w:pPr>
              <w:pStyle w:val="TableContents"/>
              <w:bidi w:val="0"/>
              <w:spacing w:lineRule="atLeast" w:line="240" w:before="0" w:after="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30" w:type="dxa"/>
            <w:tcBorders>
              <w:bottom w:val="single" w:sz="8"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$1,219,077</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901" w:type="dxa"/>
            <w:tcBorders>
              <w:bottom w:val="single" w:sz="8" w:space="0" w:color="003A5D"/>
              <w:right w:val="single" w:sz="24" w:space="0" w:color="FFFFFF"/>
            </w:tcBorders>
            <w:shd w:fill="E5EBEE" w:val="clear"/>
            <w:tcMar>
              <w:bottom w:w="28" w:type="dxa"/>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$2,146,200</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472" w:type="dxa"/>
            <w:tcBorders>
              <w:bottom w:val="single" w:sz="8"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$3,290,407</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90" w:type="dxa"/>
            <w:tcBorders>
              <w:bottom w:val="single" w:sz="8" w:space="0" w:color="003A5D"/>
              <w:right w:val="single" w:sz="24" w:space="0" w:color="FFFFFF"/>
            </w:tcBorders>
            <w:shd w:fill="E5EBEE" w:val="clear"/>
            <w:tcMar>
              <w:bottom w:w="28" w:type="dxa"/>
              <w:right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90" w:type="dxa"/>
            <w:tcBorders>
              <w:bottom w:val="single" w:sz="8"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$310,343</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936" w:type="dxa"/>
            <w:tcBorders>
              <w:bottom w:val="single" w:sz="8"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$6,966,027</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both"/>
              <w:rPr>
                <w:rFonts w:ascii="arial" w:hAnsi="arial"/>
                <w:sz w:val="16"/>
              </w:rPr>
            </w:pPr>
            <w:r>
              <w:rPr>
                <w:rFonts w:ascii="arial" w:hAnsi="arial"/>
                <w:sz w:val="16"/>
              </w:rPr>
              <w:t xml:space="preserve">The amount shown in this column for Mr. Fairbank in 2024 reflects his deferred cash bonus awarded in February 2025 for 2024 performance as described under “Year-End Incentive Opportunity” beginning on page 68. For NEOs other than Mr. Fairbank, the amount shown in this column for 2024 reflects the cash incentive awarded in February 2025 for 2024 performance, as described under “2024 NEO Compensation Program and Components” beginning on page 81. Mr. Cooper’s amount also includes $1,125,000 awarded in connection with his work on the Discover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(2)</w:t>
            </w:r>
          </w:p>
        </w:tc>
        <w:tc>
          <w:tcPr>
            <w:tcW w:w="9971" w:type="dxa"/>
            <w:tcBorders/>
            <w:vAlign w:val="center"/>
          </w:tcPr>
          <w:p>
            <w:pPr>
              <w:pStyle w:val="TableContents"/>
              <w:bidi w:val="0"/>
              <w:spacing w:before="0" w:after="0"/>
              <w:jc w:val="both"/>
              <w:rPr>
                <w:rFonts w:ascii="arial" w:hAnsi="arial"/>
                <w:sz w:val="16"/>
              </w:rPr>
            </w:pPr>
            <w:r>
              <w:rPr>
                <w:rFonts w:ascii="arial" w:hAnsi="arial"/>
                <w:sz w:val="16"/>
              </w:rPr>
              <w:t xml:space="preserve">The amounts shown in this column represent the grant date fair value of performance shares, stock-settled RSUs, and cash-settled RSUs granted to the NEOs, calculated in accordance with FASB ASC Topic 718. The grant date fair value of performance shares included in this column assumes a payout at the target performance level. The grant date fair value for the 2024 TSR Performance Shares granted to Mr. Fairbank is determined by multiplying the target number of shares by a valuation using a Monte Carlo simulation, which determined a grant date fair value of $142.35 per share (105.79% of the Company’s closing stock price on the grant date). The valuation was based on the following assumptions: (i) expected volatility based on the historical stock price volatility of the Company and the implied volatility of the Company’s exchange-traded options (33.19%); (ii) expected risk-free interest rate based on the U.S. Treasury rates as of the grant date (3.94%); and (iii) the length of the remaining performance period as of the grant date (2.93 years). For 2023, the amounts shown also include the incremental expense from the amendment of the agreements for the Financial Performance Shares originally granted on February 4, 2021 to Messrs. Fairbank, LaPrade, and Yajnik, and the amendment of the agreements for the TSR Performance Shares granted to Mr. Fairbank on February 4, 2021, February 3, 2022, and January 26, 2023, to give the Committee the ability to take into consideration companies that failed, merged, or were acquired during the performance period for the purposes of defining the Performance Share Peers. This did not include the incremental expense from the amendment of the agreements for the Financial Performance Shares originally granted on February 3, 2022 and January 26, 2023. For 2024, the amounts shown also include the incremental expense from the amendment of the agreements for the Financial Performance Shares originally granted on February 3, 2022 to all of the NEOs, but does not yet include the incremental expense from the amendment of the Financial Performance Shares agreements originally granted to all of the NEOs on January 26,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(3)</w:t>
            </w:r>
          </w:p>
        </w:tc>
        <w:tc>
          <w:tcPr>
            <w:tcW w:w="9930" w:type="dxa"/>
            <w:tcBorders/>
            <w:vAlign w:val="center"/>
          </w:tcPr>
          <w:p>
            <w:pPr>
              <w:pStyle w:val="TableContents"/>
              <w:bidi w:val="0"/>
              <w:spacing w:before="0" w:after="0"/>
              <w:jc w:val="both"/>
              <w:rPr>
                <w:rFonts w:ascii="arial" w:hAnsi="arial"/>
                <w:sz w:val="16"/>
              </w:rPr>
            </w:pPr>
            <w:r>
              <w:rPr>
                <w:rFonts w:ascii="arial" w:hAnsi="arial"/>
                <w:sz w:val="16"/>
              </w:rPr>
              <w:t xml:space="preserve">The amounts shown in this column represent the change in the actuarial present value of the accumulated pension benefits for Mr. Fairbank under the Cash Balance Pension Plan and the Excess Cash Balance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(4)</w:t>
            </w:r>
          </w:p>
        </w:tc>
        <w:tc>
          <w:tcPr>
            <w:tcW w:w="9964" w:type="dxa"/>
            <w:tcBorders/>
            <w:vAlign w:val="center"/>
          </w:tcPr>
          <w:p>
            <w:pPr>
              <w:pStyle w:val="TableContents"/>
              <w:bidi w:val="0"/>
              <w:spacing w:before="0" w:after="0"/>
              <w:jc w:val="both"/>
              <w:rPr>
                <w:rFonts w:ascii="arial" w:hAnsi="arial"/>
                <w:sz w:val="16"/>
              </w:rPr>
            </w:pPr>
            <w:r>
              <w:rPr>
                <w:rFonts w:ascii="arial" w:hAnsi="arial"/>
                <w:sz w:val="16"/>
              </w:rPr>
              <w:t xml:space="preserve">Mr. Fairbank’s compensation for 2024 consisted of cash-settled RSUs and a year-end incentive opportunity (which was paid in the form of a deferred cash bonus, cash-settled RSUs, and performance shares), in addition to certain perquisites. Mr. Fairbank received a portion of his total compensation for 2024 in February 2024 (cash-settled RSUs), which is reflected in the table above for 2024. Mr. Fairbank received the remainder of his compensation for 2024 in February 2025 (the year-end incentive opportunity delivered in the form of a deferred cash bonus, cash-settled RSUs, and performance shares). The portion of the year-end incentive opportunity delivered as a deferred cash bonus to Mr. Fairbank in February 2025 is included in the table above, while the portion delivered as cash-settled RSUs and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97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390" w:type="dxa"/>
        <w:jc w:val="left"/>
        <w:tblInd w:w="0" w:type="dxa"/>
        <w:tblLayout w:type="fixed"/>
        <w:tblCellMar>
          <w:top w:w="0" w:type="dxa"/>
          <w:left w:w="0" w:type="dxa"/>
          <w:bottom w:w="0" w:type="dxa"/>
          <w:right w:w="0" w:type="dxa"/>
        </w:tblCellMar>
      </w:tblPr>
      <w:tblGrid>
        <w:gridCol w:w="5390"/>
      </w:tblGrid>
      <w:tr>
        <w:trPr/>
        <w:tc>
          <w:tcPr>
            <w:tcW w:w="5390"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center"/>
          </w:tcPr>
          <w:p>
            <w:pPr>
              <w:pStyle w:val="TableContents"/>
              <w:bidi w:val="0"/>
              <w:spacing w:before="0" w:after="283"/>
              <w:jc w:val="left"/>
              <w:rPr>
                <w:b/>
                <w:color w:val="003A5D"/>
              </w:rPr>
            </w:pPr>
            <w:r>
              <w:rPr>
                <w:b/>
                <w:color w:val="003A5D"/>
              </w:rPr>
              <w:t>Section VI - Named Executive Officer Compensation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16"/>
              </w:rPr>
            </w:pPr>
            <w:r>
              <w:rPr>
                <w:rFonts w:ascii="arial" w:hAnsi="arial"/>
                <w:sz w:val="16"/>
              </w:rPr>
              <w:t xml:space="preserve">performance shares will be included in next year’s table pursuant to SEC rules. See “CEO Compensation by Performance Year” beginning on page 78 for more information on how the Committee makes compensation decisions and to which year the compensation awards relate.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(5)</w:t>
            </w:r>
          </w:p>
        </w:tc>
        <w:tc>
          <w:tcPr>
            <w:tcW w:w="9962" w:type="dxa"/>
            <w:tcBorders/>
            <w:vAlign w:val="center"/>
          </w:tcPr>
          <w:p>
            <w:pPr>
              <w:pStyle w:val="TableContents"/>
              <w:bidi w:val="0"/>
              <w:spacing w:before="0" w:after="0"/>
              <w:jc w:val="both"/>
              <w:rPr>
                <w:rFonts w:ascii="arial" w:hAnsi="arial"/>
                <w:sz w:val="16"/>
              </w:rPr>
            </w:pPr>
            <w:r>
              <w:rPr>
                <w:rFonts w:ascii="arial" w:hAnsi="arial"/>
                <w:sz w:val="16"/>
              </w:rPr>
              <w:t xml:space="preserve">For NEOs other than the CEO, compensation for 2024 consisted of a cash base salary, a cash incentive, performance shares, and stock-settled RSUs, in addition to certain perquisites. The performance shares and stock-settled RSUs awarded for 2024 performance were granted in February 2025 and are not included in the table above. The performance shares and stock-settled RSUs granted in February 2024 for 2023 performance are included in the table above for 2024. See “NEO Compensation by Performance Year” beginning on page 85 for more information on how the Committee makes compensation decisions and to which year the compensation awards relate.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(6)</w:t>
            </w:r>
          </w:p>
        </w:tc>
        <w:tc>
          <w:tcPr>
            <w:tcW w:w="9902" w:type="dxa"/>
            <w:tcBorders/>
            <w:vAlign w:val="center"/>
          </w:tcPr>
          <w:p>
            <w:pPr>
              <w:pStyle w:val="TableContents"/>
              <w:bidi w:val="0"/>
              <w:spacing w:before="0" w:after="0"/>
              <w:jc w:val="both"/>
              <w:rPr>
                <w:rFonts w:ascii="arial" w:hAnsi="arial"/>
                <w:sz w:val="16"/>
              </w:rPr>
            </w:pPr>
            <w:r>
              <w:rPr>
                <w:rFonts w:ascii="arial" w:hAnsi="arial"/>
                <w:sz w:val="16"/>
              </w:rPr>
              <w:t xml:space="preserve">In accordance with SEC rules, no amounts are reported for Mr. Cooper for 2022 and 2023 because he was not an NEO in 2022 and 2023.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305"/>
        <w:gridCol w:w="4550"/>
      </w:tblGrid>
      <w:tr>
        <w:trPr/>
        <w:tc>
          <w:tcPr>
            <w:tcW w:w="305"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0"/>
              <w:jc w:val="both"/>
              <w:rPr>
                <w:rFonts w:ascii="arial" w:hAnsi="arial"/>
                <w:sz w:val="16"/>
              </w:rPr>
            </w:pPr>
            <w:r>
              <w:rPr>
                <w:rFonts w:ascii="arial" w:hAnsi="arial"/>
                <w:sz w:val="16"/>
              </w:rPr>
              <w:t xml:space="preserve">All other compensation for the NEOs consists of the following: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35"/>
        <w:gridCol w:w="60"/>
        <w:gridCol w:w="703"/>
        <w:gridCol w:w="60"/>
        <w:gridCol w:w="1385"/>
        <w:gridCol w:w="60"/>
        <w:gridCol w:w="1115"/>
        <w:gridCol w:w="60"/>
        <w:gridCol w:w="951"/>
        <w:gridCol w:w="60"/>
        <w:gridCol w:w="1940"/>
        <w:gridCol w:w="60"/>
        <w:gridCol w:w="1129"/>
        <w:gridCol w:w="60"/>
        <w:gridCol w:w="727"/>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1835" w:type="dxa"/>
            <w:tcBorders/>
            <w:shd w:fill="003A5D" w:val="clear"/>
            <w:vAlign w:val="center"/>
          </w:tcPr>
          <w:p>
            <w:pPr>
              <w:pStyle w:val="TableContents"/>
              <w:bidi w:val="0"/>
              <w:spacing w:before="0" w:after="283"/>
              <w:jc w:val="left"/>
              <w:rPr>
                <w:sz w:val="4"/>
                <w:szCs w:val="4"/>
              </w:rPr>
            </w:pPr>
            <w:r>
              <w:rPr>
                <w:sz w:val="4"/>
                <w:szCs w:val="4"/>
              </w:rPr>
            </w:r>
          </w:p>
        </w:tc>
        <w:tc>
          <w:tcPr>
            <w:tcW w:w="763" w:type="dxa"/>
            <w:gridSpan w:val="2"/>
            <w:tcBorders>
              <w:left w:val="single" w:sz="24" w:space="0" w:color="FFFFFF"/>
              <w:right w:val="single" w:sz="24" w:space="0" w:color="FFFFFF"/>
            </w:tcBorders>
            <w:shd w:fill="003A5D" w:val="clear"/>
            <w:tcMar>
              <w:left w:w="28" w:type="dxa"/>
              <w:right w:w="28" w:type="dxa"/>
            </w:tcMar>
            <w:vAlign w:val="center"/>
          </w:tcPr>
          <w:p>
            <w:pPr>
              <w:pStyle w:val="TableContents"/>
              <w:bidi w:val="0"/>
              <w:spacing w:before="0" w:after="283"/>
              <w:jc w:val="left"/>
              <w:rPr/>
            </w:pPr>
            <w:r>
              <w:rPr/>
              <w:t> </w:t>
            </w:r>
          </w:p>
        </w:tc>
        <w:tc>
          <w:tcPr>
            <w:tcW w:w="1445" w:type="dxa"/>
            <w:gridSpan w:val="2"/>
            <w:tcBorders/>
            <w:shd w:fill="003A5D" w:val="clear"/>
            <w:vAlign w:val="center"/>
          </w:tcPr>
          <w:p>
            <w:pPr>
              <w:pStyle w:val="TableContents"/>
              <w:bidi w:val="0"/>
              <w:spacing w:before="0" w:after="283"/>
              <w:jc w:val="left"/>
              <w:rPr>
                <w:sz w:val="4"/>
                <w:szCs w:val="4"/>
              </w:rPr>
            </w:pPr>
            <w:r>
              <w:rPr>
                <w:sz w:val="4"/>
                <w:szCs w:val="4"/>
              </w:rPr>
            </w:r>
          </w:p>
        </w:tc>
        <w:tc>
          <w:tcPr>
            <w:tcW w:w="1175" w:type="dxa"/>
            <w:gridSpan w:val="2"/>
            <w:tcBorders>
              <w:left w:val="single" w:sz="24" w:space="0" w:color="FFFFFF"/>
              <w:right w:val="single" w:sz="24" w:space="0" w:color="FFFFFF"/>
            </w:tcBorders>
            <w:shd w:fill="003A5D" w:val="clear"/>
            <w:tcMar>
              <w:left w:w="28" w:type="dxa"/>
              <w:right w:w="28" w:type="dxa"/>
            </w:tcMar>
            <w:vAlign w:val="center"/>
          </w:tcPr>
          <w:p>
            <w:pPr>
              <w:pStyle w:val="TableContents"/>
              <w:bidi w:val="0"/>
              <w:spacing w:before="0" w:after="283"/>
              <w:jc w:val="left"/>
              <w:rPr/>
            </w:pPr>
            <w:r>
              <w:rPr/>
              <w:t> </w:t>
            </w:r>
          </w:p>
        </w:tc>
        <w:tc>
          <w:tcPr>
            <w:tcW w:w="1011" w:type="dxa"/>
            <w:gridSpan w:val="2"/>
            <w:tcBorders/>
            <w:shd w:fill="003A5D" w:val="clear"/>
            <w:vAlign w:val="center"/>
          </w:tcPr>
          <w:p>
            <w:pPr>
              <w:pStyle w:val="TableContents"/>
              <w:bidi w:val="0"/>
              <w:spacing w:before="0" w:after="283"/>
              <w:jc w:val="left"/>
              <w:rPr>
                <w:sz w:val="4"/>
                <w:szCs w:val="4"/>
              </w:rPr>
            </w:pPr>
            <w:r>
              <w:rPr>
                <w:sz w:val="4"/>
                <w:szCs w:val="4"/>
              </w:rPr>
            </w:r>
          </w:p>
        </w:tc>
        <w:tc>
          <w:tcPr>
            <w:tcW w:w="2000" w:type="dxa"/>
            <w:gridSpan w:val="2"/>
            <w:tcBorders>
              <w:left w:val="single" w:sz="24" w:space="0" w:color="FFFFFF"/>
              <w:right w:val="single" w:sz="24" w:space="0" w:color="FFFFFF"/>
            </w:tcBorders>
            <w:shd w:fill="003A5D" w:val="clear"/>
            <w:tcMar>
              <w:left w:w="28" w:type="dxa"/>
              <w:right w:w="28" w:type="dxa"/>
            </w:tcMar>
            <w:vAlign w:val="center"/>
          </w:tcPr>
          <w:p>
            <w:pPr>
              <w:pStyle w:val="TableContents"/>
              <w:bidi w:val="0"/>
              <w:spacing w:before="0" w:after="283"/>
              <w:jc w:val="left"/>
              <w:rPr/>
            </w:pPr>
            <w:r>
              <w:rPr/>
              <w:t> </w:t>
            </w:r>
          </w:p>
        </w:tc>
        <w:tc>
          <w:tcPr>
            <w:tcW w:w="1189" w:type="dxa"/>
            <w:gridSpan w:val="2"/>
            <w:tcBorders/>
            <w:shd w:fill="003A5D" w:val="clear"/>
            <w:vAlign w:val="center"/>
          </w:tcPr>
          <w:p>
            <w:pPr>
              <w:pStyle w:val="TableContents"/>
              <w:bidi w:val="0"/>
              <w:spacing w:before="0" w:after="283"/>
              <w:jc w:val="left"/>
              <w:rPr>
                <w:sz w:val="4"/>
                <w:szCs w:val="4"/>
              </w:rPr>
            </w:pPr>
            <w:r>
              <w:rPr>
                <w:sz w:val="4"/>
                <w:szCs w:val="4"/>
              </w:rPr>
            </w:r>
          </w:p>
        </w:tc>
        <w:tc>
          <w:tcPr>
            <w:tcW w:w="787"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1835" w:type="dxa"/>
            <w:tcBorders/>
            <w:shd w:fill="003A5D" w:val="clear"/>
            <w:vAlign w:val="center"/>
          </w:tcPr>
          <w:p>
            <w:pPr>
              <w:pStyle w:val="TableContents"/>
              <w:bidi w:val="0"/>
              <w:spacing w:before="0" w:after="283"/>
              <w:jc w:val="left"/>
              <w:rPr>
                <w:color w:val="FFFFFF"/>
              </w:rPr>
            </w:pPr>
            <w:r>
              <w:rPr>
                <w:color w:val="FFFFFF"/>
              </w:rPr>
              <w:t> </w:t>
            </w:r>
            <w:r>
              <w:rPr>
                <w:b/>
                <w:color w:val="FFFFFF"/>
              </w:rPr>
              <w:t>Named</w:t>
              <w:br/>
              <w:t> Executive Officer</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703" w:type="dxa"/>
            <w:tcBorders>
              <w:right w:val="single" w:sz="24"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Auto(a) </w:t>
            </w:r>
          </w:p>
        </w:tc>
        <w:tc>
          <w:tcPr>
            <w:tcW w:w="60" w:type="dxa"/>
            <w:tcBorders/>
            <w:shd w:fill="003A5D" w:val="clear"/>
            <w:vAlign w:val="center"/>
          </w:tcPr>
          <w:p>
            <w:pPr>
              <w:pStyle w:val="TableContents"/>
              <w:bidi w:val="0"/>
              <w:spacing w:before="0" w:after="283"/>
              <w:jc w:val="left"/>
              <w:rPr/>
            </w:pPr>
            <w:r>
              <w:rPr/>
              <w:t> </w:t>
            </w:r>
          </w:p>
        </w:tc>
        <w:tc>
          <w:tcPr>
            <w:tcW w:w="1385" w:type="dxa"/>
            <w:tcBorders/>
            <w:shd w:fill="003A5D" w:val="clear"/>
            <w:vAlign w:val="center"/>
          </w:tcPr>
          <w:p>
            <w:pPr>
              <w:pStyle w:val="TableContents"/>
              <w:bidi w:val="0"/>
              <w:spacing w:before="0" w:after="283"/>
              <w:jc w:val="center"/>
              <w:rPr>
                <w:b/>
                <w:color w:val="FFFFFF"/>
              </w:rPr>
            </w:pPr>
            <w:r>
              <w:rPr>
                <w:b/>
                <w:color w:val="FFFFFF"/>
              </w:rPr>
              <w:t>Travel and </w:t>
              <w:br/>
              <w:t>Aircraft(b) 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115" w:type="dxa"/>
            <w:tcBorders>
              <w:right w:val="single" w:sz="24"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Health </w:t>
              <w:br/>
              <w:t>Screening(c) </w:t>
            </w:r>
          </w:p>
        </w:tc>
        <w:tc>
          <w:tcPr>
            <w:tcW w:w="60" w:type="dxa"/>
            <w:tcBorders/>
            <w:shd w:fill="003A5D" w:val="clear"/>
            <w:vAlign w:val="center"/>
          </w:tcPr>
          <w:p>
            <w:pPr>
              <w:pStyle w:val="TableContents"/>
              <w:bidi w:val="0"/>
              <w:spacing w:before="0" w:after="283"/>
              <w:jc w:val="left"/>
              <w:rPr/>
            </w:pPr>
            <w:r>
              <w:rPr/>
              <w:t> </w:t>
            </w:r>
          </w:p>
        </w:tc>
        <w:tc>
          <w:tcPr>
            <w:tcW w:w="951" w:type="dxa"/>
            <w:tcBorders/>
            <w:shd w:fill="003A5D" w:val="clear"/>
            <w:vAlign w:val="center"/>
          </w:tcPr>
          <w:p>
            <w:pPr>
              <w:pStyle w:val="TableContents"/>
              <w:bidi w:val="0"/>
              <w:spacing w:before="0" w:after="283"/>
              <w:jc w:val="center"/>
              <w:rPr>
                <w:b/>
                <w:color w:val="FFFFFF"/>
              </w:rPr>
            </w:pPr>
            <w:r>
              <w:rPr>
                <w:b/>
                <w:color w:val="FFFFFF"/>
              </w:rPr>
              <w:t>Security(d) 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940" w:type="dxa"/>
            <w:tcBorders>
              <w:right w:val="single" w:sz="24"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Company </w:t>
              <w:br/>
              <w:t>Contributions to </w:t>
              <w:br/>
              <w:t>Defined </w:t>
              <w:br/>
              <w:t>Contribution </w:t>
              <w:br/>
              <w:t>Plans(e) </w:t>
            </w:r>
          </w:p>
        </w:tc>
        <w:tc>
          <w:tcPr>
            <w:tcW w:w="60" w:type="dxa"/>
            <w:tcBorders/>
            <w:shd w:fill="003A5D" w:val="clear"/>
            <w:vAlign w:val="center"/>
          </w:tcPr>
          <w:p>
            <w:pPr>
              <w:pStyle w:val="TableContents"/>
              <w:bidi w:val="0"/>
              <w:spacing w:before="0" w:after="283"/>
              <w:jc w:val="left"/>
              <w:rPr/>
            </w:pPr>
            <w:r>
              <w:rPr/>
              <w:t> </w:t>
            </w:r>
          </w:p>
        </w:tc>
        <w:tc>
          <w:tcPr>
            <w:tcW w:w="1129" w:type="dxa"/>
            <w:tcBorders/>
            <w:shd w:fill="003A5D" w:val="clear"/>
            <w:vAlign w:val="center"/>
          </w:tcPr>
          <w:p>
            <w:pPr>
              <w:pStyle w:val="TableContents"/>
              <w:bidi w:val="0"/>
              <w:spacing w:before="0" w:after="283"/>
              <w:jc w:val="center"/>
              <w:rPr>
                <w:b/>
                <w:color w:val="FFFFFF"/>
              </w:rPr>
            </w:pPr>
            <w:r>
              <w:rPr>
                <w:b/>
                <w:color w:val="FFFFFF"/>
              </w:rPr>
              <w:t>Insurance(f) 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727" w:type="dxa"/>
            <w:tcBorders/>
            <w:shd w:fill="003A5D" w:val="clear"/>
            <w:vAlign w:val="center"/>
          </w:tcPr>
          <w:p>
            <w:pPr>
              <w:pStyle w:val="TableContents"/>
              <w:bidi w:val="0"/>
              <w:spacing w:before="0" w:after="283"/>
              <w:jc w:val="center"/>
              <w:rPr>
                <w:b/>
                <w:color w:val="FFFFFF"/>
              </w:rPr>
            </w:pPr>
            <w:r>
              <w:rPr>
                <w:b/>
                <w:color w:val="FFFFFF"/>
              </w:rPr>
              <w:t>Other(g) </w:t>
            </w:r>
          </w:p>
        </w:tc>
      </w:tr>
      <w:tr>
        <w:trPr/>
        <w:tc>
          <w:tcPr>
            <w:tcW w:w="1835" w:type="dxa"/>
            <w:tcBorders>
              <w:top w:val="single" w:sz="8" w:space="0" w:color="FFFFFF"/>
            </w:tcBorders>
            <w:shd w:fill="E5EBEE" w:val="clear"/>
            <w:tcMar>
              <w:top w:w="28" w:type="dxa"/>
            </w:tcMar>
            <w:vAlign w:val="center"/>
          </w:tcPr>
          <w:p>
            <w:pPr>
              <w:pStyle w:val="TableContents"/>
              <w:bidi w:val="0"/>
              <w:spacing w:before="0" w:after="283"/>
              <w:jc w:val="left"/>
              <w:rPr/>
            </w:pPr>
            <w:r>
              <w:rPr/>
              <w:t> </w:t>
            </w:r>
          </w:p>
        </w:tc>
        <w:tc>
          <w:tcPr>
            <w:tcW w:w="763" w:type="dxa"/>
            <w:gridSpan w:val="2"/>
            <w:tcBorders>
              <w:top w:val="single" w:sz="8" w:space="0" w:color="FFFFFF"/>
              <w:left w:val="single" w:sz="24" w:space="0" w:color="FFFFFF"/>
              <w:right w:val="single" w:sz="24" w:space="0" w:color="FFFFFF"/>
            </w:tcBorders>
            <w:shd w:fill="E5EBEE" w:val="clear"/>
            <w:tcMar>
              <w:top w:w="28" w:type="dxa"/>
              <w:left w:w="28" w:type="dxa"/>
              <w:right w:w="28" w:type="dxa"/>
            </w:tcMar>
            <w:vAlign w:val="center"/>
          </w:tcPr>
          <w:p>
            <w:pPr>
              <w:pStyle w:val="TableContents"/>
              <w:bidi w:val="0"/>
              <w:spacing w:before="0" w:after="283"/>
              <w:jc w:val="left"/>
              <w:rPr/>
            </w:pPr>
            <w:r>
              <w:rPr/>
              <w:t> </w:t>
            </w:r>
          </w:p>
        </w:tc>
        <w:tc>
          <w:tcPr>
            <w:tcW w:w="1445"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c>
          <w:tcPr>
            <w:tcW w:w="1175" w:type="dxa"/>
            <w:gridSpan w:val="2"/>
            <w:tcBorders>
              <w:top w:val="single" w:sz="8" w:space="0" w:color="FFFFFF"/>
              <w:left w:val="single" w:sz="24" w:space="0" w:color="FFFFFF"/>
              <w:right w:val="single" w:sz="24" w:space="0" w:color="FFFFFF"/>
            </w:tcBorders>
            <w:shd w:fill="E5EBEE" w:val="clear"/>
            <w:tcMar>
              <w:top w:w="28" w:type="dxa"/>
              <w:left w:w="28" w:type="dxa"/>
              <w:right w:w="28" w:type="dxa"/>
            </w:tcMar>
            <w:vAlign w:val="center"/>
          </w:tcPr>
          <w:p>
            <w:pPr>
              <w:pStyle w:val="TableContents"/>
              <w:bidi w:val="0"/>
              <w:spacing w:before="0" w:after="283"/>
              <w:jc w:val="left"/>
              <w:rPr/>
            </w:pPr>
            <w:r>
              <w:rPr/>
              <w:t> </w:t>
            </w:r>
          </w:p>
        </w:tc>
        <w:tc>
          <w:tcPr>
            <w:tcW w:w="1011"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c>
          <w:tcPr>
            <w:tcW w:w="2000" w:type="dxa"/>
            <w:gridSpan w:val="2"/>
            <w:tcBorders>
              <w:top w:val="single" w:sz="8" w:space="0" w:color="FFFFFF"/>
              <w:left w:val="single" w:sz="24" w:space="0" w:color="FFFFFF"/>
              <w:right w:val="single" w:sz="24" w:space="0" w:color="FFFFFF"/>
            </w:tcBorders>
            <w:shd w:fill="E5EBEE" w:val="clear"/>
            <w:tcMar>
              <w:top w:w="28" w:type="dxa"/>
              <w:left w:w="28" w:type="dxa"/>
              <w:right w:w="28" w:type="dxa"/>
            </w:tcMar>
            <w:vAlign w:val="center"/>
          </w:tcPr>
          <w:p>
            <w:pPr>
              <w:pStyle w:val="TableContents"/>
              <w:bidi w:val="0"/>
              <w:spacing w:before="0" w:after="283"/>
              <w:jc w:val="left"/>
              <w:rPr/>
            </w:pPr>
            <w:r>
              <w:rPr/>
              <w:t> </w:t>
            </w:r>
          </w:p>
        </w:tc>
        <w:tc>
          <w:tcPr>
            <w:tcW w:w="1189"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c>
          <w:tcPr>
            <w:tcW w:w="787" w:type="dxa"/>
            <w:gridSpan w:val="2"/>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pPr>
            <w:r>
              <w:rPr/>
              <w:t> </w:t>
            </w:r>
          </w:p>
        </w:tc>
      </w:tr>
      <w:tr>
        <w:trPr/>
        <w:tc>
          <w:tcPr>
            <w:tcW w:w="1835" w:type="dxa"/>
            <w:tcBorders>
              <w:bottom w:val="single" w:sz="8" w:space="0" w:color="003A5D"/>
            </w:tcBorders>
            <w:shd w:fill="E5EBEE" w:val="clear"/>
            <w:tcMar>
              <w:bottom w:w="28" w:type="dxa"/>
            </w:tcMar>
            <w:vAlign w:val="center"/>
          </w:tcPr>
          <w:p>
            <w:pPr>
              <w:pStyle w:val="TableContents"/>
              <w:bidi w:val="0"/>
              <w:spacing w:lineRule="atLeast" w:line="300" w:before="0" w:after="0"/>
              <w:jc w:val="left"/>
              <w:rPr/>
            </w:pPr>
            <w:r>
              <w:rPr/>
              <w:t> </w:t>
            </w:r>
            <w:r>
              <w:rPr>
                <w:rFonts w:ascii="arial" w:hAnsi="arial"/>
                <w:sz w:val="18"/>
              </w:rPr>
              <w:t>Richard D. Fairbank</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703" w:type="dxa"/>
            <w:tcBorders>
              <w:bottom w:val="single" w:sz="8" w:space="0" w:color="003A5D"/>
              <w:right w:val="single" w:sz="24" w:space="0" w:color="FFFFFF"/>
            </w:tcBorders>
            <w:shd w:fill="E5EBEE" w:val="clear"/>
            <w:tcMar>
              <w:bottom w:w="28" w:type="dxa"/>
              <w:right w:w="28" w:type="dxa"/>
            </w:tcMar>
            <w:vAlign w:val="center"/>
          </w:tcPr>
          <w:p>
            <w:pPr>
              <w:pStyle w:val="TableContents"/>
              <w:bidi w:val="0"/>
              <w:spacing w:lineRule="atLeast" w:line="300" w:before="0" w:after="0"/>
              <w:jc w:val="center"/>
              <w:rPr>
                <w:rFonts w:ascii="arial" w:hAnsi="arial"/>
                <w:sz w:val="18"/>
              </w:rPr>
            </w:pPr>
            <w:r>
              <w:rPr>
                <w:rFonts w:ascii="arial" w:hAnsi="arial"/>
                <w:sz w:val="18"/>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385" w:type="dxa"/>
            <w:tcBorders>
              <w:bottom w:val="single" w:sz="8"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$— </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115" w:type="dxa"/>
            <w:tcBorders>
              <w:bottom w:val="single" w:sz="8" w:space="0" w:color="003A5D"/>
              <w:right w:val="single" w:sz="24" w:space="0" w:color="FFFFFF"/>
            </w:tcBorders>
            <w:shd w:fill="E5EBEE" w:val="clear"/>
            <w:tcMar>
              <w:bottom w:w="28" w:type="dxa"/>
              <w:right w:w="28" w:type="dxa"/>
            </w:tcMar>
            <w:vAlign w:val="center"/>
          </w:tcPr>
          <w:p>
            <w:pPr>
              <w:pStyle w:val="TableContents"/>
              <w:bidi w:val="0"/>
              <w:spacing w:lineRule="atLeast" w:line="300" w:before="0" w:after="0"/>
              <w:jc w:val="center"/>
              <w:rPr>
                <w:rFonts w:ascii="arial" w:hAnsi="arial"/>
                <w:sz w:val="18"/>
              </w:rPr>
            </w:pPr>
            <w:r>
              <w:rPr>
                <w:rFonts w:ascii="arial" w:hAnsi="arial"/>
                <w:sz w:val="18"/>
              </w:rPr>
              <w:t>$3,397 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951" w:type="dxa"/>
            <w:tcBorders>
              <w:bottom w:val="single" w:sz="8"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$15,311 </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940" w:type="dxa"/>
            <w:tcBorders>
              <w:bottom w:val="single" w:sz="8" w:space="0" w:color="003A5D"/>
              <w:right w:val="single" w:sz="24" w:space="0" w:color="FFFFFF"/>
            </w:tcBorders>
            <w:shd w:fill="E5EBEE" w:val="clear"/>
            <w:tcMar>
              <w:bottom w:w="28" w:type="dxa"/>
              <w:right w:w="28" w:type="dxa"/>
            </w:tcMar>
            <w:vAlign w:val="center"/>
          </w:tcPr>
          <w:p>
            <w:pPr>
              <w:pStyle w:val="TableContents"/>
              <w:bidi w:val="0"/>
              <w:spacing w:lineRule="atLeast" w:line="300" w:before="0" w:after="0"/>
              <w:jc w:val="center"/>
              <w:rPr>
                <w:rFonts w:ascii="arial" w:hAnsi="arial"/>
                <w:sz w:val="18"/>
              </w:rPr>
            </w:pPr>
            <w:r>
              <w:rPr>
                <w:rFonts w:ascii="arial" w:hAnsi="arial"/>
                <w:sz w:val="18"/>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29" w:type="dxa"/>
            <w:tcBorders>
              <w:bottom w:val="single" w:sz="8"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$39,300 </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727" w:type="dxa"/>
            <w:tcBorders>
              <w:bottom w:val="single" w:sz="8"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$52,210 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763" w:type="dxa"/>
            <w:gridSpan w:val="2"/>
            <w:tcBorders>
              <w:left w:val="single" w:sz="24" w:space="0" w:color="FFFFFF"/>
              <w:right w:val="single" w:sz="24" w:space="0" w:color="FFFFFF"/>
            </w:tcBorders>
            <w:tcMar>
              <w:left w:w="28" w:type="dxa"/>
              <w:right w:w="28" w:type="dxa"/>
            </w:tcMar>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left w:val="single" w:sz="24" w:space="0" w:color="FFFFFF"/>
              <w:right w:val="single" w:sz="24" w:space="0" w:color="FFFFFF"/>
            </w:tcBorders>
            <w:tcMar>
              <w:left w:w="28" w:type="dxa"/>
              <w:right w:w="28" w:type="dxa"/>
            </w:tcMar>
            <w:vAlign w:val="center"/>
          </w:tcPr>
          <w:p>
            <w:pPr>
              <w:pStyle w:val="TableContents"/>
              <w:bidi w:val="0"/>
              <w:spacing w:before="0" w:after="283"/>
              <w:jc w:val="left"/>
              <w:rPr/>
            </w:pPr>
            <w:r>
              <w:rPr/>
              <w:t> </w:t>
            </w:r>
          </w:p>
        </w:tc>
        <w:tc>
          <w:tcPr>
            <w:tcW w:w="1011" w:type="dxa"/>
            <w:gridSpan w:val="2"/>
            <w:tcBorders/>
            <w:vAlign w:val="center"/>
          </w:tcPr>
          <w:p>
            <w:pPr>
              <w:pStyle w:val="TableContents"/>
              <w:bidi w:val="0"/>
              <w:spacing w:before="0" w:after="283"/>
              <w:jc w:val="left"/>
              <w:rPr>
                <w:sz w:val="4"/>
                <w:szCs w:val="4"/>
              </w:rPr>
            </w:pPr>
            <w:r>
              <w:rPr>
                <w:sz w:val="4"/>
                <w:szCs w:val="4"/>
              </w:rPr>
            </w:r>
          </w:p>
        </w:tc>
        <w:tc>
          <w:tcPr>
            <w:tcW w:w="2000" w:type="dxa"/>
            <w:gridSpan w:val="2"/>
            <w:tcBorders>
              <w:left w:val="single" w:sz="24" w:space="0" w:color="FFFFFF"/>
              <w:right w:val="single" w:sz="24" w:space="0" w:color="FFFFFF"/>
            </w:tcBorders>
            <w:tcMar>
              <w:left w:w="28" w:type="dxa"/>
              <w:right w:w="28" w:type="dxa"/>
            </w:tcMar>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left"/>
              <w:rPr>
                <w:sz w:val="4"/>
                <w:szCs w:val="4"/>
              </w:rPr>
            </w:pPr>
            <w:r>
              <w:rPr>
                <w:sz w:val="4"/>
                <w:szCs w:val="4"/>
              </w:rPr>
            </w:r>
          </w:p>
        </w:tc>
        <w:tc>
          <w:tcPr>
            <w:tcW w:w="787"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1835" w:type="dxa"/>
            <w:tcBorders>
              <w:bottom w:val="single" w:sz="8" w:space="0" w:color="003A5D"/>
            </w:tcBorders>
            <w:tcMar>
              <w:bottom w:w="28" w:type="dxa"/>
            </w:tcMar>
            <w:vAlign w:val="center"/>
          </w:tcPr>
          <w:p>
            <w:pPr>
              <w:pStyle w:val="TableContents"/>
              <w:bidi w:val="0"/>
              <w:spacing w:lineRule="atLeast" w:line="300" w:before="0" w:after="0"/>
              <w:jc w:val="left"/>
              <w:rPr/>
            </w:pPr>
            <w:r>
              <w:rPr/>
              <w:t> </w:t>
            </w:r>
            <w:r>
              <w:rPr>
                <w:rFonts w:ascii="arial" w:hAnsi="arial"/>
                <w:sz w:val="18"/>
              </w:rPr>
              <w:t>Andrew M. Young</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703" w:type="dxa"/>
            <w:tcBorders>
              <w:bottom w:val="single" w:sz="8" w:space="0" w:color="003A5D"/>
              <w:right w:val="single" w:sz="24" w:space="0" w:color="FFFFFF"/>
            </w:tcBorders>
            <w:tcMar>
              <w:bottom w:w="28" w:type="dxa"/>
              <w:right w:w="28" w:type="dxa"/>
            </w:tcMar>
            <w:vAlign w:val="center"/>
          </w:tcPr>
          <w:p>
            <w:pPr>
              <w:pStyle w:val="TableContents"/>
              <w:bidi w:val="0"/>
              <w:spacing w:lineRule="atLeast" w:line="300" w:before="0" w:after="0"/>
              <w:jc w:val="center"/>
              <w:rPr>
                <w:rFonts w:ascii="arial" w:hAnsi="arial"/>
                <w:sz w:val="18"/>
              </w:rPr>
            </w:pPr>
            <w:r>
              <w:rPr>
                <w:rFonts w:ascii="arial" w:hAnsi="arial"/>
                <w:sz w:val="18"/>
              </w:rPr>
              <w:t>$27,955 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385" w:type="dxa"/>
            <w:tcBorders>
              <w:bottom w:val="single" w:sz="8"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$— </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115" w:type="dxa"/>
            <w:tcBorders>
              <w:bottom w:val="single" w:sz="8" w:space="0" w:color="003A5D"/>
              <w:right w:val="single" w:sz="24" w:space="0" w:color="FFFFFF"/>
            </w:tcBorders>
            <w:tcMar>
              <w:bottom w:w="28" w:type="dxa"/>
              <w:right w:w="28" w:type="dxa"/>
            </w:tcMar>
            <w:vAlign w:val="center"/>
          </w:tcPr>
          <w:p>
            <w:pPr>
              <w:pStyle w:val="TableContents"/>
              <w:bidi w:val="0"/>
              <w:spacing w:lineRule="atLeast" w:line="300" w:before="0" w:after="0"/>
              <w:jc w:val="center"/>
              <w:rPr>
                <w:rFonts w:ascii="arial" w:hAnsi="arial"/>
                <w:sz w:val="18"/>
              </w:rPr>
            </w:pPr>
            <w:r>
              <w:rPr>
                <w:rFonts w:ascii="arial" w:hAnsi="arial"/>
                <w:sz w:val="18"/>
              </w:rPr>
              <w:t>$3,150 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951" w:type="dxa"/>
            <w:tcBorders>
              <w:bottom w:val="single" w:sz="8"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$— </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940" w:type="dxa"/>
            <w:tcBorders>
              <w:bottom w:val="single" w:sz="8" w:space="0" w:color="003A5D"/>
              <w:right w:val="single" w:sz="24" w:space="0" w:color="FFFFFF"/>
            </w:tcBorders>
            <w:tcMar>
              <w:bottom w:w="28" w:type="dxa"/>
              <w:right w:w="28" w:type="dxa"/>
            </w:tcMar>
            <w:vAlign w:val="center"/>
          </w:tcPr>
          <w:p>
            <w:pPr>
              <w:pStyle w:val="TableContents"/>
              <w:bidi w:val="0"/>
              <w:spacing w:lineRule="atLeast" w:line="300" w:before="0" w:after="0"/>
              <w:jc w:val="center"/>
              <w:rPr>
                <w:rFonts w:ascii="arial" w:hAnsi="arial"/>
                <w:sz w:val="18"/>
              </w:rPr>
            </w:pPr>
            <w:r>
              <w:rPr>
                <w:rFonts w:ascii="arial" w:hAnsi="arial"/>
                <w:sz w:val="18"/>
              </w:rPr>
              <w:t>$178,203 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29" w:type="dxa"/>
            <w:tcBorders>
              <w:bottom w:val="single" w:sz="8"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$4,260 </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727" w:type="dxa"/>
            <w:tcBorders>
              <w:bottom w:val="single" w:sz="8"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$5,075 </w:t>
            </w:r>
          </w:p>
        </w:tc>
      </w:tr>
      <w:tr>
        <w:trPr/>
        <w:tc>
          <w:tcPr>
            <w:tcW w:w="1835" w:type="dxa"/>
            <w:tcBorders/>
            <w:shd w:fill="E5EBEE" w:val="clear"/>
            <w:vAlign w:val="center"/>
          </w:tcPr>
          <w:p>
            <w:pPr>
              <w:pStyle w:val="TableContents"/>
              <w:bidi w:val="0"/>
              <w:spacing w:before="0" w:after="283"/>
              <w:jc w:val="left"/>
              <w:rPr>
                <w:sz w:val="4"/>
                <w:szCs w:val="4"/>
              </w:rPr>
            </w:pPr>
            <w:r>
              <w:rPr>
                <w:sz w:val="4"/>
                <w:szCs w:val="4"/>
              </w:rPr>
            </w:r>
          </w:p>
        </w:tc>
        <w:tc>
          <w:tcPr>
            <w:tcW w:w="763" w:type="dxa"/>
            <w:gridSpan w:val="2"/>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1445" w:type="dxa"/>
            <w:gridSpan w:val="2"/>
            <w:tcBorders/>
            <w:shd w:fill="E5EBEE" w:val="clear"/>
            <w:vAlign w:val="center"/>
          </w:tcPr>
          <w:p>
            <w:pPr>
              <w:pStyle w:val="TableContents"/>
              <w:bidi w:val="0"/>
              <w:spacing w:before="0" w:after="283"/>
              <w:jc w:val="left"/>
              <w:rPr>
                <w:sz w:val="4"/>
                <w:szCs w:val="4"/>
              </w:rPr>
            </w:pPr>
            <w:r>
              <w:rPr>
                <w:sz w:val="4"/>
                <w:szCs w:val="4"/>
              </w:rPr>
            </w:r>
          </w:p>
        </w:tc>
        <w:tc>
          <w:tcPr>
            <w:tcW w:w="1175" w:type="dxa"/>
            <w:gridSpan w:val="2"/>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1011" w:type="dxa"/>
            <w:gridSpan w:val="2"/>
            <w:tcBorders/>
            <w:shd w:fill="E5EBEE" w:val="clear"/>
            <w:vAlign w:val="center"/>
          </w:tcPr>
          <w:p>
            <w:pPr>
              <w:pStyle w:val="TableContents"/>
              <w:bidi w:val="0"/>
              <w:spacing w:before="0" w:after="283"/>
              <w:jc w:val="left"/>
              <w:rPr>
                <w:sz w:val="4"/>
                <w:szCs w:val="4"/>
              </w:rPr>
            </w:pPr>
            <w:r>
              <w:rPr>
                <w:sz w:val="4"/>
                <w:szCs w:val="4"/>
              </w:rPr>
            </w:r>
          </w:p>
        </w:tc>
        <w:tc>
          <w:tcPr>
            <w:tcW w:w="2000" w:type="dxa"/>
            <w:gridSpan w:val="2"/>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1189" w:type="dxa"/>
            <w:gridSpan w:val="2"/>
            <w:tcBorders/>
            <w:shd w:fill="E5EBEE" w:val="clear"/>
            <w:vAlign w:val="center"/>
          </w:tcPr>
          <w:p>
            <w:pPr>
              <w:pStyle w:val="TableContents"/>
              <w:bidi w:val="0"/>
              <w:spacing w:before="0" w:after="283"/>
              <w:jc w:val="left"/>
              <w:rPr>
                <w:sz w:val="4"/>
                <w:szCs w:val="4"/>
              </w:rPr>
            </w:pPr>
            <w:r>
              <w:rPr>
                <w:sz w:val="4"/>
                <w:szCs w:val="4"/>
              </w:rPr>
            </w:r>
          </w:p>
        </w:tc>
        <w:tc>
          <w:tcPr>
            <w:tcW w:w="787"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1835" w:type="dxa"/>
            <w:tcBorders>
              <w:bottom w:val="single" w:sz="8" w:space="0" w:color="003A5D"/>
            </w:tcBorders>
            <w:shd w:fill="E5EBEE" w:val="clear"/>
            <w:tcMar>
              <w:bottom w:w="28" w:type="dxa"/>
            </w:tcMar>
            <w:vAlign w:val="center"/>
          </w:tcPr>
          <w:p>
            <w:pPr>
              <w:pStyle w:val="TableContents"/>
              <w:bidi w:val="0"/>
              <w:spacing w:lineRule="atLeast" w:line="300" w:before="0" w:after="0"/>
              <w:jc w:val="left"/>
              <w:rPr/>
            </w:pPr>
            <w:r>
              <w:rPr/>
              <w:t> </w:t>
            </w:r>
            <w:r>
              <w:rPr>
                <w:rFonts w:ascii="arial" w:hAnsi="arial"/>
                <w:sz w:val="18"/>
              </w:rPr>
              <w:t>Frank G. LaPrade, III</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703" w:type="dxa"/>
            <w:tcBorders>
              <w:bottom w:val="single" w:sz="8" w:space="0" w:color="003A5D"/>
              <w:right w:val="single" w:sz="24" w:space="0" w:color="FFFFFF"/>
            </w:tcBorders>
            <w:shd w:fill="E5EBEE" w:val="clear"/>
            <w:tcMar>
              <w:bottom w:w="28" w:type="dxa"/>
              <w:right w:w="28" w:type="dxa"/>
            </w:tcMar>
            <w:vAlign w:val="center"/>
          </w:tcPr>
          <w:p>
            <w:pPr>
              <w:pStyle w:val="TableContents"/>
              <w:bidi w:val="0"/>
              <w:spacing w:lineRule="atLeast" w:line="300" w:before="0" w:after="0"/>
              <w:jc w:val="center"/>
              <w:rPr>
                <w:rFonts w:ascii="arial" w:hAnsi="arial"/>
                <w:sz w:val="18"/>
              </w:rPr>
            </w:pPr>
            <w:r>
              <w:rPr>
                <w:rFonts w:ascii="arial" w:hAnsi="arial"/>
                <w:sz w:val="18"/>
              </w:rPr>
              <w:t>$26,880 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385" w:type="dxa"/>
            <w:tcBorders>
              <w:bottom w:val="single" w:sz="8"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$— </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115" w:type="dxa"/>
            <w:tcBorders>
              <w:bottom w:val="single" w:sz="8" w:space="0" w:color="003A5D"/>
              <w:right w:val="single" w:sz="24" w:space="0" w:color="FFFFFF"/>
            </w:tcBorders>
            <w:shd w:fill="E5EBEE" w:val="clear"/>
            <w:tcMar>
              <w:bottom w:w="28" w:type="dxa"/>
              <w:right w:w="28" w:type="dxa"/>
            </w:tcMar>
            <w:vAlign w:val="center"/>
          </w:tcPr>
          <w:p>
            <w:pPr>
              <w:pStyle w:val="TableContents"/>
              <w:bidi w:val="0"/>
              <w:spacing w:lineRule="atLeast" w:line="300" w:before="0" w:after="0"/>
              <w:jc w:val="center"/>
              <w:rPr>
                <w:rFonts w:ascii="arial" w:hAnsi="arial"/>
                <w:sz w:val="18"/>
              </w:rPr>
            </w:pPr>
            <w:r>
              <w:rPr>
                <w:rFonts w:ascii="arial" w:hAnsi="arial"/>
                <w:sz w:val="18"/>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951" w:type="dxa"/>
            <w:tcBorders>
              <w:bottom w:val="single" w:sz="8"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$28,643 </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940" w:type="dxa"/>
            <w:tcBorders>
              <w:bottom w:val="single" w:sz="8" w:space="0" w:color="003A5D"/>
              <w:right w:val="single" w:sz="24" w:space="0" w:color="FFFFFF"/>
            </w:tcBorders>
            <w:shd w:fill="E5EBEE" w:val="clear"/>
            <w:tcMar>
              <w:bottom w:w="28" w:type="dxa"/>
              <w:right w:w="28" w:type="dxa"/>
            </w:tcMar>
            <w:vAlign w:val="center"/>
          </w:tcPr>
          <w:p>
            <w:pPr>
              <w:pStyle w:val="TableContents"/>
              <w:bidi w:val="0"/>
              <w:spacing w:lineRule="atLeast" w:line="300" w:before="0" w:after="0"/>
              <w:jc w:val="center"/>
              <w:rPr>
                <w:rFonts w:ascii="arial" w:hAnsi="arial"/>
                <w:sz w:val="18"/>
              </w:rPr>
            </w:pPr>
            <w:r>
              <w:rPr>
                <w:rFonts w:ascii="arial" w:hAnsi="arial"/>
                <w:sz w:val="18"/>
              </w:rPr>
              <w:t>$178,987 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29" w:type="dxa"/>
            <w:tcBorders>
              <w:bottom w:val="single" w:sz="8"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$9,600 </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727" w:type="dxa"/>
            <w:tcBorders>
              <w:bottom w:val="single" w:sz="8"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$6,350 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763" w:type="dxa"/>
            <w:gridSpan w:val="2"/>
            <w:tcBorders>
              <w:left w:val="single" w:sz="24" w:space="0" w:color="FFFFFF"/>
              <w:right w:val="single" w:sz="24" w:space="0" w:color="FFFFFF"/>
            </w:tcBorders>
            <w:tcMar>
              <w:left w:w="28" w:type="dxa"/>
              <w:right w:w="28" w:type="dxa"/>
            </w:tcMar>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left w:val="single" w:sz="24" w:space="0" w:color="FFFFFF"/>
              <w:right w:val="single" w:sz="24" w:space="0" w:color="FFFFFF"/>
            </w:tcBorders>
            <w:tcMar>
              <w:left w:w="28" w:type="dxa"/>
              <w:right w:w="28" w:type="dxa"/>
            </w:tcMar>
            <w:vAlign w:val="center"/>
          </w:tcPr>
          <w:p>
            <w:pPr>
              <w:pStyle w:val="TableContents"/>
              <w:bidi w:val="0"/>
              <w:spacing w:before="0" w:after="283"/>
              <w:jc w:val="left"/>
              <w:rPr/>
            </w:pPr>
            <w:r>
              <w:rPr/>
              <w:t> </w:t>
            </w:r>
          </w:p>
        </w:tc>
        <w:tc>
          <w:tcPr>
            <w:tcW w:w="1011" w:type="dxa"/>
            <w:gridSpan w:val="2"/>
            <w:tcBorders/>
            <w:vAlign w:val="center"/>
          </w:tcPr>
          <w:p>
            <w:pPr>
              <w:pStyle w:val="TableContents"/>
              <w:bidi w:val="0"/>
              <w:spacing w:before="0" w:after="283"/>
              <w:jc w:val="left"/>
              <w:rPr>
                <w:sz w:val="4"/>
                <w:szCs w:val="4"/>
              </w:rPr>
            </w:pPr>
            <w:r>
              <w:rPr>
                <w:sz w:val="4"/>
                <w:szCs w:val="4"/>
              </w:rPr>
            </w:r>
          </w:p>
        </w:tc>
        <w:tc>
          <w:tcPr>
            <w:tcW w:w="2000" w:type="dxa"/>
            <w:gridSpan w:val="2"/>
            <w:tcBorders>
              <w:left w:val="single" w:sz="24" w:space="0" w:color="FFFFFF"/>
              <w:right w:val="single" w:sz="24" w:space="0" w:color="FFFFFF"/>
            </w:tcBorders>
            <w:tcMar>
              <w:left w:w="28" w:type="dxa"/>
              <w:right w:w="28" w:type="dxa"/>
            </w:tcMar>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left"/>
              <w:rPr>
                <w:sz w:val="4"/>
                <w:szCs w:val="4"/>
              </w:rPr>
            </w:pPr>
            <w:r>
              <w:rPr>
                <w:sz w:val="4"/>
                <w:szCs w:val="4"/>
              </w:rPr>
            </w:r>
          </w:p>
        </w:tc>
        <w:tc>
          <w:tcPr>
            <w:tcW w:w="787"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1835" w:type="dxa"/>
            <w:tcBorders>
              <w:bottom w:val="single" w:sz="8" w:space="0" w:color="003A5D"/>
            </w:tcBorders>
            <w:tcMar>
              <w:bottom w:w="28" w:type="dxa"/>
            </w:tcMar>
            <w:vAlign w:val="center"/>
          </w:tcPr>
          <w:p>
            <w:pPr>
              <w:pStyle w:val="TableContents"/>
              <w:bidi w:val="0"/>
              <w:spacing w:lineRule="atLeast" w:line="300" w:before="0" w:after="0"/>
              <w:jc w:val="left"/>
              <w:rPr/>
            </w:pPr>
            <w:r>
              <w:rPr/>
              <w:t> </w:t>
            </w:r>
            <w:r>
              <w:rPr>
                <w:rFonts w:ascii="arial" w:hAnsi="arial"/>
                <w:sz w:val="18"/>
              </w:rPr>
              <w:t>Matthew W. Cooper</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703" w:type="dxa"/>
            <w:tcBorders>
              <w:bottom w:val="single" w:sz="8" w:space="0" w:color="003A5D"/>
              <w:right w:val="single" w:sz="24" w:space="0" w:color="FFFFFF"/>
            </w:tcBorders>
            <w:tcMar>
              <w:bottom w:w="28" w:type="dxa"/>
              <w:right w:w="28" w:type="dxa"/>
            </w:tcMar>
            <w:vAlign w:val="center"/>
          </w:tcPr>
          <w:p>
            <w:pPr>
              <w:pStyle w:val="TableContents"/>
              <w:bidi w:val="0"/>
              <w:spacing w:lineRule="atLeast" w:line="300" w:before="0" w:after="0"/>
              <w:jc w:val="center"/>
              <w:rPr>
                <w:rFonts w:ascii="arial" w:hAnsi="arial"/>
                <w:sz w:val="18"/>
              </w:rPr>
            </w:pPr>
            <w:r>
              <w:rPr>
                <w:rFonts w:ascii="arial" w:hAnsi="arial"/>
                <w:sz w:val="18"/>
              </w:rPr>
              <w:t>$19,043 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385" w:type="dxa"/>
            <w:tcBorders>
              <w:bottom w:val="single" w:sz="8"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$— </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115" w:type="dxa"/>
            <w:tcBorders>
              <w:bottom w:val="single" w:sz="8" w:space="0" w:color="003A5D"/>
              <w:right w:val="single" w:sz="24" w:space="0" w:color="FFFFFF"/>
            </w:tcBorders>
            <w:tcMar>
              <w:bottom w:w="28" w:type="dxa"/>
              <w:right w:w="28" w:type="dxa"/>
            </w:tcMar>
            <w:vAlign w:val="center"/>
          </w:tcPr>
          <w:p>
            <w:pPr>
              <w:pStyle w:val="TableContents"/>
              <w:bidi w:val="0"/>
              <w:spacing w:lineRule="atLeast" w:line="300" w:before="0" w:after="0"/>
              <w:jc w:val="center"/>
              <w:rPr>
                <w:rFonts w:ascii="arial" w:hAnsi="arial"/>
                <w:sz w:val="18"/>
              </w:rPr>
            </w:pPr>
            <w:r>
              <w:rPr>
                <w:rFonts w:ascii="arial" w:hAnsi="arial"/>
                <w:sz w:val="18"/>
              </w:rPr>
              <w:t>$4,000 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951" w:type="dxa"/>
            <w:tcBorders>
              <w:bottom w:val="single" w:sz="8"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$— </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940" w:type="dxa"/>
            <w:tcBorders>
              <w:bottom w:val="single" w:sz="8" w:space="0" w:color="003A5D"/>
              <w:right w:val="single" w:sz="24" w:space="0" w:color="FFFFFF"/>
            </w:tcBorders>
            <w:tcMar>
              <w:bottom w:w="28" w:type="dxa"/>
              <w:right w:w="28" w:type="dxa"/>
            </w:tcMar>
            <w:vAlign w:val="center"/>
          </w:tcPr>
          <w:p>
            <w:pPr>
              <w:pStyle w:val="TableContents"/>
              <w:bidi w:val="0"/>
              <w:spacing w:lineRule="atLeast" w:line="300" w:before="0" w:after="0"/>
              <w:jc w:val="center"/>
              <w:rPr>
                <w:rFonts w:ascii="arial" w:hAnsi="arial"/>
                <w:sz w:val="18"/>
              </w:rPr>
            </w:pPr>
            <w:r>
              <w:rPr>
                <w:rFonts w:ascii="arial" w:hAnsi="arial"/>
                <w:sz w:val="18"/>
              </w:rPr>
              <w:t>$178,373 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29" w:type="dxa"/>
            <w:tcBorders>
              <w:bottom w:val="single" w:sz="8"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$6,420 </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727" w:type="dxa"/>
            <w:tcBorders>
              <w:bottom w:val="single" w:sz="8"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$8,644 </w:t>
            </w:r>
          </w:p>
        </w:tc>
      </w:tr>
      <w:tr>
        <w:trPr/>
        <w:tc>
          <w:tcPr>
            <w:tcW w:w="1835" w:type="dxa"/>
            <w:tcBorders/>
            <w:shd w:fill="E5EBEE" w:val="clear"/>
            <w:vAlign w:val="center"/>
          </w:tcPr>
          <w:p>
            <w:pPr>
              <w:pStyle w:val="TableContents"/>
              <w:bidi w:val="0"/>
              <w:spacing w:before="0" w:after="283"/>
              <w:jc w:val="left"/>
              <w:rPr>
                <w:sz w:val="4"/>
                <w:szCs w:val="4"/>
              </w:rPr>
            </w:pPr>
            <w:r>
              <w:rPr>
                <w:sz w:val="4"/>
                <w:szCs w:val="4"/>
              </w:rPr>
            </w:r>
          </w:p>
        </w:tc>
        <w:tc>
          <w:tcPr>
            <w:tcW w:w="763" w:type="dxa"/>
            <w:gridSpan w:val="2"/>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1445" w:type="dxa"/>
            <w:gridSpan w:val="2"/>
            <w:tcBorders/>
            <w:shd w:fill="E5EBEE" w:val="clear"/>
            <w:vAlign w:val="center"/>
          </w:tcPr>
          <w:p>
            <w:pPr>
              <w:pStyle w:val="TableContents"/>
              <w:bidi w:val="0"/>
              <w:spacing w:before="0" w:after="283"/>
              <w:jc w:val="left"/>
              <w:rPr>
                <w:sz w:val="4"/>
                <w:szCs w:val="4"/>
              </w:rPr>
            </w:pPr>
            <w:r>
              <w:rPr>
                <w:sz w:val="4"/>
                <w:szCs w:val="4"/>
              </w:rPr>
            </w:r>
          </w:p>
        </w:tc>
        <w:tc>
          <w:tcPr>
            <w:tcW w:w="1175" w:type="dxa"/>
            <w:gridSpan w:val="2"/>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1011" w:type="dxa"/>
            <w:gridSpan w:val="2"/>
            <w:tcBorders/>
            <w:shd w:fill="E5EBEE" w:val="clear"/>
            <w:vAlign w:val="center"/>
          </w:tcPr>
          <w:p>
            <w:pPr>
              <w:pStyle w:val="TableContents"/>
              <w:bidi w:val="0"/>
              <w:spacing w:before="0" w:after="283"/>
              <w:jc w:val="left"/>
              <w:rPr>
                <w:sz w:val="4"/>
                <w:szCs w:val="4"/>
              </w:rPr>
            </w:pPr>
            <w:r>
              <w:rPr>
                <w:sz w:val="4"/>
                <w:szCs w:val="4"/>
              </w:rPr>
            </w:r>
          </w:p>
        </w:tc>
        <w:tc>
          <w:tcPr>
            <w:tcW w:w="2000" w:type="dxa"/>
            <w:gridSpan w:val="2"/>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1189" w:type="dxa"/>
            <w:gridSpan w:val="2"/>
            <w:tcBorders/>
            <w:shd w:fill="E5EBEE" w:val="clear"/>
            <w:vAlign w:val="center"/>
          </w:tcPr>
          <w:p>
            <w:pPr>
              <w:pStyle w:val="TableContents"/>
              <w:bidi w:val="0"/>
              <w:spacing w:before="0" w:after="283"/>
              <w:jc w:val="left"/>
              <w:rPr>
                <w:sz w:val="4"/>
                <w:szCs w:val="4"/>
              </w:rPr>
            </w:pPr>
            <w:r>
              <w:rPr>
                <w:sz w:val="4"/>
                <w:szCs w:val="4"/>
              </w:rPr>
            </w:r>
          </w:p>
        </w:tc>
        <w:tc>
          <w:tcPr>
            <w:tcW w:w="787"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1835" w:type="dxa"/>
            <w:tcBorders>
              <w:bottom w:val="single" w:sz="8" w:space="0" w:color="003A5D"/>
            </w:tcBorders>
            <w:shd w:fill="E5EBEE" w:val="clear"/>
            <w:tcMar>
              <w:bottom w:w="28" w:type="dxa"/>
            </w:tcMar>
            <w:vAlign w:val="center"/>
          </w:tcPr>
          <w:p>
            <w:pPr>
              <w:pStyle w:val="TableContents"/>
              <w:bidi w:val="0"/>
              <w:spacing w:lineRule="atLeast" w:line="300" w:before="0" w:after="0"/>
              <w:jc w:val="left"/>
              <w:rPr/>
            </w:pPr>
            <w:r>
              <w:rPr/>
              <w:t> </w:t>
            </w:r>
            <w:r>
              <w:rPr>
                <w:rFonts w:ascii="arial" w:hAnsi="arial"/>
                <w:sz w:val="18"/>
              </w:rPr>
              <w:t>Sanjiv Yajnik</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703" w:type="dxa"/>
            <w:tcBorders>
              <w:bottom w:val="single" w:sz="8" w:space="0" w:color="003A5D"/>
              <w:right w:val="single" w:sz="24" w:space="0" w:color="FFFFFF"/>
            </w:tcBorders>
            <w:shd w:fill="E5EBEE" w:val="clear"/>
            <w:tcMar>
              <w:bottom w:w="28" w:type="dxa"/>
              <w:right w:w="28" w:type="dxa"/>
            </w:tcMar>
            <w:vAlign w:val="center"/>
          </w:tcPr>
          <w:p>
            <w:pPr>
              <w:pStyle w:val="TableContents"/>
              <w:bidi w:val="0"/>
              <w:spacing w:lineRule="atLeast" w:line="300" w:before="0" w:after="0"/>
              <w:jc w:val="center"/>
              <w:rPr>
                <w:rFonts w:ascii="arial" w:hAnsi="arial"/>
                <w:sz w:val="18"/>
              </w:rPr>
            </w:pPr>
            <w:r>
              <w:rPr>
                <w:rFonts w:ascii="arial" w:hAnsi="arial"/>
                <w:sz w:val="18"/>
              </w:rPr>
              <w:t>$36,608 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385" w:type="dxa"/>
            <w:tcBorders>
              <w:bottom w:val="single" w:sz="8"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$— </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115" w:type="dxa"/>
            <w:tcBorders>
              <w:bottom w:val="single" w:sz="8" w:space="0" w:color="003A5D"/>
              <w:right w:val="single" w:sz="24" w:space="0" w:color="FFFFFF"/>
            </w:tcBorders>
            <w:shd w:fill="E5EBEE" w:val="clear"/>
            <w:tcMar>
              <w:bottom w:w="28" w:type="dxa"/>
              <w:right w:w="28" w:type="dxa"/>
            </w:tcMar>
            <w:vAlign w:val="center"/>
          </w:tcPr>
          <w:p>
            <w:pPr>
              <w:pStyle w:val="TableContents"/>
              <w:bidi w:val="0"/>
              <w:spacing w:lineRule="atLeast" w:line="300" w:before="0" w:after="0"/>
              <w:jc w:val="center"/>
              <w:rPr>
                <w:rFonts w:ascii="arial" w:hAnsi="arial"/>
                <w:sz w:val="18"/>
              </w:rPr>
            </w:pPr>
            <w:r>
              <w:rPr>
                <w:rFonts w:ascii="arial" w:hAnsi="arial"/>
                <w:sz w:val="18"/>
              </w:rPr>
              <w:t>$250 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951" w:type="dxa"/>
            <w:tcBorders>
              <w:bottom w:val="single" w:sz="8"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$246 </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940" w:type="dxa"/>
            <w:tcBorders>
              <w:bottom w:val="single" w:sz="8" w:space="0" w:color="003A5D"/>
              <w:right w:val="single" w:sz="24" w:space="0" w:color="FFFFFF"/>
            </w:tcBorders>
            <w:shd w:fill="E5EBEE" w:val="clear"/>
            <w:tcMar>
              <w:bottom w:w="28" w:type="dxa"/>
              <w:right w:w="28" w:type="dxa"/>
            </w:tcMar>
            <w:vAlign w:val="center"/>
          </w:tcPr>
          <w:p>
            <w:pPr>
              <w:pStyle w:val="TableContents"/>
              <w:bidi w:val="0"/>
              <w:spacing w:lineRule="atLeast" w:line="300" w:before="0" w:after="0"/>
              <w:jc w:val="center"/>
              <w:rPr>
                <w:rFonts w:ascii="arial" w:hAnsi="arial"/>
                <w:sz w:val="18"/>
              </w:rPr>
            </w:pPr>
            <w:r>
              <w:rPr>
                <w:rFonts w:ascii="arial" w:hAnsi="arial"/>
                <w:sz w:val="18"/>
              </w:rPr>
              <w:t>$178,795 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29" w:type="dxa"/>
            <w:tcBorders>
              <w:bottom w:val="single" w:sz="8"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$18,960 </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727" w:type="dxa"/>
            <w:tcBorders>
              <w:bottom w:val="single" w:sz="8"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$6,860 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0"/>
              <w:jc w:val="both"/>
              <w:rPr>
                <w:rFonts w:ascii="arial" w:hAnsi="arial"/>
                <w:sz w:val="16"/>
              </w:rPr>
            </w:pPr>
            <w:r>
              <w:rPr>
                <w:rFonts w:ascii="arial" w:hAnsi="arial"/>
                <w:sz w:val="16"/>
              </w:rPr>
              <w:t xml:space="preserve">The cost of these benefits is determined on an annual basis and includes, as applicable, annual car lease or car service, and other related miscellaneous expenses (such as fuel and maintenance). Mr. Fairbank does not participate in the Company-provided automotive benefit.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0"/>
              <w:jc w:val="both"/>
              <w:rPr>
                <w:rFonts w:ascii="arial" w:hAnsi="arial"/>
                <w:sz w:val="16"/>
              </w:rPr>
            </w:pPr>
            <w:r>
              <w:rPr>
                <w:rFonts w:ascii="arial" w:hAnsi="arial"/>
                <w:sz w:val="16"/>
              </w:rPr>
              <w:t xml:space="preserve">NEOs are required to reimburse the Company for personal use of the corporate aircraft, subject to limitations under federal aviation regulations and other applicable law. In 2024, there was no incremental cost associated with the NEOs’ use of the corporate aircraft for personal travel.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(c)</w:t>
            </w:r>
          </w:p>
        </w:tc>
        <w:tc>
          <w:tcPr>
            <w:tcW w:w="9927" w:type="dxa"/>
            <w:tcBorders/>
            <w:vAlign w:val="center"/>
          </w:tcPr>
          <w:p>
            <w:pPr>
              <w:pStyle w:val="TableContents"/>
              <w:bidi w:val="0"/>
              <w:spacing w:before="0" w:after="0"/>
              <w:jc w:val="both"/>
              <w:rPr>
                <w:rFonts w:ascii="arial" w:hAnsi="arial"/>
                <w:sz w:val="16"/>
              </w:rPr>
            </w:pPr>
            <w:r>
              <w:rPr>
                <w:rFonts w:ascii="arial" w:hAnsi="arial"/>
                <w:sz w:val="16"/>
              </w:rPr>
              <w:t xml:space="preserve">Represents cost attributable to the annual physical program where executives have the opportunity to receive a comprehensive health screening once a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(d)</w:t>
            </w:r>
          </w:p>
        </w:tc>
        <w:tc>
          <w:tcPr>
            <w:tcW w:w="9951" w:type="dxa"/>
            <w:tcBorders/>
            <w:vAlign w:val="center"/>
          </w:tcPr>
          <w:p>
            <w:pPr>
              <w:pStyle w:val="TableContents"/>
              <w:bidi w:val="0"/>
              <w:spacing w:before="0" w:after="0"/>
              <w:jc w:val="both"/>
              <w:rPr>
                <w:rFonts w:ascii="arial" w:hAnsi="arial"/>
                <w:sz w:val="16"/>
              </w:rPr>
            </w:pPr>
            <w:r>
              <w:rPr>
                <w:rFonts w:ascii="arial" w:hAnsi="arial"/>
                <w:sz w:val="16"/>
              </w:rPr>
              <w:t xml:space="preserve">Represents aggregate cost to the Company for home security services provided to executives. For Mr. Fairbank, the amount also includes costs attributable to a security guard who provides personal security to Mr. Fairbank and operates Mr. Fairbank’s personal vehicle. The percent of personal use of the security guard’s services is applied to the full expense amount of personal security.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(e)</w:t>
            </w:r>
          </w:p>
        </w:tc>
        <w:tc>
          <w:tcPr>
            <w:tcW w:w="9946" w:type="dxa"/>
            <w:tcBorders/>
            <w:vAlign w:val="center"/>
          </w:tcPr>
          <w:p>
            <w:pPr>
              <w:pStyle w:val="TableContents"/>
              <w:bidi w:val="0"/>
              <w:spacing w:before="0" w:after="0"/>
              <w:jc w:val="both"/>
              <w:rPr>
                <w:rFonts w:ascii="arial" w:hAnsi="arial"/>
                <w:sz w:val="16"/>
              </w:rPr>
            </w:pPr>
            <w:r>
              <w:rPr>
                <w:rFonts w:ascii="arial" w:hAnsi="arial"/>
                <w:sz w:val="16"/>
              </w:rPr>
              <w:t xml:space="preserve">Represents Company contributions under qualified 401(k) and non-qualified deferred compensation programs. See the 2024 Non-Qualified Deferred Compensation table below for additional information on the contribution. </w:t>
            </w:r>
          </w:p>
        </w:tc>
      </w:tr>
    </w:tbl>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260"/>
        <w:gridCol w:w="5090"/>
      </w:tblGrid>
      <w:tr>
        <w:trPr/>
        <w:tc>
          <w:tcPr>
            <w:tcW w:w="260" w:type="dxa"/>
            <w:tcBorders/>
            <w:vAlign w:val="center"/>
          </w:tcPr>
          <w:p>
            <w:pPr>
              <w:pStyle w:val="TableContents"/>
              <w:bidi w:val="0"/>
              <w:spacing w:before="0" w:after="283"/>
              <w:jc w:val="left"/>
              <w:rPr/>
            </w:pPr>
            <w:r>
              <w:rPr/>
              <w:t>(f)</w:t>
            </w:r>
          </w:p>
        </w:tc>
        <w:tc>
          <w:tcPr>
            <w:tcW w:w="5090" w:type="dxa"/>
            <w:tcBorders/>
            <w:vAlign w:val="center"/>
          </w:tcPr>
          <w:p>
            <w:pPr>
              <w:pStyle w:val="TableContents"/>
              <w:bidi w:val="0"/>
              <w:spacing w:before="0" w:after="0"/>
              <w:jc w:val="both"/>
              <w:rPr>
                <w:rFonts w:ascii="arial" w:hAnsi="arial"/>
                <w:sz w:val="16"/>
              </w:rPr>
            </w:pPr>
            <w:r>
              <w:rPr>
                <w:rFonts w:ascii="arial" w:hAnsi="arial"/>
                <w:sz w:val="16"/>
              </w:rPr>
              <w:t xml:space="preserve">Represents life insurance premiums paid on behalf of the executives.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(g)</w:t>
            </w:r>
          </w:p>
        </w:tc>
        <w:tc>
          <w:tcPr>
            <w:tcW w:w="9943" w:type="dxa"/>
            <w:tcBorders/>
            <w:vAlign w:val="center"/>
          </w:tcPr>
          <w:p>
            <w:pPr>
              <w:pStyle w:val="TableContents"/>
              <w:bidi w:val="0"/>
              <w:spacing w:before="0" w:after="0"/>
              <w:jc w:val="both"/>
              <w:rPr>
                <w:rFonts w:ascii="arial" w:hAnsi="arial"/>
                <w:sz w:val="16"/>
              </w:rPr>
            </w:pPr>
            <w:r>
              <w:rPr>
                <w:rFonts w:ascii="arial" w:hAnsi="arial"/>
                <w:sz w:val="16"/>
              </w:rPr>
              <w:t xml:space="preserve">Represents contributions made by Capital One to charitable organizations chosen by the CEO (for 2024, the amount of these contributions was $40,000) and the other NEOs. This also includes NEO usage of Capital One-sponsored event tickets, Capital One products, and recognition items. </w:t>
            </w:r>
          </w:p>
        </w:tc>
      </w:tr>
    </w:tbl>
    <w:p>
      <w:pPr>
        <w:pStyle w:val="TextBody"/>
        <w:bidi w:val="0"/>
        <w:spacing w:before="240" w:after="0"/>
        <w:jc w:val="left"/>
        <w:rPr>
          <w:rFonts w:ascii="arial" w:hAnsi="arial"/>
          <w:b/>
          <w:color w:val="003A5D"/>
          <w:sz w:val="32"/>
        </w:rPr>
      </w:pPr>
      <w:bookmarkStart w:id="89" w:name="txa845790_35"/>
      <w:bookmarkEnd w:id="89"/>
      <w:r>
        <w:rPr>
          <w:rFonts w:ascii="arial" w:hAnsi="arial"/>
          <w:b/>
          <w:color w:val="003A5D"/>
          <w:sz w:val="32"/>
        </w:rPr>
        <w:t xml:space="preserve">2024 Grants of Plan-Based Awards </w:t>
      </w:r>
    </w:p>
    <w:p>
      <w:pPr>
        <w:pStyle w:val="TextBody"/>
        <w:bidi w:val="0"/>
        <w:spacing w:before="240" w:after="0"/>
        <w:jc w:val="both"/>
        <w:rPr>
          <w:rFonts w:ascii="arial" w:hAnsi="arial"/>
          <w:sz w:val="20"/>
        </w:rPr>
      </w:pPr>
      <w:r>
        <w:rPr>
          <w:rFonts w:ascii="arial" w:hAnsi="arial"/>
          <w:sz w:val="20"/>
        </w:rPr>
        <w:t xml:space="preserve">The Grants of Plan-Based Awards table provides details on equity incentive plan awards granted in 2024, including cash-settled RSUs, performance shares, and stock-settled RSUs. The columns reporting “Estimated Future Payouts Under Equity Incentive Plan Awards,” “All Other Stock Awards,” and “All Other Option Awards” relate to Capital One’s equity-based incentives awarded to the NEOs. </w:t>
      </w:r>
    </w:p>
    <w:p>
      <w:pPr>
        <w:pStyle w:val="TextBody"/>
        <w:bidi w:val="0"/>
        <w:spacing w:before="240" w:after="0"/>
        <w:jc w:val="left"/>
        <w:rPr>
          <w:rFonts w:ascii="arial" w:hAnsi="arial"/>
          <w:b/>
          <w:i/>
          <w:color w:val="003A5D"/>
          <w:sz w:val="24"/>
        </w:rPr>
      </w:pPr>
      <w:r>
        <w:rPr>
          <w:rFonts w:ascii="arial" w:hAnsi="arial"/>
          <w:b/>
          <w:i/>
          <w:color w:val="003A5D"/>
          <w:sz w:val="24"/>
        </w:rPr>
        <w:t xml:space="preserve">2024 Grants to CEO </w:t>
      </w:r>
    </w:p>
    <w:p>
      <w:pPr>
        <w:pStyle w:val="TextBody"/>
        <w:bidi w:val="0"/>
        <w:spacing w:before="240" w:after="0"/>
        <w:jc w:val="both"/>
        <w:rPr>
          <w:rFonts w:ascii="arial" w:hAnsi="arial"/>
          <w:sz w:val="20"/>
        </w:rPr>
      </w:pPr>
      <w:r>
        <w:rPr>
          <w:rFonts w:ascii="arial" w:hAnsi="arial"/>
          <w:sz w:val="20"/>
        </w:rPr>
        <w:t xml:space="preserve">For 2024, awards granted to the CEO consist of Financial Performance Shares and TSR Performance Shares (each as defined on page 69 under “Performance Share Awards”) granted in February 2024 as part of the CEO’s 2023 compensation program and (i) cash-settled RSUs granted in February 2024 for 2023 performance and (ii) cash-settled RSUs granted in February 2024 for the 2024 performance year, representing 7% of the CEO’s total compensation for the 2024 performance year.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98 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390" w:type="dxa"/>
        <w:jc w:val="left"/>
        <w:tblInd w:w="0" w:type="dxa"/>
        <w:tblLayout w:type="fixed"/>
        <w:tblCellMar>
          <w:top w:w="0" w:type="dxa"/>
          <w:left w:w="0" w:type="dxa"/>
          <w:bottom w:w="0" w:type="dxa"/>
          <w:right w:w="0" w:type="dxa"/>
        </w:tblCellMar>
      </w:tblPr>
      <w:tblGrid>
        <w:gridCol w:w="5390"/>
      </w:tblGrid>
      <w:tr>
        <w:trPr/>
        <w:tc>
          <w:tcPr>
            <w:tcW w:w="5390"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center"/>
          </w:tcPr>
          <w:p>
            <w:pPr>
              <w:pStyle w:val="TableContents"/>
              <w:bidi w:val="0"/>
              <w:spacing w:before="0" w:after="283"/>
              <w:jc w:val="right"/>
              <w:rPr>
                <w:b/>
                <w:color w:val="003A5D"/>
              </w:rPr>
            </w:pPr>
            <w:r>
              <w:rPr>
                <w:b/>
                <w:color w:val="003A5D"/>
              </w:rPr>
              <w:t>Section VI - Named Executive Officer Compensation</w:t>
            </w:r>
          </w:p>
        </w:tc>
      </w:tr>
    </w:tbl>
    <w:p>
      <w:pPr>
        <w:pStyle w:val="TextBody"/>
        <w:bidi w:val="0"/>
        <w:spacing w:before="0" w:after="0"/>
        <w:jc w:val="left"/>
        <w:rPr/>
      </w:pPr>
      <w:r>
        <w:rPr/>
        <w:t> </w:t>
      </w:r>
    </w:p>
    <w:p>
      <w:pPr>
        <w:pStyle w:val="TextBody"/>
        <w:bidi w:val="0"/>
        <w:spacing w:before="0" w:after="0"/>
        <w:jc w:val="left"/>
        <w:rPr>
          <w:rFonts w:ascii="arial" w:hAnsi="arial"/>
          <w:b/>
          <w:color w:val="003A5D"/>
          <w:sz w:val="20"/>
        </w:rPr>
      </w:pPr>
      <w:r>
        <w:rPr>
          <w:rFonts w:ascii="arial" w:hAnsi="arial"/>
          <w:b/>
          <w:color w:val="003A5D"/>
          <w:sz w:val="20"/>
        </w:rPr>
        <w:t xml:space="preserve">Performance Shares </w:t>
      </w:r>
    </w:p>
    <w:p>
      <w:pPr>
        <w:pStyle w:val="TextBody"/>
        <w:bidi w:val="0"/>
        <w:spacing w:before="240" w:after="0"/>
        <w:jc w:val="both"/>
        <w:rPr>
          <w:rFonts w:ascii="arial" w:hAnsi="arial"/>
          <w:sz w:val="20"/>
        </w:rPr>
      </w:pPr>
      <w:r>
        <w:rPr>
          <w:rFonts w:ascii="arial" w:hAnsi="arial"/>
          <w:sz w:val="20"/>
        </w:rPr>
        <w:t xml:space="preserve">The actual number of shares earned and issued with respect to Financial Performance Shares will be based on the Company’s D+TBV and Adjusted ROTCE (each as described on page 69 under “Performance Share Award Metrics”) over the three-year period from January 1, 2024 through December 31, 2026, relative to the Performance Share Peers (as described on page 71). In addition, the total value delivered at vesting will be reduced if the Company’s Adjusted ROTCE for one or more fiscal years completed during the performance period is not positive, no matter how well the Company performs relative to the Performance Share Peers. </w:t>
      </w:r>
    </w:p>
    <w:p>
      <w:pPr>
        <w:pStyle w:val="TextBody"/>
        <w:bidi w:val="0"/>
        <w:spacing w:before="240" w:after="0"/>
        <w:jc w:val="both"/>
        <w:rPr>
          <w:rFonts w:ascii="arial" w:hAnsi="arial"/>
          <w:sz w:val="20"/>
        </w:rPr>
      </w:pPr>
      <w:r>
        <w:rPr>
          <w:rFonts w:ascii="arial" w:hAnsi="arial"/>
          <w:sz w:val="20"/>
        </w:rPr>
        <w:t xml:space="preserve">The actual number of shares earned and issued with respect to TSR Performance Shares will be based on the Company’s TSR (as defined on page 69 under “Performance Share Award Metrics”) over the three-year period from January 1, 2024 through December 31, 2026, relative to the Performance Share Peers. </w:t>
      </w:r>
    </w:p>
    <w:p>
      <w:pPr>
        <w:pStyle w:val="TextBody"/>
        <w:bidi w:val="0"/>
        <w:spacing w:before="240" w:after="0"/>
        <w:jc w:val="both"/>
        <w:rPr>
          <w:rFonts w:ascii="arial" w:hAnsi="arial"/>
          <w:sz w:val="20"/>
        </w:rPr>
      </w:pPr>
      <w:r>
        <w:rPr>
          <w:rFonts w:ascii="arial" w:hAnsi="arial"/>
          <w:sz w:val="20"/>
        </w:rPr>
        <w:t xml:space="preserve">See “2024 CEO Compensation Components” beginning on page 68 for more details on the 2024 performance share awards. Dividend equivalents accrue on the performance shares at the same time as dividends are paid out to holders of shares of Capital One common stock and are paid out as additional shares only on the performance shares that actually vest based on the results certified by the Committee. </w:t>
      </w:r>
    </w:p>
    <w:p>
      <w:pPr>
        <w:pStyle w:val="TextBody"/>
        <w:bidi w:val="0"/>
        <w:spacing w:before="240" w:after="0"/>
        <w:jc w:val="left"/>
        <w:rPr>
          <w:rFonts w:ascii="arial" w:hAnsi="arial"/>
          <w:b/>
          <w:color w:val="003A5D"/>
          <w:sz w:val="20"/>
        </w:rPr>
      </w:pPr>
      <w:r>
        <w:rPr>
          <w:rFonts w:ascii="arial" w:hAnsi="arial"/>
          <w:b/>
          <w:color w:val="003A5D"/>
          <w:sz w:val="20"/>
        </w:rPr>
        <w:t xml:space="preserve">RSUs </w:t>
      </w:r>
    </w:p>
    <w:p>
      <w:pPr>
        <w:pStyle w:val="TextBody"/>
        <w:bidi w:val="0"/>
        <w:spacing w:before="240" w:after="0"/>
        <w:jc w:val="both"/>
        <w:rPr>
          <w:rFonts w:ascii="arial" w:hAnsi="arial"/>
          <w:sz w:val="20"/>
        </w:rPr>
      </w:pPr>
      <w:r>
        <w:rPr>
          <w:rFonts w:ascii="arial" w:hAnsi="arial"/>
          <w:sz w:val="20"/>
        </w:rPr>
        <w:t xml:space="preserve">Cash-settled RSUs were granted in February 2024 for 2023 performance, and cash-settled RSUs were granted in February 2024 for the 2024 performance year. The cash-settled RSUs vest in full on February 15, 2027 and settle in cash based on the average closing price of Capital One common stock for the 15 trading days preceding the vesting date. Dividend equivalents accrue on the cash-settled RSUs at the same time as dividends are paid to holders of shares of Capital One common stock and are paid in cash at the time of vesting, adjusted for performance-based vesting results. See “2024 CEO Compensation Program and Components” beginning on page 67 for more details on the 2024 cash-settled RSU awards. </w:t>
      </w:r>
    </w:p>
    <w:p>
      <w:pPr>
        <w:pStyle w:val="TextBody"/>
        <w:bidi w:val="0"/>
        <w:spacing w:before="240" w:after="0"/>
        <w:jc w:val="left"/>
        <w:rPr>
          <w:rFonts w:ascii="arial" w:hAnsi="arial"/>
          <w:b/>
          <w:i/>
          <w:color w:val="003A5D"/>
          <w:sz w:val="24"/>
        </w:rPr>
      </w:pPr>
      <w:r>
        <w:rPr>
          <w:rFonts w:ascii="arial" w:hAnsi="arial"/>
          <w:b/>
          <w:i/>
          <w:color w:val="003A5D"/>
          <w:sz w:val="24"/>
        </w:rPr>
        <w:t xml:space="preserve">2024 Grants to NEOs (other than the CEO) </w:t>
      </w:r>
    </w:p>
    <w:p>
      <w:pPr>
        <w:pStyle w:val="TextBody"/>
        <w:bidi w:val="0"/>
        <w:spacing w:before="240" w:after="0"/>
        <w:jc w:val="both"/>
        <w:rPr>
          <w:rFonts w:ascii="arial" w:hAnsi="arial"/>
          <w:sz w:val="20"/>
        </w:rPr>
      </w:pPr>
      <w:r>
        <w:rPr>
          <w:rFonts w:ascii="arial" w:hAnsi="arial"/>
          <w:sz w:val="20"/>
        </w:rPr>
        <w:t xml:space="preserve">For 2024, the awards granted to NEOs other than the CEO consist of Financial Performance Shares and stock-settled RSUs granted in February 2024 for the 2023 performance year. </w:t>
      </w:r>
    </w:p>
    <w:p>
      <w:pPr>
        <w:pStyle w:val="TextBody"/>
        <w:bidi w:val="0"/>
        <w:spacing w:before="240" w:after="0"/>
        <w:jc w:val="left"/>
        <w:rPr>
          <w:rFonts w:ascii="arial" w:hAnsi="arial"/>
          <w:b/>
          <w:color w:val="003A5D"/>
          <w:sz w:val="20"/>
        </w:rPr>
      </w:pPr>
      <w:r>
        <w:rPr>
          <w:rFonts w:ascii="arial" w:hAnsi="arial"/>
          <w:b/>
          <w:color w:val="003A5D"/>
          <w:sz w:val="20"/>
        </w:rPr>
        <w:t xml:space="preserve">Performance Shares </w:t>
      </w:r>
    </w:p>
    <w:p>
      <w:pPr>
        <w:pStyle w:val="TextBody"/>
        <w:bidi w:val="0"/>
        <w:spacing w:before="240" w:after="0"/>
        <w:jc w:val="both"/>
        <w:rPr>
          <w:rFonts w:ascii="arial" w:hAnsi="arial"/>
          <w:sz w:val="20"/>
        </w:rPr>
      </w:pPr>
      <w:r>
        <w:rPr>
          <w:rFonts w:ascii="arial" w:hAnsi="arial"/>
          <w:sz w:val="20"/>
        </w:rPr>
        <w:t xml:space="preserve">The actual number of shares earned and issued with respect to Financial Performance Shares will be based on the Company’s D+TBV and Adjusted ROTCE over the three-year period from January 1, 2024 through December 31, 2026, relative to the Performance Share Peers. In addition, the total value delivered at vesting will be reduced if the Company’s Adjusted ROTCE for one or more fiscal years completed during the performance period is not positive, no matter how well the Company performs relative to the Performance Share Peers. See “2024 CEO Compensation Components” beginning on page 68 for more details on the 2024 performance share awards. Dividend equivalents accrue on the performance shares at the same time as dividends are paid out to holders of shares of Capital One common stock and are paid out as additional shares only on the performance shares that actually vest based on the results certified by the Committee. </w:t>
      </w:r>
    </w:p>
    <w:p>
      <w:pPr>
        <w:pStyle w:val="TextBody"/>
        <w:bidi w:val="0"/>
        <w:spacing w:before="240" w:after="0"/>
        <w:jc w:val="left"/>
        <w:rPr>
          <w:rFonts w:ascii="arial" w:hAnsi="arial"/>
          <w:b/>
          <w:color w:val="003A5D"/>
          <w:sz w:val="20"/>
        </w:rPr>
      </w:pPr>
      <w:r>
        <w:rPr>
          <w:rFonts w:ascii="arial" w:hAnsi="arial"/>
          <w:b/>
          <w:color w:val="003A5D"/>
          <w:sz w:val="20"/>
        </w:rPr>
        <w:t xml:space="preserve">Stock-Settled RSUs </w:t>
      </w:r>
    </w:p>
    <w:p>
      <w:pPr>
        <w:pStyle w:val="TextBody"/>
        <w:bidi w:val="0"/>
        <w:spacing w:before="240" w:after="0"/>
        <w:jc w:val="both"/>
        <w:rPr>
          <w:rFonts w:ascii="arial" w:hAnsi="arial"/>
          <w:sz w:val="20"/>
        </w:rPr>
      </w:pPr>
      <w:r>
        <w:rPr>
          <w:rFonts w:ascii="arial" w:hAnsi="arial"/>
          <w:sz w:val="20"/>
        </w:rPr>
        <w:t xml:space="preserve">The stock-settled RSUs granted on February 1, 2024 vest in three equal annual installments beginning on February 15 of the year after the date of grant. Dividend equivalents accrue on the stock-settled RSUs at the same time as dividends are paid to holders of shares of Capital One common stock and are paid in cash at the time of vesting, adjusted for performance-based vesting results. These awards (as well as cash-settled RSUs for the CEO) reported below are also subject to performance-based vesting provisions that are associated with Core Earnings.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99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390" w:type="dxa"/>
        <w:jc w:val="left"/>
        <w:tblInd w:w="0" w:type="dxa"/>
        <w:tblLayout w:type="fixed"/>
        <w:tblCellMar>
          <w:top w:w="0" w:type="dxa"/>
          <w:left w:w="0" w:type="dxa"/>
          <w:bottom w:w="0" w:type="dxa"/>
          <w:right w:w="0" w:type="dxa"/>
        </w:tblCellMar>
      </w:tblPr>
      <w:tblGrid>
        <w:gridCol w:w="5390"/>
      </w:tblGrid>
      <w:tr>
        <w:trPr/>
        <w:tc>
          <w:tcPr>
            <w:tcW w:w="5390"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center"/>
          </w:tcPr>
          <w:p>
            <w:pPr>
              <w:pStyle w:val="TableContents"/>
              <w:bidi w:val="0"/>
              <w:spacing w:before="0" w:after="283"/>
              <w:jc w:val="left"/>
              <w:rPr>
                <w:b/>
                <w:color w:val="003A5D"/>
              </w:rPr>
            </w:pPr>
            <w:r>
              <w:rPr>
                <w:b/>
                <w:color w:val="003A5D"/>
              </w:rPr>
              <w:t>Section VI - Named Executive Officer Compensation</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As a result, the total number of shares delivered at vesting will be reduced if the Company does not achieve certain performance thresholds during the three-year vesting period. See “Additional Performance Conditions and Recovery Provisions” beginning on page 87 for more details on the performance-based vesting provisions. </w:t>
      </w:r>
    </w:p>
    <w:p>
      <w:pPr>
        <w:pStyle w:val="TextBody"/>
        <w:bidi w:val="0"/>
        <w:spacing w:before="240" w:after="0"/>
        <w:jc w:val="left"/>
        <w:rPr>
          <w:rFonts w:ascii="arial" w:hAnsi="arial"/>
          <w:b/>
          <w:color w:val="003A5D"/>
          <w:sz w:val="32"/>
        </w:rPr>
      </w:pPr>
      <w:bookmarkStart w:id="90" w:name="txa845790_36"/>
      <w:bookmarkEnd w:id="90"/>
      <w:r>
        <w:rPr>
          <w:rFonts w:ascii="arial" w:hAnsi="arial"/>
          <w:b/>
          <w:color w:val="003A5D"/>
          <w:sz w:val="32"/>
        </w:rPr>
        <w:t xml:space="preserve">2024 Grants of Plan-Based Awards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93"/>
        <w:gridCol w:w="23"/>
        <w:gridCol w:w="60"/>
        <w:gridCol w:w="23"/>
        <w:gridCol w:w="2030"/>
        <w:gridCol w:w="23"/>
        <w:gridCol w:w="60"/>
        <w:gridCol w:w="23"/>
        <w:gridCol w:w="23"/>
        <w:gridCol w:w="61"/>
        <w:gridCol w:w="632"/>
        <w:gridCol w:w="23"/>
        <w:gridCol w:w="23"/>
        <w:gridCol w:w="60"/>
        <w:gridCol w:w="23"/>
        <w:gridCol w:w="85"/>
        <w:gridCol w:w="226"/>
        <w:gridCol w:w="477"/>
        <w:gridCol w:w="87"/>
        <w:gridCol w:w="32"/>
        <w:gridCol w:w="32"/>
        <w:gridCol w:w="32"/>
        <w:gridCol w:w="32"/>
        <w:gridCol w:w="32"/>
        <w:gridCol w:w="32"/>
        <w:gridCol w:w="32"/>
        <w:gridCol w:w="86"/>
        <w:gridCol w:w="856"/>
        <w:gridCol w:w="32"/>
        <w:gridCol w:w="32"/>
        <w:gridCol w:w="32"/>
        <w:gridCol w:w="32"/>
        <w:gridCol w:w="32"/>
        <w:gridCol w:w="32"/>
        <w:gridCol w:w="32"/>
        <w:gridCol w:w="32"/>
        <w:gridCol w:w="86"/>
        <w:gridCol w:w="1009"/>
        <w:gridCol w:w="53"/>
        <w:gridCol w:w="23"/>
        <w:gridCol w:w="60"/>
        <w:gridCol w:w="23"/>
        <w:gridCol w:w="52"/>
        <w:gridCol w:w="138"/>
        <w:gridCol w:w="600"/>
        <w:gridCol w:w="54"/>
        <w:gridCol w:w="23"/>
        <w:gridCol w:w="60"/>
        <w:gridCol w:w="23"/>
        <w:gridCol w:w="23"/>
        <w:gridCol w:w="61"/>
        <w:gridCol w:w="1092"/>
        <w:gridCol w:w="48"/>
      </w:tblGrid>
      <w:tr>
        <w:trPr/>
        <w:tc>
          <w:tcPr>
            <w:tcW w:w="139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r>
      <w:tr>
        <w:trPr/>
        <w:tc>
          <w:tcPr>
            <w:tcW w:w="1393" w:type="dxa"/>
            <w:tcBorders/>
            <w:shd w:fill="003A5D"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053" w:type="dxa"/>
            <w:gridSpan w:val="2"/>
            <w:tcBorders/>
            <w:shd w:fill="003A5D"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62" w:type="dxa"/>
            <w:gridSpan w:val="5"/>
            <w:tcBorders/>
            <w:shd w:fill="003A5D"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468" w:type="dxa"/>
            <w:gridSpan w:val="25"/>
            <w:tcBorders/>
            <w:shd w:fill="003A5D"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67" w:type="dxa"/>
            <w:gridSpan w:val="5"/>
            <w:tcBorders/>
            <w:shd w:fill="003A5D"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247" w:type="dxa"/>
            <w:gridSpan w:val="5"/>
            <w:tcBorders/>
            <w:shd w:fill="003A5D" w:val="clear"/>
            <w:vAlign w:val="center"/>
          </w:tcPr>
          <w:p>
            <w:pPr>
              <w:pStyle w:val="TableContents"/>
              <w:bidi w:val="0"/>
              <w:spacing w:before="0" w:after="283"/>
              <w:jc w:val="left"/>
              <w:rPr>
                <w:sz w:val="4"/>
                <w:szCs w:val="4"/>
              </w:rPr>
            </w:pPr>
            <w:r>
              <w:rPr>
                <w:sz w:val="4"/>
                <w:szCs w:val="4"/>
              </w:rPr>
            </w:r>
          </w:p>
        </w:tc>
      </w:tr>
      <w:tr>
        <w:trPr/>
        <w:tc>
          <w:tcPr>
            <w:tcW w:w="1393" w:type="dxa"/>
            <w:vMerge w:val="restart"/>
            <w:tcBorders/>
            <w:shd w:fill="003A5D" w:val="clear"/>
            <w:vAlign w:val="center"/>
          </w:tcPr>
          <w:p>
            <w:pPr>
              <w:pStyle w:val="TableContents"/>
              <w:bidi w:val="0"/>
              <w:spacing w:before="0" w:after="0"/>
              <w:jc w:val="left"/>
              <w:rPr>
                <w:color w:val="FFFFFF"/>
              </w:rPr>
            </w:pPr>
            <w:r>
              <w:rPr>
                <w:color w:val="FFFFFF"/>
              </w:rPr>
              <w:t> </w:t>
            </w:r>
            <w:r>
              <w:rPr>
                <w:rFonts w:ascii="arial" w:hAnsi="arial"/>
                <w:b/>
                <w:color w:val="FFFFFF"/>
                <w:sz w:val="18"/>
              </w:rPr>
              <w:t>Name</w:t>
            </w:r>
          </w:p>
          <w:p>
            <w:pPr>
              <w:pStyle w:val="TableContents"/>
              <w:bidi w:val="0"/>
              <w:spacing w:before="0" w:after="2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vMerge w:val="restart"/>
            <w:tcBorders/>
            <w:shd w:fill="003A5D" w:val="clear"/>
            <w:vAlign w:val="center"/>
          </w:tcPr>
          <w:p>
            <w:pPr>
              <w:pStyle w:val="TableContents"/>
              <w:bidi w:val="0"/>
              <w:spacing w:before="0" w:after="283"/>
              <w:jc w:val="left"/>
              <w:rPr>
                <w:sz w:val="4"/>
                <w:szCs w:val="4"/>
              </w:rPr>
            </w:pPr>
            <w:r>
              <w:rPr>
                <w:sz w:val="4"/>
                <w:szCs w:val="4"/>
              </w:rPr>
            </w:r>
          </w:p>
        </w:tc>
        <w:tc>
          <w:tcPr>
            <w:tcW w:w="2030" w:type="dxa"/>
            <w:vMerge w:val="restart"/>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Award Type</w:t>
            </w:r>
          </w:p>
          <w:p>
            <w:pPr>
              <w:pStyle w:val="TableContents"/>
              <w:bidi w:val="0"/>
              <w:spacing w:before="0" w:after="2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vMerge w:val="restart"/>
            <w:tcBorders/>
            <w:shd w:fill="003A5D" w:val="clear"/>
            <w:vAlign w:val="center"/>
          </w:tcPr>
          <w:p>
            <w:pPr>
              <w:pStyle w:val="TableContents"/>
              <w:bidi w:val="0"/>
              <w:spacing w:before="0" w:after="283"/>
              <w:jc w:val="left"/>
              <w:rPr>
                <w:sz w:val="4"/>
                <w:szCs w:val="4"/>
              </w:rPr>
            </w:pPr>
            <w:r>
              <w:rPr>
                <w:sz w:val="4"/>
                <w:szCs w:val="4"/>
              </w:rPr>
            </w:r>
          </w:p>
        </w:tc>
        <w:tc>
          <w:tcPr>
            <w:tcW w:w="739" w:type="dxa"/>
            <w:gridSpan w:val="4"/>
            <w:vMerge w:val="restart"/>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Date of</w:t>
              <w:br/>
              <w:t>Grant(1)</w:t>
            </w:r>
          </w:p>
          <w:p>
            <w:pPr>
              <w:pStyle w:val="TableContents"/>
              <w:bidi w:val="0"/>
              <w:spacing w:before="0" w:after="2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bottom w:val="single" w:sz="22" w:space="0" w:color="FFFFFF"/>
            </w:tcBorders>
            <w:shd w:fill="003A5D" w:val="clear"/>
            <w:tcMar>
              <w:bottom w:w="28" w:type="dxa"/>
            </w:tcMar>
            <w:vAlign w:val="center"/>
          </w:tcPr>
          <w:p>
            <w:pPr>
              <w:pStyle w:val="TableContents"/>
              <w:bidi w:val="0"/>
              <w:spacing w:before="0" w:after="283"/>
              <w:jc w:val="left"/>
              <w:rPr>
                <w:sz w:val="4"/>
                <w:szCs w:val="4"/>
              </w:rPr>
            </w:pPr>
            <w:r>
              <w:rPr>
                <w:sz w:val="4"/>
                <w:szCs w:val="4"/>
              </w:rPr>
            </w:r>
          </w:p>
        </w:tc>
        <w:tc>
          <w:tcPr>
            <w:tcW w:w="3445" w:type="dxa"/>
            <w:gridSpan w:val="24"/>
            <w:tcBorders>
              <w:bottom w:val="single" w:sz="22" w:space="0" w:color="FFFFFF"/>
            </w:tcBorders>
            <w:shd w:fill="003A5D"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Estimated Future Payouts Under </w:t>
              <w:br/>
              <w:t>Equity Incentive Plan Awards</w:t>
            </w:r>
          </w:p>
          <w:p>
            <w:pPr>
              <w:pStyle w:val="TableContents"/>
              <w:bidi w:val="0"/>
              <w:spacing w:before="0" w:after="2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vMerge w:val="restart"/>
            <w:tcBorders/>
            <w:shd w:fill="003A5D" w:val="clear"/>
            <w:vAlign w:val="center"/>
          </w:tcPr>
          <w:p>
            <w:pPr>
              <w:pStyle w:val="TableContents"/>
              <w:bidi w:val="0"/>
              <w:spacing w:before="0" w:after="283"/>
              <w:jc w:val="left"/>
              <w:rPr>
                <w:sz w:val="4"/>
                <w:szCs w:val="4"/>
              </w:rPr>
            </w:pPr>
            <w:r>
              <w:rPr>
                <w:sz w:val="4"/>
                <w:szCs w:val="4"/>
              </w:rPr>
            </w:r>
          </w:p>
        </w:tc>
        <w:tc>
          <w:tcPr>
            <w:tcW w:w="844" w:type="dxa"/>
            <w:gridSpan w:val="4"/>
            <w:vMerge w:val="restart"/>
            <w:tcBorders/>
            <w:shd w:fill="003A5D"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All Other </w:t>
            </w:r>
          </w:p>
          <w:p>
            <w:pPr>
              <w:pStyle w:val="TableContents"/>
              <w:bidi w:val="0"/>
              <w:spacing w:before="0" w:after="0"/>
              <w:jc w:val="center"/>
              <w:rPr>
                <w:rFonts w:ascii="arial" w:hAnsi="arial"/>
                <w:b/>
                <w:color w:val="FFFFFF"/>
                <w:sz w:val="18"/>
              </w:rPr>
            </w:pPr>
            <w:r>
              <w:rPr>
                <w:rFonts w:ascii="arial" w:hAnsi="arial"/>
                <w:b/>
                <w:color w:val="FFFFFF"/>
                <w:sz w:val="18"/>
              </w:rPr>
              <w:t>Stock</w:t>
              <w:br/>
              <w:t>Awards:</w:t>
              <w:br/>
              <w:t>Number</w:t>
              <w:br/>
              <w:t>of</w:t>
              <w:br/>
              <w:t>Shares</w:t>
              <w:br/>
              <w:t>of Stock</w:t>
              <w:br/>
              <w:t>or Units</w:t>
            </w:r>
          </w:p>
          <w:p>
            <w:pPr>
              <w:pStyle w:val="TableContents"/>
              <w:bidi w:val="0"/>
              <w:spacing w:before="0" w:after="2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vMerge w:val="restart"/>
            <w:tcBorders/>
            <w:shd w:fill="003A5D" w:val="clear"/>
            <w:vAlign w:val="center"/>
          </w:tcPr>
          <w:p>
            <w:pPr>
              <w:pStyle w:val="TableContents"/>
              <w:bidi w:val="0"/>
              <w:spacing w:before="0" w:after="283"/>
              <w:jc w:val="left"/>
              <w:rPr>
                <w:sz w:val="4"/>
                <w:szCs w:val="4"/>
              </w:rPr>
            </w:pPr>
            <w:r>
              <w:rPr>
                <w:sz w:val="4"/>
                <w:szCs w:val="4"/>
              </w:rPr>
            </w:r>
          </w:p>
        </w:tc>
        <w:tc>
          <w:tcPr>
            <w:tcW w:w="1224" w:type="dxa"/>
            <w:gridSpan w:val="4"/>
            <w:vMerge w:val="restart"/>
            <w:tcBorders/>
            <w:shd w:fill="003A5D" w:val="clear"/>
            <w:vAlign w:val="center"/>
          </w:tcPr>
          <w:p>
            <w:pPr>
              <w:pStyle w:val="TableContents"/>
              <w:bidi w:val="0"/>
              <w:spacing w:before="0" w:after="0"/>
              <w:jc w:val="center"/>
              <w:rPr>
                <w:color w:val="FFFFFF"/>
              </w:rPr>
            </w:pPr>
            <w:r>
              <w:rPr>
                <w:color w:val="FFFFFF"/>
              </w:rPr>
              <w:t> </w:t>
            </w:r>
            <w:r>
              <w:rPr>
                <w:rFonts w:ascii="arial" w:hAnsi="arial"/>
                <w:b/>
                <w:color w:val="FFFFFF"/>
                <w:sz w:val="18"/>
              </w:rPr>
              <w:t>Grant Date  </w:t>
            </w:r>
          </w:p>
          <w:p>
            <w:pPr>
              <w:pStyle w:val="TableContents"/>
              <w:bidi w:val="0"/>
              <w:spacing w:before="0" w:after="0"/>
              <w:jc w:val="center"/>
              <w:rPr>
                <w:color w:val="FFFFFF"/>
              </w:rPr>
            </w:pPr>
            <w:r>
              <w:rPr>
                <w:color w:val="FFFFFF"/>
              </w:rPr>
              <w:t> </w:t>
            </w:r>
            <w:r>
              <w:rPr>
                <w:rFonts w:ascii="arial" w:hAnsi="arial"/>
                <w:b/>
                <w:color w:val="FFFFFF"/>
                <w:sz w:val="18"/>
              </w:rPr>
              <w:t>Fair Value of  </w:t>
              <w:br/>
              <w:t> Stock  </w:t>
            </w:r>
          </w:p>
          <w:p>
            <w:pPr>
              <w:pStyle w:val="TableContents"/>
              <w:bidi w:val="0"/>
              <w:spacing w:before="0" w:after="0"/>
              <w:jc w:val="center"/>
              <w:rPr>
                <w:color w:val="FFFFFF"/>
              </w:rPr>
            </w:pPr>
            <w:r>
              <w:rPr>
                <w:color w:val="FFFFFF"/>
              </w:rPr>
              <w:t> </w:t>
            </w:r>
            <w:r>
              <w:rPr>
                <w:rFonts w:ascii="arial" w:hAnsi="arial"/>
                <w:b/>
                <w:color w:val="FFFFFF"/>
                <w:sz w:val="18"/>
              </w:rPr>
              <w:t>Awards  </w:t>
            </w:r>
          </w:p>
          <w:p>
            <w:pPr>
              <w:pStyle w:val="TableContents"/>
              <w:bidi w:val="0"/>
              <w:spacing w:before="0" w:after="20"/>
              <w:jc w:val="left"/>
              <w:rPr/>
            </w:pPr>
            <w:r>
              <w:rPr/>
              <w:t> </w:t>
            </w:r>
          </w:p>
        </w:tc>
      </w:tr>
      <w:tr>
        <w:trPr/>
        <w:tc>
          <w:tcPr>
            <w:tcW w:w="1393" w:type="dxa"/>
            <w:vMerge w:val="continue"/>
            <w:tcBorders/>
            <w:shd w:fill="003A5D" w:val="clear"/>
            <w:vAlign w:val="center"/>
          </w:tcPr>
          <w:p>
            <w:pPr>
              <w:pStyle w:val="Normal"/>
              <w:bidi w:val="0"/>
              <w:jc w:val="left"/>
              <w:rPr/>
            </w:pPr>
            <w:r>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vMerge w:val="continue"/>
            <w:tcBorders/>
            <w:shd w:fill="003A5D" w:val="clear"/>
            <w:vAlign w:val="center"/>
          </w:tcPr>
          <w:p>
            <w:pPr>
              <w:pStyle w:val="Normal"/>
              <w:bidi w:val="0"/>
              <w:jc w:val="left"/>
              <w:rPr/>
            </w:pPr>
            <w:r>
              <w:rPr/>
            </w:r>
          </w:p>
        </w:tc>
        <w:tc>
          <w:tcPr>
            <w:tcW w:w="2030" w:type="dxa"/>
            <w:vMerge w:val="continue"/>
            <w:tcBorders/>
            <w:shd w:fill="003A5D" w:val="clear"/>
            <w:vAlign w:val="center"/>
          </w:tcPr>
          <w:p>
            <w:pPr>
              <w:pStyle w:val="Normal"/>
              <w:bidi w:val="0"/>
              <w:jc w:val="left"/>
              <w:rPr/>
            </w:pPr>
            <w:r>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vMerge w:val="continue"/>
            <w:tcBorders/>
            <w:shd w:fill="003A5D" w:val="clear"/>
            <w:vAlign w:val="center"/>
          </w:tcPr>
          <w:p>
            <w:pPr>
              <w:pStyle w:val="Normal"/>
              <w:bidi w:val="0"/>
              <w:jc w:val="left"/>
              <w:rPr/>
            </w:pPr>
            <w:r>
              <w:rPr/>
            </w:r>
          </w:p>
        </w:tc>
        <w:tc>
          <w:tcPr>
            <w:tcW w:w="739" w:type="dxa"/>
            <w:gridSpan w:val="4"/>
            <w:vMerge w:val="continue"/>
            <w:tcBorders/>
            <w:shd w:fill="003A5D" w:val="clear"/>
            <w:vAlign w:val="center"/>
          </w:tcPr>
          <w:p>
            <w:pPr>
              <w:pStyle w:val="Normal"/>
              <w:bidi w:val="0"/>
              <w:jc w:val="left"/>
              <w:rPr/>
            </w:pPr>
            <w:r>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875" w:type="dxa"/>
            <w:gridSpan w:val="4"/>
            <w:tcBorders/>
            <w:shd w:fill="003A5D" w:val="clear"/>
            <w:vAlign w:val="center"/>
          </w:tcPr>
          <w:p>
            <w:pPr>
              <w:pStyle w:val="TableContents"/>
              <w:bidi w:val="0"/>
              <w:spacing w:before="0" w:after="0"/>
              <w:jc w:val="center"/>
              <w:rPr>
                <w:color w:val="FFFFFF"/>
              </w:rPr>
            </w:pPr>
            <w:r>
              <w:rPr>
                <w:color w:val="FFFFFF"/>
              </w:rPr>
              <w:t> </w:t>
            </w:r>
            <w:r>
              <w:rPr>
                <w:rFonts w:ascii="arial" w:hAnsi="arial"/>
                <w:b/>
                <w:color w:val="FFFFFF"/>
                <w:sz w:val="18"/>
              </w:rPr>
              <w:br/>
              <w:t>Threshold</w:t>
            </w:r>
          </w:p>
          <w:p>
            <w:pPr>
              <w:pStyle w:val="TableContents"/>
              <w:bidi w:val="0"/>
              <w:spacing w:before="0" w:after="20"/>
              <w:jc w:val="lef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128" w:type="dxa"/>
            <w:gridSpan w:val="4"/>
            <w:tcBorders/>
            <w:vAlign w:val="center"/>
          </w:tcPr>
          <w:p>
            <w:pPr>
              <w:pStyle w:val="TableContents"/>
              <w:bidi w:val="0"/>
              <w:spacing w:before="0" w:after="283"/>
              <w:jc w:val="left"/>
              <w:rPr/>
            </w:pPr>
            <w:r>
              <w:rPr/>
              <w:t> </w:t>
            </w:r>
          </w:p>
        </w:tc>
        <w:tc>
          <w:tcPr>
            <w:tcW w:w="32" w:type="dxa"/>
            <w:tcBorders/>
            <w:shd w:fill="003A5D" w:val="clear"/>
            <w:vAlign w:val="center"/>
          </w:tcPr>
          <w:p>
            <w:pPr>
              <w:pStyle w:val="TableContents"/>
              <w:bidi w:val="0"/>
              <w:spacing w:before="0" w:after="283"/>
              <w:jc w:val="left"/>
              <w:rPr>
                <w:sz w:val="4"/>
                <w:szCs w:val="4"/>
              </w:rPr>
            </w:pPr>
            <w:r>
              <w:rPr>
                <w:sz w:val="4"/>
                <w:szCs w:val="4"/>
              </w:rPr>
            </w:r>
          </w:p>
        </w:tc>
        <w:tc>
          <w:tcPr>
            <w:tcW w:w="1006" w:type="dxa"/>
            <w:gridSpan w:val="4"/>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Target</w:t>
            </w:r>
          </w:p>
          <w:p>
            <w:pPr>
              <w:pStyle w:val="TableContents"/>
              <w:bidi w:val="0"/>
              <w:spacing w:before="0" w:after="20"/>
              <w:jc w:val="lef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128" w:type="dxa"/>
            <w:gridSpan w:val="4"/>
            <w:tcBorders/>
            <w:vAlign w:val="center"/>
          </w:tcPr>
          <w:p>
            <w:pPr>
              <w:pStyle w:val="TableContents"/>
              <w:bidi w:val="0"/>
              <w:spacing w:before="0" w:after="283"/>
              <w:jc w:val="left"/>
              <w:rPr/>
            </w:pPr>
            <w:r>
              <w:rPr/>
              <w:t> </w:t>
            </w:r>
          </w:p>
        </w:tc>
        <w:tc>
          <w:tcPr>
            <w:tcW w:w="32" w:type="dxa"/>
            <w:tcBorders/>
            <w:shd w:fill="003A5D" w:val="clear"/>
            <w:vAlign w:val="center"/>
          </w:tcPr>
          <w:p>
            <w:pPr>
              <w:pStyle w:val="TableContents"/>
              <w:bidi w:val="0"/>
              <w:spacing w:before="0" w:after="283"/>
              <w:jc w:val="left"/>
              <w:rPr>
                <w:sz w:val="4"/>
                <w:szCs w:val="4"/>
              </w:rPr>
            </w:pPr>
            <w:r>
              <w:rPr>
                <w:sz w:val="4"/>
                <w:szCs w:val="4"/>
              </w:rPr>
            </w:r>
          </w:p>
        </w:tc>
        <w:tc>
          <w:tcPr>
            <w:tcW w:w="1180" w:type="dxa"/>
            <w:gridSpan w:val="4"/>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Maximum</w:t>
            </w:r>
          </w:p>
          <w:p>
            <w:pPr>
              <w:pStyle w:val="TableContents"/>
              <w:bidi w:val="0"/>
              <w:spacing w:before="0" w:after="2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vMerge w:val="continue"/>
            <w:tcBorders/>
            <w:shd w:fill="003A5D" w:val="clear"/>
            <w:vAlign w:val="center"/>
          </w:tcPr>
          <w:p>
            <w:pPr>
              <w:pStyle w:val="Normal"/>
              <w:bidi w:val="0"/>
              <w:jc w:val="left"/>
              <w:rPr/>
            </w:pPr>
            <w:r>
              <w:rPr/>
            </w:r>
          </w:p>
        </w:tc>
        <w:tc>
          <w:tcPr>
            <w:tcW w:w="844" w:type="dxa"/>
            <w:gridSpan w:val="4"/>
            <w:vMerge w:val="continue"/>
            <w:tcBorders/>
            <w:shd w:fill="003A5D" w:val="clear"/>
            <w:vAlign w:val="center"/>
          </w:tcPr>
          <w:p>
            <w:pPr>
              <w:pStyle w:val="Normal"/>
              <w:bidi w:val="0"/>
              <w:jc w:val="left"/>
              <w:rPr/>
            </w:pPr>
            <w:r>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vMerge w:val="continue"/>
            <w:tcBorders/>
            <w:shd w:fill="003A5D" w:val="clear"/>
            <w:vAlign w:val="center"/>
          </w:tcPr>
          <w:p>
            <w:pPr>
              <w:pStyle w:val="Normal"/>
              <w:bidi w:val="0"/>
              <w:jc w:val="left"/>
              <w:rPr/>
            </w:pPr>
            <w:r>
              <w:rPr/>
            </w:r>
          </w:p>
        </w:tc>
        <w:tc>
          <w:tcPr>
            <w:tcW w:w="1224" w:type="dxa"/>
            <w:gridSpan w:val="4"/>
            <w:vMerge w:val="continue"/>
            <w:tcBorders/>
            <w:shd w:fill="003A5D" w:val="clear"/>
            <w:vAlign w:val="center"/>
          </w:tcPr>
          <w:p>
            <w:pPr>
              <w:pStyle w:val="Normal"/>
              <w:bidi w:val="0"/>
              <w:jc w:val="left"/>
              <w:rPr/>
            </w:pPr>
            <w:r>
              <w:rPr/>
            </w:r>
          </w:p>
        </w:tc>
      </w:tr>
      <w:tr>
        <w:trPr/>
        <w:tc>
          <w:tcPr>
            <w:tcW w:w="1393" w:type="dxa"/>
            <w:vMerge w:val="restart"/>
            <w:tcBorders>
              <w:top w:val="single" w:sz="8" w:space="0" w:color="FFFFFF"/>
              <w:bottom w:val="single" w:sz="8" w:space="0" w:color="003A5D"/>
            </w:tcBorders>
            <w:tcMar>
              <w:top w:w="28" w:type="dxa"/>
              <w:bottom w:w="28" w:type="dxa"/>
            </w:tcMar>
            <w:vAlign w:val="center"/>
          </w:tcPr>
          <w:p>
            <w:pPr>
              <w:pStyle w:val="TableContents"/>
              <w:bidi w:val="0"/>
              <w:spacing w:lineRule="atLeast" w:line="260" w:before="0" w:after="0"/>
              <w:jc w:val="left"/>
              <w:rPr>
                <w:rFonts w:ascii="arial" w:hAnsi="arial"/>
                <w:sz w:val="18"/>
              </w:rPr>
            </w:pPr>
            <w:r>
              <w:rPr>
                <w:rFonts w:ascii="arial" w:hAnsi="arial"/>
                <w:sz w:val="18"/>
              </w:rPr>
              <w:t>Richard D. Fairbank</w:t>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shd w:fill="E5EBEE" w:val="clear"/>
            <w:tcMar>
              <w:top w:w="28" w:type="dxa"/>
            </w:tcMar>
            <w:vAlign w:val="center"/>
          </w:tcPr>
          <w:p>
            <w:pPr>
              <w:pStyle w:val="TableContents"/>
              <w:bidi w:val="0"/>
              <w:spacing w:before="0" w:after="283"/>
              <w:jc w:val="left"/>
              <w:rPr>
                <w:sz w:val="4"/>
                <w:szCs w:val="4"/>
              </w:rPr>
            </w:pPr>
            <w:r>
              <w:rPr>
                <w:sz w:val="4"/>
                <w:szCs w:val="4"/>
              </w:rPr>
            </w:r>
          </w:p>
        </w:tc>
        <w:tc>
          <w:tcPr>
            <w:tcW w:w="2030" w:type="dxa"/>
            <w:tcBorders>
              <w:top w:val="single" w:sz="8" w:space="0" w:color="FFFFFF"/>
            </w:tcBorders>
            <w:shd w:fill="E5EBEE" w:val="clear"/>
            <w:tcMar>
              <w:top w:w="28" w:type="dxa"/>
            </w:tcMar>
            <w:vAlign w:val="center"/>
          </w:tcPr>
          <w:p>
            <w:pPr>
              <w:pStyle w:val="TableContents"/>
              <w:bidi w:val="0"/>
              <w:spacing w:lineRule="atLeast" w:line="200" w:before="0" w:after="0"/>
              <w:jc w:val="left"/>
              <w:rPr>
                <w:rFonts w:ascii="arial" w:hAnsi="arial"/>
                <w:sz w:val="18"/>
              </w:rPr>
            </w:pPr>
            <w:r>
              <w:rPr>
                <w:rFonts w:ascii="arial" w:hAnsi="arial"/>
                <w:sz w:val="18"/>
              </w:rPr>
              <w:t>Financial Performance Shares(2)</w:t>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shd w:fill="E5EBEE" w:val="clear"/>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shd w:fill="E5EBEE" w:val="clear"/>
            <w:tcMar>
              <w:top w:w="28" w:type="dxa"/>
            </w:tcMar>
            <w:vAlign w:val="center"/>
          </w:tcPr>
          <w:p>
            <w:pPr>
              <w:pStyle w:val="TableContents"/>
              <w:bidi w:val="0"/>
              <w:spacing w:before="0" w:after="283"/>
              <w:jc w:val="left"/>
              <w:rPr>
                <w:sz w:val="4"/>
                <w:szCs w:val="4"/>
              </w:rPr>
            </w:pPr>
            <w:r>
              <w:rPr>
                <w:sz w:val="4"/>
                <w:szCs w:val="4"/>
              </w:rPr>
            </w:r>
          </w:p>
        </w:tc>
        <w:tc>
          <w:tcPr>
            <w:tcW w:w="61" w:type="dxa"/>
            <w:tcBorders>
              <w:top w:val="single" w:sz="8" w:space="0" w:color="FFFFFF"/>
            </w:tcBorders>
            <w:shd w:fill="E5EBEE" w:val="clear"/>
            <w:tcMar>
              <w:top w:w="28" w:type="dxa"/>
            </w:tcMar>
            <w:vAlign w:val="center"/>
          </w:tcPr>
          <w:p>
            <w:pPr>
              <w:pStyle w:val="TableContents"/>
              <w:bidi w:val="0"/>
              <w:spacing w:lineRule="atLeast" w:line="260" w:before="0" w:after="0"/>
              <w:jc w:val="left"/>
              <w:rPr/>
            </w:pPr>
            <w:r>
              <w:rPr/>
              <w:t> </w:t>
            </w:r>
          </w:p>
        </w:tc>
        <w:tc>
          <w:tcPr>
            <w:tcW w:w="632" w:type="dxa"/>
            <w:tcBorders>
              <w:top w:val="single" w:sz="8" w:space="0" w:color="FFFFFF"/>
            </w:tcBorders>
            <w:shd w:fill="E5EBEE" w:val="clear"/>
            <w:tcMar>
              <w:top w:w="28" w:type="dxa"/>
            </w:tcMar>
            <w:vAlign w:val="center"/>
          </w:tcPr>
          <w:p>
            <w:pPr>
              <w:pStyle w:val="TableContents"/>
              <w:bidi w:val="0"/>
              <w:spacing w:lineRule="atLeast" w:line="260" w:before="0" w:after="0"/>
              <w:jc w:val="center"/>
              <w:rPr>
                <w:rFonts w:ascii="arial" w:hAnsi="arial"/>
                <w:sz w:val="18"/>
              </w:rPr>
            </w:pPr>
            <w:r>
              <w:rPr>
                <w:rFonts w:ascii="arial" w:hAnsi="arial"/>
                <w:sz w:val="18"/>
              </w:rPr>
              <w:t>2/1/2024</w:t>
            </w:r>
          </w:p>
        </w:tc>
        <w:tc>
          <w:tcPr>
            <w:tcW w:w="23" w:type="dxa"/>
            <w:tcBorders>
              <w:top w:val="single" w:sz="8" w:space="0" w:color="FFFFFF"/>
            </w:tcBorders>
            <w:shd w:fill="E5EBEE" w:val="clear"/>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shd w:fill="E5EBEE" w:val="clear"/>
            <w:tcMar>
              <w:top w:w="28" w:type="dxa"/>
            </w:tcMar>
            <w:vAlign w:val="center"/>
          </w:tcPr>
          <w:p>
            <w:pPr>
              <w:pStyle w:val="TableContents"/>
              <w:bidi w:val="0"/>
              <w:spacing w:before="0" w:after="283"/>
              <w:jc w:val="left"/>
              <w:rPr>
                <w:sz w:val="4"/>
                <w:szCs w:val="4"/>
              </w:rPr>
            </w:pPr>
            <w:r>
              <w:rPr>
                <w:sz w:val="4"/>
                <w:szCs w:val="4"/>
              </w:rPr>
            </w:r>
          </w:p>
        </w:tc>
        <w:tc>
          <w:tcPr>
            <w:tcW w:w="85" w:type="dxa"/>
            <w:tcBorders>
              <w:top w:val="single" w:sz="8" w:space="0" w:color="FFFFFF"/>
            </w:tcBorders>
            <w:shd w:fill="E5EBEE"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FFFF"/>
            </w:tcBorders>
            <w:shd w:fill="E5EBEE" w:val="clear"/>
            <w:tcMar>
              <w:top w:w="28" w:type="dxa"/>
            </w:tcMar>
            <w:vAlign w:val="center"/>
          </w:tcPr>
          <w:p>
            <w:pPr>
              <w:pStyle w:val="TableContents"/>
              <w:bidi w:val="0"/>
              <w:spacing w:lineRule="atLeast" w:line="260" w:before="0" w:after="0"/>
              <w:jc w:val="left"/>
              <w:rPr/>
            </w:pPr>
            <w:r>
              <w:rPr/>
              <w:t> </w:t>
            </w:r>
          </w:p>
        </w:tc>
        <w:tc>
          <w:tcPr>
            <w:tcW w:w="477" w:type="dxa"/>
            <w:tcBorders>
              <w:top w:val="single" w:sz="8" w:space="0" w:color="FFFFFF"/>
            </w:tcBorders>
            <w:shd w:fill="E5EBEE" w:val="clear"/>
            <w:tcMar>
              <w:top w:w="28" w:type="dxa"/>
            </w:tcMar>
            <w:vAlign w:val="center"/>
          </w:tcPr>
          <w:p>
            <w:pPr>
              <w:pStyle w:val="TableContents"/>
              <w:bidi w:val="0"/>
              <w:spacing w:lineRule="atLeast" w:line="260" w:before="0" w:after="0"/>
              <w:jc w:val="center"/>
              <w:rPr>
                <w:rFonts w:ascii="arial" w:hAnsi="arial"/>
                <w:sz w:val="18"/>
              </w:rPr>
            </w:pPr>
            <w:r>
              <w:rPr>
                <w:rFonts w:ascii="arial" w:hAnsi="arial"/>
                <w:sz w:val="18"/>
              </w:rPr>
              <w:t>0</w:t>
            </w:r>
          </w:p>
        </w:tc>
        <w:tc>
          <w:tcPr>
            <w:tcW w:w="87" w:type="dxa"/>
            <w:tcBorders>
              <w:top w:val="single" w:sz="8" w:space="0" w:color="FFFFFF"/>
            </w:tcBorders>
            <w:shd w:fill="E5EBEE" w:val="clear"/>
            <w:tcMar>
              <w:top w:w="28" w:type="dxa"/>
            </w:tcMar>
            <w:vAlign w:val="center"/>
          </w:tcPr>
          <w:p>
            <w:pPr>
              <w:pStyle w:val="TableContents"/>
              <w:bidi w:val="0"/>
              <w:spacing w:before="0" w:after="283"/>
              <w:jc w:val="left"/>
              <w:rPr>
                <w:sz w:val="4"/>
                <w:szCs w:val="4"/>
              </w:rPr>
            </w:pPr>
            <w:r>
              <w:rPr>
                <w:sz w:val="4"/>
                <w:szCs w:val="4"/>
              </w:rPr>
            </w:r>
          </w:p>
        </w:tc>
        <w:tc>
          <w:tcPr>
            <w:tcW w:w="32"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32"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32"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32" w:type="dxa"/>
            <w:tcBorders>
              <w:top w:val="single" w:sz="8" w:space="0" w:color="FFFFFF"/>
            </w:tcBorders>
            <w:shd w:fill="E5EBEE" w:val="clear"/>
            <w:tcMar>
              <w:top w:w="28" w:type="dxa"/>
            </w:tcMar>
            <w:vAlign w:val="center"/>
          </w:tcPr>
          <w:p>
            <w:pPr>
              <w:pStyle w:val="TableContents"/>
              <w:bidi w:val="0"/>
              <w:spacing w:before="0" w:after="283"/>
              <w:jc w:val="left"/>
              <w:rPr>
                <w:sz w:val="4"/>
                <w:szCs w:val="4"/>
              </w:rPr>
            </w:pPr>
            <w:r>
              <w:rPr>
                <w:sz w:val="4"/>
                <w:szCs w:val="4"/>
              </w:rPr>
            </w:r>
          </w:p>
        </w:tc>
        <w:tc>
          <w:tcPr>
            <w:tcW w:w="32" w:type="dxa"/>
            <w:tcBorders>
              <w:top w:val="single" w:sz="8" w:space="0" w:color="FFFFFF"/>
            </w:tcBorders>
            <w:shd w:fill="E5EBEE" w:val="clear"/>
            <w:tcMar>
              <w:top w:w="28" w:type="dxa"/>
            </w:tcMar>
            <w:vAlign w:val="center"/>
          </w:tcPr>
          <w:p>
            <w:pPr>
              <w:pStyle w:val="TableContents"/>
              <w:bidi w:val="0"/>
              <w:spacing w:before="0" w:after="283"/>
              <w:jc w:val="left"/>
              <w:rPr>
                <w:sz w:val="4"/>
                <w:szCs w:val="4"/>
              </w:rPr>
            </w:pPr>
            <w:r>
              <w:rPr>
                <w:sz w:val="4"/>
                <w:szCs w:val="4"/>
              </w:rPr>
            </w:r>
          </w:p>
        </w:tc>
        <w:tc>
          <w:tcPr>
            <w:tcW w:w="86" w:type="dxa"/>
            <w:tcBorders>
              <w:top w:val="single" w:sz="8" w:space="0" w:color="FFFFFF"/>
            </w:tcBorders>
            <w:shd w:fill="E5EBEE" w:val="clear"/>
            <w:tcMar>
              <w:top w:w="28" w:type="dxa"/>
            </w:tcMar>
            <w:vAlign w:val="center"/>
          </w:tcPr>
          <w:p>
            <w:pPr>
              <w:pStyle w:val="TableContents"/>
              <w:bidi w:val="0"/>
              <w:spacing w:lineRule="atLeast" w:line="260" w:before="0" w:after="0"/>
              <w:jc w:val="left"/>
              <w:rPr/>
            </w:pPr>
            <w:r>
              <w:rPr/>
              <w:t> </w:t>
            </w:r>
          </w:p>
        </w:tc>
        <w:tc>
          <w:tcPr>
            <w:tcW w:w="856" w:type="dxa"/>
            <w:tcBorders>
              <w:top w:val="single" w:sz="8" w:space="0" w:color="FFFFFF"/>
            </w:tcBorders>
            <w:shd w:fill="E5EBEE" w:val="clear"/>
            <w:tcMar>
              <w:top w:w="28" w:type="dxa"/>
            </w:tcMar>
            <w:vAlign w:val="center"/>
          </w:tcPr>
          <w:p>
            <w:pPr>
              <w:pStyle w:val="TableContents"/>
              <w:bidi w:val="0"/>
              <w:spacing w:lineRule="atLeast" w:line="260" w:before="0" w:after="0"/>
              <w:jc w:val="center"/>
              <w:rPr>
                <w:rFonts w:ascii="arial" w:hAnsi="arial"/>
                <w:sz w:val="18"/>
              </w:rPr>
            </w:pPr>
            <w:r>
              <w:rPr>
                <w:rFonts w:ascii="arial" w:hAnsi="arial"/>
                <w:sz w:val="18"/>
              </w:rPr>
              <w:t>93,639</w:t>
            </w:r>
          </w:p>
        </w:tc>
        <w:tc>
          <w:tcPr>
            <w:tcW w:w="32" w:type="dxa"/>
            <w:tcBorders>
              <w:top w:val="single" w:sz="8" w:space="0" w:color="FFFFFF"/>
            </w:tcBorders>
            <w:shd w:fill="E5EBEE" w:val="clear"/>
            <w:tcMar>
              <w:top w:w="28" w:type="dxa"/>
            </w:tcMar>
            <w:vAlign w:val="center"/>
          </w:tcPr>
          <w:p>
            <w:pPr>
              <w:pStyle w:val="TableContents"/>
              <w:bidi w:val="0"/>
              <w:spacing w:before="0" w:after="283"/>
              <w:jc w:val="left"/>
              <w:rPr>
                <w:sz w:val="4"/>
                <w:szCs w:val="4"/>
              </w:rPr>
            </w:pPr>
            <w:r>
              <w:rPr>
                <w:sz w:val="4"/>
                <w:szCs w:val="4"/>
              </w:rPr>
            </w:r>
          </w:p>
        </w:tc>
        <w:tc>
          <w:tcPr>
            <w:tcW w:w="32"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32"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32"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32" w:type="dxa"/>
            <w:tcBorders>
              <w:top w:val="single" w:sz="8" w:space="0" w:color="FFFFFF"/>
            </w:tcBorders>
            <w:shd w:fill="E5EBEE" w:val="clear"/>
            <w:tcMar>
              <w:top w:w="28" w:type="dxa"/>
            </w:tcMar>
            <w:vAlign w:val="center"/>
          </w:tcPr>
          <w:p>
            <w:pPr>
              <w:pStyle w:val="TableContents"/>
              <w:bidi w:val="0"/>
              <w:spacing w:before="0" w:after="283"/>
              <w:jc w:val="left"/>
              <w:rPr>
                <w:sz w:val="4"/>
                <w:szCs w:val="4"/>
              </w:rPr>
            </w:pPr>
            <w:r>
              <w:rPr>
                <w:sz w:val="4"/>
                <w:szCs w:val="4"/>
              </w:rPr>
            </w:r>
          </w:p>
        </w:tc>
        <w:tc>
          <w:tcPr>
            <w:tcW w:w="32" w:type="dxa"/>
            <w:tcBorders>
              <w:top w:val="single" w:sz="8" w:space="0" w:color="FFFFFF"/>
            </w:tcBorders>
            <w:shd w:fill="E5EBEE" w:val="clear"/>
            <w:tcMar>
              <w:top w:w="28" w:type="dxa"/>
            </w:tcMar>
            <w:vAlign w:val="center"/>
          </w:tcPr>
          <w:p>
            <w:pPr>
              <w:pStyle w:val="TableContents"/>
              <w:bidi w:val="0"/>
              <w:spacing w:before="0" w:after="283"/>
              <w:jc w:val="left"/>
              <w:rPr>
                <w:sz w:val="4"/>
                <w:szCs w:val="4"/>
              </w:rPr>
            </w:pPr>
            <w:r>
              <w:rPr>
                <w:sz w:val="4"/>
                <w:szCs w:val="4"/>
              </w:rPr>
            </w:r>
          </w:p>
        </w:tc>
        <w:tc>
          <w:tcPr>
            <w:tcW w:w="86" w:type="dxa"/>
            <w:tcBorders>
              <w:top w:val="single" w:sz="8" w:space="0" w:color="FFFFFF"/>
            </w:tcBorders>
            <w:shd w:fill="E5EBEE" w:val="clear"/>
            <w:tcMar>
              <w:top w:w="28" w:type="dxa"/>
            </w:tcMar>
            <w:vAlign w:val="center"/>
          </w:tcPr>
          <w:p>
            <w:pPr>
              <w:pStyle w:val="TableContents"/>
              <w:bidi w:val="0"/>
              <w:spacing w:lineRule="atLeast" w:line="260" w:before="0" w:after="0"/>
              <w:jc w:val="left"/>
              <w:rPr/>
            </w:pPr>
            <w:r>
              <w:rPr/>
              <w:t> </w:t>
            </w:r>
          </w:p>
        </w:tc>
        <w:tc>
          <w:tcPr>
            <w:tcW w:w="1009" w:type="dxa"/>
            <w:tcBorders>
              <w:top w:val="single" w:sz="8" w:space="0" w:color="FFFFFF"/>
            </w:tcBorders>
            <w:shd w:fill="E5EBEE" w:val="clear"/>
            <w:tcMar>
              <w:top w:w="28" w:type="dxa"/>
            </w:tcMar>
            <w:vAlign w:val="center"/>
          </w:tcPr>
          <w:p>
            <w:pPr>
              <w:pStyle w:val="TableContents"/>
              <w:bidi w:val="0"/>
              <w:spacing w:lineRule="atLeast" w:line="260" w:before="0" w:after="0"/>
              <w:jc w:val="center"/>
              <w:rPr>
                <w:rFonts w:ascii="arial" w:hAnsi="arial"/>
                <w:sz w:val="18"/>
              </w:rPr>
            </w:pPr>
            <w:r>
              <w:rPr>
                <w:rFonts w:ascii="arial" w:hAnsi="arial"/>
                <w:sz w:val="18"/>
              </w:rPr>
              <w:t>140,459</w:t>
            </w:r>
          </w:p>
        </w:tc>
        <w:tc>
          <w:tcPr>
            <w:tcW w:w="53" w:type="dxa"/>
            <w:tcBorders>
              <w:top w:val="single" w:sz="8" w:space="0" w:color="FFFFFF"/>
            </w:tcBorders>
            <w:shd w:fill="E5EBEE" w:val="clear"/>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shd w:fill="E5EBEE" w:val="clear"/>
            <w:tcMar>
              <w:top w:w="28" w:type="dxa"/>
            </w:tcMar>
            <w:vAlign w:val="center"/>
          </w:tcPr>
          <w:p>
            <w:pPr>
              <w:pStyle w:val="TableContents"/>
              <w:bidi w:val="0"/>
              <w:spacing w:before="0" w:after="283"/>
              <w:jc w:val="left"/>
              <w:rPr>
                <w:sz w:val="4"/>
                <w:szCs w:val="4"/>
              </w:rPr>
            </w:pPr>
            <w:r>
              <w:rPr>
                <w:sz w:val="4"/>
                <w:szCs w:val="4"/>
              </w:rPr>
            </w:r>
          </w:p>
        </w:tc>
        <w:tc>
          <w:tcPr>
            <w:tcW w:w="52" w:type="dxa"/>
            <w:tcBorders>
              <w:top w:val="single" w:sz="8" w:space="0" w:color="FFFFFF"/>
            </w:tcBorders>
            <w:shd w:fill="E5EBEE" w:val="clear"/>
            <w:tcMar>
              <w:top w:w="28" w:type="dxa"/>
            </w:tcMar>
            <w:vAlign w:val="center"/>
          </w:tcPr>
          <w:p>
            <w:pPr>
              <w:pStyle w:val="TableContents"/>
              <w:bidi w:val="0"/>
              <w:spacing w:before="0" w:after="283"/>
              <w:jc w:val="left"/>
              <w:rPr>
                <w:sz w:val="4"/>
                <w:szCs w:val="4"/>
              </w:rPr>
            </w:pPr>
            <w:r>
              <w:rPr>
                <w:sz w:val="4"/>
                <w:szCs w:val="4"/>
              </w:rPr>
            </w:r>
          </w:p>
        </w:tc>
        <w:tc>
          <w:tcPr>
            <w:tcW w:w="138" w:type="dxa"/>
            <w:tcBorders>
              <w:top w:val="single" w:sz="8" w:space="0" w:color="FFFFFF"/>
            </w:tcBorders>
            <w:shd w:fill="E5EBEE" w:val="clear"/>
            <w:tcMar>
              <w:top w:w="28" w:type="dxa"/>
            </w:tcMar>
            <w:vAlign w:val="center"/>
          </w:tcPr>
          <w:p>
            <w:pPr>
              <w:pStyle w:val="TableContents"/>
              <w:bidi w:val="0"/>
              <w:spacing w:lineRule="atLeast" w:line="260" w:before="0" w:after="0"/>
              <w:jc w:val="left"/>
              <w:rPr/>
            </w:pPr>
            <w:r>
              <w:rPr/>
              <w:t> </w:t>
            </w:r>
          </w:p>
        </w:tc>
        <w:tc>
          <w:tcPr>
            <w:tcW w:w="600" w:type="dxa"/>
            <w:tcBorders>
              <w:top w:val="single" w:sz="8" w:space="0" w:color="FFFFFF"/>
            </w:tcBorders>
            <w:shd w:fill="E5EBEE" w:val="clear"/>
            <w:tcMar>
              <w:top w:w="28" w:type="dxa"/>
            </w:tcMar>
            <w:vAlign w:val="center"/>
          </w:tcPr>
          <w:p>
            <w:pPr>
              <w:pStyle w:val="TableContents"/>
              <w:bidi w:val="0"/>
              <w:spacing w:lineRule="atLeast" w:line="260" w:before="0" w:after="0"/>
              <w:jc w:val="center"/>
              <w:rPr/>
            </w:pPr>
            <w:r>
              <w:rPr/>
              <w:t>—</w:t>
            </w:r>
          </w:p>
        </w:tc>
        <w:tc>
          <w:tcPr>
            <w:tcW w:w="54" w:type="dxa"/>
            <w:tcBorders>
              <w:top w:val="single" w:sz="8" w:space="0" w:color="FFFFFF"/>
            </w:tcBorders>
            <w:shd w:fill="E5EBEE" w:val="clear"/>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tcBorders>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shd w:fill="E5EBEE" w:val="clear"/>
            <w:tcMar>
              <w:top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shd w:fill="E5EBEE" w:val="clear"/>
            <w:tcMar>
              <w:top w:w="28" w:type="dxa"/>
            </w:tcMar>
            <w:vAlign w:val="center"/>
          </w:tcPr>
          <w:p>
            <w:pPr>
              <w:pStyle w:val="TableContents"/>
              <w:bidi w:val="0"/>
              <w:spacing w:before="0" w:after="283"/>
              <w:jc w:val="left"/>
              <w:rPr>
                <w:sz w:val="4"/>
                <w:szCs w:val="4"/>
              </w:rPr>
            </w:pPr>
            <w:r>
              <w:rPr>
                <w:sz w:val="4"/>
                <w:szCs w:val="4"/>
              </w:rPr>
            </w:r>
          </w:p>
        </w:tc>
        <w:tc>
          <w:tcPr>
            <w:tcW w:w="61" w:type="dxa"/>
            <w:tcBorders>
              <w:top w:val="single" w:sz="8" w:space="0" w:color="FFFFFF"/>
            </w:tcBorders>
            <w:shd w:fill="E5EBEE" w:val="clear"/>
            <w:tcMar>
              <w:top w:w="28" w:type="dxa"/>
            </w:tcMar>
            <w:vAlign w:val="center"/>
          </w:tcPr>
          <w:p>
            <w:pPr>
              <w:pStyle w:val="TableContents"/>
              <w:bidi w:val="0"/>
              <w:spacing w:lineRule="atLeast" w:line="260" w:before="0" w:after="0"/>
              <w:jc w:val="left"/>
              <w:rPr/>
            </w:pPr>
            <w:r>
              <w:rPr/>
              <w:t> </w:t>
            </w:r>
          </w:p>
        </w:tc>
        <w:tc>
          <w:tcPr>
            <w:tcW w:w="1092" w:type="dxa"/>
            <w:tcBorders>
              <w:top w:val="single" w:sz="8" w:space="0" w:color="FFFFFF"/>
            </w:tcBorders>
            <w:shd w:fill="E5EBEE" w:val="clear"/>
            <w:tcMar>
              <w:top w:w="28" w:type="dxa"/>
            </w:tcMar>
            <w:vAlign w:val="center"/>
          </w:tcPr>
          <w:p>
            <w:pPr>
              <w:pStyle w:val="TableContents"/>
              <w:bidi w:val="0"/>
              <w:spacing w:lineRule="atLeast" w:line="260" w:before="0" w:after="0"/>
              <w:jc w:val="center"/>
              <w:rPr>
                <w:rFonts w:ascii="arial" w:hAnsi="arial"/>
                <w:sz w:val="18"/>
              </w:rPr>
            </w:pPr>
            <w:r>
              <w:rPr>
                <w:rFonts w:ascii="arial" w:hAnsi="arial"/>
                <w:sz w:val="18"/>
              </w:rPr>
              <w:t>$12,600,064</w:t>
            </w:r>
          </w:p>
        </w:tc>
        <w:tc>
          <w:tcPr>
            <w:tcW w:w="48" w:type="dxa"/>
            <w:tcBorders>
              <w:top w:val="single" w:sz="8" w:space="0" w:color="FFFFFF"/>
            </w:tcBorders>
            <w:shd w:fill="E5EBEE" w:val="clear"/>
            <w:tcMar>
              <w:top w:w="28" w:type="dxa"/>
            </w:tcMar>
            <w:vAlign w:val="center"/>
          </w:tcPr>
          <w:p>
            <w:pPr>
              <w:pStyle w:val="TableContents"/>
              <w:bidi w:val="0"/>
              <w:spacing w:before="0" w:after="283"/>
              <w:jc w:val="left"/>
              <w:rPr>
                <w:sz w:val="4"/>
                <w:szCs w:val="4"/>
              </w:rPr>
            </w:pPr>
            <w:r>
              <w:rPr>
                <w:sz w:val="4"/>
                <w:szCs w:val="4"/>
              </w:rPr>
            </w:r>
          </w:p>
        </w:tc>
      </w:tr>
      <w:tr>
        <w:trPr/>
        <w:tc>
          <w:tcPr>
            <w:tcW w:w="1393" w:type="dxa"/>
            <w:vMerge w:val="continue"/>
            <w:tcBorders>
              <w:top w:val="single" w:sz="8" w:space="0" w:color="FFFFFF"/>
              <w:bottom w:val="single" w:sz="8" w:space="0" w:color="003A5D"/>
            </w:tcBorders>
            <w:tcMar>
              <w:top w:w="28" w:type="dxa"/>
              <w:bottom w:w="28"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lineRule="atLeast" w:line="200" w:before="0" w:after="0"/>
              <w:jc w:val="left"/>
              <w:rPr>
                <w:rFonts w:ascii="arial" w:hAnsi="arial"/>
                <w:sz w:val="18"/>
              </w:rPr>
            </w:pPr>
            <w:r>
              <w:rPr>
                <w:rFonts w:ascii="arial" w:hAnsi="arial"/>
                <w:sz w:val="18"/>
              </w:rPr>
              <w:t>TSR Performance Shares(3)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lineRule="atLeast" w:line="260" w:before="0" w:after="0"/>
              <w:jc w:val="center"/>
              <w:rPr/>
            </w:pPr>
            <w:r>
              <w:rPr/>
              <w:t> </w:t>
            </w:r>
            <w:r>
              <w:rPr>
                <w:rFonts w:ascii="arial" w:hAnsi="arial"/>
                <w:sz w:val="18"/>
              </w:rPr>
              <w:t>2/1/2024 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lineRule="atLeast" w:line="260" w:before="0" w:after="0"/>
              <w:jc w:val="center"/>
              <w:rPr>
                <w:rFonts w:ascii="arial" w:hAnsi="arial"/>
                <w:sz w:val="18"/>
              </w:rPr>
            </w:pPr>
            <w:r>
              <w:rPr>
                <w:rFonts w:ascii="arial" w:hAnsi="arial"/>
                <w:sz w:val="18"/>
              </w:rPr>
              <w:t>0</w:t>
            </w:r>
          </w:p>
        </w:tc>
        <w:tc>
          <w:tcPr>
            <w:tcW w:w="32" w:type="dxa"/>
            <w:tcBorders/>
            <w:vAlign w:val="center"/>
          </w:tcPr>
          <w:p>
            <w:pPr>
              <w:pStyle w:val="TableContents"/>
              <w:bidi w:val="0"/>
              <w:spacing w:before="0" w:after="283"/>
              <w:jc w:val="left"/>
              <w:rPr>
                <w:sz w:val="4"/>
                <w:szCs w:val="4"/>
              </w:rPr>
            </w:pPr>
            <w:r>
              <w:rPr>
                <w:sz w:val="4"/>
                <w:szCs w:val="4"/>
              </w:rPr>
            </w:r>
          </w:p>
        </w:tc>
        <w:tc>
          <w:tcPr>
            <w:tcW w:w="128" w:type="dxa"/>
            <w:gridSpan w:val="4"/>
            <w:tcBorders/>
            <w:vAlign w:val="center"/>
          </w:tcPr>
          <w:p>
            <w:pPr>
              <w:pStyle w:val="TableContents"/>
              <w:bidi w:val="0"/>
              <w:spacing w:before="0" w:after="283"/>
              <w:jc w:val="lef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1006" w:type="dxa"/>
            <w:gridSpan w:val="4"/>
            <w:tcBorders/>
            <w:vAlign w:val="center"/>
          </w:tcPr>
          <w:p>
            <w:pPr>
              <w:pStyle w:val="TableContents"/>
              <w:bidi w:val="0"/>
              <w:spacing w:lineRule="atLeast" w:line="260" w:before="0" w:after="0"/>
              <w:jc w:val="center"/>
              <w:rPr>
                <w:rFonts w:ascii="arial" w:hAnsi="arial"/>
                <w:sz w:val="18"/>
              </w:rPr>
            </w:pPr>
            <w:r>
              <w:rPr>
                <w:rFonts w:ascii="arial" w:hAnsi="arial"/>
                <w:sz w:val="18"/>
              </w:rPr>
              <w:t>31,213</w:t>
            </w:r>
          </w:p>
        </w:tc>
        <w:tc>
          <w:tcPr>
            <w:tcW w:w="32" w:type="dxa"/>
            <w:tcBorders/>
            <w:vAlign w:val="center"/>
          </w:tcPr>
          <w:p>
            <w:pPr>
              <w:pStyle w:val="TableContents"/>
              <w:bidi w:val="0"/>
              <w:spacing w:before="0" w:after="283"/>
              <w:jc w:val="left"/>
              <w:rPr>
                <w:sz w:val="4"/>
                <w:szCs w:val="4"/>
              </w:rPr>
            </w:pPr>
            <w:r>
              <w:rPr>
                <w:sz w:val="4"/>
                <w:szCs w:val="4"/>
              </w:rPr>
            </w:r>
          </w:p>
        </w:tc>
        <w:tc>
          <w:tcPr>
            <w:tcW w:w="128" w:type="dxa"/>
            <w:gridSpan w:val="4"/>
            <w:tcBorders/>
            <w:vAlign w:val="center"/>
          </w:tcPr>
          <w:p>
            <w:pPr>
              <w:pStyle w:val="TableContents"/>
              <w:bidi w:val="0"/>
              <w:spacing w:before="0" w:after="283"/>
              <w:jc w:val="lef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lineRule="atLeast" w:line="260" w:before="0" w:after="0"/>
              <w:jc w:val="center"/>
              <w:rPr>
                <w:rFonts w:ascii="arial" w:hAnsi="arial"/>
                <w:sz w:val="18"/>
              </w:rPr>
            </w:pPr>
            <w:r>
              <w:rPr>
                <w:rFonts w:ascii="arial" w:hAnsi="arial"/>
                <w:sz w:val="18"/>
              </w:rPr>
              <w:t>46,820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lineRule="atLeast" w:line="260" w:before="0" w:after="0"/>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lineRule="atLeast" w:line="260" w:before="0" w:after="0"/>
              <w:jc w:val="center"/>
              <w:rPr>
                <w:rFonts w:ascii="arial" w:hAnsi="arial"/>
                <w:sz w:val="18"/>
              </w:rPr>
            </w:pPr>
            <w:r>
              <w:rPr>
                <w:rFonts w:ascii="arial" w:hAnsi="arial"/>
                <w:sz w:val="18"/>
              </w:rPr>
              <w:t>$4,443,171</w:t>
            </w:r>
          </w:p>
        </w:tc>
      </w:tr>
      <w:tr>
        <w:trPr/>
        <w:tc>
          <w:tcPr>
            <w:tcW w:w="1393" w:type="dxa"/>
            <w:vMerge w:val="continue"/>
            <w:tcBorders>
              <w:top w:val="single" w:sz="8" w:space="0" w:color="FFFFFF"/>
              <w:bottom w:val="single" w:sz="8" w:space="0" w:color="003A5D"/>
            </w:tcBorders>
            <w:tcMar>
              <w:top w:w="28" w:type="dxa"/>
              <w:bottom w:w="28"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030" w:type="dxa"/>
            <w:tcBorders/>
            <w:shd w:fill="E5EBEE" w:val="clear"/>
            <w:vAlign w:val="center"/>
          </w:tcPr>
          <w:p>
            <w:pPr>
              <w:pStyle w:val="TableContents"/>
              <w:bidi w:val="0"/>
              <w:spacing w:lineRule="atLeast" w:line="200" w:before="0" w:after="0"/>
              <w:jc w:val="left"/>
              <w:rPr>
                <w:rFonts w:ascii="arial" w:hAnsi="arial"/>
                <w:sz w:val="18"/>
              </w:rPr>
            </w:pPr>
            <w:r>
              <w:rPr>
                <w:rFonts w:ascii="arial" w:hAnsi="arial"/>
                <w:sz w:val="18"/>
              </w:rPr>
              <w:t>Cash-Settled RSUs(4)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739" w:type="dxa"/>
            <w:gridSpan w:val="4"/>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2/1/2024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875" w:type="dxa"/>
            <w:gridSpan w:val="4"/>
            <w:tcBorders/>
            <w:shd w:fill="E5EBEE" w:val="clear"/>
            <w:vAlign w:val="center"/>
          </w:tcPr>
          <w:p>
            <w:pPr>
              <w:pStyle w:val="TableContents"/>
              <w:bidi w:val="0"/>
              <w:spacing w:lineRule="atLeast" w:line="260" w:before="0" w:after="0"/>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8" w:type="dxa"/>
            <w:gridSpan w:val="4"/>
            <w:tcBorders/>
            <w:vAlign w:val="center"/>
          </w:tcPr>
          <w:p>
            <w:pPr>
              <w:pStyle w:val="TableContents"/>
              <w:bidi w:val="0"/>
              <w:spacing w:before="0" w:after="283"/>
              <w:jc w:val="left"/>
              <w:rPr/>
            </w:pPr>
            <w:r>
              <w:rPr/>
              <w:t> </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1006" w:type="dxa"/>
            <w:gridSpan w:val="4"/>
            <w:tcBorders/>
            <w:shd w:fill="E5EBEE" w:val="clear"/>
            <w:vAlign w:val="center"/>
          </w:tcPr>
          <w:p>
            <w:pPr>
              <w:pStyle w:val="TableContents"/>
              <w:bidi w:val="0"/>
              <w:spacing w:lineRule="atLeast" w:line="260" w:before="0" w:after="0"/>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8" w:type="dxa"/>
            <w:gridSpan w:val="4"/>
            <w:tcBorders/>
            <w:vAlign w:val="center"/>
          </w:tcPr>
          <w:p>
            <w:pPr>
              <w:pStyle w:val="TableContents"/>
              <w:bidi w:val="0"/>
              <w:spacing w:before="0" w:after="283"/>
              <w:jc w:val="left"/>
              <w:rPr/>
            </w:pPr>
            <w:r>
              <w:rPr/>
              <w:t> </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1180" w:type="dxa"/>
            <w:gridSpan w:val="4"/>
            <w:tcBorders/>
            <w:shd w:fill="E5EBEE" w:val="clear"/>
            <w:vAlign w:val="center"/>
          </w:tcPr>
          <w:p>
            <w:pPr>
              <w:pStyle w:val="TableContents"/>
              <w:bidi w:val="0"/>
              <w:spacing w:lineRule="atLeast" w:line="260" w:before="0" w:after="0"/>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844" w:type="dxa"/>
            <w:gridSpan w:val="4"/>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34,929</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1224" w:type="dxa"/>
            <w:gridSpan w:val="4"/>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$4,700,046</w:t>
            </w:r>
          </w:p>
        </w:tc>
      </w:tr>
      <w:tr>
        <w:trPr/>
        <w:tc>
          <w:tcPr>
            <w:tcW w:w="1393" w:type="dxa"/>
            <w:vMerge w:val="continue"/>
            <w:tcBorders>
              <w:top w:val="single" w:sz="8" w:space="0" w:color="FFFFFF"/>
              <w:bottom w:val="single" w:sz="8" w:space="0" w:color="003A5D"/>
            </w:tcBorders>
            <w:tcMar>
              <w:top w:w="28" w:type="dxa"/>
              <w:bottom w:w="28" w:type="dxa"/>
            </w:tcMar>
            <w:vAlign w:val="center"/>
          </w:tcPr>
          <w:p>
            <w:pPr>
              <w:pStyle w:val="Normal"/>
              <w:bidi w:val="0"/>
              <w:jc w:val="left"/>
              <w:rPr/>
            </w:pPr>
            <w:r>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030" w:type="dxa"/>
            <w:tcBorders>
              <w:bottom w:val="single" w:sz="8" w:space="0" w:color="003A5D"/>
            </w:tcBorders>
            <w:tcMar>
              <w:bottom w:w="28" w:type="dxa"/>
            </w:tcMar>
            <w:vAlign w:val="center"/>
          </w:tcPr>
          <w:p>
            <w:pPr>
              <w:pStyle w:val="TableContents"/>
              <w:bidi w:val="0"/>
              <w:spacing w:lineRule="atLeast" w:line="200" w:before="0" w:after="0"/>
              <w:jc w:val="left"/>
              <w:rPr>
                <w:rFonts w:ascii="arial" w:hAnsi="arial"/>
                <w:sz w:val="18"/>
              </w:rPr>
            </w:pPr>
            <w:r>
              <w:rPr>
                <w:rFonts w:ascii="arial" w:hAnsi="arial"/>
                <w:sz w:val="18"/>
              </w:rPr>
              <w:t>Cash-Settled RSUs(5)</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739" w:type="dxa"/>
            <w:gridSpan w:val="4"/>
            <w:tcBorders>
              <w:bottom w:val="single" w:sz="8"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2/1/2024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75" w:type="dxa"/>
            <w:gridSpan w:val="4"/>
            <w:tcBorders>
              <w:bottom w:val="single" w:sz="8" w:space="0" w:color="003A5D"/>
            </w:tcBorders>
            <w:tcMar>
              <w:bottom w:w="28" w:type="dxa"/>
            </w:tcMar>
            <w:vAlign w:val="center"/>
          </w:tcPr>
          <w:p>
            <w:pPr>
              <w:pStyle w:val="TableContents"/>
              <w:bidi w:val="0"/>
              <w:spacing w:lineRule="atLeast" w:line="260" w:before="0" w:after="0"/>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8" w:type="dxa"/>
            <w:gridSpan w:val="4"/>
            <w:tcBorders/>
            <w:vAlign w:val="center"/>
          </w:tcPr>
          <w:p>
            <w:pPr>
              <w:pStyle w:val="TableContents"/>
              <w:bidi w:val="0"/>
              <w:spacing w:before="0" w:after="283"/>
              <w:jc w:val="left"/>
              <w:rPr/>
            </w:pPr>
            <w:r>
              <w:rPr/>
              <w:t> </w:t>
            </w:r>
          </w:p>
        </w:tc>
        <w:tc>
          <w:tcPr>
            <w:tcW w:w="32"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06" w:type="dxa"/>
            <w:gridSpan w:val="4"/>
            <w:tcBorders>
              <w:bottom w:val="single" w:sz="8" w:space="0" w:color="003A5D"/>
            </w:tcBorders>
            <w:tcMar>
              <w:bottom w:w="28" w:type="dxa"/>
            </w:tcMar>
            <w:vAlign w:val="center"/>
          </w:tcPr>
          <w:p>
            <w:pPr>
              <w:pStyle w:val="TableContents"/>
              <w:bidi w:val="0"/>
              <w:spacing w:lineRule="atLeast" w:line="260" w:before="0" w:after="0"/>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8" w:type="dxa"/>
            <w:gridSpan w:val="4"/>
            <w:tcBorders/>
            <w:vAlign w:val="center"/>
          </w:tcPr>
          <w:p>
            <w:pPr>
              <w:pStyle w:val="TableContents"/>
              <w:bidi w:val="0"/>
              <w:spacing w:before="0" w:after="283"/>
              <w:jc w:val="left"/>
              <w:rPr/>
            </w:pPr>
            <w:r>
              <w:rPr/>
              <w:t> </w:t>
            </w:r>
          </w:p>
        </w:tc>
        <w:tc>
          <w:tcPr>
            <w:tcW w:w="32"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80" w:type="dxa"/>
            <w:gridSpan w:val="4"/>
            <w:tcBorders>
              <w:bottom w:val="single" w:sz="8" w:space="0" w:color="003A5D"/>
            </w:tcBorders>
            <w:tcMar>
              <w:bottom w:w="28" w:type="dxa"/>
            </w:tcMar>
            <w:vAlign w:val="center"/>
          </w:tcPr>
          <w:p>
            <w:pPr>
              <w:pStyle w:val="TableContents"/>
              <w:bidi w:val="0"/>
              <w:spacing w:lineRule="atLeast" w:line="260" w:before="0" w:after="0"/>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44" w:type="dxa"/>
            <w:gridSpan w:val="4"/>
            <w:tcBorders>
              <w:bottom w:val="single" w:sz="8"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18,580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224" w:type="dxa"/>
            <w:gridSpan w:val="4"/>
            <w:tcBorders>
              <w:bottom w:val="single" w:sz="8"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$2,500,125</w:t>
            </w:r>
          </w:p>
        </w:tc>
      </w:tr>
      <w:tr>
        <w:trPr/>
        <w:tc>
          <w:tcPr>
            <w:tcW w:w="1393"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053" w:type="dxa"/>
            <w:gridSpan w:val="2"/>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62"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98" w:type="dxa"/>
            <w:gridSpan w:val="5"/>
            <w:tcBorders/>
            <w:shd w:fill="E5EBEE" w:val="clear"/>
            <w:vAlign w:val="center"/>
          </w:tcPr>
          <w:p>
            <w:pPr>
              <w:pStyle w:val="TableContents"/>
              <w:bidi w:val="0"/>
              <w:spacing w:before="0" w:after="283"/>
              <w:jc w:val="left"/>
              <w:rPr>
                <w:sz w:val="4"/>
                <w:szCs w:val="4"/>
              </w:rPr>
            </w:pPr>
            <w:r>
              <w:rPr>
                <w:sz w:val="4"/>
                <w:szCs w:val="4"/>
              </w:rPr>
            </w:r>
          </w:p>
        </w:tc>
        <w:tc>
          <w:tcPr>
            <w:tcW w:w="160" w:type="dxa"/>
            <w:gridSpan w:val="5"/>
            <w:tcBorders/>
            <w:vAlign w:val="center"/>
          </w:tcPr>
          <w:p>
            <w:pPr>
              <w:pStyle w:val="TableContents"/>
              <w:bidi w:val="0"/>
              <w:spacing w:before="0" w:after="283"/>
              <w:jc w:val="left"/>
              <w:rPr>
                <w:sz w:val="4"/>
                <w:szCs w:val="4"/>
              </w:rPr>
            </w:pPr>
            <w:r>
              <w:rPr>
                <w:sz w:val="4"/>
                <w:szCs w:val="4"/>
              </w:rPr>
            </w:r>
          </w:p>
        </w:tc>
        <w:tc>
          <w:tcPr>
            <w:tcW w:w="1038" w:type="dxa"/>
            <w:gridSpan w:val="5"/>
            <w:tcBorders/>
            <w:shd w:fill="E5EBEE" w:val="clear"/>
            <w:vAlign w:val="center"/>
          </w:tcPr>
          <w:p>
            <w:pPr>
              <w:pStyle w:val="TableContents"/>
              <w:bidi w:val="0"/>
              <w:spacing w:before="0" w:after="283"/>
              <w:jc w:val="left"/>
              <w:rPr>
                <w:sz w:val="4"/>
                <w:szCs w:val="4"/>
              </w:rPr>
            </w:pPr>
            <w:r>
              <w:rPr>
                <w:sz w:val="4"/>
                <w:szCs w:val="4"/>
              </w:rPr>
            </w:r>
          </w:p>
        </w:tc>
        <w:tc>
          <w:tcPr>
            <w:tcW w:w="160" w:type="dxa"/>
            <w:gridSpan w:val="5"/>
            <w:tcBorders/>
            <w:vAlign w:val="center"/>
          </w:tcPr>
          <w:p>
            <w:pPr>
              <w:pStyle w:val="TableContents"/>
              <w:bidi w:val="0"/>
              <w:spacing w:before="0" w:after="283"/>
              <w:jc w:val="left"/>
              <w:rPr>
                <w:sz w:val="4"/>
                <w:szCs w:val="4"/>
              </w:rPr>
            </w:pPr>
            <w:r>
              <w:rPr>
                <w:sz w:val="4"/>
                <w:szCs w:val="4"/>
              </w:rPr>
            </w:r>
          </w:p>
        </w:tc>
        <w:tc>
          <w:tcPr>
            <w:tcW w:w="1212"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67"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247" w:type="dxa"/>
            <w:gridSpan w:val="5"/>
            <w:tcBorders/>
            <w:shd w:fill="E5EBEE" w:val="clear"/>
            <w:vAlign w:val="center"/>
          </w:tcPr>
          <w:p>
            <w:pPr>
              <w:pStyle w:val="TableContents"/>
              <w:bidi w:val="0"/>
              <w:spacing w:before="0" w:after="283"/>
              <w:jc w:val="left"/>
              <w:rPr>
                <w:sz w:val="4"/>
                <w:szCs w:val="4"/>
              </w:rPr>
            </w:pPr>
            <w:r>
              <w:rPr>
                <w:sz w:val="4"/>
                <w:szCs w:val="4"/>
              </w:rPr>
            </w:r>
          </w:p>
        </w:tc>
      </w:tr>
      <w:tr>
        <w:trPr/>
        <w:tc>
          <w:tcPr>
            <w:tcW w:w="1393" w:type="dxa"/>
            <w:vMerge w:val="restart"/>
            <w:tcBorders>
              <w:bottom w:val="single" w:sz="8" w:space="0" w:color="003A5D"/>
            </w:tcBorders>
            <w:tcMar>
              <w:bottom w:w="28" w:type="dxa"/>
            </w:tcMar>
            <w:vAlign w:val="center"/>
          </w:tcPr>
          <w:p>
            <w:pPr>
              <w:pStyle w:val="TableContents"/>
              <w:bidi w:val="0"/>
              <w:spacing w:lineRule="atLeast" w:line="260" w:before="0" w:after="0"/>
              <w:jc w:val="left"/>
              <w:rPr>
                <w:rFonts w:ascii="arial" w:hAnsi="arial"/>
                <w:sz w:val="18"/>
              </w:rPr>
            </w:pPr>
            <w:r>
              <w:rPr>
                <w:rFonts w:ascii="arial" w:hAnsi="arial"/>
                <w:sz w:val="18"/>
              </w:rPr>
              <w:t>Andrew M. Young</w:t>
            </w:r>
          </w:p>
        </w:tc>
        <w:tc>
          <w:tcPr>
            <w:tcW w:w="23" w:type="dxa"/>
            <w:vMerge w:val="restart"/>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030" w:type="dxa"/>
            <w:tcBorders/>
            <w:shd w:fill="E5EBEE" w:val="clear"/>
            <w:vAlign w:val="center"/>
          </w:tcPr>
          <w:p>
            <w:pPr>
              <w:pStyle w:val="TableContents"/>
              <w:bidi w:val="0"/>
              <w:spacing w:lineRule="atLeast" w:line="200" w:before="0" w:after="0"/>
              <w:jc w:val="left"/>
              <w:rPr>
                <w:rFonts w:ascii="arial" w:hAnsi="arial"/>
                <w:sz w:val="18"/>
              </w:rPr>
            </w:pPr>
            <w:r>
              <w:rPr>
                <w:rFonts w:ascii="arial" w:hAnsi="arial"/>
                <w:sz w:val="18"/>
              </w:rPr>
              <w:t>Financial Performance Shares(2)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1" w:type="dxa"/>
            <w:tcBorders/>
            <w:shd w:fill="E5EBEE" w:val="clear"/>
            <w:vAlign w:val="center"/>
          </w:tcPr>
          <w:p>
            <w:pPr>
              <w:pStyle w:val="TableContents"/>
              <w:bidi w:val="0"/>
              <w:spacing w:lineRule="atLeast" w:line="260" w:before="0" w:after="0"/>
              <w:jc w:val="left"/>
              <w:rPr/>
            </w:pPr>
            <w:r>
              <w:rPr/>
              <w:t> </w:t>
            </w:r>
          </w:p>
        </w:tc>
        <w:tc>
          <w:tcPr>
            <w:tcW w:w="632"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2/1/2024</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85" w:type="dxa"/>
            <w:tcBorders/>
            <w:shd w:fill="E5EBEE" w:val="clear"/>
            <w:vAlign w:val="center"/>
          </w:tcPr>
          <w:p>
            <w:pPr>
              <w:pStyle w:val="TableContents"/>
              <w:bidi w:val="0"/>
              <w:spacing w:before="0" w:after="283"/>
              <w:jc w:val="left"/>
              <w:rPr>
                <w:sz w:val="4"/>
                <w:szCs w:val="4"/>
              </w:rPr>
            </w:pPr>
            <w:r>
              <w:rPr>
                <w:sz w:val="4"/>
                <w:szCs w:val="4"/>
              </w:rPr>
            </w:r>
          </w:p>
        </w:tc>
        <w:tc>
          <w:tcPr>
            <w:tcW w:w="226" w:type="dxa"/>
            <w:tcBorders/>
            <w:shd w:fill="E5EBEE" w:val="clear"/>
            <w:vAlign w:val="center"/>
          </w:tcPr>
          <w:p>
            <w:pPr>
              <w:pStyle w:val="TableContents"/>
              <w:bidi w:val="0"/>
              <w:spacing w:lineRule="atLeast" w:line="260" w:before="0" w:after="0"/>
              <w:jc w:val="left"/>
              <w:rPr/>
            </w:pPr>
            <w:r>
              <w:rPr/>
              <w:t> </w:t>
            </w:r>
          </w:p>
        </w:tc>
        <w:tc>
          <w:tcPr>
            <w:tcW w:w="477"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0</w:t>
            </w:r>
          </w:p>
        </w:tc>
        <w:tc>
          <w:tcPr>
            <w:tcW w:w="87" w:type="dxa"/>
            <w:tcBorders/>
            <w:shd w:fill="E5EBEE" w:val="clear"/>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86" w:type="dxa"/>
            <w:tcBorders/>
            <w:shd w:fill="E5EBEE" w:val="clear"/>
            <w:vAlign w:val="center"/>
          </w:tcPr>
          <w:p>
            <w:pPr>
              <w:pStyle w:val="TableContents"/>
              <w:bidi w:val="0"/>
              <w:spacing w:lineRule="atLeast" w:line="260" w:before="0" w:after="0"/>
              <w:jc w:val="left"/>
              <w:rPr/>
            </w:pPr>
            <w:r>
              <w:rPr/>
              <w:t> </w:t>
            </w:r>
          </w:p>
        </w:tc>
        <w:tc>
          <w:tcPr>
            <w:tcW w:w="856"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11,083</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86" w:type="dxa"/>
            <w:tcBorders/>
            <w:shd w:fill="E5EBEE" w:val="clear"/>
            <w:vAlign w:val="center"/>
          </w:tcPr>
          <w:p>
            <w:pPr>
              <w:pStyle w:val="TableContents"/>
              <w:bidi w:val="0"/>
              <w:spacing w:lineRule="atLeast" w:line="260" w:before="0" w:after="0"/>
              <w:jc w:val="left"/>
              <w:rPr/>
            </w:pPr>
            <w:r>
              <w:rPr/>
              <w:t> </w:t>
            </w:r>
          </w:p>
        </w:tc>
        <w:tc>
          <w:tcPr>
            <w:tcW w:w="1009"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16,625</w:t>
            </w:r>
          </w:p>
        </w:tc>
        <w:tc>
          <w:tcPr>
            <w:tcW w:w="5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52" w:type="dxa"/>
            <w:tcBorders/>
            <w:shd w:fill="E5EBEE" w:val="clear"/>
            <w:vAlign w:val="center"/>
          </w:tcPr>
          <w:p>
            <w:pPr>
              <w:pStyle w:val="TableContents"/>
              <w:bidi w:val="0"/>
              <w:spacing w:before="0" w:after="283"/>
              <w:jc w:val="left"/>
              <w:rPr>
                <w:sz w:val="4"/>
                <w:szCs w:val="4"/>
              </w:rPr>
            </w:pPr>
            <w:r>
              <w:rPr>
                <w:sz w:val="4"/>
                <w:szCs w:val="4"/>
              </w:rPr>
            </w:r>
          </w:p>
        </w:tc>
        <w:tc>
          <w:tcPr>
            <w:tcW w:w="138" w:type="dxa"/>
            <w:tcBorders/>
            <w:shd w:fill="E5EBEE" w:val="clear"/>
            <w:vAlign w:val="center"/>
          </w:tcPr>
          <w:p>
            <w:pPr>
              <w:pStyle w:val="TableContents"/>
              <w:bidi w:val="0"/>
              <w:spacing w:lineRule="atLeast" w:line="260" w:before="0" w:after="0"/>
              <w:jc w:val="left"/>
              <w:rPr/>
            </w:pPr>
            <w:r>
              <w:rPr/>
              <w:t> </w:t>
            </w:r>
          </w:p>
        </w:tc>
        <w:tc>
          <w:tcPr>
            <w:tcW w:w="600" w:type="dxa"/>
            <w:tcBorders/>
            <w:shd w:fill="E5EBEE" w:val="clear"/>
            <w:vAlign w:val="center"/>
          </w:tcPr>
          <w:p>
            <w:pPr>
              <w:pStyle w:val="TableContents"/>
              <w:bidi w:val="0"/>
              <w:spacing w:lineRule="atLeast" w:line="260" w:before="0" w:after="0"/>
              <w:jc w:val="center"/>
              <w:rPr/>
            </w:pPr>
            <w:r>
              <w:rPr/>
              <w:t>—</w:t>
            </w:r>
          </w:p>
        </w:tc>
        <w:tc>
          <w:tcPr>
            <w:tcW w:w="54"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1" w:type="dxa"/>
            <w:tcBorders/>
            <w:shd w:fill="E5EBEE" w:val="clear"/>
            <w:vAlign w:val="center"/>
          </w:tcPr>
          <w:p>
            <w:pPr>
              <w:pStyle w:val="TableContents"/>
              <w:bidi w:val="0"/>
              <w:spacing w:lineRule="atLeast" w:line="260" w:before="0" w:after="0"/>
              <w:jc w:val="left"/>
              <w:rPr/>
            </w:pPr>
            <w:r>
              <w:rPr/>
              <w:t> </w:t>
            </w:r>
          </w:p>
        </w:tc>
        <w:tc>
          <w:tcPr>
            <w:tcW w:w="1092"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$1,491,328</w:t>
            </w:r>
          </w:p>
        </w:tc>
        <w:tc>
          <w:tcPr>
            <w:tcW w:w="48" w:type="dxa"/>
            <w:tcBorders/>
            <w:shd w:fill="E5EBEE" w:val="clear"/>
            <w:vAlign w:val="center"/>
          </w:tcPr>
          <w:p>
            <w:pPr>
              <w:pStyle w:val="TableContents"/>
              <w:bidi w:val="0"/>
              <w:spacing w:before="0" w:after="283"/>
              <w:jc w:val="left"/>
              <w:rPr>
                <w:sz w:val="4"/>
                <w:szCs w:val="4"/>
              </w:rPr>
            </w:pPr>
            <w:r>
              <w:rPr>
                <w:sz w:val="4"/>
                <w:szCs w:val="4"/>
              </w:rPr>
            </w:r>
          </w:p>
        </w:tc>
      </w:tr>
      <w:tr>
        <w:trPr/>
        <w:tc>
          <w:tcPr>
            <w:tcW w:w="1393" w:type="dxa"/>
            <w:vMerge w:val="continue"/>
            <w:tcBorders>
              <w:bottom w:val="single" w:sz="8" w:space="0" w:color="003A5D"/>
            </w:tcBorders>
            <w:tcMar>
              <w:bottom w:w="28" w:type="dxa"/>
            </w:tcMar>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030" w:type="dxa"/>
            <w:tcBorders>
              <w:bottom w:val="single" w:sz="8" w:space="0" w:color="003A5D"/>
            </w:tcBorders>
            <w:tcMar>
              <w:bottom w:w="28" w:type="dxa"/>
            </w:tcMar>
            <w:vAlign w:val="center"/>
          </w:tcPr>
          <w:p>
            <w:pPr>
              <w:pStyle w:val="TableContents"/>
              <w:bidi w:val="0"/>
              <w:spacing w:lineRule="atLeast" w:line="260" w:before="0" w:after="0"/>
              <w:jc w:val="left"/>
              <w:rPr>
                <w:rFonts w:ascii="arial" w:hAnsi="arial"/>
                <w:sz w:val="18"/>
              </w:rPr>
            </w:pPr>
            <w:r>
              <w:rPr>
                <w:rFonts w:ascii="arial" w:hAnsi="arial"/>
                <w:sz w:val="18"/>
              </w:rPr>
              <w:t>Stock-Settled RSUs</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739" w:type="dxa"/>
            <w:gridSpan w:val="4"/>
            <w:tcBorders>
              <w:bottom w:val="single" w:sz="8"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2/1/2024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75" w:type="dxa"/>
            <w:gridSpan w:val="4"/>
            <w:tcBorders>
              <w:bottom w:val="single" w:sz="8" w:space="0" w:color="003A5D"/>
            </w:tcBorders>
            <w:tcMar>
              <w:bottom w:w="28" w:type="dxa"/>
            </w:tcMar>
            <w:vAlign w:val="center"/>
          </w:tcPr>
          <w:p>
            <w:pPr>
              <w:pStyle w:val="TableContents"/>
              <w:bidi w:val="0"/>
              <w:spacing w:lineRule="atLeast" w:line="260" w:before="0" w:after="0"/>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8" w:type="dxa"/>
            <w:gridSpan w:val="4"/>
            <w:tcBorders/>
            <w:vAlign w:val="center"/>
          </w:tcPr>
          <w:p>
            <w:pPr>
              <w:pStyle w:val="TableContents"/>
              <w:bidi w:val="0"/>
              <w:spacing w:before="0" w:after="283"/>
              <w:jc w:val="left"/>
              <w:rPr/>
            </w:pPr>
            <w:r>
              <w:rPr/>
              <w:t> </w:t>
            </w:r>
          </w:p>
        </w:tc>
        <w:tc>
          <w:tcPr>
            <w:tcW w:w="32"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06" w:type="dxa"/>
            <w:gridSpan w:val="4"/>
            <w:tcBorders>
              <w:bottom w:val="single" w:sz="8" w:space="0" w:color="003A5D"/>
            </w:tcBorders>
            <w:tcMar>
              <w:bottom w:w="28" w:type="dxa"/>
            </w:tcMar>
            <w:vAlign w:val="center"/>
          </w:tcPr>
          <w:p>
            <w:pPr>
              <w:pStyle w:val="TableContents"/>
              <w:bidi w:val="0"/>
              <w:spacing w:lineRule="atLeast" w:line="260" w:before="0" w:after="0"/>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8" w:type="dxa"/>
            <w:gridSpan w:val="4"/>
            <w:tcBorders/>
            <w:vAlign w:val="center"/>
          </w:tcPr>
          <w:p>
            <w:pPr>
              <w:pStyle w:val="TableContents"/>
              <w:bidi w:val="0"/>
              <w:spacing w:before="0" w:after="283"/>
              <w:jc w:val="left"/>
              <w:rPr/>
            </w:pPr>
            <w:r>
              <w:rPr/>
              <w:t> </w:t>
            </w:r>
          </w:p>
        </w:tc>
        <w:tc>
          <w:tcPr>
            <w:tcW w:w="32"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80" w:type="dxa"/>
            <w:gridSpan w:val="4"/>
            <w:tcBorders>
              <w:bottom w:val="single" w:sz="8" w:space="0" w:color="003A5D"/>
            </w:tcBorders>
            <w:tcMar>
              <w:bottom w:w="28" w:type="dxa"/>
            </w:tcMar>
            <w:vAlign w:val="center"/>
          </w:tcPr>
          <w:p>
            <w:pPr>
              <w:pStyle w:val="TableContents"/>
              <w:bidi w:val="0"/>
              <w:spacing w:lineRule="atLeast" w:line="260" w:before="0" w:after="0"/>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44" w:type="dxa"/>
            <w:gridSpan w:val="4"/>
            <w:tcBorders>
              <w:bottom w:val="single" w:sz="8"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9,236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224" w:type="dxa"/>
            <w:gridSpan w:val="4"/>
            <w:tcBorders>
              <w:bottom w:val="single" w:sz="8"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$1,242,796</w:t>
            </w:r>
          </w:p>
        </w:tc>
      </w:tr>
      <w:tr>
        <w:trPr/>
        <w:tc>
          <w:tcPr>
            <w:tcW w:w="1393"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053" w:type="dxa"/>
            <w:gridSpan w:val="2"/>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62"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98" w:type="dxa"/>
            <w:gridSpan w:val="5"/>
            <w:tcBorders/>
            <w:shd w:fill="E5EBEE" w:val="clear"/>
            <w:vAlign w:val="center"/>
          </w:tcPr>
          <w:p>
            <w:pPr>
              <w:pStyle w:val="TableContents"/>
              <w:bidi w:val="0"/>
              <w:spacing w:before="0" w:after="283"/>
              <w:jc w:val="left"/>
              <w:rPr>
                <w:sz w:val="4"/>
                <w:szCs w:val="4"/>
              </w:rPr>
            </w:pPr>
            <w:r>
              <w:rPr>
                <w:sz w:val="4"/>
                <w:szCs w:val="4"/>
              </w:rPr>
            </w:r>
          </w:p>
        </w:tc>
        <w:tc>
          <w:tcPr>
            <w:tcW w:w="160" w:type="dxa"/>
            <w:gridSpan w:val="5"/>
            <w:tcBorders/>
            <w:vAlign w:val="center"/>
          </w:tcPr>
          <w:p>
            <w:pPr>
              <w:pStyle w:val="TableContents"/>
              <w:bidi w:val="0"/>
              <w:spacing w:before="0" w:after="283"/>
              <w:jc w:val="left"/>
              <w:rPr>
                <w:sz w:val="4"/>
                <w:szCs w:val="4"/>
              </w:rPr>
            </w:pPr>
            <w:r>
              <w:rPr>
                <w:sz w:val="4"/>
                <w:szCs w:val="4"/>
              </w:rPr>
            </w:r>
          </w:p>
        </w:tc>
        <w:tc>
          <w:tcPr>
            <w:tcW w:w="1038" w:type="dxa"/>
            <w:gridSpan w:val="5"/>
            <w:tcBorders/>
            <w:shd w:fill="E5EBEE" w:val="clear"/>
            <w:vAlign w:val="center"/>
          </w:tcPr>
          <w:p>
            <w:pPr>
              <w:pStyle w:val="TableContents"/>
              <w:bidi w:val="0"/>
              <w:spacing w:before="0" w:after="283"/>
              <w:jc w:val="left"/>
              <w:rPr>
                <w:sz w:val="4"/>
                <w:szCs w:val="4"/>
              </w:rPr>
            </w:pPr>
            <w:r>
              <w:rPr>
                <w:sz w:val="4"/>
                <w:szCs w:val="4"/>
              </w:rPr>
            </w:r>
          </w:p>
        </w:tc>
        <w:tc>
          <w:tcPr>
            <w:tcW w:w="160" w:type="dxa"/>
            <w:gridSpan w:val="5"/>
            <w:tcBorders/>
            <w:vAlign w:val="center"/>
          </w:tcPr>
          <w:p>
            <w:pPr>
              <w:pStyle w:val="TableContents"/>
              <w:bidi w:val="0"/>
              <w:spacing w:before="0" w:after="283"/>
              <w:jc w:val="left"/>
              <w:rPr>
                <w:sz w:val="4"/>
                <w:szCs w:val="4"/>
              </w:rPr>
            </w:pPr>
            <w:r>
              <w:rPr>
                <w:sz w:val="4"/>
                <w:szCs w:val="4"/>
              </w:rPr>
            </w:r>
          </w:p>
        </w:tc>
        <w:tc>
          <w:tcPr>
            <w:tcW w:w="1212"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67"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247" w:type="dxa"/>
            <w:gridSpan w:val="5"/>
            <w:tcBorders/>
            <w:shd w:fill="E5EBEE" w:val="clear"/>
            <w:vAlign w:val="center"/>
          </w:tcPr>
          <w:p>
            <w:pPr>
              <w:pStyle w:val="TableContents"/>
              <w:bidi w:val="0"/>
              <w:spacing w:before="0" w:after="283"/>
              <w:jc w:val="left"/>
              <w:rPr>
                <w:sz w:val="4"/>
                <w:szCs w:val="4"/>
              </w:rPr>
            </w:pPr>
            <w:r>
              <w:rPr>
                <w:sz w:val="4"/>
                <w:szCs w:val="4"/>
              </w:rPr>
            </w:r>
          </w:p>
        </w:tc>
      </w:tr>
      <w:tr>
        <w:trPr/>
        <w:tc>
          <w:tcPr>
            <w:tcW w:w="1393" w:type="dxa"/>
            <w:vMerge w:val="restart"/>
            <w:tcBorders>
              <w:bottom w:val="single" w:sz="8" w:space="0" w:color="003A5D"/>
            </w:tcBorders>
            <w:tcMar>
              <w:bottom w:w="28" w:type="dxa"/>
            </w:tcMar>
            <w:vAlign w:val="center"/>
          </w:tcPr>
          <w:p>
            <w:pPr>
              <w:pStyle w:val="TableContents"/>
              <w:bidi w:val="0"/>
              <w:spacing w:lineRule="atLeast" w:line="260" w:before="0" w:after="0"/>
              <w:jc w:val="left"/>
              <w:rPr>
                <w:rFonts w:ascii="arial" w:hAnsi="arial"/>
                <w:sz w:val="18"/>
              </w:rPr>
            </w:pPr>
            <w:r>
              <w:rPr>
                <w:rFonts w:ascii="arial" w:hAnsi="arial"/>
                <w:sz w:val="18"/>
              </w:rPr>
              <w:t>Frank G. LaPrade, III</w:t>
            </w:r>
          </w:p>
        </w:tc>
        <w:tc>
          <w:tcPr>
            <w:tcW w:w="23" w:type="dxa"/>
            <w:vMerge w:val="restart"/>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030" w:type="dxa"/>
            <w:tcBorders/>
            <w:shd w:fill="E5EBEE" w:val="clear"/>
            <w:vAlign w:val="center"/>
          </w:tcPr>
          <w:p>
            <w:pPr>
              <w:pStyle w:val="TableContents"/>
              <w:bidi w:val="0"/>
              <w:spacing w:lineRule="atLeast" w:line="200" w:before="0" w:after="0"/>
              <w:jc w:val="left"/>
              <w:rPr>
                <w:rFonts w:ascii="arial" w:hAnsi="arial"/>
                <w:sz w:val="18"/>
              </w:rPr>
            </w:pPr>
            <w:r>
              <w:rPr>
                <w:rFonts w:ascii="arial" w:hAnsi="arial"/>
                <w:sz w:val="18"/>
              </w:rPr>
              <w:t>Financial Performance Shares(2)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1" w:type="dxa"/>
            <w:tcBorders/>
            <w:shd w:fill="E5EBEE" w:val="clear"/>
            <w:vAlign w:val="center"/>
          </w:tcPr>
          <w:p>
            <w:pPr>
              <w:pStyle w:val="TableContents"/>
              <w:bidi w:val="0"/>
              <w:spacing w:lineRule="atLeast" w:line="260" w:before="0" w:after="0"/>
              <w:jc w:val="left"/>
              <w:rPr/>
            </w:pPr>
            <w:r>
              <w:rPr/>
              <w:t> </w:t>
            </w:r>
          </w:p>
        </w:tc>
        <w:tc>
          <w:tcPr>
            <w:tcW w:w="632"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2/1/2024</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85" w:type="dxa"/>
            <w:tcBorders/>
            <w:shd w:fill="E5EBEE" w:val="clear"/>
            <w:vAlign w:val="center"/>
          </w:tcPr>
          <w:p>
            <w:pPr>
              <w:pStyle w:val="TableContents"/>
              <w:bidi w:val="0"/>
              <w:spacing w:before="0" w:after="283"/>
              <w:jc w:val="left"/>
              <w:rPr>
                <w:sz w:val="4"/>
                <w:szCs w:val="4"/>
              </w:rPr>
            </w:pPr>
            <w:r>
              <w:rPr>
                <w:sz w:val="4"/>
                <w:szCs w:val="4"/>
              </w:rPr>
            </w:r>
          </w:p>
        </w:tc>
        <w:tc>
          <w:tcPr>
            <w:tcW w:w="226" w:type="dxa"/>
            <w:tcBorders/>
            <w:shd w:fill="E5EBEE" w:val="clear"/>
            <w:vAlign w:val="center"/>
          </w:tcPr>
          <w:p>
            <w:pPr>
              <w:pStyle w:val="TableContents"/>
              <w:bidi w:val="0"/>
              <w:spacing w:lineRule="atLeast" w:line="260" w:before="0" w:after="0"/>
              <w:jc w:val="left"/>
              <w:rPr/>
            </w:pPr>
            <w:r>
              <w:rPr/>
              <w:t> </w:t>
            </w:r>
          </w:p>
        </w:tc>
        <w:tc>
          <w:tcPr>
            <w:tcW w:w="477"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0</w:t>
            </w:r>
          </w:p>
        </w:tc>
        <w:tc>
          <w:tcPr>
            <w:tcW w:w="87" w:type="dxa"/>
            <w:tcBorders/>
            <w:shd w:fill="E5EBEE" w:val="clear"/>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86" w:type="dxa"/>
            <w:tcBorders/>
            <w:shd w:fill="E5EBEE" w:val="clear"/>
            <w:vAlign w:val="center"/>
          </w:tcPr>
          <w:p>
            <w:pPr>
              <w:pStyle w:val="TableContents"/>
              <w:bidi w:val="0"/>
              <w:spacing w:lineRule="atLeast" w:line="260" w:before="0" w:after="0"/>
              <w:jc w:val="left"/>
              <w:rPr/>
            </w:pPr>
            <w:r>
              <w:rPr/>
              <w:t> </w:t>
            </w:r>
          </w:p>
        </w:tc>
        <w:tc>
          <w:tcPr>
            <w:tcW w:w="856"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15,003</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86" w:type="dxa"/>
            <w:tcBorders/>
            <w:shd w:fill="E5EBEE" w:val="clear"/>
            <w:vAlign w:val="center"/>
          </w:tcPr>
          <w:p>
            <w:pPr>
              <w:pStyle w:val="TableContents"/>
              <w:bidi w:val="0"/>
              <w:spacing w:lineRule="atLeast" w:line="260" w:before="0" w:after="0"/>
              <w:jc w:val="left"/>
              <w:rPr/>
            </w:pPr>
            <w:r>
              <w:rPr/>
              <w:t> </w:t>
            </w:r>
          </w:p>
        </w:tc>
        <w:tc>
          <w:tcPr>
            <w:tcW w:w="1009"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22,505</w:t>
            </w:r>
          </w:p>
        </w:tc>
        <w:tc>
          <w:tcPr>
            <w:tcW w:w="5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52" w:type="dxa"/>
            <w:tcBorders/>
            <w:shd w:fill="E5EBEE" w:val="clear"/>
            <w:vAlign w:val="center"/>
          </w:tcPr>
          <w:p>
            <w:pPr>
              <w:pStyle w:val="TableContents"/>
              <w:bidi w:val="0"/>
              <w:spacing w:before="0" w:after="283"/>
              <w:jc w:val="left"/>
              <w:rPr>
                <w:sz w:val="4"/>
                <w:szCs w:val="4"/>
              </w:rPr>
            </w:pPr>
            <w:r>
              <w:rPr>
                <w:sz w:val="4"/>
                <w:szCs w:val="4"/>
              </w:rPr>
            </w:r>
          </w:p>
        </w:tc>
        <w:tc>
          <w:tcPr>
            <w:tcW w:w="138" w:type="dxa"/>
            <w:tcBorders/>
            <w:shd w:fill="E5EBEE" w:val="clear"/>
            <w:vAlign w:val="center"/>
          </w:tcPr>
          <w:p>
            <w:pPr>
              <w:pStyle w:val="TableContents"/>
              <w:bidi w:val="0"/>
              <w:spacing w:lineRule="atLeast" w:line="260" w:before="0" w:after="0"/>
              <w:jc w:val="left"/>
              <w:rPr/>
            </w:pPr>
            <w:r>
              <w:rPr/>
              <w:t> </w:t>
            </w:r>
          </w:p>
        </w:tc>
        <w:tc>
          <w:tcPr>
            <w:tcW w:w="600" w:type="dxa"/>
            <w:tcBorders/>
            <w:shd w:fill="E5EBEE" w:val="clear"/>
            <w:vAlign w:val="center"/>
          </w:tcPr>
          <w:p>
            <w:pPr>
              <w:pStyle w:val="TableContents"/>
              <w:bidi w:val="0"/>
              <w:spacing w:lineRule="atLeast" w:line="260" w:before="0" w:after="0"/>
              <w:jc w:val="center"/>
              <w:rPr/>
            </w:pPr>
            <w:r>
              <w:rPr/>
              <w:t>—</w:t>
            </w:r>
          </w:p>
        </w:tc>
        <w:tc>
          <w:tcPr>
            <w:tcW w:w="54"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1" w:type="dxa"/>
            <w:tcBorders/>
            <w:shd w:fill="E5EBEE" w:val="clear"/>
            <w:vAlign w:val="center"/>
          </w:tcPr>
          <w:p>
            <w:pPr>
              <w:pStyle w:val="TableContents"/>
              <w:bidi w:val="0"/>
              <w:spacing w:lineRule="atLeast" w:line="260" w:before="0" w:after="0"/>
              <w:jc w:val="left"/>
              <w:rPr/>
            </w:pPr>
            <w:r>
              <w:rPr/>
              <w:t> </w:t>
            </w:r>
          </w:p>
        </w:tc>
        <w:tc>
          <w:tcPr>
            <w:tcW w:w="1092"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$2,018,804</w:t>
            </w:r>
          </w:p>
        </w:tc>
        <w:tc>
          <w:tcPr>
            <w:tcW w:w="48" w:type="dxa"/>
            <w:tcBorders/>
            <w:shd w:fill="E5EBEE" w:val="clear"/>
            <w:vAlign w:val="center"/>
          </w:tcPr>
          <w:p>
            <w:pPr>
              <w:pStyle w:val="TableContents"/>
              <w:bidi w:val="0"/>
              <w:spacing w:before="0" w:after="283"/>
              <w:jc w:val="left"/>
              <w:rPr>
                <w:sz w:val="4"/>
                <w:szCs w:val="4"/>
              </w:rPr>
            </w:pPr>
            <w:r>
              <w:rPr>
                <w:sz w:val="4"/>
                <w:szCs w:val="4"/>
              </w:rPr>
            </w:r>
          </w:p>
        </w:tc>
      </w:tr>
      <w:tr>
        <w:trPr/>
        <w:tc>
          <w:tcPr>
            <w:tcW w:w="1393" w:type="dxa"/>
            <w:vMerge w:val="continue"/>
            <w:tcBorders>
              <w:bottom w:val="single" w:sz="8" w:space="0" w:color="003A5D"/>
            </w:tcBorders>
            <w:tcMar>
              <w:bottom w:w="28" w:type="dxa"/>
            </w:tcMar>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030" w:type="dxa"/>
            <w:tcBorders>
              <w:bottom w:val="single" w:sz="8" w:space="0" w:color="003A5D"/>
            </w:tcBorders>
            <w:tcMar>
              <w:bottom w:w="28" w:type="dxa"/>
            </w:tcMar>
            <w:vAlign w:val="center"/>
          </w:tcPr>
          <w:p>
            <w:pPr>
              <w:pStyle w:val="TableContents"/>
              <w:bidi w:val="0"/>
              <w:spacing w:lineRule="atLeast" w:line="260" w:before="0" w:after="0"/>
              <w:jc w:val="left"/>
              <w:rPr>
                <w:rFonts w:ascii="arial" w:hAnsi="arial"/>
                <w:sz w:val="18"/>
              </w:rPr>
            </w:pPr>
            <w:r>
              <w:rPr>
                <w:rFonts w:ascii="arial" w:hAnsi="arial"/>
                <w:sz w:val="18"/>
              </w:rPr>
              <w:t>Stock-Settled RSUs</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739" w:type="dxa"/>
            <w:gridSpan w:val="4"/>
            <w:tcBorders>
              <w:bottom w:val="single" w:sz="8"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2/1/2024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75" w:type="dxa"/>
            <w:gridSpan w:val="4"/>
            <w:tcBorders>
              <w:bottom w:val="single" w:sz="8" w:space="0" w:color="003A5D"/>
            </w:tcBorders>
            <w:tcMar>
              <w:bottom w:w="28" w:type="dxa"/>
            </w:tcMar>
            <w:vAlign w:val="center"/>
          </w:tcPr>
          <w:p>
            <w:pPr>
              <w:pStyle w:val="TableContents"/>
              <w:bidi w:val="0"/>
              <w:spacing w:lineRule="atLeast" w:line="260" w:before="0" w:after="0"/>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8" w:type="dxa"/>
            <w:gridSpan w:val="4"/>
            <w:tcBorders/>
            <w:vAlign w:val="center"/>
          </w:tcPr>
          <w:p>
            <w:pPr>
              <w:pStyle w:val="TableContents"/>
              <w:bidi w:val="0"/>
              <w:spacing w:before="0" w:after="283"/>
              <w:jc w:val="left"/>
              <w:rPr/>
            </w:pPr>
            <w:r>
              <w:rPr/>
              <w:t> </w:t>
            </w:r>
          </w:p>
        </w:tc>
        <w:tc>
          <w:tcPr>
            <w:tcW w:w="32"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06" w:type="dxa"/>
            <w:gridSpan w:val="4"/>
            <w:tcBorders>
              <w:bottom w:val="single" w:sz="8" w:space="0" w:color="003A5D"/>
            </w:tcBorders>
            <w:tcMar>
              <w:bottom w:w="28" w:type="dxa"/>
            </w:tcMar>
            <w:vAlign w:val="center"/>
          </w:tcPr>
          <w:p>
            <w:pPr>
              <w:pStyle w:val="TableContents"/>
              <w:bidi w:val="0"/>
              <w:spacing w:lineRule="atLeast" w:line="260" w:before="0" w:after="0"/>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8" w:type="dxa"/>
            <w:gridSpan w:val="4"/>
            <w:tcBorders/>
            <w:vAlign w:val="center"/>
          </w:tcPr>
          <w:p>
            <w:pPr>
              <w:pStyle w:val="TableContents"/>
              <w:bidi w:val="0"/>
              <w:spacing w:before="0" w:after="283"/>
              <w:jc w:val="left"/>
              <w:rPr/>
            </w:pPr>
            <w:r>
              <w:rPr/>
              <w:t> </w:t>
            </w:r>
          </w:p>
        </w:tc>
        <w:tc>
          <w:tcPr>
            <w:tcW w:w="32"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80" w:type="dxa"/>
            <w:gridSpan w:val="4"/>
            <w:tcBorders>
              <w:bottom w:val="single" w:sz="8" w:space="0" w:color="003A5D"/>
            </w:tcBorders>
            <w:tcMar>
              <w:bottom w:w="28" w:type="dxa"/>
            </w:tcMar>
            <w:vAlign w:val="center"/>
          </w:tcPr>
          <w:p>
            <w:pPr>
              <w:pStyle w:val="TableContents"/>
              <w:bidi w:val="0"/>
              <w:spacing w:lineRule="atLeast" w:line="260" w:before="0" w:after="0"/>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44" w:type="dxa"/>
            <w:gridSpan w:val="4"/>
            <w:tcBorders>
              <w:bottom w:val="single" w:sz="8"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12,503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224" w:type="dxa"/>
            <w:gridSpan w:val="4"/>
            <w:tcBorders>
              <w:bottom w:val="single" w:sz="8"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$1,682,404</w:t>
            </w:r>
          </w:p>
        </w:tc>
      </w:tr>
      <w:tr>
        <w:trPr/>
        <w:tc>
          <w:tcPr>
            <w:tcW w:w="1393"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053" w:type="dxa"/>
            <w:gridSpan w:val="2"/>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62"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98" w:type="dxa"/>
            <w:gridSpan w:val="5"/>
            <w:tcBorders/>
            <w:shd w:fill="E5EBEE" w:val="clear"/>
            <w:vAlign w:val="center"/>
          </w:tcPr>
          <w:p>
            <w:pPr>
              <w:pStyle w:val="TableContents"/>
              <w:bidi w:val="0"/>
              <w:spacing w:before="0" w:after="283"/>
              <w:jc w:val="left"/>
              <w:rPr>
                <w:sz w:val="4"/>
                <w:szCs w:val="4"/>
              </w:rPr>
            </w:pPr>
            <w:r>
              <w:rPr>
                <w:sz w:val="4"/>
                <w:szCs w:val="4"/>
              </w:rPr>
            </w:r>
          </w:p>
        </w:tc>
        <w:tc>
          <w:tcPr>
            <w:tcW w:w="160" w:type="dxa"/>
            <w:gridSpan w:val="5"/>
            <w:tcBorders/>
            <w:vAlign w:val="center"/>
          </w:tcPr>
          <w:p>
            <w:pPr>
              <w:pStyle w:val="TableContents"/>
              <w:bidi w:val="0"/>
              <w:spacing w:before="0" w:after="283"/>
              <w:jc w:val="left"/>
              <w:rPr>
                <w:sz w:val="4"/>
                <w:szCs w:val="4"/>
              </w:rPr>
            </w:pPr>
            <w:r>
              <w:rPr>
                <w:sz w:val="4"/>
                <w:szCs w:val="4"/>
              </w:rPr>
            </w:r>
          </w:p>
        </w:tc>
        <w:tc>
          <w:tcPr>
            <w:tcW w:w="1038" w:type="dxa"/>
            <w:gridSpan w:val="5"/>
            <w:tcBorders/>
            <w:shd w:fill="E5EBEE" w:val="clear"/>
            <w:vAlign w:val="center"/>
          </w:tcPr>
          <w:p>
            <w:pPr>
              <w:pStyle w:val="TableContents"/>
              <w:bidi w:val="0"/>
              <w:spacing w:before="0" w:after="283"/>
              <w:jc w:val="left"/>
              <w:rPr>
                <w:sz w:val="4"/>
                <w:szCs w:val="4"/>
              </w:rPr>
            </w:pPr>
            <w:r>
              <w:rPr>
                <w:sz w:val="4"/>
                <w:szCs w:val="4"/>
              </w:rPr>
            </w:r>
          </w:p>
        </w:tc>
        <w:tc>
          <w:tcPr>
            <w:tcW w:w="160" w:type="dxa"/>
            <w:gridSpan w:val="5"/>
            <w:tcBorders/>
            <w:vAlign w:val="center"/>
          </w:tcPr>
          <w:p>
            <w:pPr>
              <w:pStyle w:val="TableContents"/>
              <w:bidi w:val="0"/>
              <w:spacing w:before="0" w:after="283"/>
              <w:jc w:val="left"/>
              <w:rPr>
                <w:sz w:val="4"/>
                <w:szCs w:val="4"/>
              </w:rPr>
            </w:pPr>
            <w:r>
              <w:rPr>
                <w:sz w:val="4"/>
                <w:szCs w:val="4"/>
              </w:rPr>
            </w:r>
          </w:p>
        </w:tc>
        <w:tc>
          <w:tcPr>
            <w:tcW w:w="1212"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67"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247" w:type="dxa"/>
            <w:gridSpan w:val="5"/>
            <w:tcBorders/>
            <w:shd w:fill="E5EBEE" w:val="clear"/>
            <w:vAlign w:val="center"/>
          </w:tcPr>
          <w:p>
            <w:pPr>
              <w:pStyle w:val="TableContents"/>
              <w:bidi w:val="0"/>
              <w:spacing w:before="0" w:after="283"/>
              <w:jc w:val="left"/>
              <w:rPr>
                <w:sz w:val="4"/>
                <w:szCs w:val="4"/>
              </w:rPr>
            </w:pPr>
            <w:r>
              <w:rPr>
                <w:sz w:val="4"/>
                <w:szCs w:val="4"/>
              </w:rPr>
            </w:r>
          </w:p>
        </w:tc>
      </w:tr>
      <w:tr>
        <w:trPr/>
        <w:tc>
          <w:tcPr>
            <w:tcW w:w="1393" w:type="dxa"/>
            <w:vMerge w:val="restart"/>
            <w:tcBorders>
              <w:bottom w:val="single" w:sz="8" w:space="0" w:color="003A5D"/>
            </w:tcBorders>
            <w:tcMar>
              <w:bottom w:w="28" w:type="dxa"/>
            </w:tcMar>
            <w:vAlign w:val="center"/>
          </w:tcPr>
          <w:p>
            <w:pPr>
              <w:pStyle w:val="TableContents"/>
              <w:bidi w:val="0"/>
              <w:spacing w:lineRule="atLeast" w:line="260" w:before="0" w:after="0"/>
              <w:jc w:val="left"/>
              <w:rPr>
                <w:rFonts w:ascii="arial" w:hAnsi="arial"/>
                <w:sz w:val="18"/>
              </w:rPr>
            </w:pPr>
            <w:r>
              <w:rPr>
                <w:rFonts w:ascii="arial" w:hAnsi="arial"/>
                <w:sz w:val="18"/>
              </w:rPr>
              <w:t>Matthew W. Cooper</w:t>
            </w:r>
          </w:p>
        </w:tc>
        <w:tc>
          <w:tcPr>
            <w:tcW w:w="23" w:type="dxa"/>
            <w:vMerge w:val="restart"/>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030" w:type="dxa"/>
            <w:tcBorders/>
            <w:shd w:fill="E5EBEE" w:val="clear"/>
            <w:vAlign w:val="center"/>
          </w:tcPr>
          <w:p>
            <w:pPr>
              <w:pStyle w:val="TableContents"/>
              <w:bidi w:val="0"/>
              <w:spacing w:lineRule="atLeast" w:line="200" w:before="0" w:after="0"/>
              <w:jc w:val="left"/>
              <w:rPr>
                <w:rFonts w:ascii="arial" w:hAnsi="arial"/>
                <w:sz w:val="18"/>
              </w:rPr>
            </w:pPr>
            <w:r>
              <w:rPr>
                <w:rFonts w:ascii="arial" w:hAnsi="arial"/>
                <w:sz w:val="18"/>
              </w:rPr>
              <w:t>Financial Performance Shares(2)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1" w:type="dxa"/>
            <w:tcBorders/>
            <w:shd w:fill="E5EBEE" w:val="clear"/>
            <w:vAlign w:val="center"/>
          </w:tcPr>
          <w:p>
            <w:pPr>
              <w:pStyle w:val="TableContents"/>
              <w:bidi w:val="0"/>
              <w:spacing w:lineRule="atLeast" w:line="260" w:before="0" w:after="0"/>
              <w:jc w:val="left"/>
              <w:rPr/>
            </w:pPr>
            <w:r>
              <w:rPr/>
              <w:t> </w:t>
            </w:r>
          </w:p>
        </w:tc>
        <w:tc>
          <w:tcPr>
            <w:tcW w:w="632"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2/1/2024</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85" w:type="dxa"/>
            <w:tcBorders/>
            <w:shd w:fill="E5EBEE" w:val="clear"/>
            <w:vAlign w:val="center"/>
          </w:tcPr>
          <w:p>
            <w:pPr>
              <w:pStyle w:val="TableContents"/>
              <w:bidi w:val="0"/>
              <w:spacing w:before="0" w:after="283"/>
              <w:jc w:val="left"/>
              <w:rPr>
                <w:sz w:val="4"/>
                <w:szCs w:val="4"/>
              </w:rPr>
            </w:pPr>
            <w:r>
              <w:rPr>
                <w:sz w:val="4"/>
                <w:szCs w:val="4"/>
              </w:rPr>
            </w:r>
          </w:p>
        </w:tc>
        <w:tc>
          <w:tcPr>
            <w:tcW w:w="226" w:type="dxa"/>
            <w:tcBorders/>
            <w:shd w:fill="E5EBEE" w:val="clear"/>
            <w:vAlign w:val="center"/>
          </w:tcPr>
          <w:p>
            <w:pPr>
              <w:pStyle w:val="TableContents"/>
              <w:bidi w:val="0"/>
              <w:spacing w:lineRule="atLeast" w:line="260" w:before="0" w:after="0"/>
              <w:jc w:val="left"/>
              <w:rPr/>
            </w:pPr>
            <w:r>
              <w:rPr/>
              <w:t> </w:t>
            </w:r>
          </w:p>
        </w:tc>
        <w:tc>
          <w:tcPr>
            <w:tcW w:w="477"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0</w:t>
            </w:r>
          </w:p>
        </w:tc>
        <w:tc>
          <w:tcPr>
            <w:tcW w:w="87" w:type="dxa"/>
            <w:tcBorders/>
            <w:shd w:fill="E5EBEE" w:val="clear"/>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86" w:type="dxa"/>
            <w:tcBorders/>
            <w:shd w:fill="E5EBEE" w:val="clear"/>
            <w:vAlign w:val="center"/>
          </w:tcPr>
          <w:p>
            <w:pPr>
              <w:pStyle w:val="TableContents"/>
              <w:bidi w:val="0"/>
              <w:spacing w:lineRule="atLeast" w:line="260" w:before="0" w:after="0"/>
              <w:jc w:val="left"/>
              <w:rPr/>
            </w:pPr>
            <w:r>
              <w:rPr/>
              <w:t> </w:t>
            </w:r>
          </w:p>
        </w:tc>
        <w:tc>
          <w:tcPr>
            <w:tcW w:w="856"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13,846</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86" w:type="dxa"/>
            <w:tcBorders/>
            <w:shd w:fill="E5EBEE" w:val="clear"/>
            <w:vAlign w:val="center"/>
          </w:tcPr>
          <w:p>
            <w:pPr>
              <w:pStyle w:val="TableContents"/>
              <w:bidi w:val="0"/>
              <w:spacing w:lineRule="atLeast" w:line="260" w:before="0" w:after="0"/>
              <w:jc w:val="left"/>
              <w:rPr/>
            </w:pPr>
            <w:r>
              <w:rPr/>
              <w:t> </w:t>
            </w:r>
          </w:p>
        </w:tc>
        <w:tc>
          <w:tcPr>
            <w:tcW w:w="1009"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20,769</w:t>
            </w:r>
          </w:p>
        </w:tc>
        <w:tc>
          <w:tcPr>
            <w:tcW w:w="5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52" w:type="dxa"/>
            <w:tcBorders/>
            <w:shd w:fill="E5EBEE" w:val="clear"/>
            <w:vAlign w:val="center"/>
          </w:tcPr>
          <w:p>
            <w:pPr>
              <w:pStyle w:val="TableContents"/>
              <w:bidi w:val="0"/>
              <w:spacing w:before="0" w:after="283"/>
              <w:jc w:val="left"/>
              <w:rPr>
                <w:sz w:val="4"/>
                <w:szCs w:val="4"/>
              </w:rPr>
            </w:pPr>
            <w:r>
              <w:rPr>
                <w:sz w:val="4"/>
                <w:szCs w:val="4"/>
              </w:rPr>
            </w:r>
          </w:p>
        </w:tc>
        <w:tc>
          <w:tcPr>
            <w:tcW w:w="138" w:type="dxa"/>
            <w:tcBorders/>
            <w:shd w:fill="E5EBEE" w:val="clear"/>
            <w:vAlign w:val="center"/>
          </w:tcPr>
          <w:p>
            <w:pPr>
              <w:pStyle w:val="TableContents"/>
              <w:bidi w:val="0"/>
              <w:spacing w:lineRule="atLeast" w:line="260" w:before="0" w:after="0"/>
              <w:jc w:val="left"/>
              <w:rPr/>
            </w:pPr>
            <w:r>
              <w:rPr/>
              <w:t> </w:t>
            </w:r>
          </w:p>
        </w:tc>
        <w:tc>
          <w:tcPr>
            <w:tcW w:w="600" w:type="dxa"/>
            <w:tcBorders/>
            <w:shd w:fill="E5EBEE" w:val="clear"/>
            <w:vAlign w:val="center"/>
          </w:tcPr>
          <w:p>
            <w:pPr>
              <w:pStyle w:val="TableContents"/>
              <w:bidi w:val="0"/>
              <w:spacing w:lineRule="atLeast" w:line="260" w:before="0" w:after="0"/>
              <w:jc w:val="center"/>
              <w:rPr/>
            </w:pPr>
            <w:r>
              <w:rPr/>
              <w:t>—</w:t>
            </w:r>
          </w:p>
        </w:tc>
        <w:tc>
          <w:tcPr>
            <w:tcW w:w="54"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1" w:type="dxa"/>
            <w:tcBorders/>
            <w:shd w:fill="E5EBEE" w:val="clear"/>
            <w:vAlign w:val="center"/>
          </w:tcPr>
          <w:p>
            <w:pPr>
              <w:pStyle w:val="TableContents"/>
              <w:bidi w:val="0"/>
              <w:spacing w:lineRule="atLeast" w:line="260" w:before="0" w:after="0"/>
              <w:jc w:val="left"/>
              <w:rPr/>
            </w:pPr>
            <w:r>
              <w:rPr/>
              <w:t> </w:t>
            </w:r>
          </w:p>
        </w:tc>
        <w:tc>
          <w:tcPr>
            <w:tcW w:w="1092"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$1,863,118</w:t>
            </w:r>
          </w:p>
        </w:tc>
        <w:tc>
          <w:tcPr>
            <w:tcW w:w="48" w:type="dxa"/>
            <w:tcBorders/>
            <w:shd w:fill="E5EBEE" w:val="clear"/>
            <w:vAlign w:val="center"/>
          </w:tcPr>
          <w:p>
            <w:pPr>
              <w:pStyle w:val="TableContents"/>
              <w:bidi w:val="0"/>
              <w:spacing w:before="0" w:after="283"/>
              <w:jc w:val="left"/>
              <w:rPr>
                <w:sz w:val="4"/>
                <w:szCs w:val="4"/>
              </w:rPr>
            </w:pPr>
            <w:r>
              <w:rPr>
                <w:sz w:val="4"/>
                <w:szCs w:val="4"/>
              </w:rPr>
            </w:r>
          </w:p>
        </w:tc>
      </w:tr>
      <w:tr>
        <w:trPr/>
        <w:tc>
          <w:tcPr>
            <w:tcW w:w="1393" w:type="dxa"/>
            <w:vMerge w:val="continue"/>
            <w:tcBorders>
              <w:bottom w:val="single" w:sz="8" w:space="0" w:color="003A5D"/>
            </w:tcBorders>
            <w:tcMar>
              <w:bottom w:w="28" w:type="dxa"/>
            </w:tcMar>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030" w:type="dxa"/>
            <w:tcBorders>
              <w:bottom w:val="single" w:sz="8" w:space="0" w:color="003A5D"/>
            </w:tcBorders>
            <w:tcMar>
              <w:bottom w:w="28" w:type="dxa"/>
            </w:tcMar>
            <w:vAlign w:val="center"/>
          </w:tcPr>
          <w:p>
            <w:pPr>
              <w:pStyle w:val="TableContents"/>
              <w:bidi w:val="0"/>
              <w:spacing w:lineRule="atLeast" w:line="260" w:before="0" w:after="0"/>
              <w:jc w:val="left"/>
              <w:rPr>
                <w:rFonts w:ascii="arial" w:hAnsi="arial"/>
                <w:sz w:val="18"/>
              </w:rPr>
            </w:pPr>
            <w:r>
              <w:rPr>
                <w:rFonts w:ascii="arial" w:hAnsi="arial"/>
                <w:sz w:val="18"/>
              </w:rPr>
              <w:t>Stock-Settled RSUs</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739" w:type="dxa"/>
            <w:gridSpan w:val="4"/>
            <w:tcBorders>
              <w:bottom w:val="single" w:sz="8"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2/1/2024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75" w:type="dxa"/>
            <w:gridSpan w:val="4"/>
            <w:tcBorders>
              <w:bottom w:val="single" w:sz="8" w:space="0" w:color="003A5D"/>
            </w:tcBorders>
            <w:tcMar>
              <w:bottom w:w="28" w:type="dxa"/>
            </w:tcMar>
            <w:vAlign w:val="center"/>
          </w:tcPr>
          <w:p>
            <w:pPr>
              <w:pStyle w:val="TableContents"/>
              <w:bidi w:val="0"/>
              <w:spacing w:lineRule="atLeast" w:line="260" w:before="0" w:after="0"/>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8" w:type="dxa"/>
            <w:gridSpan w:val="4"/>
            <w:tcBorders/>
            <w:vAlign w:val="center"/>
          </w:tcPr>
          <w:p>
            <w:pPr>
              <w:pStyle w:val="TableContents"/>
              <w:bidi w:val="0"/>
              <w:spacing w:before="0" w:after="283"/>
              <w:jc w:val="left"/>
              <w:rPr/>
            </w:pPr>
            <w:r>
              <w:rPr/>
              <w:t> </w:t>
            </w:r>
          </w:p>
        </w:tc>
        <w:tc>
          <w:tcPr>
            <w:tcW w:w="32"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06" w:type="dxa"/>
            <w:gridSpan w:val="4"/>
            <w:tcBorders>
              <w:bottom w:val="single" w:sz="8" w:space="0" w:color="003A5D"/>
            </w:tcBorders>
            <w:tcMar>
              <w:bottom w:w="28" w:type="dxa"/>
            </w:tcMar>
            <w:vAlign w:val="center"/>
          </w:tcPr>
          <w:p>
            <w:pPr>
              <w:pStyle w:val="TableContents"/>
              <w:bidi w:val="0"/>
              <w:spacing w:lineRule="atLeast" w:line="260" w:before="0" w:after="0"/>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8" w:type="dxa"/>
            <w:gridSpan w:val="4"/>
            <w:tcBorders/>
            <w:vAlign w:val="center"/>
          </w:tcPr>
          <w:p>
            <w:pPr>
              <w:pStyle w:val="TableContents"/>
              <w:bidi w:val="0"/>
              <w:spacing w:before="0" w:after="283"/>
              <w:jc w:val="left"/>
              <w:rPr/>
            </w:pPr>
            <w:r>
              <w:rPr/>
              <w:t> </w:t>
            </w:r>
          </w:p>
        </w:tc>
        <w:tc>
          <w:tcPr>
            <w:tcW w:w="32"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80" w:type="dxa"/>
            <w:gridSpan w:val="4"/>
            <w:tcBorders>
              <w:bottom w:val="single" w:sz="8" w:space="0" w:color="003A5D"/>
            </w:tcBorders>
            <w:tcMar>
              <w:bottom w:w="28" w:type="dxa"/>
            </w:tcMar>
            <w:vAlign w:val="center"/>
          </w:tcPr>
          <w:p>
            <w:pPr>
              <w:pStyle w:val="TableContents"/>
              <w:bidi w:val="0"/>
              <w:spacing w:lineRule="atLeast" w:line="260" w:before="0" w:after="0"/>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44" w:type="dxa"/>
            <w:gridSpan w:val="4"/>
            <w:tcBorders>
              <w:bottom w:val="single" w:sz="8"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11,538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224" w:type="dxa"/>
            <w:gridSpan w:val="4"/>
            <w:tcBorders>
              <w:bottom w:val="single" w:sz="8"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$1,552,553</w:t>
            </w:r>
          </w:p>
        </w:tc>
      </w:tr>
      <w:tr>
        <w:trPr/>
        <w:tc>
          <w:tcPr>
            <w:tcW w:w="1393"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053" w:type="dxa"/>
            <w:gridSpan w:val="2"/>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62"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98" w:type="dxa"/>
            <w:gridSpan w:val="5"/>
            <w:tcBorders/>
            <w:shd w:fill="E5EBEE" w:val="clear"/>
            <w:vAlign w:val="center"/>
          </w:tcPr>
          <w:p>
            <w:pPr>
              <w:pStyle w:val="TableContents"/>
              <w:bidi w:val="0"/>
              <w:spacing w:before="0" w:after="283"/>
              <w:jc w:val="left"/>
              <w:rPr>
                <w:sz w:val="4"/>
                <w:szCs w:val="4"/>
              </w:rPr>
            </w:pPr>
            <w:r>
              <w:rPr>
                <w:sz w:val="4"/>
                <w:szCs w:val="4"/>
              </w:rPr>
            </w:r>
          </w:p>
        </w:tc>
        <w:tc>
          <w:tcPr>
            <w:tcW w:w="160" w:type="dxa"/>
            <w:gridSpan w:val="5"/>
            <w:tcBorders/>
            <w:vAlign w:val="center"/>
          </w:tcPr>
          <w:p>
            <w:pPr>
              <w:pStyle w:val="TableContents"/>
              <w:bidi w:val="0"/>
              <w:spacing w:before="0" w:after="283"/>
              <w:jc w:val="left"/>
              <w:rPr>
                <w:sz w:val="4"/>
                <w:szCs w:val="4"/>
              </w:rPr>
            </w:pPr>
            <w:r>
              <w:rPr>
                <w:sz w:val="4"/>
                <w:szCs w:val="4"/>
              </w:rPr>
            </w:r>
          </w:p>
        </w:tc>
        <w:tc>
          <w:tcPr>
            <w:tcW w:w="1038" w:type="dxa"/>
            <w:gridSpan w:val="5"/>
            <w:tcBorders/>
            <w:shd w:fill="E5EBEE" w:val="clear"/>
            <w:vAlign w:val="center"/>
          </w:tcPr>
          <w:p>
            <w:pPr>
              <w:pStyle w:val="TableContents"/>
              <w:bidi w:val="0"/>
              <w:spacing w:before="0" w:after="283"/>
              <w:jc w:val="left"/>
              <w:rPr>
                <w:sz w:val="4"/>
                <w:szCs w:val="4"/>
              </w:rPr>
            </w:pPr>
            <w:r>
              <w:rPr>
                <w:sz w:val="4"/>
                <w:szCs w:val="4"/>
              </w:rPr>
            </w:r>
          </w:p>
        </w:tc>
        <w:tc>
          <w:tcPr>
            <w:tcW w:w="160" w:type="dxa"/>
            <w:gridSpan w:val="5"/>
            <w:tcBorders/>
            <w:vAlign w:val="center"/>
          </w:tcPr>
          <w:p>
            <w:pPr>
              <w:pStyle w:val="TableContents"/>
              <w:bidi w:val="0"/>
              <w:spacing w:before="0" w:after="283"/>
              <w:jc w:val="left"/>
              <w:rPr>
                <w:sz w:val="4"/>
                <w:szCs w:val="4"/>
              </w:rPr>
            </w:pPr>
            <w:r>
              <w:rPr>
                <w:sz w:val="4"/>
                <w:szCs w:val="4"/>
              </w:rPr>
            </w:r>
          </w:p>
        </w:tc>
        <w:tc>
          <w:tcPr>
            <w:tcW w:w="1212"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67"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247" w:type="dxa"/>
            <w:gridSpan w:val="5"/>
            <w:tcBorders/>
            <w:shd w:fill="E5EBEE" w:val="clear"/>
            <w:vAlign w:val="center"/>
          </w:tcPr>
          <w:p>
            <w:pPr>
              <w:pStyle w:val="TableContents"/>
              <w:bidi w:val="0"/>
              <w:spacing w:before="0" w:after="283"/>
              <w:jc w:val="left"/>
              <w:rPr>
                <w:sz w:val="4"/>
                <w:szCs w:val="4"/>
              </w:rPr>
            </w:pPr>
            <w:r>
              <w:rPr>
                <w:sz w:val="4"/>
                <w:szCs w:val="4"/>
              </w:rPr>
            </w:r>
          </w:p>
        </w:tc>
      </w:tr>
      <w:tr>
        <w:trPr/>
        <w:tc>
          <w:tcPr>
            <w:tcW w:w="1393" w:type="dxa"/>
            <w:vMerge w:val="restart"/>
            <w:tcBorders>
              <w:bottom w:val="single" w:sz="8" w:space="0" w:color="003A5D"/>
            </w:tcBorders>
            <w:tcMar>
              <w:bottom w:w="28" w:type="dxa"/>
            </w:tcMar>
            <w:vAlign w:val="center"/>
          </w:tcPr>
          <w:p>
            <w:pPr>
              <w:pStyle w:val="TableContents"/>
              <w:bidi w:val="0"/>
              <w:spacing w:lineRule="atLeast" w:line="260" w:before="0" w:after="0"/>
              <w:jc w:val="left"/>
              <w:rPr>
                <w:rFonts w:ascii="arial" w:hAnsi="arial"/>
                <w:sz w:val="18"/>
              </w:rPr>
            </w:pPr>
            <w:r>
              <w:rPr>
                <w:rFonts w:ascii="arial" w:hAnsi="arial"/>
                <w:sz w:val="18"/>
              </w:rPr>
              <w:t>Sanjiv Yajnik</w:t>
            </w:r>
          </w:p>
        </w:tc>
        <w:tc>
          <w:tcPr>
            <w:tcW w:w="23" w:type="dxa"/>
            <w:vMerge w:val="restart"/>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030" w:type="dxa"/>
            <w:tcBorders/>
            <w:shd w:fill="E5EBEE" w:val="clear"/>
            <w:vAlign w:val="center"/>
          </w:tcPr>
          <w:p>
            <w:pPr>
              <w:pStyle w:val="TableContents"/>
              <w:bidi w:val="0"/>
              <w:spacing w:lineRule="atLeast" w:line="200" w:before="0" w:after="0"/>
              <w:jc w:val="left"/>
              <w:rPr>
                <w:rFonts w:ascii="arial" w:hAnsi="arial"/>
                <w:sz w:val="18"/>
              </w:rPr>
            </w:pPr>
            <w:r>
              <w:rPr>
                <w:rFonts w:ascii="arial" w:hAnsi="arial"/>
                <w:sz w:val="18"/>
              </w:rPr>
              <w:t>Financial Performance Shares(2)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1" w:type="dxa"/>
            <w:tcBorders/>
            <w:shd w:fill="E5EBEE" w:val="clear"/>
            <w:vAlign w:val="center"/>
          </w:tcPr>
          <w:p>
            <w:pPr>
              <w:pStyle w:val="TableContents"/>
              <w:bidi w:val="0"/>
              <w:spacing w:lineRule="atLeast" w:line="260" w:before="0" w:after="0"/>
              <w:jc w:val="left"/>
              <w:rPr/>
            </w:pPr>
            <w:r>
              <w:rPr/>
              <w:t> </w:t>
            </w:r>
          </w:p>
        </w:tc>
        <w:tc>
          <w:tcPr>
            <w:tcW w:w="632"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2/1/2024</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85" w:type="dxa"/>
            <w:tcBorders/>
            <w:shd w:fill="E5EBEE" w:val="clear"/>
            <w:vAlign w:val="center"/>
          </w:tcPr>
          <w:p>
            <w:pPr>
              <w:pStyle w:val="TableContents"/>
              <w:bidi w:val="0"/>
              <w:spacing w:before="0" w:after="283"/>
              <w:jc w:val="left"/>
              <w:rPr>
                <w:sz w:val="4"/>
                <w:szCs w:val="4"/>
              </w:rPr>
            </w:pPr>
            <w:r>
              <w:rPr>
                <w:sz w:val="4"/>
                <w:szCs w:val="4"/>
              </w:rPr>
            </w:r>
          </w:p>
        </w:tc>
        <w:tc>
          <w:tcPr>
            <w:tcW w:w="226" w:type="dxa"/>
            <w:tcBorders/>
            <w:shd w:fill="E5EBEE" w:val="clear"/>
            <w:vAlign w:val="center"/>
          </w:tcPr>
          <w:p>
            <w:pPr>
              <w:pStyle w:val="TableContents"/>
              <w:bidi w:val="0"/>
              <w:spacing w:lineRule="atLeast" w:line="260" w:before="0" w:after="0"/>
              <w:jc w:val="left"/>
              <w:rPr/>
            </w:pPr>
            <w:r>
              <w:rPr/>
              <w:t> </w:t>
            </w:r>
          </w:p>
        </w:tc>
        <w:tc>
          <w:tcPr>
            <w:tcW w:w="477"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0</w:t>
            </w:r>
          </w:p>
        </w:tc>
        <w:tc>
          <w:tcPr>
            <w:tcW w:w="87" w:type="dxa"/>
            <w:tcBorders/>
            <w:shd w:fill="E5EBEE" w:val="clear"/>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86" w:type="dxa"/>
            <w:tcBorders/>
            <w:shd w:fill="E5EBEE" w:val="clear"/>
            <w:vAlign w:val="center"/>
          </w:tcPr>
          <w:p>
            <w:pPr>
              <w:pStyle w:val="TableContents"/>
              <w:bidi w:val="0"/>
              <w:spacing w:lineRule="atLeast" w:line="260" w:before="0" w:after="0"/>
              <w:jc w:val="left"/>
              <w:rPr/>
            </w:pPr>
            <w:r>
              <w:rPr/>
              <w:t> </w:t>
            </w:r>
          </w:p>
        </w:tc>
        <w:tc>
          <w:tcPr>
            <w:tcW w:w="856"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14,091</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86" w:type="dxa"/>
            <w:tcBorders/>
            <w:shd w:fill="E5EBEE" w:val="clear"/>
            <w:vAlign w:val="center"/>
          </w:tcPr>
          <w:p>
            <w:pPr>
              <w:pStyle w:val="TableContents"/>
              <w:bidi w:val="0"/>
              <w:spacing w:lineRule="atLeast" w:line="260" w:before="0" w:after="0"/>
              <w:jc w:val="left"/>
              <w:rPr/>
            </w:pPr>
            <w:r>
              <w:rPr/>
              <w:t> </w:t>
            </w:r>
          </w:p>
        </w:tc>
        <w:tc>
          <w:tcPr>
            <w:tcW w:w="1009"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21,137</w:t>
            </w:r>
          </w:p>
        </w:tc>
        <w:tc>
          <w:tcPr>
            <w:tcW w:w="5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52" w:type="dxa"/>
            <w:tcBorders/>
            <w:shd w:fill="E5EBEE" w:val="clear"/>
            <w:vAlign w:val="center"/>
          </w:tcPr>
          <w:p>
            <w:pPr>
              <w:pStyle w:val="TableContents"/>
              <w:bidi w:val="0"/>
              <w:spacing w:before="0" w:after="283"/>
              <w:jc w:val="left"/>
              <w:rPr>
                <w:sz w:val="4"/>
                <w:szCs w:val="4"/>
              </w:rPr>
            </w:pPr>
            <w:r>
              <w:rPr>
                <w:sz w:val="4"/>
                <w:szCs w:val="4"/>
              </w:rPr>
            </w:r>
          </w:p>
        </w:tc>
        <w:tc>
          <w:tcPr>
            <w:tcW w:w="138" w:type="dxa"/>
            <w:tcBorders/>
            <w:shd w:fill="E5EBEE" w:val="clear"/>
            <w:vAlign w:val="center"/>
          </w:tcPr>
          <w:p>
            <w:pPr>
              <w:pStyle w:val="TableContents"/>
              <w:bidi w:val="0"/>
              <w:spacing w:lineRule="atLeast" w:line="260" w:before="0" w:after="0"/>
              <w:jc w:val="left"/>
              <w:rPr/>
            </w:pPr>
            <w:r>
              <w:rPr/>
              <w:t> </w:t>
            </w:r>
          </w:p>
        </w:tc>
        <w:tc>
          <w:tcPr>
            <w:tcW w:w="600" w:type="dxa"/>
            <w:tcBorders/>
            <w:shd w:fill="E5EBEE" w:val="clear"/>
            <w:vAlign w:val="center"/>
          </w:tcPr>
          <w:p>
            <w:pPr>
              <w:pStyle w:val="TableContents"/>
              <w:bidi w:val="0"/>
              <w:spacing w:lineRule="atLeast" w:line="260" w:before="0" w:after="0"/>
              <w:jc w:val="center"/>
              <w:rPr/>
            </w:pPr>
            <w:r>
              <w:rPr/>
              <w:t>—</w:t>
            </w:r>
          </w:p>
        </w:tc>
        <w:tc>
          <w:tcPr>
            <w:tcW w:w="54"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1" w:type="dxa"/>
            <w:tcBorders/>
            <w:shd w:fill="E5EBEE" w:val="clear"/>
            <w:vAlign w:val="center"/>
          </w:tcPr>
          <w:p>
            <w:pPr>
              <w:pStyle w:val="TableContents"/>
              <w:bidi w:val="0"/>
              <w:spacing w:lineRule="atLeast" w:line="260" w:before="0" w:after="0"/>
              <w:jc w:val="left"/>
              <w:rPr/>
            </w:pPr>
            <w:r>
              <w:rPr/>
              <w:t> </w:t>
            </w:r>
          </w:p>
        </w:tc>
        <w:tc>
          <w:tcPr>
            <w:tcW w:w="1092"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$1,896,085</w:t>
            </w:r>
          </w:p>
        </w:tc>
        <w:tc>
          <w:tcPr>
            <w:tcW w:w="48" w:type="dxa"/>
            <w:tcBorders/>
            <w:shd w:fill="E5EBEE" w:val="clear"/>
            <w:vAlign w:val="center"/>
          </w:tcPr>
          <w:p>
            <w:pPr>
              <w:pStyle w:val="TableContents"/>
              <w:bidi w:val="0"/>
              <w:spacing w:before="0" w:after="283"/>
              <w:jc w:val="left"/>
              <w:rPr>
                <w:sz w:val="4"/>
                <w:szCs w:val="4"/>
              </w:rPr>
            </w:pPr>
            <w:r>
              <w:rPr>
                <w:sz w:val="4"/>
                <w:szCs w:val="4"/>
              </w:rPr>
            </w:r>
          </w:p>
        </w:tc>
      </w:tr>
      <w:tr>
        <w:trPr/>
        <w:tc>
          <w:tcPr>
            <w:tcW w:w="1393" w:type="dxa"/>
            <w:vMerge w:val="continue"/>
            <w:tcBorders>
              <w:bottom w:val="single" w:sz="8" w:space="0" w:color="003A5D"/>
            </w:tcBorders>
            <w:tcMar>
              <w:bottom w:w="28" w:type="dxa"/>
            </w:tcMar>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030" w:type="dxa"/>
            <w:tcBorders>
              <w:bottom w:val="single" w:sz="8" w:space="0" w:color="003A5D"/>
            </w:tcBorders>
            <w:tcMar>
              <w:bottom w:w="28" w:type="dxa"/>
            </w:tcMar>
            <w:vAlign w:val="center"/>
          </w:tcPr>
          <w:p>
            <w:pPr>
              <w:pStyle w:val="TableContents"/>
              <w:bidi w:val="0"/>
              <w:spacing w:lineRule="atLeast" w:line="260" w:before="0" w:after="0"/>
              <w:jc w:val="left"/>
              <w:rPr>
                <w:rFonts w:ascii="arial" w:hAnsi="arial"/>
                <w:sz w:val="18"/>
              </w:rPr>
            </w:pPr>
            <w:r>
              <w:rPr>
                <w:rFonts w:ascii="arial" w:hAnsi="arial"/>
                <w:sz w:val="18"/>
              </w:rPr>
              <w:t>Stock-Settled RSUs</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739" w:type="dxa"/>
            <w:gridSpan w:val="4"/>
            <w:tcBorders>
              <w:bottom w:val="single" w:sz="8"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2/1/2024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75" w:type="dxa"/>
            <w:gridSpan w:val="4"/>
            <w:tcBorders>
              <w:bottom w:val="single" w:sz="8" w:space="0" w:color="003A5D"/>
            </w:tcBorders>
            <w:tcMar>
              <w:bottom w:w="28" w:type="dxa"/>
            </w:tcMar>
            <w:vAlign w:val="center"/>
          </w:tcPr>
          <w:p>
            <w:pPr>
              <w:pStyle w:val="TableContents"/>
              <w:bidi w:val="0"/>
              <w:spacing w:lineRule="atLeast" w:line="260" w:before="0" w:after="0"/>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8" w:type="dxa"/>
            <w:gridSpan w:val="4"/>
            <w:tcBorders/>
            <w:vAlign w:val="center"/>
          </w:tcPr>
          <w:p>
            <w:pPr>
              <w:pStyle w:val="TableContents"/>
              <w:bidi w:val="0"/>
              <w:spacing w:before="0" w:after="283"/>
              <w:jc w:val="left"/>
              <w:rPr/>
            </w:pPr>
            <w:r>
              <w:rPr/>
              <w:t> </w:t>
            </w:r>
          </w:p>
        </w:tc>
        <w:tc>
          <w:tcPr>
            <w:tcW w:w="32"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06" w:type="dxa"/>
            <w:gridSpan w:val="4"/>
            <w:tcBorders>
              <w:bottom w:val="single" w:sz="8" w:space="0" w:color="003A5D"/>
            </w:tcBorders>
            <w:tcMar>
              <w:bottom w:w="28" w:type="dxa"/>
            </w:tcMar>
            <w:vAlign w:val="center"/>
          </w:tcPr>
          <w:p>
            <w:pPr>
              <w:pStyle w:val="TableContents"/>
              <w:bidi w:val="0"/>
              <w:spacing w:lineRule="atLeast" w:line="260" w:before="0" w:after="0"/>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8" w:type="dxa"/>
            <w:gridSpan w:val="4"/>
            <w:tcBorders/>
            <w:vAlign w:val="center"/>
          </w:tcPr>
          <w:p>
            <w:pPr>
              <w:pStyle w:val="TableContents"/>
              <w:bidi w:val="0"/>
              <w:spacing w:before="0" w:after="283"/>
              <w:jc w:val="left"/>
              <w:rPr/>
            </w:pPr>
            <w:r>
              <w:rPr/>
              <w:t> </w:t>
            </w:r>
          </w:p>
        </w:tc>
        <w:tc>
          <w:tcPr>
            <w:tcW w:w="32"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80" w:type="dxa"/>
            <w:gridSpan w:val="4"/>
            <w:tcBorders>
              <w:bottom w:val="single" w:sz="8" w:space="0" w:color="003A5D"/>
            </w:tcBorders>
            <w:tcMar>
              <w:bottom w:w="28" w:type="dxa"/>
            </w:tcMar>
            <w:vAlign w:val="center"/>
          </w:tcPr>
          <w:p>
            <w:pPr>
              <w:pStyle w:val="TableContents"/>
              <w:bidi w:val="0"/>
              <w:spacing w:lineRule="atLeast" w:line="260" w:before="0" w:after="0"/>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44" w:type="dxa"/>
            <w:gridSpan w:val="4"/>
            <w:tcBorders>
              <w:bottom w:val="single" w:sz="8"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11,742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224" w:type="dxa"/>
            <w:gridSpan w:val="4"/>
            <w:tcBorders>
              <w:bottom w:val="single" w:sz="8"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$1,580,004</w:t>
            </w:r>
          </w:p>
        </w:tc>
      </w:tr>
    </w:tbl>
    <w:p>
      <w:pPr>
        <w:pStyle w:val="TextBody"/>
        <w:pBdr>
          <w:bottom w:val="single" w:sz="2" w:space="1" w:color="000000"/>
        </w:pBdr>
        <w:bidi w:val="0"/>
        <w:spacing w:lineRule="atLeast" w:line="160" w:before="0" w:after="40"/>
        <w:jc w:val="left"/>
        <w:rPr/>
      </w:pPr>
      <w:r>
        <w:rPr/>
        <w:t> </w:t>
      </w:r>
    </w:p>
    <w:tbl>
      <w:tblPr>
        <w:tblW w:w="8620" w:type="dxa"/>
        <w:jc w:val="left"/>
        <w:tblInd w:w="0" w:type="dxa"/>
        <w:tblLayout w:type="fixed"/>
        <w:tblCellMar>
          <w:top w:w="0" w:type="dxa"/>
          <w:left w:w="0" w:type="dxa"/>
          <w:bottom w:w="0" w:type="dxa"/>
          <w:right w:w="0" w:type="dxa"/>
        </w:tblCellMar>
      </w:tblPr>
      <w:tblGrid>
        <w:gridCol w:w="305"/>
        <w:gridCol w:w="8315"/>
      </w:tblGrid>
      <w:tr>
        <w:trPr/>
        <w:tc>
          <w:tcPr>
            <w:tcW w:w="305" w:type="dxa"/>
            <w:tcBorders/>
            <w:vAlign w:val="center"/>
          </w:tcPr>
          <w:p>
            <w:pPr>
              <w:pStyle w:val="TableContents"/>
              <w:bidi w:val="0"/>
              <w:spacing w:before="0" w:after="283"/>
              <w:jc w:val="left"/>
              <w:rPr/>
            </w:pPr>
            <w:r>
              <w:rPr/>
              <w:t>(1)</w:t>
            </w:r>
          </w:p>
        </w:tc>
        <w:tc>
          <w:tcPr>
            <w:tcW w:w="8315" w:type="dxa"/>
            <w:tcBorders/>
            <w:vAlign w:val="center"/>
          </w:tcPr>
          <w:p>
            <w:pPr>
              <w:pStyle w:val="TableContents"/>
              <w:bidi w:val="0"/>
              <w:spacing w:before="0" w:after="0"/>
              <w:jc w:val="both"/>
              <w:rPr>
                <w:rFonts w:ascii="arial" w:hAnsi="arial"/>
                <w:sz w:val="16"/>
              </w:rPr>
            </w:pPr>
            <w:r>
              <w:rPr>
                <w:rFonts w:ascii="arial" w:hAnsi="arial"/>
                <w:sz w:val="16"/>
              </w:rPr>
              <w:t xml:space="preserve">Date on which awards were approved by the Committee and the Independent Directors and granted to the NEOs.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(2)</w:t>
            </w:r>
          </w:p>
        </w:tc>
        <w:tc>
          <w:tcPr>
            <w:tcW w:w="9922" w:type="dxa"/>
            <w:tcBorders/>
            <w:vAlign w:val="center"/>
          </w:tcPr>
          <w:p>
            <w:pPr>
              <w:pStyle w:val="TableContents"/>
              <w:bidi w:val="0"/>
              <w:spacing w:before="0" w:after="0"/>
              <w:jc w:val="both"/>
              <w:rPr>
                <w:rFonts w:ascii="arial" w:hAnsi="arial"/>
                <w:sz w:val="16"/>
              </w:rPr>
            </w:pPr>
            <w:r>
              <w:rPr>
                <w:rFonts w:ascii="arial" w:hAnsi="arial"/>
                <w:sz w:val="16"/>
              </w:rPr>
              <w:t xml:space="preserve">The Financial Performance Shares are reported based on the probable outcome of the performance conditions as of the grant date and excludes potential accrued dividend equivalents.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0"/>
              <w:jc w:val="both"/>
              <w:rPr>
                <w:rFonts w:ascii="arial" w:hAnsi="arial"/>
                <w:sz w:val="16"/>
              </w:rPr>
            </w:pPr>
            <w:r>
              <w:rPr>
                <w:rFonts w:ascii="arial" w:hAnsi="arial"/>
                <w:sz w:val="16"/>
              </w:rPr>
              <w:t xml:space="preserve">The TSR Performance Shares granted to Mr. Fairbank are reported based on the probable outcome of the performance conditions as of the grant date. See footnote 2 to the 2024 Summary Compensation Table above for additional information regarding the grant date fair value for the TSR Performance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(4)</w:t>
            </w:r>
          </w:p>
        </w:tc>
        <w:tc>
          <w:tcPr>
            <w:tcW w:w="9905" w:type="dxa"/>
            <w:tcBorders/>
            <w:vAlign w:val="center"/>
          </w:tcPr>
          <w:p>
            <w:pPr>
              <w:pStyle w:val="TableContents"/>
              <w:bidi w:val="0"/>
              <w:spacing w:before="0" w:after="0"/>
              <w:jc w:val="both"/>
              <w:rPr>
                <w:rFonts w:ascii="arial" w:hAnsi="arial"/>
                <w:sz w:val="16"/>
              </w:rPr>
            </w:pPr>
            <w:r>
              <w:rPr>
                <w:rFonts w:ascii="arial" w:hAnsi="arial"/>
                <w:sz w:val="16"/>
              </w:rPr>
              <w:t xml:space="preserve">Grant of cash-settled RSUs after the end of the performance year, representing a portion of Mr. Fairbank’s 2023 year-end incentive opportunity.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(5)</w:t>
            </w:r>
          </w:p>
        </w:tc>
        <w:tc>
          <w:tcPr>
            <w:tcW w:w="9901" w:type="dxa"/>
            <w:tcBorders/>
            <w:vAlign w:val="center"/>
          </w:tcPr>
          <w:p>
            <w:pPr>
              <w:pStyle w:val="TableContents"/>
              <w:bidi w:val="0"/>
              <w:spacing w:before="0" w:after="0"/>
              <w:jc w:val="both"/>
              <w:rPr>
                <w:rFonts w:ascii="arial" w:hAnsi="arial"/>
                <w:sz w:val="16"/>
              </w:rPr>
            </w:pPr>
            <w:r>
              <w:rPr>
                <w:rFonts w:ascii="arial" w:hAnsi="arial"/>
                <w:sz w:val="16"/>
              </w:rPr>
              <w:t xml:space="preserve">Grant of cash-settled RSUs at the beginning of the performance year, representing a portion of Mr. Fairbank’s 2024 total compensation. </w:t>
            </w:r>
          </w:p>
        </w:tc>
      </w:tr>
    </w:tbl>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100 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390" w:type="dxa"/>
        <w:jc w:val="left"/>
        <w:tblInd w:w="0" w:type="dxa"/>
        <w:tblLayout w:type="fixed"/>
        <w:tblCellMar>
          <w:top w:w="0" w:type="dxa"/>
          <w:left w:w="0" w:type="dxa"/>
          <w:bottom w:w="0" w:type="dxa"/>
          <w:right w:w="0" w:type="dxa"/>
        </w:tblCellMar>
      </w:tblPr>
      <w:tblGrid>
        <w:gridCol w:w="5390"/>
      </w:tblGrid>
      <w:tr>
        <w:trPr/>
        <w:tc>
          <w:tcPr>
            <w:tcW w:w="5390"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center"/>
          </w:tcPr>
          <w:p>
            <w:pPr>
              <w:pStyle w:val="TableContents"/>
              <w:bidi w:val="0"/>
              <w:spacing w:before="0" w:after="283"/>
              <w:jc w:val="right"/>
              <w:rPr>
                <w:b/>
                <w:color w:val="003A5D"/>
              </w:rPr>
            </w:pPr>
            <w:r>
              <w:rPr>
                <w:b/>
                <w:color w:val="003A5D"/>
              </w:rPr>
              <w:t>Section VI - Named Executive Officer Compensation</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91" w:name="txa845790_37"/>
      <w:bookmarkEnd w:id="91"/>
      <w:r>
        <w:rPr>
          <w:rFonts w:ascii="arial" w:hAnsi="arial"/>
          <w:b/>
          <w:color w:val="003A5D"/>
          <w:sz w:val="32"/>
        </w:rPr>
        <w:t xml:space="preserve">2024 Option Exercises and Stock Vested Table </w:t>
      </w:r>
    </w:p>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1745"/>
        <w:gridCol w:w="60"/>
        <w:gridCol w:w="60"/>
        <w:gridCol w:w="60"/>
        <w:gridCol w:w="2045"/>
        <w:gridCol w:w="60"/>
        <w:gridCol w:w="60"/>
        <w:gridCol w:w="60"/>
        <w:gridCol w:w="1745"/>
        <w:gridCol w:w="60"/>
        <w:gridCol w:w="60"/>
        <w:gridCol w:w="60"/>
        <w:gridCol w:w="1235"/>
        <w:gridCol w:w="60"/>
        <w:gridCol w:w="60"/>
        <w:gridCol w:w="60"/>
        <w:gridCol w:w="1760"/>
      </w:tblGrid>
      <w:tr>
        <w:trPr/>
        <w:tc>
          <w:tcPr>
            <w:tcW w:w="1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r>
      <w:tr>
        <w:trPr/>
        <w:tc>
          <w:tcPr>
            <w:tcW w:w="1745" w:type="dxa"/>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030" w:type="dxa"/>
            <w:gridSpan w:val="6"/>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3235" w:type="dxa"/>
            <w:gridSpan w:val="6"/>
            <w:tcBorders/>
            <w:shd w:fill="003A5D" w:val="clear"/>
            <w:vAlign w:val="center"/>
          </w:tcPr>
          <w:p>
            <w:pPr>
              <w:pStyle w:val="TableContents"/>
              <w:bidi w:val="0"/>
              <w:spacing w:before="0" w:after="283"/>
              <w:jc w:val="left"/>
              <w:rPr>
                <w:sz w:val="4"/>
                <w:szCs w:val="4"/>
              </w:rPr>
            </w:pPr>
            <w:r>
              <w:rPr>
                <w:sz w:val="4"/>
                <w:szCs w:val="4"/>
              </w:rPr>
            </w:r>
          </w:p>
        </w:tc>
      </w:tr>
      <w:tr>
        <w:trPr/>
        <w:tc>
          <w:tcPr>
            <w:tcW w:w="1745" w:type="dxa"/>
            <w:tcBorders/>
            <w:shd w:fill="003A5D"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22" w:space="0" w:color="FFFFFF"/>
            </w:tcBorders>
            <w:shd w:fill="003A5D" w:val="clear"/>
            <w:tcMar>
              <w:bottom w:w="28" w:type="dxa"/>
            </w:tcMar>
            <w:vAlign w:val="center"/>
          </w:tcPr>
          <w:p>
            <w:pPr>
              <w:pStyle w:val="TableContents"/>
              <w:bidi w:val="0"/>
              <w:spacing w:before="0" w:after="283"/>
              <w:jc w:val="left"/>
              <w:rPr/>
            </w:pPr>
            <w:r>
              <w:rPr/>
              <w:t> </w:t>
            </w:r>
          </w:p>
        </w:tc>
        <w:tc>
          <w:tcPr>
            <w:tcW w:w="3970" w:type="dxa"/>
            <w:gridSpan w:val="5"/>
            <w:tcBorders>
              <w:bottom w:val="single" w:sz="22" w:space="0" w:color="FFFFFF"/>
            </w:tcBorders>
            <w:shd w:fill="003A5D" w:val="clear"/>
            <w:tcMar>
              <w:bottom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Option Awards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22" w:space="0" w:color="FFFFFF"/>
            </w:tcBorders>
            <w:shd w:fill="003A5D" w:val="clear"/>
            <w:tcMar>
              <w:bottom w:w="28" w:type="dxa"/>
            </w:tcMar>
            <w:vAlign w:val="center"/>
          </w:tcPr>
          <w:p>
            <w:pPr>
              <w:pStyle w:val="TableContents"/>
              <w:bidi w:val="0"/>
              <w:spacing w:before="0" w:after="283"/>
              <w:jc w:val="left"/>
              <w:rPr/>
            </w:pPr>
            <w:r>
              <w:rPr/>
              <w:t> </w:t>
            </w:r>
          </w:p>
        </w:tc>
        <w:tc>
          <w:tcPr>
            <w:tcW w:w="3175" w:type="dxa"/>
            <w:gridSpan w:val="5"/>
            <w:tcBorders>
              <w:bottom w:val="single" w:sz="22" w:space="0" w:color="FFFFFF"/>
            </w:tcBorders>
            <w:shd w:fill="003A5D" w:val="clear"/>
            <w:tcMar>
              <w:bottom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Stock Awards</w:t>
            </w:r>
          </w:p>
          <w:p>
            <w:pPr>
              <w:pStyle w:val="TableContents"/>
              <w:bidi w:val="0"/>
              <w:spacing w:before="0" w:after="20"/>
              <w:jc w:val="left"/>
              <w:rPr/>
            </w:pPr>
            <w:r>
              <w:rPr/>
              <w:t> </w:t>
            </w:r>
          </w:p>
        </w:tc>
      </w:tr>
      <w:tr>
        <w:trPr/>
        <w:tc>
          <w:tcPr>
            <w:tcW w:w="1745" w:type="dxa"/>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105" w:type="dxa"/>
            <w:gridSpan w:val="2"/>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805" w:type="dxa"/>
            <w:gridSpan w:val="2"/>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820"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1745" w:type="dxa"/>
            <w:tcBorders/>
            <w:shd w:fill="003A5D" w:val="clear"/>
            <w:vAlign w:val="center"/>
          </w:tcPr>
          <w:p>
            <w:pPr>
              <w:pStyle w:val="TableContents"/>
              <w:bidi w:val="0"/>
              <w:spacing w:before="0" w:after="0"/>
              <w:jc w:val="left"/>
              <w:rPr>
                <w:color w:val="FFFFFF"/>
              </w:rPr>
            </w:pPr>
            <w:r>
              <w:rPr>
                <w:color w:val="FFFFFF"/>
              </w:rPr>
              <w:t> </w:t>
            </w:r>
            <w:r>
              <w:rPr>
                <w:rFonts w:ascii="arial" w:hAnsi="arial"/>
                <w:b/>
                <w:color w:val="FFFFFF"/>
                <w:sz w:val="18"/>
              </w:rPr>
              <w:t>Name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2045" w:type="dxa"/>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Number of Shares</w:t>
              <w:br/>
              <w:t> Acquired on Exercise </w:t>
            </w:r>
          </w:p>
          <w:p>
            <w:pPr>
              <w:pStyle w:val="TableContents"/>
              <w:bidi w:val="0"/>
              <w:spacing w:before="0" w:after="2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745" w:type="dxa"/>
            <w:tcBorders/>
            <w:shd w:fill="003A5D" w:val="clear"/>
            <w:vAlign w:val="center"/>
          </w:tcPr>
          <w:p>
            <w:pPr>
              <w:pStyle w:val="TableContents"/>
              <w:bidi w:val="0"/>
              <w:spacing w:before="0" w:after="0"/>
              <w:jc w:val="center"/>
              <w:rPr>
                <w:color w:val="FFFFFF"/>
              </w:rPr>
            </w:pPr>
            <w:r>
              <w:rPr>
                <w:color w:val="FFFFFF"/>
              </w:rPr>
              <w:t> </w:t>
            </w:r>
            <w:r>
              <w:rPr>
                <w:rFonts w:ascii="arial" w:hAnsi="arial"/>
                <w:b/>
                <w:color w:val="FFFFFF"/>
                <w:sz w:val="18"/>
              </w:rPr>
              <w:t>Value Realized on </w:t>
              <w:br/>
              <w:t>Exercise(1)</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235" w:type="dxa"/>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Number of</w:t>
              <w:br/>
              <w:t>Shares</w:t>
              <w:br/>
              <w:t> Acquired on </w:t>
              <w:br/>
              <w:t>  Vesting </w:t>
            </w:r>
          </w:p>
          <w:p>
            <w:pPr>
              <w:pStyle w:val="TableContents"/>
              <w:bidi w:val="0"/>
              <w:spacing w:before="0" w:after="2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760" w:type="dxa"/>
            <w:tcBorders/>
            <w:shd w:fill="003A5D" w:val="clear"/>
            <w:vAlign w:val="center"/>
          </w:tcPr>
          <w:p>
            <w:pPr>
              <w:pStyle w:val="TableContents"/>
              <w:bidi w:val="0"/>
              <w:spacing w:before="0" w:after="0"/>
              <w:jc w:val="center"/>
              <w:rPr>
                <w:color w:val="FFFFFF"/>
              </w:rPr>
            </w:pPr>
            <w:r>
              <w:rPr>
                <w:color w:val="FFFFFF"/>
              </w:rPr>
              <w:t> </w:t>
            </w:r>
            <w:r>
              <w:rPr>
                <w:rFonts w:ascii="arial" w:hAnsi="arial"/>
                <w:b/>
                <w:color w:val="FFFFFF"/>
                <w:sz w:val="18"/>
              </w:rPr>
              <w:t>Value Realized on </w:t>
              <w:br/>
              <w:t>  Vesting(2) </w:t>
            </w:r>
          </w:p>
          <w:p>
            <w:pPr>
              <w:pStyle w:val="TableContents"/>
              <w:bidi w:val="0"/>
              <w:spacing w:before="0" w:after="20"/>
              <w:jc w:val="left"/>
              <w:rPr/>
            </w:pPr>
            <w:r>
              <w:rPr/>
              <w:t> </w:t>
            </w:r>
          </w:p>
        </w:tc>
      </w:tr>
      <w:tr>
        <w:trPr/>
        <w:tc>
          <w:tcPr>
            <w:tcW w:w="1745"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lineRule="atLeast" w:line="320" w:before="0" w:after="0"/>
              <w:jc w:val="left"/>
              <w:rPr/>
            </w:pPr>
            <w:r>
              <w:rPr/>
              <w:t> </w:t>
            </w:r>
            <w:r>
              <w:rPr>
                <w:rFonts w:ascii="arial" w:hAnsi="arial"/>
                <w:sz w:val="18"/>
              </w:rPr>
              <w:t>Richard D. Fairbank</w:t>
            </w:r>
          </w:p>
        </w:tc>
        <w:tc>
          <w:tcPr>
            <w:tcW w:w="60" w:type="dxa"/>
            <w:tcBorders>
              <w:top w:val="single" w:sz="8" w:space="0" w:color="FFFFFF"/>
            </w:tcBorders>
            <w:tcMar>
              <w:top w:w="28" w:type="dxa"/>
            </w:tcMar>
            <w:vAlign w:val="center"/>
          </w:tcPr>
          <w:p>
            <w:pPr>
              <w:pStyle w:val="TableContents"/>
              <w:bidi w:val="0"/>
              <w:spacing w:before="0" w:after="283"/>
              <w:jc w:val="left"/>
              <w:rPr/>
            </w:pPr>
            <w:r>
              <w:rPr/>
              <w:t> </w:t>
            </w:r>
          </w:p>
        </w:tc>
        <w:tc>
          <w:tcPr>
            <w:tcW w:w="60" w:type="dxa"/>
            <w:tcBorders>
              <w:top w:val="single" w:sz="8" w:space="0" w:color="FFFFFF"/>
            </w:tcBorders>
            <w:tcMar>
              <w:top w:w="28" w:type="dxa"/>
            </w:tcMar>
            <w:vAlign w:val="center"/>
          </w:tcPr>
          <w:p>
            <w:pPr>
              <w:pStyle w:val="TableContents"/>
              <w:bidi w:val="0"/>
              <w:spacing w:before="0" w:after="283"/>
              <w:jc w:val="left"/>
              <w:rPr/>
            </w:pPr>
            <w:r>
              <w:rPr/>
              <w:t> </w:t>
            </w:r>
          </w:p>
        </w:tc>
        <w:tc>
          <w:tcPr>
            <w:tcW w:w="6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pPr>
            <w:r>
              <w:rPr/>
              <w:t> </w:t>
            </w:r>
          </w:p>
        </w:tc>
        <w:tc>
          <w:tcPr>
            <w:tcW w:w="2045"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115,812</w:t>
            </w:r>
          </w:p>
        </w:tc>
        <w:tc>
          <w:tcPr>
            <w:tcW w:w="60" w:type="dxa"/>
            <w:tcBorders>
              <w:top w:val="single" w:sz="8" w:space="0" w:color="FFFFFF"/>
            </w:tcBorders>
            <w:tcMar>
              <w:top w:w="28" w:type="dxa"/>
            </w:tcMar>
            <w:vAlign w:val="center"/>
          </w:tcPr>
          <w:p>
            <w:pPr>
              <w:pStyle w:val="TableContents"/>
              <w:bidi w:val="0"/>
              <w:spacing w:before="0" w:after="283"/>
              <w:jc w:val="left"/>
              <w:rPr/>
            </w:pPr>
            <w:r>
              <w:rPr/>
              <w:t> </w:t>
            </w:r>
          </w:p>
        </w:tc>
        <w:tc>
          <w:tcPr>
            <w:tcW w:w="60" w:type="dxa"/>
            <w:tcBorders>
              <w:top w:val="single" w:sz="8" w:space="0" w:color="FFFFFF"/>
            </w:tcBorders>
            <w:tcMar>
              <w:top w:w="28" w:type="dxa"/>
            </w:tcMar>
            <w:vAlign w:val="center"/>
          </w:tcPr>
          <w:p>
            <w:pPr>
              <w:pStyle w:val="TableContents"/>
              <w:bidi w:val="0"/>
              <w:spacing w:before="0" w:after="283"/>
              <w:jc w:val="left"/>
              <w:rPr/>
            </w:pPr>
            <w:r>
              <w:rPr/>
              <w:t> </w:t>
            </w:r>
          </w:p>
        </w:tc>
        <w:tc>
          <w:tcPr>
            <w:tcW w:w="6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pPr>
            <w:r>
              <w:rPr/>
              <w:t> </w:t>
            </w:r>
          </w:p>
        </w:tc>
        <w:tc>
          <w:tcPr>
            <w:tcW w:w="1745"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$7,083,062</w:t>
            </w:r>
          </w:p>
        </w:tc>
        <w:tc>
          <w:tcPr>
            <w:tcW w:w="60" w:type="dxa"/>
            <w:tcBorders>
              <w:top w:val="single" w:sz="8" w:space="0" w:color="FFFFFF"/>
            </w:tcBorders>
            <w:tcMar>
              <w:top w:w="28" w:type="dxa"/>
            </w:tcMar>
            <w:vAlign w:val="center"/>
          </w:tcPr>
          <w:p>
            <w:pPr>
              <w:pStyle w:val="TableContents"/>
              <w:bidi w:val="0"/>
              <w:spacing w:before="0" w:after="283"/>
              <w:jc w:val="left"/>
              <w:rPr/>
            </w:pPr>
            <w:r>
              <w:rPr/>
              <w:t> </w:t>
            </w:r>
          </w:p>
        </w:tc>
        <w:tc>
          <w:tcPr>
            <w:tcW w:w="60" w:type="dxa"/>
            <w:tcBorders>
              <w:top w:val="single" w:sz="8" w:space="0" w:color="FFFFFF"/>
            </w:tcBorders>
            <w:tcMar>
              <w:top w:w="28" w:type="dxa"/>
            </w:tcMar>
            <w:vAlign w:val="center"/>
          </w:tcPr>
          <w:p>
            <w:pPr>
              <w:pStyle w:val="TableContents"/>
              <w:bidi w:val="0"/>
              <w:spacing w:before="0" w:after="283"/>
              <w:jc w:val="left"/>
              <w:rPr/>
            </w:pPr>
            <w:r>
              <w:rPr/>
              <w:t> </w:t>
            </w:r>
          </w:p>
        </w:tc>
        <w:tc>
          <w:tcPr>
            <w:tcW w:w="6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pPr>
            <w:r>
              <w:rPr/>
              <w:t> </w:t>
            </w:r>
          </w:p>
        </w:tc>
        <w:tc>
          <w:tcPr>
            <w:tcW w:w="1235"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186,765</w:t>
            </w:r>
          </w:p>
        </w:tc>
        <w:tc>
          <w:tcPr>
            <w:tcW w:w="60" w:type="dxa"/>
            <w:tcBorders>
              <w:top w:val="single" w:sz="8" w:space="0" w:color="FFFFFF"/>
            </w:tcBorders>
            <w:tcMar>
              <w:top w:w="28" w:type="dxa"/>
            </w:tcMar>
            <w:vAlign w:val="center"/>
          </w:tcPr>
          <w:p>
            <w:pPr>
              <w:pStyle w:val="TableContents"/>
              <w:bidi w:val="0"/>
              <w:spacing w:before="0" w:after="283"/>
              <w:jc w:val="left"/>
              <w:rPr/>
            </w:pPr>
            <w:r>
              <w:rPr/>
              <w:t> </w:t>
            </w:r>
          </w:p>
        </w:tc>
        <w:tc>
          <w:tcPr>
            <w:tcW w:w="60" w:type="dxa"/>
            <w:tcBorders>
              <w:top w:val="single" w:sz="8" w:space="0" w:color="FFFFFF"/>
            </w:tcBorders>
            <w:tcMar>
              <w:top w:w="28" w:type="dxa"/>
            </w:tcMar>
            <w:vAlign w:val="center"/>
          </w:tcPr>
          <w:p>
            <w:pPr>
              <w:pStyle w:val="TableContents"/>
              <w:bidi w:val="0"/>
              <w:spacing w:before="0" w:after="283"/>
              <w:jc w:val="left"/>
              <w:rPr/>
            </w:pPr>
            <w:r>
              <w:rPr/>
              <w:t> </w:t>
            </w:r>
          </w:p>
        </w:tc>
        <w:tc>
          <w:tcPr>
            <w:tcW w:w="6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pPr>
            <w:r>
              <w:rPr/>
              <w:t> </w:t>
            </w:r>
          </w:p>
        </w:tc>
        <w:tc>
          <w:tcPr>
            <w:tcW w:w="1760"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$25,764,812</w:t>
            </w:r>
          </w:p>
        </w:tc>
      </w:tr>
      <w:tr>
        <w:trPr/>
        <w:tc>
          <w:tcPr>
            <w:tcW w:w="1745" w:type="dxa"/>
            <w:tcBorders>
              <w:bottom w:val="single" w:sz="8" w:space="0" w:color="003A5D"/>
            </w:tcBorders>
            <w:tcMar>
              <w:bottom w:w="28" w:type="dxa"/>
            </w:tcMar>
            <w:vAlign w:val="center"/>
          </w:tcPr>
          <w:p>
            <w:pPr>
              <w:pStyle w:val="TableContents"/>
              <w:bidi w:val="0"/>
              <w:spacing w:lineRule="atLeast" w:line="320" w:before="0" w:after="0"/>
              <w:jc w:val="left"/>
              <w:rPr/>
            </w:pPr>
            <w:r>
              <w:rPr/>
              <w:t> </w:t>
            </w:r>
            <w:r>
              <w:rPr>
                <w:rFonts w:ascii="arial" w:hAnsi="arial"/>
                <w:sz w:val="18"/>
              </w:rPr>
              <w:t>Andrew M. Young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045" w:type="dxa"/>
            <w:tcBorders>
              <w:bottom w:val="single" w:sz="8" w:space="0" w:color="003A5D"/>
            </w:tcBorders>
            <w:tcMar>
              <w:bottom w:w="28" w:type="dxa"/>
            </w:tcMar>
            <w:vAlign w:val="center"/>
          </w:tcPr>
          <w:p>
            <w:pPr>
              <w:pStyle w:val="TableContents"/>
              <w:bidi w:val="0"/>
              <w:spacing w:lineRule="atLeast" w:line="320" w:before="0" w:after="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745" w:type="dxa"/>
            <w:tcBorders>
              <w:bottom w:val="single" w:sz="8" w:space="0" w:color="003A5D"/>
            </w:tcBorders>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235" w:type="dxa"/>
            <w:tcBorders>
              <w:bottom w:val="single" w:sz="8" w:space="0" w:color="003A5D"/>
            </w:tcBorders>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7,713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760" w:type="dxa"/>
            <w:tcBorders>
              <w:bottom w:val="single" w:sz="8" w:space="0" w:color="003A5D"/>
            </w:tcBorders>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$1,051,745</w:t>
            </w:r>
          </w:p>
        </w:tc>
      </w:tr>
      <w:tr>
        <w:trPr/>
        <w:tc>
          <w:tcPr>
            <w:tcW w:w="1745" w:type="dxa"/>
            <w:tcBorders>
              <w:bottom w:val="single" w:sz="8" w:space="0" w:color="003A5D"/>
            </w:tcBorders>
            <w:shd w:fill="E5EBEE" w:val="clear"/>
            <w:tcMar>
              <w:bottom w:w="28" w:type="dxa"/>
            </w:tcMar>
            <w:vAlign w:val="center"/>
          </w:tcPr>
          <w:p>
            <w:pPr>
              <w:pStyle w:val="TableContents"/>
              <w:bidi w:val="0"/>
              <w:spacing w:lineRule="atLeast" w:line="320" w:before="0" w:after="0"/>
              <w:jc w:val="left"/>
              <w:rPr/>
            </w:pPr>
            <w:r>
              <w:rPr/>
              <w:t> </w:t>
            </w:r>
            <w:r>
              <w:rPr>
                <w:rFonts w:ascii="arial" w:hAnsi="arial"/>
                <w:sz w:val="18"/>
              </w:rPr>
              <w:t>Frank G. LaPrade, III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2045" w:type="dxa"/>
            <w:tcBorders>
              <w:bottom w:val="single" w:sz="8" w:space="0" w:color="003A5D"/>
            </w:tcBorders>
            <w:shd w:fill="E5EBEE" w:val="clear"/>
            <w:tcMar>
              <w:bottom w:w="28" w:type="dxa"/>
            </w:tcMar>
            <w:vAlign w:val="center"/>
          </w:tcPr>
          <w:p>
            <w:pPr>
              <w:pStyle w:val="TableContents"/>
              <w:bidi w:val="0"/>
              <w:spacing w:lineRule="atLeast" w:line="320" w:before="0" w:after="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745" w:type="dxa"/>
            <w:tcBorders>
              <w:bottom w:val="single" w:sz="8" w:space="0" w:color="003A5D"/>
            </w:tcBorders>
            <w:shd w:fill="E5EBEE" w:val="clear"/>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35" w:type="dxa"/>
            <w:tcBorders>
              <w:bottom w:val="single" w:sz="8" w:space="0" w:color="003A5D"/>
            </w:tcBorders>
            <w:shd w:fill="E5EBEE" w:val="clear"/>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33,533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760" w:type="dxa"/>
            <w:tcBorders>
              <w:bottom w:val="single" w:sz="8" w:space="0" w:color="003A5D"/>
            </w:tcBorders>
            <w:shd w:fill="E5EBEE" w:val="clear"/>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$4,615,538</w:t>
            </w:r>
          </w:p>
        </w:tc>
      </w:tr>
      <w:tr>
        <w:trPr/>
        <w:tc>
          <w:tcPr>
            <w:tcW w:w="1745" w:type="dxa"/>
            <w:tcBorders>
              <w:bottom w:val="single" w:sz="8" w:space="0" w:color="003A5D"/>
            </w:tcBorders>
            <w:tcMar>
              <w:bottom w:w="28" w:type="dxa"/>
            </w:tcMar>
            <w:vAlign w:val="center"/>
          </w:tcPr>
          <w:p>
            <w:pPr>
              <w:pStyle w:val="TableContents"/>
              <w:bidi w:val="0"/>
              <w:spacing w:lineRule="atLeast" w:line="320" w:before="0" w:after="0"/>
              <w:jc w:val="left"/>
              <w:rPr/>
            </w:pPr>
            <w:r>
              <w:rPr/>
              <w:t> </w:t>
            </w:r>
            <w:r>
              <w:rPr>
                <w:rFonts w:ascii="arial" w:hAnsi="arial"/>
                <w:sz w:val="18"/>
              </w:rPr>
              <w:t>Matthew W. Cooper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045" w:type="dxa"/>
            <w:tcBorders>
              <w:bottom w:val="single" w:sz="8" w:space="0" w:color="003A5D"/>
            </w:tcBorders>
            <w:tcMar>
              <w:bottom w:w="28" w:type="dxa"/>
            </w:tcMar>
            <w:vAlign w:val="center"/>
          </w:tcPr>
          <w:p>
            <w:pPr>
              <w:pStyle w:val="TableContents"/>
              <w:bidi w:val="0"/>
              <w:spacing w:lineRule="atLeast" w:line="320" w:before="0" w:after="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745" w:type="dxa"/>
            <w:tcBorders>
              <w:bottom w:val="single" w:sz="8" w:space="0" w:color="003A5D"/>
            </w:tcBorders>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235" w:type="dxa"/>
            <w:tcBorders>
              <w:bottom w:val="single" w:sz="8" w:space="0" w:color="003A5D"/>
            </w:tcBorders>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23,434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760" w:type="dxa"/>
            <w:tcBorders>
              <w:bottom w:val="single" w:sz="8" w:space="0" w:color="003A5D"/>
            </w:tcBorders>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$3,225,946</w:t>
            </w:r>
          </w:p>
        </w:tc>
      </w:tr>
      <w:tr>
        <w:trPr/>
        <w:tc>
          <w:tcPr>
            <w:tcW w:w="1745" w:type="dxa"/>
            <w:tcBorders>
              <w:bottom w:val="single" w:sz="8" w:space="0" w:color="003A5D"/>
            </w:tcBorders>
            <w:shd w:fill="E5EBEE" w:val="clear"/>
            <w:tcMar>
              <w:bottom w:w="28" w:type="dxa"/>
            </w:tcMar>
            <w:vAlign w:val="center"/>
          </w:tcPr>
          <w:p>
            <w:pPr>
              <w:pStyle w:val="TableContents"/>
              <w:bidi w:val="0"/>
              <w:spacing w:lineRule="atLeast" w:line="320" w:before="0" w:after="0"/>
              <w:jc w:val="left"/>
              <w:rPr/>
            </w:pPr>
            <w:r>
              <w:rPr/>
              <w:t> </w:t>
            </w:r>
            <w:r>
              <w:rPr>
                <w:rFonts w:ascii="arial" w:hAnsi="arial"/>
                <w:sz w:val="18"/>
              </w:rPr>
              <w:t>Sanjiv Yajnik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2045" w:type="dxa"/>
            <w:tcBorders>
              <w:bottom w:val="single" w:sz="8" w:space="0" w:color="003A5D"/>
            </w:tcBorders>
            <w:shd w:fill="E5EBEE" w:val="clear"/>
            <w:tcMar>
              <w:bottom w:w="28" w:type="dxa"/>
            </w:tcMar>
            <w:vAlign w:val="center"/>
          </w:tcPr>
          <w:p>
            <w:pPr>
              <w:pStyle w:val="TableContents"/>
              <w:bidi w:val="0"/>
              <w:spacing w:lineRule="atLeast" w:line="320" w:before="0" w:after="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745" w:type="dxa"/>
            <w:tcBorders>
              <w:bottom w:val="single" w:sz="8" w:space="0" w:color="003A5D"/>
            </w:tcBorders>
            <w:shd w:fill="E5EBEE" w:val="clear"/>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35" w:type="dxa"/>
            <w:tcBorders>
              <w:bottom w:val="single" w:sz="8" w:space="0" w:color="003A5D"/>
            </w:tcBorders>
            <w:shd w:fill="E5EBEE" w:val="clear"/>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34,275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760" w:type="dxa"/>
            <w:tcBorders>
              <w:bottom w:val="single" w:sz="8" w:space="0" w:color="003A5D"/>
            </w:tcBorders>
            <w:shd w:fill="E5EBEE" w:val="clear"/>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$4,720,143</w:t>
            </w:r>
          </w:p>
        </w:tc>
      </w:tr>
    </w:tbl>
    <w:p>
      <w:pPr>
        <w:pStyle w:val="TextBody"/>
        <w:pBdr>
          <w:bottom w:val="single" w:sz="2" w:space="1" w:color="000000"/>
        </w:pBdr>
        <w:bidi w:val="0"/>
        <w:spacing w:lineRule="atLeast" w:line="160" w:before="0" w:after="40"/>
        <w:jc w:val="left"/>
        <w:rPr/>
      </w:pPr>
      <w:r>
        <w:rPr/>
        <w:t> </w:t>
      </w:r>
    </w:p>
    <w:tbl>
      <w:tblPr>
        <w:tblW w:w="7660" w:type="dxa"/>
        <w:jc w:val="left"/>
        <w:tblInd w:w="0" w:type="dxa"/>
        <w:tblLayout w:type="fixed"/>
        <w:tblCellMar>
          <w:top w:w="0" w:type="dxa"/>
          <w:left w:w="0" w:type="dxa"/>
          <w:bottom w:w="0" w:type="dxa"/>
          <w:right w:w="0" w:type="dxa"/>
        </w:tblCellMar>
      </w:tblPr>
      <w:tblGrid>
        <w:gridCol w:w="305"/>
        <w:gridCol w:w="7355"/>
      </w:tblGrid>
      <w:tr>
        <w:trPr/>
        <w:tc>
          <w:tcPr>
            <w:tcW w:w="305" w:type="dxa"/>
            <w:tcBorders/>
            <w:vAlign w:val="center"/>
          </w:tcPr>
          <w:p>
            <w:pPr>
              <w:pStyle w:val="TableContents"/>
              <w:bidi w:val="0"/>
              <w:spacing w:before="0" w:after="283"/>
              <w:jc w:val="left"/>
              <w:rPr/>
            </w:pPr>
            <w:r>
              <w:rPr/>
              <w:t>(1)</w:t>
            </w:r>
          </w:p>
        </w:tc>
        <w:tc>
          <w:tcPr>
            <w:tcW w:w="7355" w:type="dxa"/>
            <w:tcBorders/>
            <w:vAlign w:val="center"/>
          </w:tcPr>
          <w:p>
            <w:pPr>
              <w:pStyle w:val="TableContents"/>
              <w:bidi w:val="0"/>
              <w:spacing w:before="0" w:after="0"/>
              <w:jc w:val="both"/>
              <w:rPr>
                <w:rFonts w:ascii="arial" w:hAnsi="arial"/>
                <w:sz w:val="16"/>
              </w:rPr>
            </w:pPr>
            <w:r>
              <w:rPr>
                <w:rFonts w:ascii="arial" w:hAnsi="arial"/>
                <w:sz w:val="16"/>
              </w:rPr>
              <w:t xml:space="preserve">The value realized is the pre-tax value of the shares (market price less the exercise price) received.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0"/>
              <w:jc w:val="both"/>
              <w:rPr>
                <w:rFonts w:ascii="arial" w:hAnsi="arial"/>
                <w:sz w:val="16"/>
              </w:rPr>
            </w:pPr>
            <w:r>
              <w:rPr>
                <w:rFonts w:ascii="arial" w:hAnsi="arial"/>
                <w:sz w:val="16"/>
              </w:rPr>
              <w:t xml:space="preserve">The value realized for awards, other than certain cash-settled RSUs and performance shares, is the pre-tax value of the number of shares multiplied by the closing price of Capital One common stock on the vesting date, as reported by the NYSE Composite Transaction Tape. For performance shares, the value realized also reflects the accrued dividends paid out as additional shares as of the date the performance share award results were certified by the Committee. Except for cash-settled RSUs that were vested and released in connection with tax withholding on February 1, 2024, the pre-tax value realized for all other cash-settled RSUs and value realized is the number of shares multiplied by the closing price of Capital One common stock for the 15 trading days preceding the vesting date, in accordance with the terms of the applicable awards. The value included in the table above that was realized from cash-settled RSUs for Mr. Fairbank was $4,538,063. </w:t>
            </w:r>
          </w:p>
        </w:tc>
      </w:tr>
    </w:tbl>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101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390" w:type="dxa"/>
        <w:jc w:val="left"/>
        <w:tblInd w:w="0" w:type="dxa"/>
        <w:tblLayout w:type="fixed"/>
        <w:tblCellMar>
          <w:top w:w="0" w:type="dxa"/>
          <w:left w:w="0" w:type="dxa"/>
          <w:bottom w:w="0" w:type="dxa"/>
          <w:right w:w="0" w:type="dxa"/>
        </w:tblCellMar>
      </w:tblPr>
      <w:tblGrid>
        <w:gridCol w:w="5390"/>
      </w:tblGrid>
      <w:tr>
        <w:trPr/>
        <w:tc>
          <w:tcPr>
            <w:tcW w:w="5390"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center"/>
          </w:tcPr>
          <w:p>
            <w:pPr>
              <w:pStyle w:val="TableContents"/>
              <w:bidi w:val="0"/>
              <w:spacing w:before="0" w:after="283"/>
              <w:jc w:val="left"/>
              <w:rPr>
                <w:b/>
                <w:color w:val="003A5D"/>
              </w:rPr>
            </w:pPr>
            <w:r>
              <w:rPr>
                <w:b/>
                <w:color w:val="003A5D"/>
              </w:rPr>
              <w:t>Section VI - Named Executive Officer Compensation</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92" w:name="txa845790_38"/>
      <w:bookmarkEnd w:id="92"/>
      <w:r>
        <w:rPr>
          <w:rFonts w:ascii="arial" w:hAnsi="arial"/>
          <w:b/>
          <w:color w:val="003A5D"/>
          <w:sz w:val="32"/>
        </w:rPr>
        <w:t xml:space="preserve">2024 Outstanding Equity Awards at Fiscal Year-End Table </w:t>
      </w:r>
    </w:p>
    <w:p>
      <w:pPr>
        <w:pStyle w:val="TextBody"/>
        <w:bidi w:val="0"/>
        <w:spacing w:before="0" w:after="0"/>
        <w:jc w:val="left"/>
        <w:rPr/>
      </w:pPr>
      <w:r>
        <w:rPr/>
        <w:t> </w:t>
      </w:r>
    </w:p>
    <w:tbl>
      <w:tblPr>
        <w:tblW w:w="12569" w:type="dxa"/>
        <w:jc w:val="left"/>
        <w:tblInd w:w="0" w:type="dxa"/>
        <w:tblLayout w:type="fixed"/>
        <w:tblCellMar>
          <w:top w:w="0" w:type="dxa"/>
          <w:left w:w="0" w:type="dxa"/>
          <w:bottom w:w="0" w:type="dxa"/>
          <w:right w:w="0" w:type="dxa"/>
        </w:tblCellMar>
      </w:tblPr>
      <w:tblGrid>
        <w:gridCol w:w="815"/>
        <w:gridCol w:w="23"/>
        <w:gridCol w:w="23"/>
        <w:gridCol w:w="60"/>
        <w:gridCol w:w="529"/>
        <w:gridCol w:w="23"/>
        <w:gridCol w:w="23"/>
        <w:gridCol w:w="23"/>
        <w:gridCol w:w="23"/>
        <w:gridCol w:w="23"/>
        <w:gridCol w:w="23"/>
        <w:gridCol w:w="23"/>
        <w:gridCol w:w="35"/>
        <w:gridCol w:w="93"/>
        <w:gridCol w:w="1249"/>
        <w:gridCol w:w="38"/>
        <w:gridCol w:w="23"/>
        <w:gridCol w:w="23"/>
        <w:gridCol w:w="23"/>
        <w:gridCol w:w="23"/>
        <w:gridCol w:w="23"/>
        <w:gridCol w:w="23"/>
        <w:gridCol w:w="95"/>
        <w:gridCol w:w="249"/>
        <w:gridCol w:w="1079"/>
        <w:gridCol w:w="97"/>
        <w:gridCol w:w="23"/>
        <w:gridCol w:w="23"/>
        <w:gridCol w:w="23"/>
        <w:gridCol w:w="23"/>
        <w:gridCol w:w="23"/>
        <w:gridCol w:w="23"/>
        <w:gridCol w:w="29"/>
        <w:gridCol w:w="78"/>
        <w:gridCol w:w="886"/>
        <w:gridCol w:w="32"/>
        <w:gridCol w:w="23"/>
        <w:gridCol w:w="23"/>
        <w:gridCol w:w="23"/>
        <w:gridCol w:w="23"/>
        <w:gridCol w:w="23"/>
        <w:gridCol w:w="23"/>
        <w:gridCol w:w="48"/>
        <w:gridCol w:w="125"/>
        <w:gridCol w:w="1043"/>
        <w:gridCol w:w="49"/>
        <w:gridCol w:w="23"/>
        <w:gridCol w:w="30"/>
        <w:gridCol w:w="80"/>
        <w:gridCol w:w="1013"/>
        <w:gridCol w:w="82"/>
        <w:gridCol w:w="23"/>
        <w:gridCol w:w="23"/>
        <w:gridCol w:w="23"/>
        <w:gridCol w:w="23"/>
        <w:gridCol w:w="23"/>
        <w:gridCol w:w="23"/>
        <w:gridCol w:w="23"/>
        <w:gridCol w:w="60"/>
        <w:gridCol w:w="1100"/>
        <w:gridCol w:w="23"/>
        <w:gridCol w:w="23"/>
        <w:gridCol w:w="23"/>
        <w:gridCol w:w="69"/>
        <w:gridCol w:w="23"/>
        <w:gridCol w:w="1130"/>
        <w:gridCol w:w="23"/>
        <w:gridCol w:w="92"/>
        <w:gridCol w:w="23"/>
        <w:gridCol w:w="1341"/>
      </w:tblGrid>
      <w:tr>
        <w:trPr/>
        <w:tc>
          <w:tcPr>
            <w:tcW w:w="8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15" w:type="dxa"/>
            <w:tcBorders/>
            <w:shd w:fill="003A5D" w:val="clear"/>
            <w:vAlign w:val="center"/>
          </w:tcPr>
          <w:p>
            <w:pPr>
              <w:pStyle w:val="TableContents"/>
              <w:bidi w:val="0"/>
              <w:spacing w:before="0" w:after="283"/>
              <w:jc w:val="left"/>
              <w:rPr>
                <w:sz w:val="4"/>
                <w:szCs w:val="4"/>
              </w:rPr>
            </w:pPr>
            <w:r>
              <w:rPr>
                <w:sz w:val="4"/>
                <w:szCs w:val="4"/>
              </w:rPr>
            </w:r>
          </w:p>
        </w:tc>
        <w:tc>
          <w:tcPr>
            <w:tcW w:w="6435" w:type="dxa"/>
            <w:gridSpan w:val="45"/>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5319" w:type="dxa"/>
            <w:gridSpan w:val="35"/>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815" w:type="dxa"/>
            <w:vMerge w:val="restart"/>
            <w:tcBorders/>
            <w:shd w:fill="003A5D" w:val="clear"/>
            <w:vAlign w:val="center"/>
          </w:tcPr>
          <w:p>
            <w:pPr>
              <w:pStyle w:val="TableContents"/>
              <w:bidi w:val="0"/>
              <w:spacing w:before="0" w:after="283"/>
              <w:jc w:val="left"/>
              <w:rPr>
                <w:color w:val="FFFFFF"/>
              </w:rPr>
            </w:pPr>
            <w:r>
              <w:rPr>
                <w:color w:val="FFFFFF"/>
              </w:rPr>
              <w:t> </w:t>
            </w:r>
            <w:r>
              <w:rPr>
                <w:b/>
                <w:color w:val="FFFFFF"/>
              </w:rPr>
              <w:t>Name</w:t>
            </w:r>
          </w:p>
        </w:tc>
        <w:tc>
          <w:tcPr>
            <w:tcW w:w="23" w:type="dxa"/>
            <w:tcBorders>
              <w:left w:val="single" w:sz="24" w:space="0" w:color="FFFFFF"/>
              <w:bottom w:val="single" w:sz="24" w:space="0" w:color="FFFFFF"/>
            </w:tcBorders>
            <w:shd w:fill="003A5D" w:val="clear"/>
            <w:tcMar>
              <w:left w:w="28" w:type="dxa"/>
              <w:bottom w:w="28" w:type="dxa"/>
            </w:tcMar>
            <w:vAlign w:val="center"/>
          </w:tcPr>
          <w:p>
            <w:pPr>
              <w:pStyle w:val="TableContents"/>
              <w:bidi w:val="0"/>
              <w:spacing w:before="0" w:after="283"/>
              <w:jc w:val="left"/>
              <w:rPr>
                <w:sz w:val="4"/>
                <w:szCs w:val="4"/>
              </w:rPr>
            </w:pPr>
            <w:r>
              <w:rPr>
                <w:sz w:val="4"/>
                <w:szCs w:val="4"/>
              </w:rPr>
            </w:r>
          </w:p>
        </w:tc>
        <w:tc>
          <w:tcPr>
            <w:tcW w:w="6412" w:type="dxa"/>
            <w:gridSpan w:val="44"/>
            <w:tcBorders>
              <w:bottom w:val="single" w:sz="24" w:space="0" w:color="FFFFFF"/>
            </w:tcBorders>
            <w:shd w:fill="003A5D" w:val="clear"/>
            <w:tcMar>
              <w:bottom w:w="28" w:type="dxa"/>
            </w:tcMar>
            <w:vAlign w:val="center"/>
          </w:tcPr>
          <w:p>
            <w:pPr>
              <w:pStyle w:val="TableContents"/>
              <w:bidi w:val="0"/>
              <w:spacing w:before="0" w:after="283"/>
              <w:jc w:val="center"/>
              <w:rPr>
                <w:b/>
                <w:color w:val="FFFFFF"/>
              </w:rPr>
            </w:pPr>
            <w:r>
              <w:rPr>
                <w:b/>
                <w:color w:val="FFFFFF"/>
              </w:rPr>
              <w:t>Option Awards(1)</w:t>
            </w:r>
          </w:p>
        </w:tc>
        <w:tc>
          <w:tcPr>
            <w:tcW w:w="23" w:type="dxa"/>
            <w:tcBorders>
              <w:left w:val="single" w:sz="24" w:space="0" w:color="FFFFFF"/>
              <w:bottom w:val="single" w:sz="24" w:space="0" w:color="FFFFFF"/>
            </w:tcBorders>
            <w:shd w:fill="003A5D" w:val="clear"/>
            <w:tcMar>
              <w:left w:w="28" w:type="dxa"/>
              <w:bottom w:w="28" w:type="dxa"/>
            </w:tcMar>
            <w:vAlign w:val="center"/>
          </w:tcPr>
          <w:p>
            <w:pPr>
              <w:pStyle w:val="TableContents"/>
              <w:bidi w:val="0"/>
              <w:spacing w:before="0" w:after="283"/>
              <w:jc w:val="left"/>
              <w:rPr>
                <w:sz w:val="4"/>
                <w:szCs w:val="4"/>
              </w:rPr>
            </w:pPr>
            <w:r>
              <w:rPr>
                <w:sz w:val="4"/>
                <w:szCs w:val="4"/>
              </w:rPr>
            </w:r>
          </w:p>
        </w:tc>
        <w:tc>
          <w:tcPr>
            <w:tcW w:w="5296" w:type="dxa"/>
            <w:gridSpan w:val="34"/>
            <w:tcBorders>
              <w:bottom w:val="single" w:sz="24" w:space="0" w:color="FFFFFF"/>
            </w:tcBorders>
            <w:shd w:fill="003A5D" w:val="clear"/>
            <w:tcMar>
              <w:bottom w:w="28" w:type="dxa"/>
            </w:tcMar>
            <w:vAlign w:val="center"/>
          </w:tcPr>
          <w:p>
            <w:pPr>
              <w:pStyle w:val="TableContents"/>
              <w:bidi w:val="0"/>
              <w:spacing w:before="0" w:after="283"/>
              <w:jc w:val="center"/>
              <w:rPr>
                <w:b/>
                <w:color w:val="FFFFFF"/>
              </w:rPr>
            </w:pPr>
            <w:r>
              <w:rPr>
                <w:b/>
                <w:color w:val="FFFFFF"/>
              </w:rPr>
              <w:t>Stock Awards</w:t>
            </w:r>
          </w:p>
        </w:tc>
      </w:tr>
      <w:tr>
        <w:trPr/>
        <w:tc>
          <w:tcPr>
            <w:tcW w:w="815" w:type="dxa"/>
            <w:vMerge w:val="continue"/>
            <w:tcBorders/>
            <w:shd w:fill="003A5D" w:val="clear"/>
            <w:vAlign w:val="center"/>
          </w:tcPr>
          <w:p>
            <w:pPr>
              <w:pStyle w:val="Normal"/>
              <w:bidi w:val="0"/>
              <w:jc w:val="left"/>
              <w:rPr/>
            </w:pPr>
            <w:r>
              <w:rPr/>
            </w:r>
          </w:p>
        </w:tc>
        <w:tc>
          <w:tcPr>
            <w:tcW w:w="23" w:type="dxa"/>
            <w:tcBorders>
              <w:left w:val="single" w:sz="24"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635" w:type="dxa"/>
            <w:gridSpan w:val="4"/>
            <w:tcBorders/>
            <w:shd w:fill="003A5D" w:val="clear"/>
            <w:vAlign w:val="center"/>
          </w:tcPr>
          <w:p>
            <w:pPr>
              <w:pStyle w:val="TableContents"/>
              <w:bidi w:val="0"/>
              <w:spacing w:before="0" w:after="283"/>
              <w:jc w:val="center"/>
              <w:rPr>
                <w:b/>
                <w:color w:val="FFFFFF"/>
              </w:rPr>
            </w:pPr>
            <w:r>
              <w:rPr>
                <w:b/>
                <w:color w:val="FFFFFF"/>
              </w:rPr>
              <w:t>Grant</w:t>
              <w:br/>
              <w:t>Date</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92" w:type="dxa"/>
            <w:gridSpan w:val="4"/>
            <w:tcBorders/>
            <w:shd w:fill="FFFFFF" w:val="clear"/>
            <w:vAlign w:val="center"/>
          </w:tcPr>
          <w:p>
            <w:pPr>
              <w:pStyle w:val="TableContents"/>
              <w:bidi w:val="0"/>
              <w:spacing w:before="0" w:after="283"/>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415" w:type="dxa"/>
            <w:gridSpan w:val="4"/>
            <w:tcBorders/>
            <w:shd w:fill="003A5D" w:val="clear"/>
            <w:vAlign w:val="center"/>
          </w:tcPr>
          <w:p>
            <w:pPr>
              <w:pStyle w:val="TableContents"/>
              <w:bidi w:val="0"/>
              <w:spacing w:before="0" w:after="283"/>
              <w:jc w:val="center"/>
              <w:rPr>
                <w:b/>
                <w:color w:val="FFFFFF"/>
              </w:rPr>
            </w:pPr>
            <w:r>
              <w:rPr>
                <w:b/>
                <w:color w:val="FFFFFF"/>
              </w:rPr>
              <w:t>Number of</w:t>
              <w:br/>
              <w:t>Securities</w:t>
              <w:br/>
              <w:t>Underlying</w:t>
              <w:br/>
              <w:t> Unexercised </w:t>
              <w:br/>
              <w:t>Options</w:t>
              <w:br/>
              <w:t>Exercisable</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92" w:type="dxa"/>
            <w:gridSpan w:val="4"/>
            <w:tcBorders/>
            <w:shd w:fill="FFFFFF" w:val="clear"/>
            <w:vAlign w:val="center"/>
          </w:tcPr>
          <w:p>
            <w:pPr>
              <w:pStyle w:val="TableContents"/>
              <w:bidi w:val="0"/>
              <w:spacing w:before="0" w:after="283"/>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520" w:type="dxa"/>
            <w:gridSpan w:val="4"/>
            <w:tcBorders/>
            <w:shd w:fill="003A5D" w:val="clear"/>
            <w:vAlign w:val="center"/>
          </w:tcPr>
          <w:p>
            <w:pPr>
              <w:pStyle w:val="TableContents"/>
              <w:bidi w:val="0"/>
              <w:spacing w:before="0" w:after="283"/>
              <w:jc w:val="center"/>
              <w:rPr>
                <w:b/>
                <w:color w:val="FFFFFF"/>
              </w:rPr>
            </w:pPr>
            <w:r>
              <w:rPr>
                <w:b/>
                <w:color w:val="FFFFFF"/>
              </w:rPr>
              <w:t>Number of</w:t>
              <w:br/>
              <w:t>Securities</w:t>
              <w:br/>
              <w:t>Underlying</w:t>
              <w:br/>
              <w:t>Unexercised</w:t>
              <w:br/>
              <w:t>Options</w:t>
              <w:br/>
              <w:t> Unexercisable 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92" w:type="dxa"/>
            <w:gridSpan w:val="4"/>
            <w:tcBorders/>
            <w:shd w:fill="FFFFFF" w:val="clear"/>
            <w:vAlign w:val="center"/>
          </w:tcPr>
          <w:p>
            <w:pPr>
              <w:pStyle w:val="TableContents"/>
              <w:bidi w:val="0"/>
              <w:spacing w:before="0" w:after="283"/>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025" w:type="dxa"/>
            <w:gridSpan w:val="4"/>
            <w:tcBorders/>
            <w:shd w:fill="003A5D" w:val="clear"/>
            <w:vAlign w:val="center"/>
          </w:tcPr>
          <w:p>
            <w:pPr>
              <w:pStyle w:val="TableContents"/>
              <w:bidi w:val="0"/>
              <w:spacing w:before="0" w:after="283"/>
              <w:jc w:val="center"/>
              <w:rPr>
                <w:b/>
                <w:color w:val="FFFFFF"/>
              </w:rPr>
            </w:pPr>
            <w:r>
              <w:rPr>
                <w:b/>
                <w:color w:val="FFFFFF"/>
              </w:rPr>
              <w:t>Option</w:t>
              <w:br/>
              <w:t> Exercise </w:t>
              <w:br/>
              <w:t>Price(2)</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92" w:type="dxa"/>
            <w:gridSpan w:val="4"/>
            <w:tcBorders/>
            <w:shd w:fill="FFFFFF" w:val="clear"/>
            <w:vAlign w:val="center"/>
          </w:tcPr>
          <w:p>
            <w:pPr>
              <w:pStyle w:val="TableContents"/>
              <w:bidi w:val="0"/>
              <w:spacing w:before="0" w:after="283"/>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265" w:type="dxa"/>
            <w:gridSpan w:val="4"/>
            <w:tcBorders/>
            <w:shd w:fill="003A5D" w:val="clear"/>
            <w:vAlign w:val="center"/>
          </w:tcPr>
          <w:p>
            <w:pPr>
              <w:pStyle w:val="TableContents"/>
              <w:bidi w:val="0"/>
              <w:spacing w:before="0" w:after="283"/>
              <w:jc w:val="center"/>
              <w:rPr>
                <w:b/>
                <w:color w:val="FFFFFF"/>
              </w:rPr>
            </w:pPr>
            <w:r>
              <w:rPr>
                <w:b/>
                <w:color w:val="FFFFFF"/>
              </w:rPr>
              <w:t>Option</w:t>
              <w:br/>
              <w:t> Expiration </w:t>
              <w:br/>
              <w:t>Date</w:t>
            </w:r>
          </w:p>
        </w:tc>
        <w:tc>
          <w:tcPr>
            <w:tcW w:w="23" w:type="dxa"/>
            <w:tcBorders>
              <w:left w:val="single" w:sz="24"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1205" w:type="dxa"/>
            <w:gridSpan w:val="4"/>
            <w:tcBorders/>
            <w:shd w:fill="003A5D" w:val="clear"/>
            <w:vAlign w:val="center"/>
          </w:tcPr>
          <w:p>
            <w:pPr>
              <w:pStyle w:val="TableContents"/>
              <w:bidi w:val="0"/>
              <w:spacing w:before="0" w:after="283"/>
              <w:jc w:val="center"/>
              <w:rPr>
                <w:color w:val="FFFFFF"/>
              </w:rPr>
            </w:pPr>
            <w:r>
              <w:rPr>
                <w:color w:val="FFFFFF"/>
              </w:rPr>
              <w:t> </w:t>
            </w:r>
            <w:r>
              <w:rPr>
                <w:b/>
                <w:color w:val="FFFFFF"/>
              </w:rPr>
              <w:t>Number of </w:t>
              <w:br/>
              <w:t>Shares or</w:t>
              <w:br/>
              <w:t>Units of</w:t>
              <w:br/>
              <w:t>Stock that</w:t>
              <w:br/>
              <w:t>Have Not</w:t>
              <w:br/>
              <w:t>Vested</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92" w:type="dxa"/>
            <w:gridSpan w:val="4"/>
            <w:tcBorders/>
            <w:shd w:fill="FFFFFF" w:val="clear"/>
            <w:vAlign w:val="center"/>
          </w:tcPr>
          <w:p>
            <w:pPr>
              <w:pStyle w:val="TableContents"/>
              <w:bidi w:val="0"/>
              <w:spacing w:before="0" w:after="283"/>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206" w:type="dxa"/>
            <w:gridSpan w:val="4"/>
            <w:tcBorders/>
            <w:shd w:fill="003A5D" w:val="clear"/>
            <w:vAlign w:val="center"/>
          </w:tcPr>
          <w:p>
            <w:pPr>
              <w:pStyle w:val="TableContents"/>
              <w:bidi w:val="0"/>
              <w:spacing w:before="0" w:after="283"/>
              <w:jc w:val="center"/>
              <w:rPr>
                <w:b/>
                <w:color w:val="FFFFFF"/>
              </w:rPr>
            </w:pPr>
            <w:r>
              <w:rPr>
                <w:b/>
                <w:color w:val="FFFFFF"/>
              </w:rPr>
              <w:t>Market</w:t>
              <w:br/>
              <w:t>Value of</w:t>
              <w:br/>
              <w:t>Shares or</w:t>
              <w:br/>
              <w:t>Units of</w:t>
              <w:br/>
              <w:t>Stock that</w:t>
              <w:br/>
              <w:t>Have Not</w:t>
              <w:br/>
              <w:t>Vested(3)</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92" w:type="dxa"/>
            <w:gridSpan w:val="4"/>
            <w:tcBorders/>
            <w:shd w:fill="FFFFFF" w:val="clear"/>
            <w:vAlign w:val="center"/>
          </w:tcPr>
          <w:p>
            <w:pPr>
              <w:pStyle w:val="TableContents"/>
              <w:bidi w:val="0"/>
              <w:spacing w:before="0" w:after="283"/>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130" w:type="dxa"/>
            <w:gridSpan w:val="4"/>
            <w:tcBorders/>
            <w:shd w:fill="003A5D" w:val="clear"/>
            <w:vAlign w:val="center"/>
          </w:tcPr>
          <w:p>
            <w:pPr>
              <w:pStyle w:val="TableContents"/>
              <w:bidi w:val="0"/>
              <w:spacing w:before="0" w:after="283"/>
              <w:jc w:val="center"/>
              <w:rPr>
                <w:b/>
                <w:color w:val="FFFFFF"/>
              </w:rPr>
            </w:pPr>
            <w:r>
              <w:rPr>
                <w:b/>
                <w:color w:val="FFFFFF"/>
              </w:rPr>
              <w:t>Equity</w:t>
              <w:br/>
              <w:t>Incentive</w:t>
              <w:br/>
              <w:t>Plan</w:t>
              <w:br/>
              <w:t>Awards:</w:t>
              <w:br/>
              <w:t>Number of</w:t>
              <w:br/>
              <w:t>Unearned</w:t>
              <w:br/>
              <w:t>Shares,</w:t>
              <w:br/>
              <w:t>Units, or</w:t>
              <w:br/>
              <w:t>Other</w:t>
              <w:br/>
              <w:t>Rights</w:t>
              <w:br/>
              <w:t>that Have</w:t>
              <w:br/>
              <w:t>Not</w:t>
              <w:br/>
              <w:t>Vested</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92" w:type="dxa"/>
            <w:gridSpan w:val="4"/>
            <w:tcBorders/>
            <w:shd w:fill="FFFFFF" w:val="clear"/>
            <w:vAlign w:val="center"/>
          </w:tcPr>
          <w:p>
            <w:pPr>
              <w:pStyle w:val="TableContents"/>
              <w:bidi w:val="0"/>
              <w:spacing w:before="0" w:after="283"/>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341" w:type="dxa"/>
            <w:gridSpan w:val="4"/>
            <w:tcBorders/>
            <w:shd w:fill="003A5D" w:val="clear"/>
            <w:vAlign w:val="center"/>
          </w:tcPr>
          <w:p>
            <w:pPr>
              <w:pStyle w:val="TableContents"/>
              <w:bidi w:val="0"/>
              <w:spacing w:before="0" w:after="283"/>
              <w:jc w:val="center"/>
              <w:rPr>
                <w:b/>
                <w:color w:val="FFFFFF"/>
              </w:rPr>
            </w:pPr>
            <w:r>
              <w:rPr>
                <w:b/>
                <w:color w:val="FFFFFF"/>
              </w:rPr>
              <w:t>Equity</w:t>
              <w:br/>
              <w:t>Incentive</w:t>
              <w:br/>
              <w:t>Plan</w:t>
              <w:br/>
              <w:t>Awards:</w:t>
              <w:br/>
              <w:t>Market or</w:t>
              <w:br/>
              <w:t>Payout</w:t>
              <w:br/>
              <w:t>Value of</w:t>
              <w:br/>
              <w:t>Unearned</w:t>
              <w:br/>
              <w:t>Shares,</w:t>
              <w:br/>
              <w:t>Units, or</w:t>
              <w:br/>
              <w:t>Other</w:t>
              <w:br/>
              <w:t>Rights that</w:t>
              <w:br/>
              <w:t>Have Not</w:t>
              <w:br/>
              <w:t>Vested(3)</w:t>
            </w:r>
          </w:p>
        </w:tc>
      </w:tr>
      <w:tr>
        <w:trPr/>
        <w:tc>
          <w:tcPr>
            <w:tcW w:w="815" w:type="dxa"/>
            <w:vMerge w:val="restart"/>
            <w:tcBorders>
              <w:bottom w:val="single" w:sz="8" w:space="0" w:color="003A5D"/>
            </w:tcBorders>
            <w:tcMar>
              <w:bottom w:w="60" w:type="dxa"/>
            </w:tcMar>
            <w:vAlign w:val="center"/>
          </w:tcPr>
          <w:p>
            <w:pPr>
              <w:pStyle w:val="TableContents"/>
              <w:bidi w:val="0"/>
              <w:spacing w:before="0" w:after="0"/>
              <w:jc w:val="left"/>
              <w:rPr>
                <w:rFonts w:ascii="arial" w:hAnsi="arial"/>
                <w:sz w:val="16"/>
              </w:rPr>
            </w:pPr>
            <w:r>
              <w:rPr>
                <w:rFonts w:ascii="arial" w:hAnsi="arial"/>
                <w:sz w:val="16"/>
              </w:rPr>
              <w:t>Richard D. Fairbank</w:t>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529" w:type="dxa"/>
            <w:tcBorders/>
            <w:shd w:fill="E5EBEE" w:val="clear"/>
            <w:vAlign w:val="center"/>
          </w:tcPr>
          <w:p>
            <w:pPr>
              <w:pStyle w:val="TableContents"/>
              <w:bidi w:val="0"/>
              <w:spacing w:before="0" w:after="283"/>
              <w:jc w:val="center"/>
              <w:rPr/>
            </w:pPr>
            <w:r>
              <w:rPr/>
              <w:t>2/4/2016</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35" w:type="dxa"/>
            <w:tcBorders/>
            <w:shd w:fill="E5EBEE" w:val="clear"/>
            <w:vAlign w:val="center"/>
          </w:tcPr>
          <w:p>
            <w:pPr>
              <w:pStyle w:val="TableContents"/>
              <w:bidi w:val="0"/>
              <w:spacing w:before="0" w:after="283"/>
              <w:jc w:val="left"/>
              <w:rPr>
                <w:sz w:val="4"/>
                <w:szCs w:val="4"/>
              </w:rPr>
            </w:pPr>
            <w:r>
              <w:rPr>
                <w:sz w:val="4"/>
                <w:szCs w:val="4"/>
              </w:rPr>
            </w:r>
          </w:p>
        </w:tc>
        <w:tc>
          <w:tcPr>
            <w:tcW w:w="93" w:type="dxa"/>
            <w:tcBorders/>
            <w:shd w:fill="E5EBEE" w:val="clear"/>
            <w:vAlign w:val="center"/>
          </w:tcPr>
          <w:p>
            <w:pPr>
              <w:pStyle w:val="TableContents"/>
              <w:bidi w:val="0"/>
              <w:spacing w:before="0" w:after="283"/>
              <w:jc w:val="left"/>
              <w:rPr/>
            </w:pPr>
            <w:r>
              <w:rPr/>
              <w:t> </w:t>
            </w:r>
          </w:p>
        </w:tc>
        <w:tc>
          <w:tcPr>
            <w:tcW w:w="1249" w:type="dxa"/>
            <w:tcBorders/>
            <w:shd w:fill="E5EBEE" w:val="clear"/>
            <w:vAlign w:val="center"/>
          </w:tcPr>
          <w:p>
            <w:pPr>
              <w:pStyle w:val="TableContents"/>
              <w:bidi w:val="0"/>
              <w:spacing w:before="0" w:after="283"/>
              <w:jc w:val="center"/>
              <w:rPr/>
            </w:pPr>
            <w:r>
              <w:rPr/>
              <w:t>106,973</w:t>
            </w:r>
          </w:p>
        </w:tc>
        <w:tc>
          <w:tcPr>
            <w:tcW w:w="38"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95" w:type="dxa"/>
            <w:tcBorders/>
            <w:shd w:fill="E5EBEE" w:val="clear"/>
            <w:vAlign w:val="center"/>
          </w:tcPr>
          <w:p>
            <w:pPr>
              <w:pStyle w:val="TableContents"/>
              <w:bidi w:val="0"/>
              <w:spacing w:before="0" w:after="283"/>
              <w:jc w:val="left"/>
              <w:rPr>
                <w:sz w:val="4"/>
                <w:szCs w:val="4"/>
              </w:rPr>
            </w:pPr>
            <w:r>
              <w:rPr>
                <w:sz w:val="4"/>
                <w:szCs w:val="4"/>
              </w:rPr>
            </w:r>
          </w:p>
        </w:tc>
        <w:tc>
          <w:tcPr>
            <w:tcW w:w="249" w:type="dxa"/>
            <w:tcBorders/>
            <w:shd w:fill="E5EBEE" w:val="clear"/>
            <w:vAlign w:val="center"/>
          </w:tcPr>
          <w:p>
            <w:pPr>
              <w:pStyle w:val="TableContents"/>
              <w:bidi w:val="0"/>
              <w:spacing w:before="0" w:after="283"/>
              <w:jc w:val="left"/>
              <w:rPr/>
            </w:pPr>
            <w:r>
              <w:rPr/>
              <w:t> </w:t>
            </w:r>
          </w:p>
        </w:tc>
        <w:tc>
          <w:tcPr>
            <w:tcW w:w="1079" w:type="dxa"/>
            <w:tcBorders/>
            <w:shd w:fill="E5EBEE" w:val="clear"/>
            <w:vAlign w:val="center"/>
          </w:tcPr>
          <w:p>
            <w:pPr>
              <w:pStyle w:val="TableContents"/>
              <w:bidi w:val="0"/>
              <w:spacing w:before="0" w:after="283"/>
              <w:jc w:val="center"/>
              <w:rPr/>
            </w:pPr>
            <w:r>
              <w:rPr/>
              <w:t>—</w:t>
            </w:r>
          </w:p>
        </w:tc>
        <w:tc>
          <w:tcPr>
            <w:tcW w:w="97"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9" w:type="dxa"/>
            <w:tcBorders/>
            <w:shd w:fill="E5EBEE" w:val="clear"/>
            <w:vAlign w:val="center"/>
          </w:tcPr>
          <w:p>
            <w:pPr>
              <w:pStyle w:val="TableContents"/>
              <w:bidi w:val="0"/>
              <w:spacing w:before="0" w:after="283"/>
              <w:jc w:val="left"/>
              <w:rPr>
                <w:sz w:val="4"/>
                <w:szCs w:val="4"/>
              </w:rPr>
            </w:pPr>
            <w:r>
              <w:rPr>
                <w:sz w:val="4"/>
                <w:szCs w:val="4"/>
              </w:rPr>
            </w:r>
          </w:p>
        </w:tc>
        <w:tc>
          <w:tcPr>
            <w:tcW w:w="78" w:type="dxa"/>
            <w:tcBorders/>
            <w:shd w:fill="E5EBEE" w:val="clear"/>
            <w:vAlign w:val="center"/>
          </w:tcPr>
          <w:p>
            <w:pPr>
              <w:pStyle w:val="TableContents"/>
              <w:bidi w:val="0"/>
              <w:spacing w:before="0" w:after="283"/>
              <w:jc w:val="left"/>
              <w:rPr/>
            </w:pPr>
            <w:r>
              <w:rPr/>
              <w:t> </w:t>
            </w:r>
          </w:p>
        </w:tc>
        <w:tc>
          <w:tcPr>
            <w:tcW w:w="886" w:type="dxa"/>
            <w:tcBorders/>
            <w:shd w:fill="E5EBEE" w:val="clear"/>
            <w:vAlign w:val="center"/>
          </w:tcPr>
          <w:p>
            <w:pPr>
              <w:pStyle w:val="TableContents"/>
              <w:bidi w:val="0"/>
              <w:spacing w:before="0" w:after="283"/>
              <w:jc w:val="center"/>
              <w:rPr/>
            </w:pPr>
            <w:r>
              <w:rPr/>
              <w:t>$63.73</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48" w:type="dxa"/>
            <w:tcBorders/>
            <w:shd w:fill="E5EBEE" w:val="clear"/>
            <w:vAlign w:val="center"/>
          </w:tcPr>
          <w:p>
            <w:pPr>
              <w:pStyle w:val="TableContents"/>
              <w:bidi w:val="0"/>
              <w:spacing w:before="0" w:after="283"/>
              <w:jc w:val="left"/>
              <w:rPr>
                <w:sz w:val="4"/>
                <w:szCs w:val="4"/>
              </w:rPr>
            </w:pPr>
            <w:r>
              <w:rPr>
                <w:sz w:val="4"/>
                <w:szCs w:val="4"/>
              </w:rPr>
            </w:r>
          </w:p>
        </w:tc>
        <w:tc>
          <w:tcPr>
            <w:tcW w:w="125" w:type="dxa"/>
            <w:tcBorders/>
            <w:shd w:fill="E5EBEE" w:val="clear"/>
            <w:vAlign w:val="center"/>
          </w:tcPr>
          <w:p>
            <w:pPr>
              <w:pStyle w:val="TableContents"/>
              <w:bidi w:val="0"/>
              <w:spacing w:before="0" w:after="283"/>
              <w:jc w:val="left"/>
              <w:rPr/>
            </w:pPr>
            <w:r>
              <w:rPr/>
              <w:t> </w:t>
            </w:r>
          </w:p>
        </w:tc>
        <w:tc>
          <w:tcPr>
            <w:tcW w:w="1043" w:type="dxa"/>
            <w:tcBorders/>
            <w:shd w:fill="E5EBEE" w:val="clear"/>
            <w:vAlign w:val="center"/>
          </w:tcPr>
          <w:p>
            <w:pPr>
              <w:pStyle w:val="TableContents"/>
              <w:bidi w:val="0"/>
              <w:spacing w:before="0" w:after="283"/>
              <w:jc w:val="center"/>
              <w:rPr/>
            </w:pPr>
            <w:r>
              <w:rPr/>
              <w:t>2/3/2026</w:t>
            </w:r>
          </w:p>
        </w:tc>
        <w:tc>
          <w:tcPr>
            <w:tcW w:w="49"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30" w:type="dxa"/>
            <w:tcBorders/>
            <w:shd w:fill="E5EBEE" w:val="clear"/>
            <w:vAlign w:val="center"/>
          </w:tcPr>
          <w:p>
            <w:pPr>
              <w:pStyle w:val="TableContents"/>
              <w:bidi w:val="0"/>
              <w:spacing w:before="0" w:after="283"/>
              <w:jc w:val="left"/>
              <w:rPr>
                <w:sz w:val="4"/>
                <w:szCs w:val="4"/>
              </w:rPr>
            </w:pPr>
            <w:r>
              <w:rPr>
                <w:sz w:val="4"/>
                <w:szCs w:val="4"/>
              </w:rPr>
            </w:r>
          </w:p>
        </w:tc>
        <w:tc>
          <w:tcPr>
            <w:tcW w:w="80" w:type="dxa"/>
            <w:tcBorders/>
            <w:shd w:fill="E5EBEE" w:val="clear"/>
            <w:vAlign w:val="center"/>
          </w:tcPr>
          <w:p>
            <w:pPr>
              <w:pStyle w:val="TableContents"/>
              <w:bidi w:val="0"/>
              <w:spacing w:before="0" w:after="283"/>
              <w:jc w:val="left"/>
              <w:rPr/>
            </w:pPr>
            <w:r>
              <w:rPr/>
              <w:t> </w:t>
            </w:r>
          </w:p>
        </w:tc>
        <w:tc>
          <w:tcPr>
            <w:tcW w:w="1013" w:type="dxa"/>
            <w:tcBorders/>
            <w:shd w:fill="E5EBEE" w:val="clear"/>
            <w:vAlign w:val="center"/>
          </w:tcPr>
          <w:p>
            <w:pPr>
              <w:pStyle w:val="TableContents"/>
              <w:bidi w:val="0"/>
              <w:spacing w:before="0" w:after="283"/>
              <w:jc w:val="center"/>
              <w:rPr/>
            </w:pPr>
            <w:r>
              <w:rPr/>
              <w:t>—</w:t>
            </w:r>
          </w:p>
        </w:tc>
        <w:tc>
          <w:tcPr>
            <w:tcW w:w="82" w:type="dxa"/>
            <w:tcBorders/>
            <w:shd w:fill="E5EBEE"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2/2/2017</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center"/>
              <w:rPr/>
            </w:pPr>
            <w:r>
              <w:rPr/>
              <w:t>81,486</w:t>
            </w:r>
          </w:p>
        </w:tc>
        <w:tc>
          <w:tcPr>
            <w:tcW w:w="38"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center"/>
              <w:rPr/>
            </w:pPr>
            <w:r>
              <w:rPr/>
              <w:t>—</w:t>
            </w:r>
          </w:p>
        </w:tc>
        <w:tc>
          <w:tcPr>
            <w:tcW w:w="97"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center"/>
              <w:rPr/>
            </w:pPr>
            <w:r>
              <w:rPr/>
              <w:t>$86.34</w:t>
            </w:r>
          </w:p>
        </w:tc>
        <w:tc>
          <w:tcPr>
            <w:tcW w:w="32"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center"/>
              <w:rPr/>
            </w:pPr>
            <w:r>
              <w:rPr/>
              <w:t>2/2/2027</w:t>
            </w:r>
          </w:p>
        </w:tc>
        <w:tc>
          <w:tcPr>
            <w:tcW w:w="49" w:type="dxa"/>
            <w:tcBorders/>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center"/>
              <w:rPr/>
            </w:pPr>
            <w:r>
              <w:rPr/>
              <w:t>—</w:t>
            </w:r>
          </w:p>
        </w:tc>
        <w:tc>
          <w:tcPr>
            <w:tcW w:w="82" w:type="dxa"/>
            <w:tcBorders/>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529" w:type="dxa"/>
            <w:tcBorders/>
            <w:shd w:fill="E5EBEE" w:val="clear"/>
            <w:vAlign w:val="center"/>
          </w:tcPr>
          <w:p>
            <w:pPr>
              <w:pStyle w:val="TableContents"/>
              <w:bidi w:val="0"/>
              <w:spacing w:before="0" w:after="283"/>
              <w:jc w:val="center"/>
              <w:rPr/>
            </w:pPr>
            <w:r>
              <w:rPr/>
              <w:t>2/3/2022</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35" w:type="dxa"/>
            <w:tcBorders/>
            <w:shd w:fill="E5EBEE" w:val="clear"/>
            <w:vAlign w:val="center"/>
          </w:tcPr>
          <w:p>
            <w:pPr>
              <w:pStyle w:val="TableContents"/>
              <w:bidi w:val="0"/>
              <w:spacing w:before="0" w:after="283"/>
              <w:jc w:val="left"/>
              <w:rPr>
                <w:sz w:val="4"/>
                <w:szCs w:val="4"/>
              </w:rPr>
            </w:pPr>
            <w:r>
              <w:rPr>
                <w:sz w:val="4"/>
                <w:szCs w:val="4"/>
              </w:rPr>
            </w:r>
          </w:p>
        </w:tc>
        <w:tc>
          <w:tcPr>
            <w:tcW w:w="93" w:type="dxa"/>
            <w:tcBorders/>
            <w:shd w:fill="E5EBEE" w:val="clear"/>
            <w:vAlign w:val="center"/>
          </w:tcPr>
          <w:p>
            <w:pPr>
              <w:pStyle w:val="TableContents"/>
              <w:bidi w:val="0"/>
              <w:spacing w:before="0" w:after="283"/>
              <w:jc w:val="left"/>
              <w:rPr/>
            </w:pPr>
            <w:r>
              <w:rPr/>
              <w:t> </w:t>
            </w:r>
          </w:p>
        </w:tc>
        <w:tc>
          <w:tcPr>
            <w:tcW w:w="1249" w:type="dxa"/>
            <w:tcBorders/>
            <w:shd w:fill="E5EBEE" w:val="clear"/>
            <w:vAlign w:val="center"/>
          </w:tcPr>
          <w:p>
            <w:pPr>
              <w:pStyle w:val="TableContents"/>
              <w:bidi w:val="0"/>
              <w:spacing w:before="0" w:after="283"/>
              <w:jc w:val="center"/>
              <w:rPr/>
            </w:pPr>
            <w:r>
              <w:rPr/>
              <w:t>—</w:t>
            </w:r>
          </w:p>
        </w:tc>
        <w:tc>
          <w:tcPr>
            <w:tcW w:w="38"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95" w:type="dxa"/>
            <w:tcBorders/>
            <w:shd w:fill="E5EBEE" w:val="clear"/>
            <w:vAlign w:val="center"/>
          </w:tcPr>
          <w:p>
            <w:pPr>
              <w:pStyle w:val="TableContents"/>
              <w:bidi w:val="0"/>
              <w:spacing w:before="0" w:after="283"/>
              <w:jc w:val="left"/>
              <w:rPr>
                <w:sz w:val="4"/>
                <w:szCs w:val="4"/>
              </w:rPr>
            </w:pPr>
            <w:r>
              <w:rPr>
                <w:sz w:val="4"/>
                <w:szCs w:val="4"/>
              </w:rPr>
            </w:r>
          </w:p>
        </w:tc>
        <w:tc>
          <w:tcPr>
            <w:tcW w:w="249" w:type="dxa"/>
            <w:tcBorders/>
            <w:shd w:fill="E5EBEE" w:val="clear"/>
            <w:vAlign w:val="center"/>
          </w:tcPr>
          <w:p>
            <w:pPr>
              <w:pStyle w:val="TableContents"/>
              <w:bidi w:val="0"/>
              <w:spacing w:before="0" w:after="283"/>
              <w:jc w:val="left"/>
              <w:rPr/>
            </w:pPr>
            <w:r>
              <w:rPr/>
              <w:t> </w:t>
            </w:r>
          </w:p>
        </w:tc>
        <w:tc>
          <w:tcPr>
            <w:tcW w:w="1079" w:type="dxa"/>
            <w:tcBorders/>
            <w:shd w:fill="E5EBEE" w:val="clear"/>
            <w:vAlign w:val="center"/>
          </w:tcPr>
          <w:p>
            <w:pPr>
              <w:pStyle w:val="TableContents"/>
              <w:bidi w:val="0"/>
              <w:spacing w:before="0" w:after="283"/>
              <w:jc w:val="center"/>
              <w:rPr/>
            </w:pPr>
            <w:r>
              <w:rPr/>
              <w:t>—</w:t>
            </w:r>
          </w:p>
        </w:tc>
        <w:tc>
          <w:tcPr>
            <w:tcW w:w="97"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9" w:type="dxa"/>
            <w:tcBorders/>
            <w:shd w:fill="E5EBEE" w:val="clear"/>
            <w:vAlign w:val="center"/>
          </w:tcPr>
          <w:p>
            <w:pPr>
              <w:pStyle w:val="TableContents"/>
              <w:bidi w:val="0"/>
              <w:spacing w:before="0" w:after="283"/>
              <w:jc w:val="left"/>
              <w:rPr>
                <w:sz w:val="4"/>
                <w:szCs w:val="4"/>
              </w:rPr>
            </w:pPr>
            <w:r>
              <w:rPr>
                <w:sz w:val="4"/>
                <w:szCs w:val="4"/>
              </w:rPr>
            </w:r>
          </w:p>
        </w:tc>
        <w:tc>
          <w:tcPr>
            <w:tcW w:w="78" w:type="dxa"/>
            <w:tcBorders/>
            <w:shd w:fill="E5EBEE" w:val="clear"/>
            <w:vAlign w:val="center"/>
          </w:tcPr>
          <w:p>
            <w:pPr>
              <w:pStyle w:val="TableContents"/>
              <w:bidi w:val="0"/>
              <w:spacing w:before="0" w:after="283"/>
              <w:jc w:val="left"/>
              <w:rPr/>
            </w:pPr>
            <w:r>
              <w:rPr/>
              <w:t> </w:t>
            </w:r>
          </w:p>
        </w:tc>
        <w:tc>
          <w:tcPr>
            <w:tcW w:w="886"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48" w:type="dxa"/>
            <w:tcBorders/>
            <w:shd w:fill="E5EBEE" w:val="clear"/>
            <w:vAlign w:val="center"/>
          </w:tcPr>
          <w:p>
            <w:pPr>
              <w:pStyle w:val="TableContents"/>
              <w:bidi w:val="0"/>
              <w:spacing w:before="0" w:after="283"/>
              <w:jc w:val="left"/>
              <w:rPr>
                <w:sz w:val="4"/>
                <w:szCs w:val="4"/>
              </w:rPr>
            </w:pPr>
            <w:r>
              <w:rPr>
                <w:sz w:val="4"/>
                <w:szCs w:val="4"/>
              </w:rPr>
            </w:r>
          </w:p>
        </w:tc>
        <w:tc>
          <w:tcPr>
            <w:tcW w:w="125" w:type="dxa"/>
            <w:tcBorders/>
            <w:shd w:fill="E5EBEE" w:val="clear"/>
            <w:vAlign w:val="center"/>
          </w:tcPr>
          <w:p>
            <w:pPr>
              <w:pStyle w:val="TableContents"/>
              <w:bidi w:val="0"/>
              <w:spacing w:before="0" w:after="283"/>
              <w:jc w:val="left"/>
              <w:rPr/>
            </w:pPr>
            <w:r>
              <w:rPr/>
              <w:t> </w:t>
            </w:r>
          </w:p>
        </w:tc>
        <w:tc>
          <w:tcPr>
            <w:tcW w:w="1043" w:type="dxa"/>
            <w:tcBorders/>
            <w:shd w:fill="E5EBEE" w:val="clear"/>
            <w:vAlign w:val="center"/>
          </w:tcPr>
          <w:p>
            <w:pPr>
              <w:pStyle w:val="TableContents"/>
              <w:bidi w:val="0"/>
              <w:spacing w:before="0" w:after="283"/>
              <w:jc w:val="center"/>
              <w:rPr/>
            </w:pPr>
            <w:r>
              <w:rPr/>
              <w:t>—</w:t>
            </w:r>
          </w:p>
        </w:tc>
        <w:tc>
          <w:tcPr>
            <w:tcW w:w="49"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30" w:type="dxa"/>
            <w:tcBorders/>
            <w:shd w:fill="E5EBEE" w:val="clear"/>
            <w:vAlign w:val="center"/>
          </w:tcPr>
          <w:p>
            <w:pPr>
              <w:pStyle w:val="TableContents"/>
              <w:bidi w:val="0"/>
              <w:spacing w:before="0" w:after="283"/>
              <w:jc w:val="left"/>
              <w:rPr>
                <w:sz w:val="4"/>
                <w:szCs w:val="4"/>
              </w:rPr>
            </w:pPr>
            <w:r>
              <w:rPr>
                <w:sz w:val="4"/>
                <w:szCs w:val="4"/>
              </w:rPr>
            </w:r>
          </w:p>
        </w:tc>
        <w:tc>
          <w:tcPr>
            <w:tcW w:w="80" w:type="dxa"/>
            <w:tcBorders/>
            <w:shd w:fill="E5EBEE" w:val="clear"/>
            <w:vAlign w:val="center"/>
          </w:tcPr>
          <w:p>
            <w:pPr>
              <w:pStyle w:val="TableContents"/>
              <w:bidi w:val="0"/>
              <w:spacing w:before="0" w:after="283"/>
              <w:jc w:val="left"/>
              <w:rPr/>
            </w:pPr>
            <w:r>
              <w:rPr/>
              <w:t> </w:t>
            </w:r>
          </w:p>
        </w:tc>
        <w:tc>
          <w:tcPr>
            <w:tcW w:w="1013" w:type="dxa"/>
            <w:tcBorders/>
            <w:shd w:fill="E5EBEE" w:val="clear"/>
            <w:vAlign w:val="center"/>
          </w:tcPr>
          <w:p>
            <w:pPr>
              <w:pStyle w:val="TableContents"/>
              <w:bidi w:val="0"/>
              <w:spacing w:before="0" w:after="283"/>
              <w:jc w:val="center"/>
              <w:rPr/>
            </w:pPr>
            <w:r>
              <w:rPr/>
              <w:t>19,791(4)</w:t>
            </w:r>
          </w:p>
        </w:tc>
        <w:tc>
          <w:tcPr>
            <w:tcW w:w="82" w:type="dxa"/>
            <w:tcBorders/>
            <w:shd w:fill="E5EBEE"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$3,529,131</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2/3/2022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center"/>
              <w:rPr/>
            </w:pPr>
            <w:r>
              <w:rPr/>
              <w:t>—</w:t>
            </w:r>
          </w:p>
        </w:tc>
        <w:tc>
          <w:tcPr>
            <w:tcW w:w="97"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center"/>
              <w:rPr/>
            </w:pPr>
            <w:r>
              <w:rPr/>
              <w:t>—</w:t>
            </w:r>
          </w:p>
        </w:tc>
        <w:tc>
          <w:tcPr>
            <w:tcW w:w="49" w:type="dxa"/>
            <w:tcBorders/>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center"/>
              <w:rPr/>
            </w:pPr>
            <w:r>
              <w:rPr/>
              <w:t>16,404(4)</w:t>
            </w:r>
          </w:p>
        </w:tc>
        <w:tc>
          <w:tcPr>
            <w:tcW w:w="82" w:type="dxa"/>
            <w:tcBorders/>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$2,925,161</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529" w:type="dxa"/>
            <w:tcBorders/>
            <w:shd w:fill="E5EBEE" w:val="clear"/>
            <w:vAlign w:val="center"/>
          </w:tcPr>
          <w:p>
            <w:pPr>
              <w:pStyle w:val="TableContents"/>
              <w:bidi w:val="0"/>
              <w:spacing w:before="0" w:after="283"/>
              <w:jc w:val="center"/>
              <w:rPr/>
            </w:pPr>
            <w:r>
              <w:rPr/>
              <w:t>2/3/2022</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35" w:type="dxa"/>
            <w:tcBorders/>
            <w:shd w:fill="E5EBEE" w:val="clear"/>
            <w:vAlign w:val="center"/>
          </w:tcPr>
          <w:p>
            <w:pPr>
              <w:pStyle w:val="TableContents"/>
              <w:bidi w:val="0"/>
              <w:spacing w:before="0" w:after="283"/>
              <w:jc w:val="left"/>
              <w:rPr>
                <w:sz w:val="4"/>
                <w:szCs w:val="4"/>
              </w:rPr>
            </w:pPr>
            <w:r>
              <w:rPr>
                <w:sz w:val="4"/>
                <w:szCs w:val="4"/>
              </w:rPr>
            </w:r>
          </w:p>
        </w:tc>
        <w:tc>
          <w:tcPr>
            <w:tcW w:w="93" w:type="dxa"/>
            <w:tcBorders/>
            <w:shd w:fill="E5EBEE" w:val="clear"/>
            <w:vAlign w:val="center"/>
          </w:tcPr>
          <w:p>
            <w:pPr>
              <w:pStyle w:val="TableContents"/>
              <w:bidi w:val="0"/>
              <w:spacing w:before="0" w:after="283"/>
              <w:jc w:val="left"/>
              <w:rPr/>
            </w:pPr>
            <w:r>
              <w:rPr/>
              <w:t> </w:t>
            </w:r>
          </w:p>
        </w:tc>
        <w:tc>
          <w:tcPr>
            <w:tcW w:w="1249" w:type="dxa"/>
            <w:tcBorders/>
            <w:shd w:fill="E5EBEE" w:val="clear"/>
            <w:vAlign w:val="center"/>
          </w:tcPr>
          <w:p>
            <w:pPr>
              <w:pStyle w:val="TableContents"/>
              <w:bidi w:val="0"/>
              <w:spacing w:before="0" w:after="283"/>
              <w:jc w:val="center"/>
              <w:rPr/>
            </w:pPr>
            <w:r>
              <w:rPr/>
              <w:t>—</w:t>
            </w:r>
          </w:p>
        </w:tc>
        <w:tc>
          <w:tcPr>
            <w:tcW w:w="38"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95" w:type="dxa"/>
            <w:tcBorders/>
            <w:shd w:fill="E5EBEE" w:val="clear"/>
            <w:vAlign w:val="center"/>
          </w:tcPr>
          <w:p>
            <w:pPr>
              <w:pStyle w:val="TableContents"/>
              <w:bidi w:val="0"/>
              <w:spacing w:before="0" w:after="283"/>
              <w:jc w:val="left"/>
              <w:rPr>
                <w:sz w:val="4"/>
                <w:szCs w:val="4"/>
              </w:rPr>
            </w:pPr>
            <w:r>
              <w:rPr>
                <w:sz w:val="4"/>
                <w:szCs w:val="4"/>
              </w:rPr>
            </w:r>
          </w:p>
        </w:tc>
        <w:tc>
          <w:tcPr>
            <w:tcW w:w="249" w:type="dxa"/>
            <w:tcBorders/>
            <w:shd w:fill="E5EBEE" w:val="clear"/>
            <w:vAlign w:val="center"/>
          </w:tcPr>
          <w:p>
            <w:pPr>
              <w:pStyle w:val="TableContents"/>
              <w:bidi w:val="0"/>
              <w:spacing w:before="0" w:after="283"/>
              <w:jc w:val="left"/>
              <w:rPr/>
            </w:pPr>
            <w:r>
              <w:rPr/>
              <w:t> </w:t>
            </w:r>
          </w:p>
        </w:tc>
        <w:tc>
          <w:tcPr>
            <w:tcW w:w="1079" w:type="dxa"/>
            <w:tcBorders/>
            <w:shd w:fill="E5EBEE" w:val="clear"/>
            <w:vAlign w:val="center"/>
          </w:tcPr>
          <w:p>
            <w:pPr>
              <w:pStyle w:val="TableContents"/>
              <w:bidi w:val="0"/>
              <w:spacing w:before="0" w:after="283"/>
              <w:jc w:val="center"/>
              <w:rPr/>
            </w:pPr>
            <w:r>
              <w:rPr/>
              <w:t>—</w:t>
            </w:r>
          </w:p>
        </w:tc>
        <w:tc>
          <w:tcPr>
            <w:tcW w:w="97"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9" w:type="dxa"/>
            <w:tcBorders/>
            <w:shd w:fill="E5EBEE" w:val="clear"/>
            <w:vAlign w:val="center"/>
          </w:tcPr>
          <w:p>
            <w:pPr>
              <w:pStyle w:val="TableContents"/>
              <w:bidi w:val="0"/>
              <w:spacing w:before="0" w:after="283"/>
              <w:jc w:val="left"/>
              <w:rPr>
                <w:sz w:val="4"/>
                <w:szCs w:val="4"/>
              </w:rPr>
            </w:pPr>
            <w:r>
              <w:rPr>
                <w:sz w:val="4"/>
                <w:szCs w:val="4"/>
              </w:rPr>
            </w:r>
          </w:p>
        </w:tc>
        <w:tc>
          <w:tcPr>
            <w:tcW w:w="78" w:type="dxa"/>
            <w:tcBorders/>
            <w:shd w:fill="E5EBEE" w:val="clear"/>
            <w:vAlign w:val="center"/>
          </w:tcPr>
          <w:p>
            <w:pPr>
              <w:pStyle w:val="TableContents"/>
              <w:bidi w:val="0"/>
              <w:spacing w:before="0" w:after="283"/>
              <w:jc w:val="left"/>
              <w:rPr/>
            </w:pPr>
            <w:r>
              <w:rPr/>
              <w:t> </w:t>
            </w:r>
          </w:p>
        </w:tc>
        <w:tc>
          <w:tcPr>
            <w:tcW w:w="886"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48" w:type="dxa"/>
            <w:tcBorders/>
            <w:shd w:fill="E5EBEE" w:val="clear"/>
            <w:vAlign w:val="center"/>
          </w:tcPr>
          <w:p>
            <w:pPr>
              <w:pStyle w:val="TableContents"/>
              <w:bidi w:val="0"/>
              <w:spacing w:before="0" w:after="283"/>
              <w:jc w:val="left"/>
              <w:rPr>
                <w:sz w:val="4"/>
                <w:szCs w:val="4"/>
              </w:rPr>
            </w:pPr>
            <w:r>
              <w:rPr>
                <w:sz w:val="4"/>
                <w:szCs w:val="4"/>
              </w:rPr>
            </w:r>
          </w:p>
        </w:tc>
        <w:tc>
          <w:tcPr>
            <w:tcW w:w="125" w:type="dxa"/>
            <w:tcBorders/>
            <w:shd w:fill="E5EBEE" w:val="clear"/>
            <w:vAlign w:val="center"/>
          </w:tcPr>
          <w:p>
            <w:pPr>
              <w:pStyle w:val="TableContents"/>
              <w:bidi w:val="0"/>
              <w:spacing w:before="0" w:after="283"/>
              <w:jc w:val="left"/>
              <w:rPr/>
            </w:pPr>
            <w:r>
              <w:rPr/>
              <w:t> </w:t>
            </w:r>
          </w:p>
        </w:tc>
        <w:tc>
          <w:tcPr>
            <w:tcW w:w="1043" w:type="dxa"/>
            <w:tcBorders/>
            <w:shd w:fill="E5EBEE" w:val="clear"/>
            <w:vAlign w:val="center"/>
          </w:tcPr>
          <w:p>
            <w:pPr>
              <w:pStyle w:val="TableContents"/>
              <w:bidi w:val="0"/>
              <w:spacing w:before="0" w:after="283"/>
              <w:jc w:val="center"/>
              <w:rPr/>
            </w:pPr>
            <w:r>
              <w:rPr/>
              <w:t>—</w:t>
            </w:r>
          </w:p>
        </w:tc>
        <w:tc>
          <w:tcPr>
            <w:tcW w:w="49"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30" w:type="dxa"/>
            <w:tcBorders/>
            <w:shd w:fill="E5EBEE" w:val="clear"/>
            <w:vAlign w:val="center"/>
          </w:tcPr>
          <w:p>
            <w:pPr>
              <w:pStyle w:val="TableContents"/>
              <w:bidi w:val="0"/>
              <w:spacing w:before="0" w:after="283"/>
              <w:jc w:val="left"/>
              <w:rPr>
                <w:sz w:val="4"/>
                <w:szCs w:val="4"/>
              </w:rPr>
            </w:pPr>
            <w:r>
              <w:rPr>
                <w:sz w:val="4"/>
                <w:szCs w:val="4"/>
              </w:rPr>
            </w:r>
          </w:p>
        </w:tc>
        <w:tc>
          <w:tcPr>
            <w:tcW w:w="80" w:type="dxa"/>
            <w:tcBorders/>
            <w:shd w:fill="E5EBEE" w:val="clear"/>
            <w:vAlign w:val="center"/>
          </w:tcPr>
          <w:p>
            <w:pPr>
              <w:pStyle w:val="TableContents"/>
              <w:bidi w:val="0"/>
              <w:spacing w:before="0" w:after="283"/>
              <w:jc w:val="left"/>
              <w:rPr/>
            </w:pPr>
            <w:r>
              <w:rPr/>
              <w:t> </w:t>
            </w:r>
          </w:p>
        </w:tc>
        <w:tc>
          <w:tcPr>
            <w:tcW w:w="1013" w:type="dxa"/>
            <w:tcBorders/>
            <w:shd w:fill="E5EBEE" w:val="clear"/>
            <w:vAlign w:val="center"/>
          </w:tcPr>
          <w:p>
            <w:pPr>
              <w:pStyle w:val="TableContents"/>
              <w:bidi w:val="0"/>
              <w:spacing w:before="0" w:after="283"/>
              <w:jc w:val="center"/>
              <w:rPr/>
            </w:pPr>
            <w:r>
              <w:rPr/>
              <w:t>—</w:t>
            </w:r>
          </w:p>
        </w:tc>
        <w:tc>
          <w:tcPr>
            <w:tcW w:w="82" w:type="dxa"/>
            <w:tcBorders/>
            <w:shd w:fill="E5EBEE"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64,435(5)</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$11,490,049</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2/3/2022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center"/>
              <w:rPr/>
            </w:pPr>
            <w:r>
              <w:rPr/>
              <w:t>—</w:t>
            </w:r>
          </w:p>
        </w:tc>
        <w:tc>
          <w:tcPr>
            <w:tcW w:w="97"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center"/>
              <w:rPr/>
            </w:pPr>
            <w:r>
              <w:rPr/>
              <w:t>—</w:t>
            </w:r>
          </w:p>
        </w:tc>
        <w:tc>
          <w:tcPr>
            <w:tcW w:w="49" w:type="dxa"/>
            <w:tcBorders/>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center"/>
              <w:rPr/>
            </w:pPr>
            <w:r>
              <w:rPr/>
              <w:t>—</w:t>
            </w:r>
          </w:p>
        </w:tc>
        <w:tc>
          <w:tcPr>
            <w:tcW w:w="82" w:type="dxa"/>
            <w:tcBorders/>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46,026(5)</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$8,207,356</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529" w:type="dxa"/>
            <w:tcBorders/>
            <w:shd w:fill="E5EBEE" w:val="clear"/>
            <w:vAlign w:val="center"/>
          </w:tcPr>
          <w:p>
            <w:pPr>
              <w:pStyle w:val="TableContents"/>
              <w:bidi w:val="0"/>
              <w:spacing w:before="0" w:after="283"/>
              <w:jc w:val="center"/>
              <w:rPr/>
            </w:pPr>
            <w:r>
              <w:rPr/>
              <w:t>1/26/2023</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35" w:type="dxa"/>
            <w:tcBorders/>
            <w:shd w:fill="E5EBEE" w:val="clear"/>
            <w:vAlign w:val="center"/>
          </w:tcPr>
          <w:p>
            <w:pPr>
              <w:pStyle w:val="TableContents"/>
              <w:bidi w:val="0"/>
              <w:spacing w:before="0" w:after="283"/>
              <w:jc w:val="left"/>
              <w:rPr>
                <w:sz w:val="4"/>
                <w:szCs w:val="4"/>
              </w:rPr>
            </w:pPr>
            <w:r>
              <w:rPr>
                <w:sz w:val="4"/>
                <w:szCs w:val="4"/>
              </w:rPr>
            </w:r>
          </w:p>
        </w:tc>
        <w:tc>
          <w:tcPr>
            <w:tcW w:w="93" w:type="dxa"/>
            <w:tcBorders/>
            <w:shd w:fill="E5EBEE" w:val="clear"/>
            <w:vAlign w:val="center"/>
          </w:tcPr>
          <w:p>
            <w:pPr>
              <w:pStyle w:val="TableContents"/>
              <w:bidi w:val="0"/>
              <w:spacing w:before="0" w:after="283"/>
              <w:jc w:val="left"/>
              <w:rPr/>
            </w:pPr>
            <w:r>
              <w:rPr/>
              <w:t> </w:t>
            </w:r>
          </w:p>
        </w:tc>
        <w:tc>
          <w:tcPr>
            <w:tcW w:w="1249" w:type="dxa"/>
            <w:tcBorders/>
            <w:shd w:fill="E5EBEE" w:val="clear"/>
            <w:vAlign w:val="center"/>
          </w:tcPr>
          <w:p>
            <w:pPr>
              <w:pStyle w:val="TableContents"/>
              <w:bidi w:val="0"/>
              <w:spacing w:before="0" w:after="283"/>
              <w:jc w:val="center"/>
              <w:rPr/>
            </w:pPr>
            <w:r>
              <w:rPr/>
              <w:t>—</w:t>
            </w:r>
          </w:p>
        </w:tc>
        <w:tc>
          <w:tcPr>
            <w:tcW w:w="38"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95" w:type="dxa"/>
            <w:tcBorders/>
            <w:shd w:fill="E5EBEE" w:val="clear"/>
            <w:vAlign w:val="center"/>
          </w:tcPr>
          <w:p>
            <w:pPr>
              <w:pStyle w:val="TableContents"/>
              <w:bidi w:val="0"/>
              <w:spacing w:before="0" w:after="283"/>
              <w:jc w:val="left"/>
              <w:rPr>
                <w:sz w:val="4"/>
                <w:szCs w:val="4"/>
              </w:rPr>
            </w:pPr>
            <w:r>
              <w:rPr>
                <w:sz w:val="4"/>
                <w:szCs w:val="4"/>
              </w:rPr>
            </w:r>
          </w:p>
        </w:tc>
        <w:tc>
          <w:tcPr>
            <w:tcW w:w="249" w:type="dxa"/>
            <w:tcBorders/>
            <w:shd w:fill="E5EBEE" w:val="clear"/>
            <w:vAlign w:val="center"/>
          </w:tcPr>
          <w:p>
            <w:pPr>
              <w:pStyle w:val="TableContents"/>
              <w:bidi w:val="0"/>
              <w:spacing w:before="0" w:after="283"/>
              <w:jc w:val="left"/>
              <w:rPr/>
            </w:pPr>
            <w:r>
              <w:rPr/>
              <w:t> </w:t>
            </w:r>
          </w:p>
        </w:tc>
        <w:tc>
          <w:tcPr>
            <w:tcW w:w="1079" w:type="dxa"/>
            <w:tcBorders/>
            <w:shd w:fill="E5EBEE" w:val="clear"/>
            <w:vAlign w:val="center"/>
          </w:tcPr>
          <w:p>
            <w:pPr>
              <w:pStyle w:val="TableContents"/>
              <w:bidi w:val="0"/>
              <w:spacing w:before="0" w:after="283"/>
              <w:jc w:val="center"/>
              <w:rPr/>
            </w:pPr>
            <w:r>
              <w:rPr/>
              <w:t>—</w:t>
            </w:r>
          </w:p>
        </w:tc>
        <w:tc>
          <w:tcPr>
            <w:tcW w:w="97"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9" w:type="dxa"/>
            <w:tcBorders/>
            <w:shd w:fill="E5EBEE" w:val="clear"/>
            <w:vAlign w:val="center"/>
          </w:tcPr>
          <w:p>
            <w:pPr>
              <w:pStyle w:val="TableContents"/>
              <w:bidi w:val="0"/>
              <w:spacing w:before="0" w:after="283"/>
              <w:jc w:val="left"/>
              <w:rPr>
                <w:sz w:val="4"/>
                <w:szCs w:val="4"/>
              </w:rPr>
            </w:pPr>
            <w:r>
              <w:rPr>
                <w:sz w:val="4"/>
                <w:szCs w:val="4"/>
              </w:rPr>
            </w:r>
          </w:p>
        </w:tc>
        <w:tc>
          <w:tcPr>
            <w:tcW w:w="78" w:type="dxa"/>
            <w:tcBorders/>
            <w:shd w:fill="E5EBEE" w:val="clear"/>
            <w:vAlign w:val="center"/>
          </w:tcPr>
          <w:p>
            <w:pPr>
              <w:pStyle w:val="TableContents"/>
              <w:bidi w:val="0"/>
              <w:spacing w:before="0" w:after="283"/>
              <w:jc w:val="left"/>
              <w:rPr/>
            </w:pPr>
            <w:r>
              <w:rPr/>
              <w:t> </w:t>
            </w:r>
          </w:p>
        </w:tc>
        <w:tc>
          <w:tcPr>
            <w:tcW w:w="886"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48" w:type="dxa"/>
            <w:tcBorders/>
            <w:shd w:fill="E5EBEE" w:val="clear"/>
            <w:vAlign w:val="center"/>
          </w:tcPr>
          <w:p>
            <w:pPr>
              <w:pStyle w:val="TableContents"/>
              <w:bidi w:val="0"/>
              <w:spacing w:before="0" w:after="283"/>
              <w:jc w:val="left"/>
              <w:rPr>
                <w:sz w:val="4"/>
                <w:szCs w:val="4"/>
              </w:rPr>
            </w:pPr>
            <w:r>
              <w:rPr>
                <w:sz w:val="4"/>
                <w:szCs w:val="4"/>
              </w:rPr>
            </w:r>
          </w:p>
        </w:tc>
        <w:tc>
          <w:tcPr>
            <w:tcW w:w="125" w:type="dxa"/>
            <w:tcBorders/>
            <w:shd w:fill="E5EBEE" w:val="clear"/>
            <w:vAlign w:val="center"/>
          </w:tcPr>
          <w:p>
            <w:pPr>
              <w:pStyle w:val="TableContents"/>
              <w:bidi w:val="0"/>
              <w:spacing w:before="0" w:after="283"/>
              <w:jc w:val="left"/>
              <w:rPr/>
            </w:pPr>
            <w:r>
              <w:rPr/>
              <w:t> </w:t>
            </w:r>
          </w:p>
        </w:tc>
        <w:tc>
          <w:tcPr>
            <w:tcW w:w="1043" w:type="dxa"/>
            <w:tcBorders/>
            <w:shd w:fill="E5EBEE" w:val="clear"/>
            <w:vAlign w:val="center"/>
          </w:tcPr>
          <w:p>
            <w:pPr>
              <w:pStyle w:val="TableContents"/>
              <w:bidi w:val="0"/>
              <w:spacing w:before="0" w:after="283"/>
              <w:jc w:val="center"/>
              <w:rPr/>
            </w:pPr>
            <w:r>
              <w:rPr/>
              <w:t>—</w:t>
            </w:r>
          </w:p>
        </w:tc>
        <w:tc>
          <w:tcPr>
            <w:tcW w:w="49"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30" w:type="dxa"/>
            <w:tcBorders/>
            <w:shd w:fill="E5EBEE" w:val="clear"/>
            <w:vAlign w:val="center"/>
          </w:tcPr>
          <w:p>
            <w:pPr>
              <w:pStyle w:val="TableContents"/>
              <w:bidi w:val="0"/>
              <w:spacing w:before="0" w:after="283"/>
              <w:jc w:val="left"/>
              <w:rPr>
                <w:sz w:val="4"/>
                <w:szCs w:val="4"/>
              </w:rPr>
            </w:pPr>
            <w:r>
              <w:rPr>
                <w:sz w:val="4"/>
                <w:szCs w:val="4"/>
              </w:rPr>
            </w:r>
          </w:p>
        </w:tc>
        <w:tc>
          <w:tcPr>
            <w:tcW w:w="80" w:type="dxa"/>
            <w:tcBorders/>
            <w:shd w:fill="E5EBEE" w:val="clear"/>
            <w:vAlign w:val="center"/>
          </w:tcPr>
          <w:p>
            <w:pPr>
              <w:pStyle w:val="TableContents"/>
              <w:bidi w:val="0"/>
              <w:spacing w:before="0" w:after="283"/>
              <w:jc w:val="left"/>
              <w:rPr/>
            </w:pPr>
            <w:r>
              <w:rPr/>
              <w:t> </w:t>
            </w:r>
          </w:p>
        </w:tc>
        <w:tc>
          <w:tcPr>
            <w:tcW w:w="1013" w:type="dxa"/>
            <w:tcBorders/>
            <w:shd w:fill="E5EBEE" w:val="clear"/>
            <w:vAlign w:val="center"/>
          </w:tcPr>
          <w:p>
            <w:pPr>
              <w:pStyle w:val="TableContents"/>
              <w:bidi w:val="0"/>
              <w:spacing w:before="0" w:after="283"/>
              <w:jc w:val="center"/>
              <w:rPr/>
            </w:pPr>
            <w:r>
              <w:rPr/>
              <w:t>24,288(4)</w:t>
            </w:r>
          </w:p>
        </w:tc>
        <w:tc>
          <w:tcPr>
            <w:tcW w:w="82" w:type="dxa"/>
            <w:tcBorders/>
            <w:shd w:fill="E5EBEE"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$4,331,036</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1/26/2023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center"/>
              <w:rPr/>
            </w:pPr>
            <w:r>
              <w:rPr/>
              <w:t>—</w:t>
            </w:r>
          </w:p>
        </w:tc>
        <w:tc>
          <w:tcPr>
            <w:tcW w:w="97"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center"/>
              <w:rPr/>
            </w:pPr>
            <w:r>
              <w:rPr/>
              <w:t>—</w:t>
            </w:r>
          </w:p>
        </w:tc>
        <w:tc>
          <w:tcPr>
            <w:tcW w:w="49" w:type="dxa"/>
            <w:tcBorders/>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center"/>
              <w:rPr/>
            </w:pPr>
            <w:r>
              <w:rPr/>
              <w:t>21,305(4)</w:t>
            </w:r>
          </w:p>
        </w:tc>
        <w:tc>
          <w:tcPr>
            <w:tcW w:w="82" w:type="dxa"/>
            <w:tcBorders/>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$3,799,108</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529" w:type="dxa"/>
            <w:tcBorders/>
            <w:shd w:fill="E5EBEE" w:val="clear"/>
            <w:vAlign w:val="center"/>
          </w:tcPr>
          <w:p>
            <w:pPr>
              <w:pStyle w:val="TableContents"/>
              <w:bidi w:val="0"/>
              <w:spacing w:before="0" w:after="283"/>
              <w:jc w:val="center"/>
              <w:rPr/>
            </w:pPr>
            <w:r>
              <w:rPr/>
              <w:t>1/26/2023</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35" w:type="dxa"/>
            <w:tcBorders/>
            <w:shd w:fill="E5EBEE" w:val="clear"/>
            <w:vAlign w:val="center"/>
          </w:tcPr>
          <w:p>
            <w:pPr>
              <w:pStyle w:val="TableContents"/>
              <w:bidi w:val="0"/>
              <w:spacing w:before="0" w:after="283"/>
              <w:jc w:val="left"/>
              <w:rPr>
                <w:sz w:val="4"/>
                <w:szCs w:val="4"/>
              </w:rPr>
            </w:pPr>
            <w:r>
              <w:rPr>
                <w:sz w:val="4"/>
                <w:szCs w:val="4"/>
              </w:rPr>
            </w:r>
          </w:p>
        </w:tc>
        <w:tc>
          <w:tcPr>
            <w:tcW w:w="93" w:type="dxa"/>
            <w:tcBorders/>
            <w:shd w:fill="E5EBEE" w:val="clear"/>
            <w:vAlign w:val="center"/>
          </w:tcPr>
          <w:p>
            <w:pPr>
              <w:pStyle w:val="TableContents"/>
              <w:bidi w:val="0"/>
              <w:spacing w:before="0" w:after="283"/>
              <w:jc w:val="left"/>
              <w:rPr/>
            </w:pPr>
            <w:r>
              <w:rPr/>
              <w:t> </w:t>
            </w:r>
          </w:p>
        </w:tc>
        <w:tc>
          <w:tcPr>
            <w:tcW w:w="1249" w:type="dxa"/>
            <w:tcBorders/>
            <w:shd w:fill="E5EBEE" w:val="clear"/>
            <w:vAlign w:val="center"/>
          </w:tcPr>
          <w:p>
            <w:pPr>
              <w:pStyle w:val="TableContents"/>
              <w:bidi w:val="0"/>
              <w:spacing w:before="0" w:after="283"/>
              <w:jc w:val="center"/>
              <w:rPr/>
            </w:pPr>
            <w:r>
              <w:rPr/>
              <w:t>—</w:t>
            </w:r>
          </w:p>
        </w:tc>
        <w:tc>
          <w:tcPr>
            <w:tcW w:w="38"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95" w:type="dxa"/>
            <w:tcBorders/>
            <w:shd w:fill="E5EBEE" w:val="clear"/>
            <w:vAlign w:val="center"/>
          </w:tcPr>
          <w:p>
            <w:pPr>
              <w:pStyle w:val="TableContents"/>
              <w:bidi w:val="0"/>
              <w:spacing w:before="0" w:after="283"/>
              <w:jc w:val="left"/>
              <w:rPr>
                <w:sz w:val="4"/>
                <w:szCs w:val="4"/>
              </w:rPr>
            </w:pPr>
            <w:r>
              <w:rPr>
                <w:sz w:val="4"/>
                <w:szCs w:val="4"/>
              </w:rPr>
            </w:r>
          </w:p>
        </w:tc>
        <w:tc>
          <w:tcPr>
            <w:tcW w:w="249" w:type="dxa"/>
            <w:tcBorders/>
            <w:shd w:fill="E5EBEE" w:val="clear"/>
            <w:vAlign w:val="center"/>
          </w:tcPr>
          <w:p>
            <w:pPr>
              <w:pStyle w:val="TableContents"/>
              <w:bidi w:val="0"/>
              <w:spacing w:before="0" w:after="283"/>
              <w:jc w:val="left"/>
              <w:rPr/>
            </w:pPr>
            <w:r>
              <w:rPr/>
              <w:t> </w:t>
            </w:r>
          </w:p>
        </w:tc>
        <w:tc>
          <w:tcPr>
            <w:tcW w:w="1079" w:type="dxa"/>
            <w:tcBorders/>
            <w:shd w:fill="E5EBEE" w:val="clear"/>
            <w:vAlign w:val="center"/>
          </w:tcPr>
          <w:p>
            <w:pPr>
              <w:pStyle w:val="TableContents"/>
              <w:bidi w:val="0"/>
              <w:spacing w:before="0" w:after="283"/>
              <w:jc w:val="center"/>
              <w:rPr/>
            </w:pPr>
            <w:r>
              <w:rPr/>
              <w:t>—</w:t>
            </w:r>
          </w:p>
        </w:tc>
        <w:tc>
          <w:tcPr>
            <w:tcW w:w="97"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9" w:type="dxa"/>
            <w:tcBorders/>
            <w:shd w:fill="E5EBEE" w:val="clear"/>
            <w:vAlign w:val="center"/>
          </w:tcPr>
          <w:p>
            <w:pPr>
              <w:pStyle w:val="TableContents"/>
              <w:bidi w:val="0"/>
              <w:spacing w:before="0" w:after="283"/>
              <w:jc w:val="left"/>
              <w:rPr>
                <w:sz w:val="4"/>
                <w:szCs w:val="4"/>
              </w:rPr>
            </w:pPr>
            <w:r>
              <w:rPr>
                <w:sz w:val="4"/>
                <w:szCs w:val="4"/>
              </w:rPr>
            </w:r>
          </w:p>
        </w:tc>
        <w:tc>
          <w:tcPr>
            <w:tcW w:w="78" w:type="dxa"/>
            <w:tcBorders/>
            <w:shd w:fill="E5EBEE" w:val="clear"/>
            <w:vAlign w:val="center"/>
          </w:tcPr>
          <w:p>
            <w:pPr>
              <w:pStyle w:val="TableContents"/>
              <w:bidi w:val="0"/>
              <w:spacing w:before="0" w:after="283"/>
              <w:jc w:val="left"/>
              <w:rPr/>
            </w:pPr>
            <w:r>
              <w:rPr/>
              <w:t> </w:t>
            </w:r>
          </w:p>
        </w:tc>
        <w:tc>
          <w:tcPr>
            <w:tcW w:w="886"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48" w:type="dxa"/>
            <w:tcBorders/>
            <w:shd w:fill="E5EBEE" w:val="clear"/>
            <w:vAlign w:val="center"/>
          </w:tcPr>
          <w:p>
            <w:pPr>
              <w:pStyle w:val="TableContents"/>
              <w:bidi w:val="0"/>
              <w:spacing w:before="0" w:after="283"/>
              <w:jc w:val="left"/>
              <w:rPr>
                <w:sz w:val="4"/>
                <w:szCs w:val="4"/>
              </w:rPr>
            </w:pPr>
            <w:r>
              <w:rPr>
                <w:sz w:val="4"/>
                <w:szCs w:val="4"/>
              </w:rPr>
            </w:r>
          </w:p>
        </w:tc>
        <w:tc>
          <w:tcPr>
            <w:tcW w:w="125" w:type="dxa"/>
            <w:tcBorders/>
            <w:shd w:fill="E5EBEE" w:val="clear"/>
            <w:vAlign w:val="center"/>
          </w:tcPr>
          <w:p>
            <w:pPr>
              <w:pStyle w:val="TableContents"/>
              <w:bidi w:val="0"/>
              <w:spacing w:before="0" w:after="283"/>
              <w:jc w:val="left"/>
              <w:rPr/>
            </w:pPr>
            <w:r>
              <w:rPr/>
              <w:t> </w:t>
            </w:r>
          </w:p>
        </w:tc>
        <w:tc>
          <w:tcPr>
            <w:tcW w:w="1043" w:type="dxa"/>
            <w:tcBorders/>
            <w:shd w:fill="E5EBEE" w:val="clear"/>
            <w:vAlign w:val="center"/>
          </w:tcPr>
          <w:p>
            <w:pPr>
              <w:pStyle w:val="TableContents"/>
              <w:bidi w:val="0"/>
              <w:spacing w:before="0" w:after="283"/>
              <w:jc w:val="center"/>
              <w:rPr/>
            </w:pPr>
            <w:r>
              <w:rPr/>
              <w:t>—</w:t>
            </w:r>
          </w:p>
        </w:tc>
        <w:tc>
          <w:tcPr>
            <w:tcW w:w="49"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30" w:type="dxa"/>
            <w:tcBorders/>
            <w:shd w:fill="E5EBEE" w:val="clear"/>
            <w:vAlign w:val="center"/>
          </w:tcPr>
          <w:p>
            <w:pPr>
              <w:pStyle w:val="TableContents"/>
              <w:bidi w:val="0"/>
              <w:spacing w:before="0" w:after="283"/>
              <w:jc w:val="left"/>
              <w:rPr>
                <w:sz w:val="4"/>
                <w:szCs w:val="4"/>
              </w:rPr>
            </w:pPr>
            <w:r>
              <w:rPr>
                <w:sz w:val="4"/>
                <w:szCs w:val="4"/>
              </w:rPr>
            </w:r>
          </w:p>
        </w:tc>
        <w:tc>
          <w:tcPr>
            <w:tcW w:w="80" w:type="dxa"/>
            <w:tcBorders/>
            <w:shd w:fill="E5EBEE" w:val="clear"/>
            <w:vAlign w:val="center"/>
          </w:tcPr>
          <w:p>
            <w:pPr>
              <w:pStyle w:val="TableContents"/>
              <w:bidi w:val="0"/>
              <w:spacing w:before="0" w:after="283"/>
              <w:jc w:val="left"/>
              <w:rPr/>
            </w:pPr>
            <w:r>
              <w:rPr/>
              <w:t> </w:t>
            </w:r>
          </w:p>
        </w:tc>
        <w:tc>
          <w:tcPr>
            <w:tcW w:w="1013" w:type="dxa"/>
            <w:tcBorders/>
            <w:shd w:fill="E5EBEE" w:val="clear"/>
            <w:vAlign w:val="center"/>
          </w:tcPr>
          <w:p>
            <w:pPr>
              <w:pStyle w:val="TableContents"/>
              <w:bidi w:val="0"/>
              <w:spacing w:before="0" w:after="283"/>
              <w:jc w:val="center"/>
              <w:rPr/>
            </w:pPr>
            <w:r>
              <w:rPr/>
              <w:t>—</w:t>
            </w:r>
          </w:p>
        </w:tc>
        <w:tc>
          <w:tcPr>
            <w:tcW w:w="82" w:type="dxa"/>
            <w:tcBorders/>
            <w:shd w:fill="E5EBEE"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160,250(6)</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$28,575,780</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1/26/2023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center"/>
              <w:rPr/>
            </w:pPr>
            <w:r>
              <w:rPr/>
              <w:t>—</w:t>
            </w:r>
          </w:p>
        </w:tc>
        <w:tc>
          <w:tcPr>
            <w:tcW w:w="97"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center"/>
              <w:rPr/>
            </w:pPr>
            <w:r>
              <w:rPr/>
              <w:t>—</w:t>
            </w:r>
          </w:p>
        </w:tc>
        <w:tc>
          <w:tcPr>
            <w:tcW w:w="49" w:type="dxa"/>
            <w:tcBorders/>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center"/>
              <w:rPr/>
            </w:pPr>
            <w:r>
              <w:rPr/>
              <w:t>—</w:t>
            </w:r>
          </w:p>
        </w:tc>
        <w:tc>
          <w:tcPr>
            <w:tcW w:w="82" w:type="dxa"/>
            <w:tcBorders/>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53,309(6)</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$9,506,061</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529" w:type="dxa"/>
            <w:tcBorders/>
            <w:shd w:fill="E5EBEE" w:val="clear"/>
            <w:vAlign w:val="center"/>
          </w:tcPr>
          <w:p>
            <w:pPr>
              <w:pStyle w:val="TableContents"/>
              <w:bidi w:val="0"/>
              <w:spacing w:before="0" w:after="283"/>
              <w:jc w:val="center"/>
              <w:rPr/>
            </w:pPr>
            <w:r>
              <w:rPr/>
              <w:t>2/1/2024</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35" w:type="dxa"/>
            <w:tcBorders/>
            <w:shd w:fill="E5EBEE" w:val="clear"/>
            <w:vAlign w:val="center"/>
          </w:tcPr>
          <w:p>
            <w:pPr>
              <w:pStyle w:val="TableContents"/>
              <w:bidi w:val="0"/>
              <w:spacing w:before="0" w:after="283"/>
              <w:jc w:val="left"/>
              <w:rPr>
                <w:sz w:val="4"/>
                <w:szCs w:val="4"/>
              </w:rPr>
            </w:pPr>
            <w:r>
              <w:rPr>
                <w:sz w:val="4"/>
                <w:szCs w:val="4"/>
              </w:rPr>
            </w:r>
          </w:p>
        </w:tc>
        <w:tc>
          <w:tcPr>
            <w:tcW w:w="93" w:type="dxa"/>
            <w:tcBorders/>
            <w:shd w:fill="E5EBEE" w:val="clear"/>
            <w:vAlign w:val="center"/>
          </w:tcPr>
          <w:p>
            <w:pPr>
              <w:pStyle w:val="TableContents"/>
              <w:bidi w:val="0"/>
              <w:spacing w:before="0" w:after="283"/>
              <w:jc w:val="left"/>
              <w:rPr/>
            </w:pPr>
            <w:r>
              <w:rPr/>
              <w:t> </w:t>
            </w:r>
          </w:p>
        </w:tc>
        <w:tc>
          <w:tcPr>
            <w:tcW w:w="1249" w:type="dxa"/>
            <w:tcBorders/>
            <w:shd w:fill="E5EBEE" w:val="clear"/>
            <w:vAlign w:val="center"/>
          </w:tcPr>
          <w:p>
            <w:pPr>
              <w:pStyle w:val="TableContents"/>
              <w:bidi w:val="0"/>
              <w:spacing w:before="0" w:after="283"/>
              <w:jc w:val="center"/>
              <w:rPr/>
            </w:pPr>
            <w:r>
              <w:rPr/>
              <w:t>—</w:t>
            </w:r>
          </w:p>
        </w:tc>
        <w:tc>
          <w:tcPr>
            <w:tcW w:w="38"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95" w:type="dxa"/>
            <w:tcBorders/>
            <w:shd w:fill="E5EBEE" w:val="clear"/>
            <w:vAlign w:val="center"/>
          </w:tcPr>
          <w:p>
            <w:pPr>
              <w:pStyle w:val="TableContents"/>
              <w:bidi w:val="0"/>
              <w:spacing w:before="0" w:after="283"/>
              <w:jc w:val="left"/>
              <w:rPr>
                <w:sz w:val="4"/>
                <w:szCs w:val="4"/>
              </w:rPr>
            </w:pPr>
            <w:r>
              <w:rPr>
                <w:sz w:val="4"/>
                <w:szCs w:val="4"/>
              </w:rPr>
            </w:r>
          </w:p>
        </w:tc>
        <w:tc>
          <w:tcPr>
            <w:tcW w:w="249" w:type="dxa"/>
            <w:tcBorders/>
            <w:shd w:fill="E5EBEE" w:val="clear"/>
            <w:vAlign w:val="center"/>
          </w:tcPr>
          <w:p>
            <w:pPr>
              <w:pStyle w:val="TableContents"/>
              <w:bidi w:val="0"/>
              <w:spacing w:before="0" w:after="283"/>
              <w:jc w:val="left"/>
              <w:rPr/>
            </w:pPr>
            <w:r>
              <w:rPr/>
              <w:t> </w:t>
            </w:r>
          </w:p>
        </w:tc>
        <w:tc>
          <w:tcPr>
            <w:tcW w:w="1079" w:type="dxa"/>
            <w:tcBorders/>
            <w:shd w:fill="E5EBEE" w:val="clear"/>
            <w:vAlign w:val="center"/>
          </w:tcPr>
          <w:p>
            <w:pPr>
              <w:pStyle w:val="TableContents"/>
              <w:bidi w:val="0"/>
              <w:spacing w:before="0" w:after="283"/>
              <w:jc w:val="center"/>
              <w:rPr/>
            </w:pPr>
            <w:r>
              <w:rPr/>
              <w:t>—</w:t>
            </w:r>
          </w:p>
        </w:tc>
        <w:tc>
          <w:tcPr>
            <w:tcW w:w="97"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9" w:type="dxa"/>
            <w:tcBorders/>
            <w:shd w:fill="E5EBEE" w:val="clear"/>
            <w:vAlign w:val="center"/>
          </w:tcPr>
          <w:p>
            <w:pPr>
              <w:pStyle w:val="TableContents"/>
              <w:bidi w:val="0"/>
              <w:spacing w:before="0" w:after="283"/>
              <w:jc w:val="left"/>
              <w:rPr>
                <w:sz w:val="4"/>
                <w:szCs w:val="4"/>
              </w:rPr>
            </w:pPr>
            <w:r>
              <w:rPr>
                <w:sz w:val="4"/>
                <w:szCs w:val="4"/>
              </w:rPr>
            </w:r>
          </w:p>
        </w:tc>
        <w:tc>
          <w:tcPr>
            <w:tcW w:w="78" w:type="dxa"/>
            <w:tcBorders/>
            <w:shd w:fill="E5EBEE" w:val="clear"/>
            <w:vAlign w:val="center"/>
          </w:tcPr>
          <w:p>
            <w:pPr>
              <w:pStyle w:val="TableContents"/>
              <w:bidi w:val="0"/>
              <w:spacing w:before="0" w:after="283"/>
              <w:jc w:val="left"/>
              <w:rPr/>
            </w:pPr>
            <w:r>
              <w:rPr/>
              <w:t> </w:t>
            </w:r>
          </w:p>
        </w:tc>
        <w:tc>
          <w:tcPr>
            <w:tcW w:w="886"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48" w:type="dxa"/>
            <w:tcBorders/>
            <w:shd w:fill="E5EBEE" w:val="clear"/>
            <w:vAlign w:val="center"/>
          </w:tcPr>
          <w:p>
            <w:pPr>
              <w:pStyle w:val="TableContents"/>
              <w:bidi w:val="0"/>
              <w:spacing w:before="0" w:after="283"/>
              <w:jc w:val="left"/>
              <w:rPr>
                <w:sz w:val="4"/>
                <w:szCs w:val="4"/>
              </w:rPr>
            </w:pPr>
            <w:r>
              <w:rPr>
                <w:sz w:val="4"/>
                <w:szCs w:val="4"/>
              </w:rPr>
            </w:r>
          </w:p>
        </w:tc>
        <w:tc>
          <w:tcPr>
            <w:tcW w:w="125" w:type="dxa"/>
            <w:tcBorders/>
            <w:shd w:fill="E5EBEE" w:val="clear"/>
            <w:vAlign w:val="center"/>
          </w:tcPr>
          <w:p>
            <w:pPr>
              <w:pStyle w:val="TableContents"/>
              <w:bidi w:val="0"/>
              <w:spacing w:before="0" w:after="283"/>
              <w:jc w:val="left"/>
              <w:rPr/>
            </w:pPr>
            <w:r>
              <w:rPr/>
              <w:t> </w:t>
            </w:r>
          </w:p>
        </w:tc>
        <w:tc>
          <w:tcPr>
            <w:tcW w:w="1043" w:type="dxa"/>
            <w:tcBorders/>
            <w:shd w:fill="E5EBEE" w:val="clear"/>
            <w:vAlign w:val="center"/>
          </w:tcPr>
          <w:p>
            <w:pPr>
              <w:pStyle w:val="TableContents"/>
              <w:bidi w:val="0"/>
              <w:spacing w:before="0" w:after="283"/>
              <w:jc w:val="center"/>
              <w:rPr/>
            </w:pPr>
            <w:r>
              <w:rPr/>
              <w:t>—</w:t>
            </w:r>
          </w:p>
        </w:tc>
        <w:tc>
          <w:tcPr>
            <w:tcW w:w="49"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30" w:type="dxa"/>
            <w:tcBorders/>
            <w:shd w:fill="E5EBEE" w:val="clear"/>
            <w:vAlign w:val="center"/>
          </w:tcPr>
          <w:p>
            <w:pPr>
              <w:pStyle w:val="TableContents"/>
              <w:bidi w:val="0"/>
              <w:spacing w:before="0" w:after="283"/>
              <w:jc w:val="left"/>
              <w:rPr>
                <w:sz w:val="4"/>
                <w:szCs w:val="4"/>
              </w:rPr>
            </w:pPr>
            <w:r>
              <w:rPr>
                <w:sz w:val="4"/>
                <w:szCs w:val="4"/>
              </w:rPr>
            </w:r>
          </w:p>
        </w:tc>
        <w:tc>
          <w:tcPr>
            <w:tcW w:w="80" w:type="dxa"/>
            <w:tcBorders/>
            <w:shd w:fill="E5EBEE" w:val="clear"/>
            <w:vAlign w:val="center"/>
          </w:tcPr>
          <w:p>
            <w:pPr>
              <w:pStyle w:val="TableContents"/>
              <w:bidi w:val="0"/>
              <w:spacing w:before="0" w:after="283"/>
              <w:jc w:val="left"/>
              <w:rPr/>
            </w:pPr>
            <w:r>
              <w:rPr/>
              <w:t> </w:t>
            </w:r>
          </w:p>
        </w:tc>
        <w:tc>
          <w:tcPr>
            <w:tcW w:w="1013" w:type="dxa"/>
            <w:tcBorders/>
            <w:shd w:fill="E5EBEE" w:val="clear"/>
            <w:vAlign w:val="center"/>
          </w:tcPr>
          <w:p>
            <w:pPr>
              <w:pStyle w:val="TableContents"/>
              <w:bidi w:val="0"/>
              <w:spacing w:before="0" w:after="283"/>
              <w:jc w:val="center"/>
              <w:rPr/>
            </w:pPr>
            <w:r>
              <w:rPr/>
              <w:t>34,929(4)</w:t>
            </w:r>
          </w:p>
        </w:tc>
        <w:tc>
          <w:tcPr>
            <w:tcW w:w="82" w:type="dxa"/>
            <w:tcBorders/>
            <w:shd w:fill="E5EBEE"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$6,228,539</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2/1/2024</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center"/>
              <w:rPr/>
            </w:pPr>
            <w:r>
              <w:rPr/>
              <w:t>—</w:t>
            </w:r>
          </w:p>
        </w:tc>
        <w:tc>
          <w:tcPr>
            <w:tcW w:w="97"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center"/>
              <w:rPr/>
            </w:pPr>
            <w:r>
              <w:rPr/>
              <w:t>—</w:t>
            </w:r>
          </w:p>
        </w:tc>
        <w:tc>
          <w:tcPr>
            <w:tcW w:w="49" w:type="dxa"/>
            <w:tcBorders/>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center"/>
              <w:rPr/>
            </w:pPr>
            <w:r>
              <w:rPr/>
              <w:t>18,580(4)</w:t>
            </w:r>
          </w:p>
        </w:tc>
        <w:tc>
          <w:tcPr>
            <w:tcW w:w="82" w:type="dxa"/>
            <w:tcBorders/>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$3,313,186</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529" w:type="dxa"/>
            <w:tcBorders/>
            <w:shd w:fill="E5EBEE" w:val="clear"/>
            <w:vAlign w:val="center"/>
          </w:tcPr>
          <w:p>
            <w:pPr>
              <w:pStyle w:val="TableContents"/>
              <w:bidi w:val="0"/>
              <w:spacing w:before="0" w:after="283"/>
              <w:jc w:val="center"/>
              <w:rPr/>
            </w:pPr>
            <w:r>
              <w:rPr/>
              <w:t>2/1/2024</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35" w:type="dxa"/>
            <w:tcBorders/>
            <w:shd w:fill="E5EBEE" w:val="clear"/>
            <w:vAlign w:val="center"/>
          </w:tcPr>
          <w:p>
            <w:pPr>
              <w:pStyle w:val="TableContents"/>
              <w:bidi w:val="0"/>
              <w:spacing w:before="0" w:after="283"/>
              <w:jc w:val="left"/>
              <w:rPr>
                <w:sz w:val="4"/>
                <w:szCs w:val="4"/>
              </w:rPr>
            </w:pPr>
            <w:r>
              <w:rPr>
                <w:sz w:val="4"/>
                <w:szCs w:val="4"/>
              </w:rPr>
            </w:r>
          </w:p>
        </w:tc>
        <w:tc>
          <w:tcPr>
            <w:tcW w:w="93" w:type="dxa"/>
            <w:tcBorders/>
            <w:shd w:fill="E5EBEE" w:val="clear"/>
            <w:vAlign w:val="center"/>
          </w:tcPr>
          <w:p>
            <w:pPr>
              <w:pStyle w:val="TableContents"/>
              <w:bidi w:val="0"/>
              <w:spacing w:before="0" w:after="283"/>
              <w:jc w:val="left"/>
              <w:rPr/>
            </w:pPr>
            <w:r>
              <w:rPr/>
              <w:t> </w:t>
            </w:r>
          </w:p>
        </w:tc>
        <w:tc>
          <w:tcPr>
            <w:tcW w:w="1249" w:type="dxa"/>
            <w:tcBorders/>
            <w:shd w:fill="E5EBEE" w:val="clear"/>
            <w:vAlign w:val="center"/>
          </w:tcPr>
          <w:p>
            <w:pPr>
              <w:pStyle w:val="TableContents"/>
              <w:bidi w:val="0"/>
              <w:spacing w:before="0" w:after="283"/>
              <w:jc w:val="center"/>
              <w:rPr/>
            </w:pPr>
            <w:r>
              <w:rPr/>
              <w:t>—</w:t>
            </w:r>
          </w:p>
        </w:tc>
        <w:tc>
          <w:tcPr>
            <w:tcW w:w="38"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95" w:type="dxa"/>
            <w:tcBorders/>
            <w:shd w:fill="E5EBEE" w:val="clear"/>
            <w:vAlign w:val="center"/>
          </w:tcPr>
          <w:p>
            <w:pPr>
              <w:pStyle w:val="TableContents"/>
              <w:bidi w:val="0"/>
              <w:spacing w:before="0" w:after="283"/>
              <w:jc w:val="left"/>
              <w:rPr>
                <w:sz w:val="4"/>
                <w:szCs w:val="4"/>
              </w:rPr>
            </w:pPr>
            <w:r>
              <w:rPr>
                <w:sz w:val="4"/>
                <w:szCs w:val="4"/>
              </w:rPr>
            </w:r>
          </w:p>
        </w:tc>
        <w:tc>
          <w:tcPr>
            <w:tcW w:w="249" w:type="dxa"/>
            <w:tcBorders/>
            <w:shd w:fill="E5EBEE" w:val="clear"/>
            <w:vAlign w:val="center"/>
          </w:tcPr>
          <w:p>
            <w:pPr>
              <w:pStyle w:val="TableContents"/>
              <w:bidi w:val="0"/>
              <w:spacing w:before="0" w:after="283"/>
              <w:jc w:val="left"/>
              <w:rPr/>
            </w:pPr>
            <w:r>
              <w:rPr/>
              <w:t> </w:t>
            </w:r>
          </w:p>
        </w:tc>
        <w:tc>
          <w:tcPr>
            <w:tcW w:w="1079" w:type="dxa"/>
            <w:tcBorders/>
            <w:shd w:fill="E5EBEE" w:val="clear"/>
            <w:vAlign w:val="center"/>
          </w:tcPr>
          <w:p>
            <w:pPr>
              <w:pStyle w:val="TableContents"/>
              <w:bidi w:val="0"/>
              <w:spacing w:before="0" w:after="283"/>
              <w:jc w:val="center"/>
              <w:rPr/>
            </w:pPr>
            <w:r>
              <w:rPr/>
              <w:t>—</w:t>
            </w:r>
          </w:p>
        </w:tc>
        <w:tc>
          <w:tcPr>
            <w:tcW w:w="97"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9" w:type="dxa"/>
            <w:tcBorders/>
            <w:shd w:fill="E5EBEE" w:val="clear"/>
            <w:vAlign w:val="center"/>
          </w:tcPr>
          <w:p>
            <w:pPr>
              <w:pStyle w:val="TableContents"/>
              <w:bidi w:val="0"/>
              <w:spacing w:before="0" w:after="283"/>
              <w:jc w:val="left"/>
              <w:rPr>
                <w:sz w:val="4"/>
                <w:szCs w:val="4"/>
              </w:rPr>
            </w:pPr>
            <w:r>
              <w:rPr>
                <w:sz w:val="4"/>
                <w:szCs w:val="4"/>
              </w:rPr>
            </w:r>
          </w:p>
        </w:tc>
        <w:tc>
          <w:tcPr>
            <w:tcW w:w="78" w:type="dxa"/>
            <w:tcBorders/>
            <w:shd w:fill="E5EBEE" w:val="clear"/>
            <w:vAlign w:val="center"/>
          </w:tcPr>
          <w:p>
            <w:pPr>
              <w:pStyle w:val="TableContents"/>
              <w:bidi w:val="0"/>
              <w:spacing w:before="0" w:after="283"/>
              <w:jc w:val="left"/>
              <w:rPr/>
            </w:pPr>
            <w:r>
              <w:rPr/>
              <w:t> </w:t>
            </w:r>
          </w:p>
        </w:tc>
        <w:tc>
          <w:tcPr>
            <w:tcW w:w="886"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48" w:type="dxa"/>
            <w:tcBorders/>
            <w:shd w:fill="E5EBEE" w:val="clear"/>
            <w:vAlign w:val="center"/>
          </w:tcPr>
          <w:p>
            <w:pPr>
              <w:pStyle w:val="TableContents"/>
              <w:bidi w:val="0"/>
              <w:spacing w:before="0" w:after="283"/>
              <w:jc w:val="left"/>
              <w:rPr>
                <w:sz w:val="4"/>
                <w:szCs w:val="4"/>
              </w:rPr>
            </w:pPr>
            <w:r>
              <w:rPr>
                <w:sz w:val="4"/>
                <w:szCs w:val="4"/>
              </w:rPr>
            </w:r>
          </w:p>
        </w:tc>
        <w:tc>
          <w:tcPr>
            <w:tcW w:w="125" w:type="dxa"/>
            <w:tcBorders/>
            <w:shd w:fill="E5EBEE" w:val="clear"/>
            <w:vAlign w:val="center"/>
          </w:tcPr>
          <w:p>
            <w:pPr>
              <w:pStyle w:val="TableContents"/>
              <w:bidi w:val="0"/>
              <w:spacing w:before="0" w:after="283"/>
              <w:jc w:val="left"/>
              <w:rPr/>
            </w:pPr>
            <w:r>
              <w:rPr/>
              <w:t> </w:t>
            </w:r>
          </w:p>
        </w:tc>
        <w:tc>
          <w:tcPr>
            <w:tcW w:w="1043" w:type="dxa"/>
            <w:tcBorders/>
            <w:shd w:fill="E5EBEE" w:val="clear"/>
            <w:vAlign w:val="center"/>
          </w:tcPr>
          <w:p>
            <w:pPr>
              <w:pStyle w:val="TableContents"/>
              <w:bidi w:val="0"/>
              <w:spacing w:before="0" w:after="283"/>
              <w:jc w:val="center"/>
              <w:rPr/>
            </w:pPr>
            <w:r>
              <w:rPr/>
              <w:t>—</w:t>
            </w:r>
          </w:p>
        </w:tc>
        <w:tc>
          <w:tcPr>
            <w:tcW w:w="49"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30" w:type="dxa"/>
            <w:tcBorders/>
            <w:shd w:fill="E5EBEE" w:val="clear"/>
            <w:vAlign w:val="center"/>
          </w:tcPr>
          <w:p>
            <w:pPr>
              <w:pStyle w:val="TableContents"/>
              <w:bidi w:val="0"/>
              <w:spacing w:before="0" w:after="283"/>
              <w:jc w:val="left"/>
              <w:rPr>
                <w:sz w:val="4"/>
                <w:szCs w:val="4"/>
              </w:rPr>
            </w:pPr>
            <w:r>
              <w:rPr>
                <w:sz w:val="4"/>
                <w:szCs w:val="4"/>
              </w:rPr>
            </w:r>
          </w:p>
        </w:tc>
        <w:tc>
          <w:tcPr>
            <w:tcW w:w="80" w:type="dxa"/>
            <w:tcBorders/>
            <w:shd w:fill="E5EBEE" w:val="clear"/>
            <w:vAlign w:val="center"/>
          </w:tcPr>
          <w:p>
            <w:pPr>
              <w:pStyle w:val="TableContents"/>
              <w:bidi w:val="0"/>
              <w:spacing w:before="0" w:after="283"/>
              <w:jc w:val="left"/>
              <w:rPr/>
            </w:pPr>
            <w:r>
              <w:rPr/>
              <w:t> </w:t>
            </w:r>
          </w:p>
        </w:tc>
        <w:tc>
          <w:tcPr>
            <w:tcW w:w="1013" w:type="dxa"/>
            <w:tcBorders/>
            <w:shd w:fill="E5EBEE" w:val="clear"/>
            <w:vAlign w:val="center"/>
          </w:tcPr>
          <w:p>
            <w:pPr>
              <w:pStyle w:val="TableContents"/>
              <w:bidi w:val="0"/>
              <w:spacing w:before="0" w:after="283"/>
              <w:jc w:val="center"/>
              <w:rPr/>
            </w:pPr>
            <w:r>
              <w:rPr/>
              <w:t>—</w:t>
            </w:r>
          </w:p>
        </w:tc>
        <w:tc>
          <w:tcPr>
            <w:tcW w:w="82" w:type="dxa"/>
            <w:tcBorders/>
            <w:shd w:fill="E5EBEE"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140,459(6)</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$25,046,649</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529" w:type="dxa"/>
            <w:tcBorders>
              <w:bottom w:val="single" w:sz="8" w:space="0" w:color="003A5D"/>
            </w:tcBorders>
            <w:tcMar>
              <w:bottom w:w="60" w:type="dxa"/>
            </w:tcMar>
            <w:vAlign w:val="center"/>
          </w:tcPr>
          <w:p>
            <w:pPr>
              <w:pStyle w:val="TableContents"/>
              <w:bidi w:val="0"/>
              <w:spacing w:before="0" w:after="283"/>
              <w:jc w:val="center"/>
              <w:rPr/>
            </w:pPr>
            <w:r>
              <w:rPr/>
              <w:t>2/1/2024</w:t>
            </w:r>
          </w:p>
        </w:tc>
        <w:tc>
          <w:tcPr>
            <w:tcW w:w="23"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8" w:space="0" w:color="003A5D"/>
            </w:tcBorders>
            <w:tcMar>
              <w:bottom w:w="60" w:type="dxa"/>
            </w:tcMar>
            <w:vAlign w:val="center"/>
          </w:tcPr>
          <w:p>
            <w:pPr>
              <w:pStyle w:val="TableContents"/>
              <w:bidi w:val="0"/>
              <w:spacing w:before="0" w:after="283"/>
              <w:jc w:val="left"/>
              <w:rPr/>
            </w:pPr>
            <w:r>
              <w:rPr/>
              <w:t> </w:t>
            </w:r>
          </w:p>
        </w:tc>
        <w:tc>
          <w:tcPr>
            <w:tcW w:w="1249" w:type="dxa"/>
            <w:tcBorders>
              <w:bottom w:val="single" w:sz="8" w:space="0" w:color="003A5D"/>
            </w:tcBorders>
            <w:tcMar>
              <w:bottom w:w="60" w:type="dxa"/>
            </w:tcMar>
            <w:vAlign w:val="center"/>
          </w:tcPr>
          <w:p>
            <w:pPr>
              <w:pStyle w:val="TableContents"/>
              <w:bidi w:val="0"/>
              <w:spacing w:before="0" w:after="283"/>
              <w:jc w:val="center"/>
              <w:rPr/>
            </w:pPr>
            <w:r>
              <w:rPr/>
              <w:t>—</w:t>
            </w:r>
          </w:p>
        </w:tc>
        <w:tc>
          <w:tcPr>
            <w:tcW w:w="38"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49" w:type="dxa"/>
            <w:tcBorders>
              <w:bottom w:val="single" w:sz="8" w:space="0" w:color="003A5D"/>
            </w:tcBorders>
            <w:tcMar>
              <w:bottom w:w="60" w:type="dxa"/>
            </w:tcMar>
            <w:vAlign w:val="center"/>
          </w:tcPr>
          <w:p>
            <w:pPr>
              <w:pStyle w:val="TableContents"/>
              <w:bidi w:val="0"/>
              <w:spacing w:before="0" w:after="283"/>
              <w:jc w:val="left"/>
              <w:rPr/>
            </w:pPr>
            <w:r>
              <w:rPr/>
              <w:t> </w:t>
            </w:r>
          </w:p>
        </w:tc>
        <w:tc>
          <w:tcPr>
            <w:tcW w:w="1079" w:type="dxa"/>
            <w:tcBorders>
              <w:bottom w:val="single" w:sz="8" w:space="0" w:color="003A5D"/>
            </w:tcBorders>
            <w:tcMar>
              <w:bottom w:w="60" w:type="dxa"/>
            </w:tcMar>
            <w:vAlign w:val="center"/>
          </w:tcPr>
          <w:p>
            <w:pPr>
              <w:pStyle w:val="TableContents"/>
              <w:bidi w:val="0"/>
              <w:spacing w:before="0" w:after="283"/>
              <w:jc w:val="center"/>
              <w:rPr/>
            </w:pPr>
            <w:r>
              <w:rPr/>
              <w:t>—</w:t>
            </w:r>
          </w:p>
        </w:tc>
        <w:tc>
          <w:tcPr>
            <w:tcW w:w="97"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8" w:space="0" w:color="003A5D"/>
            </w:tcBorders>
            <w:tcMar>
              <w:bottom w:w="60" w:type="dxa"/>
            </w:tcMar>
            <w:vAlign w:val="center"/>
          </w:tcPr>
          <w:p>
            <w:pPr>
              <w:pStyle w:val="TableContents"/>
              <w:bidi w:val="0"/>
              <w:spacing w:before="0" w:after="283"/>
              <w:jc w:val="left"/>
              <w:rPr/>
            </w:pPr>
            <w:r>
              <w:rPr/>
              <w:t> </w:t>
            </w:r>
          </w:p>
        </w:tc>
        <w:tc>
          <w:tcPr>
            <w:tcW w:w="886" w:type="dxa"/>
            <w:tcBorders>
              <w:bottom w:val="single" w:sz="8" w:space="0" w:color="003A5D"/>
            </w:tcBorders>
            <w:tcMar>
              <w:bottom w:w="60" w:type="dxa"/>
            </w:tcMar>
            <w:vAlign w:val="center"/>
          </w:tcPr>
          <w:p>
            <w:pPr>
              <w:pStyle w:val="TableContents"/>
              <w:bidi w:val="0"/>
              <w:spacing w:before="0" w:after="283"/>
              <w:jc w:val="center"/>
              <w:rPr/>
            </w:pPr>
            <w:r>
              <w:rPr/>
              <w:t>$—</w:t>
            </w:r>
          </w:p>
        </w:tc>
        <w:tc>
          <w:tcPr>
            <w:tcW w:w="32"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48"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25" w:type="dxa"/>
            <w:tcBorders>
              <w:bottom w:val="single" w:sz="8" w:space="0" w:color="003A5D"/>
            </w:tcBorders>
            <w:tcMar>
              <w:bottom w:w="60" w:type="dxa"/>
            </w:tcMar>
            <w:vAlign w:val="center"/>
          </w:tcPr>
          <w:p>
            <w:pPr>
              <w:pStyle w:val="TableContents"/>
              <w:bidi w:val="0"/>
              <w:spacing w:before="0" w:after="283"/>
              <w:jc w:val="left"/>
              <w:rPr/>
            </w:pPr>
            <w:r>
              <w:rPr/>
              <w:t> </w:t>
            </w:r>
          </w:p>
        </w:tc>
        <w:tc>
          <w:tcPr>
            <w:tcW w:w="1043" w:type="dxa"/>
            <w:tcBorders>
              <w:bottom w:val="single" w:sz="8" w:space="0" w:color="003A5D"/>
            </w:tcBorders>
            <w:tcMar>
              <w:bottom w:w="60" w:type="dxa"/>
            </w:tcMar>
            <w:vAlign w:val="center"/>
          </w:tcPr>
          <w:p>
            <w:pPr>
              <w:pStyle w:val="TableContents"/>
              <w:bidi w:val="0"/>
              <w:spacing w:before="0" w:after="283"/>
              <w:jc w:val="center"/>
              <w:rPr/>
            </w:pPr>
            <w:r>
              <w:rPr/>
              <w:t>—</w:t>
            </w:r>
          </w:p>
        </w:tc>
        <w:tc>
          <w:tcPr>
            <w:tcW w:w="49"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8" w:space="0" w:color="003A5D"/>
            </w:tcBorders>
            <w:tcMar>
              <w:bottom w:w="60" w:type="dxa"/>
            </w:tcMar>
            <w:vAlign w:val="center"/>
          </w:tcPr>
          <w:p>
            <w:pPr>
              <w:pStyle w:val="TableContents"/>
              <w:bidi w:val="0"/>
              <w:spacing w:before="0" w:after="283"/>
              <w:jc w:val="left"/>
              <w:rPr/>
            </w:pPr>
            <w:r>
              <w:rPr/>
              <w:t> </w:t>
            </w:r>
          </w:p>
        </w:tc>
        <w:tc>
          <w:tcPr>
            <w:tcW w:w="1013" w:type="dxa"/>
            <w:tcBorders>
              <w:bottom w:val="single" w:sz="8" w:space="0" w:color="003A5D"/>
            </w:tcBorders>
            <w:tcMar>
              <w:bottom w:w="60" w:type="dxa"/>
            </w:tcMar>
            <w:vAlign w:val="center"/>
          </w:tcPr>
          <w:p>
            <w:pPr>
              <w:pStyle w:val="TableContents"/>
              <w:bidi w:val="0"/>
              <w:spacing w:before="0" w:after="283"/>
              <w:jc w:val="center"/>
              <w:rPr/>
            </w:pPr>
            <w:r>
              <w:rPr/>
              <w:t>—</w:t>
            </w:r>
          </w:p>
        </w:tc>
        <w:tc>
          <w:tcPr>
            <w:tcW w:w="82" w:type="dxa"/>
            <w:tcBorders>
              <w:bottom w:val="single" w:sz="8" w:space="0" w:color="003A5D"/>
            </w:tcBorders>
            <w:tcMar>
              <w:bottom w:w="60" w:type="dxa"/>
            </w:tcM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1100" w:type="dxa"/>
            <w:tcBorders>
              <w:bottom w:val="single" w:sz="8" w:space="0" w:color="003A5D"/>
            </w:tcBorders>
            <w:tcMar>
              <w:bottom w:w="60" w:type="dxa"/>
            </w:tcMar>
            <w:vAlign w:val="center"/>
          </w:tcPr>
          <w:p>
            <w:pPr>
              <w:pStyle w:val="TableContents"/>
              <w:bidi w:val="0"/>
              <w:spacing w:before="0" w:after="283"/>
              <w:jc w:val="center"/>
              <w:rPr/>
            </w:pPr>
            <w:r>
              <w:rPr/>
              <w:t>$—</w:t>
            </w:r>
          </w:p>
        </w:tc>
        <w:tc>
          <w:tcPr>
            <w:tcW w:w="23"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46,820(6)</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$8,348,942</w:t>
            </w:r>
          </w:p>
          <w:p>
            <w:pPr>
              <w:pStyle w:val="TableContents"/>
              <w:bidi w:val="0"/>
              <w:spacing w:before="0" w:after="283"/>
              <w:jc w:val="left"/>
              <w:rPr>
                <w:sz w:val="4"/>
                <w:szCs w:val="4"/>
              </w:rPr>
            </w:pPr>
            <w:r>
              <w:rPr>
                <w:sz w:val="4"/>
                <w:szCs w:val="4"/>
              </w:rPr>
            </w:r>
          </w:p>
        </w:tc>
      </w:tr>
      <w:tr>
        <w:trPr/>
        <w:tc>
          <w:tcPr>
            <w:tcW w:w="815" w:type="dxa"/>
            <w:vMerge w:val="restart"/>
            <w:tcBorders>
              <w:bottom w:val="single" w:sz="8" w:space="0" w:color="003A5D"/>
            </w:tcBorders>
            <w:tcMar>
              <w:bottom w:w="60" w:type="dxa"/>
            </w:tcMar>
            <w:vAlign w:val="center"/>
          </w:tcPr>
          <w:p>
            <w:pPr>
              <w:pStyle w:val="TableContents"/>
              <w:bidi w:val="0"/>
              <w:spacing w:before="0" w:after="0"/>
              <w:jc w:val="left"/>
              <w:rPr>
                <w:rFonts w:ascii="arial" w:hAnsi="arial"/>
                <w:sz w:val="16"/>
              </w:rPr>
            </w:pPr>
            <w:r>
              <w:rPr>
                <w:rFonts w:ascii="arial" w:hAnsi="arial"/>
                <w:sz w:val="16"/>
              </w:rPr>
              <w:t>Andrew M. Young</w:t>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529" w:type="dxa"/>
            <w:tcBorders/>
            <w:shd w:fill="E5EBEE" w:val="clear"/>
            <w:vAlign w:val="center"/>
          </w:tcPr>
          <w:p>
            <w:pPr>
              <w:pStyle w:val="TableContents"/>
              <w:bidi w:val="0"/>
              <w:spacing w:before="0" w:after="283"/>
              <w:jc w:val="center"/>
              <w:rPr/>
            </w:pPr>
            <w:r>
              <w:rPr/>
              <w:t>2/3/2022</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35" w:type="dxa"/>
            <w:tcBorders/>
            <w:shd w:fill="E5EBEE" w:val="clear"/>
            <w:vAlign w:val="center"/>
          </w:tcPr>
          <w:p>
            <w:pPr>
              <w:pStyle w:val="TableContents"/>
              <w:bidi w:val="0"/>
              <w:spacing w:before="0" w:after="283"/>
              <w:jc w:val="left"/>
              <w:rPr>
                <w:sz w:val="4"/>
                <w:szCs w:val="4"/>
              </w:rPr>
            </w:pPr>
            <w:r>
              <w:rPr>
                <w:sz w:val="4"/>
                <w:szCs w:val="4"/>
              </w:rPr>
            </w:r>
          </w:p>
        </w:tc>
        <w:tc>
          <w:tcPr>
            <w:tcW w:w="93" w:type="dxa"/>
            <w:tcBorders/>
            <w:shd w:fill="E5EBEE" w:val="clear"/>
            <w:vAlign w:val="center"/>
          </w:tcPr>
          <w:p>
            <w:pPr>
              <w:pStyle w:val="TableContents"/>
              <w:bidi w:val="0"/>
              <w:spacing w:before="0" w:after="283"/>
              <w:jc w:val="left"/>
              <w:rPr/>
            </w:pPr>
            <w:r>
              <w:rPr/>
              <w:t> </w:t>
            </w:r>
          </w:p>
        </w:tc>
        <w:tc>
          <w:tcPr>
            <w:tcW w:w="1249" w:type="dxa"/>
            <w:tcBorders/>
            <w:shd w:fill="E5EBEE" w:val="clear"/>
            <w:vAlign w:val="center"/>
          </w:tcPr>
          <w:p>
            <w:pPr>
              <w:pStyle w:val="TableContents"/>
              <w:bidi w:val="0"/>
              <w:spacing w:before="0" w:after="283"/>
              <w:jc w:val="center"/>
              <w:rPr/>
            </w:pPr>
            <w:r>
              <w:rPr/>
              <w:t>—</w:t>
            </w:r>
          </w:p>
        </w:tc>
        <w:tc>
          <w:tcPr>
            <w:tcW w:w="38"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95" w:type="dxa"/>
            <w:tcBorders/>
            <w:shd w:fill="E5EBEE" w:val="clear"/>
            <w:vAlign w:val="center"/>
          </w:tcPr>
          <w:p>
            <w:pPr>
              <w:pStyle w:val="TableContents"/>
              <w:bidi w:val="0"/>
              <w:spacing w:before="0" w:after="283"/>
              <w:jc w:val="left"/>
              <w:rPr>
                <w:sz w:val="4"/>
                <w:szCs w:val="4"/>
              </w:rPr>
            </w:pPr>
            <w:r>
              <w:rPr>
                <w:sz w:val="4"/>
                <w:szCs w:val="4"/>
              </w:rPr>
            </w:r>
          </w:p>
        </w:tc>
        <w:tc>
          <w:tcPr>
            <w:tcW w:w="249" w:type="dxa"/>
            <w:tcBorders/>
            <w:shd w:fill="E5EBEE" w:val="clear"/>
            <w:vAlign w:val="center"/>
          </w:tcPr>
          <w:p>
            <w:pPr>
              <w:pStyle w:val="TableContents"/>
              <w:bidi w:val="0"/>
              <w:spacing w:before="0" w:after="283"/>
              <w:jc w:val="left"/>
              <w:rPr/>
            </w:pPr>
            <w:r>
              <w:rPr/>
              <w:t> </w:t>
            </w:r>
          </w:p>
        </w:tc>
        <w:tc>
          <w:tcPr>
            <w:tcW w:w="1079" w:type="dxa"/>
            <w:tcBorders/>
            <w:shd w:fill="E5EBEE" w:val="clear"/>
            <w:vAlign w:val="center"/>
          </w:tcPr>
          <w:p>
            <w:pPr>
              <w:pStyle w:val="TableContents"/>
              <w:bidi w:val="0"/>
              <w:spacing w:before="0" w:after="283"/>
              <w:jc w:val="center"/>
              <w:rPr/>
            </w:pPr>
            <w:r>
              <w:rPr/>
              <w:t>—</w:t>
            </w:r>
          </w:p>
        </w:tc>
        <w:tc>
          <w:tcPr>
            <w:tcW w:w="97"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9" w:type="dxa"/>
            <w:tcBorders/>
            <w:shd w:fill="E5EBEE" w:val="clear"/>
            <w:vAlign w:val="center"/>
          </w:tcPr>
          <w:p>
            <w:pPr>
              <w:pStyle w:val="TableContents"/>
              <w:bidi w:val="0"/>
              <w:spacing w:before="0" w:after="283"/>
              <w:jc w:val="left"/>
              <w:rPr>
                <w:sz w:val="4"/>
                <w:szCs w:val="4"/>
              </w:rPr>
            </w:pPr>
            <w:r>
              <w:rPr>
                <w:sz w:val="4"/>
                <w:szCs w:val="4"/>
              </w:rPr>
            </w:r>
          </w:p>
        </w:tc>
        <w:tc>
          <w:tcPr>
            <w:tcW w:w="78" w:type="dxa"/>
            <w:tcBorders/>
            <w:shd w:fill="E5EBEE" w:val="clear"/>
            <w:vAlign w:val="center"/>
          </w:tcPr>
          <w:p>
            <w:pPr>
              <w:pStyle w:val="TableContents"/>
              <w:bidi w:val="0"/>
              <w:spacing w:before="0" w:after="283"/>
              <w:jc w:val="left"/>
              <w:rPr/>
            </w:pPr>
            <w:r>
              <w:rPr/>
              <w:t> </w:t>
            </w:r>
          </w:p>
        </w:tc>
        <w:tc>
          <w:tcPr>
            <w:tcW w:w="886"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48" w:type="dxa"/>
            <w:tcBorders/>
            <w:shd w:fill="E5EBEE" w:val="clear"/>
            <w:vAlign w:val="center"/>
          </w:tcPr>
          <w:p>
            <w:pPr>
              <w:pStyle w:val="TableContents"/>
              <w:bidi w:val="0"/>
              <w:spacing w:before="0" w:after="283"/>
              <w:jc w:val="left"/>
              <w:rPr>
                <w:sz w:val="4"/>
                <w:szCs w:val="4"/>
              </w:rPr>
            </w:pPr>
            <w:r>
              <w:rPr>
                <w:sz w:val="4"/>
                <w:szCs w:val="4"/>
              </w:rPr>
            </w:r>
          </w:p>
        </w:tc>
        <w:tc>
          <w:tcPr>
            <w:tcW w:w="125" w:type="dxa"/>
            <w:tcBorders/>
            <w:shd w:fill="E5EBEE" w:val="clear"/>
            <w:vAlign w:val="center"/>
          </w:tcPr>
          <w:p>
            <w:pPr>
              <w:pStyle w:val="TableContents"/>
              <w:bidi w:val="0"/>
              <w:spacing w:before="0" w:after="283"/>
              <w:jc w:val="left"/>
              <w:rPr/>
            </w:pPr>
            <w:r>
              <w:rPr/>
              <w:t> </w:t>
            </w:r>
          </w:p>
        </w:tc>
        <w:tc>
          <w:tcPr>
            <w:tcW w:w="1043" w:type="dxa"/>
            <w:tcBorders/>
            <w:shd w:fill="E5EBEE" w:val="clear"/>
            <w:vAlign w:val="center"/>
          </w:tcPr>
          <w:p>
            <w:pPr>
              <w:pStyle w:val="TableContents"/>
              <w:bidi w:val="0"/>
              <w:spacing w:before="0" w:after="283"/>
              <w:jc w:val="center"/>
              <w:rPr/>
            </w:pPr>
            <w:r>
              <w:rPr/>
              <w:t>—</w:t>
            </w:r>
          </w:p>
        </w:tc>
        <w:tc>
          <w:tcPr>
            <w:tcW w:w="49"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30" w:type="dxa"/>
            <w:tcBorders/>
            <w:shd w:fill="E5EBEE" w:val="clear"/>
            <w:vAlign w:val="center"/>
          </w:tcPr>
          <w:p>
            <w:pPr>
              <w:pStyle w:val="TableContents"/>
              <w:bidi w:val="0"/>
              <w:spacing w:before="0" w:after="283"/>
              <w:jc w:val="left"/>
              <w:rPr>
                <w:sz w:val="4"/>
                <w:szCs w:val="4"/>
              </w:rPr>
            </w:pPr>
            <w:r>
              <w:rPr>
                <w:sz w:val="4"/>
                <w:szCs w:val="4"/>
              </w:rPr>
            </w:r>
          </w:p>
        </w:tc>
        <w:tc>
          <w:tcPr>
            <w:tcW w:w="80" w:type="dxa"/>
            <w:tcBorders/>
            <w:shd w:fill="E5EBEE" w:val="clear"/>
            <w:vAlign w:val="center"/>
          </w:tcPr>
          <w:p>
            <w:pPr>
              <w:pStyle w:val="TableContents"/>
              <w:bidi w:val="0"/>
              <w:spacing w:before="0" w:after="283"/>
              <w:jc w:val="left"/>
              <w:rPr/>
            </w:pPr>
            <w:r>
              <w:rPr/>
              <w:t> </w:t>
            </w:r>
          </w:p>
        </w:tc>
        <w:tc>
          <w:tcPr>
            <w:tcW w:w="1013" w:type="dxa"/>
            <w:tcBorders/>
            <w:shd w:fill="E5EBEE" w:val="clear"/>
            <w:vAlign w:val="center"/>
          </w:tcPr>
          <w:p>
            <w:pPr>
              <w:pStyle w:val="TableContents"/>
              <w:bidi w:val="0"/>
              <w:spacing w:before="0" w:after="283"/>
              <w:jc w:val="center"/>
              <w:rPr/>
            </w:pPr>
            <w:r>
              <w:rPr/>
              <w:t>2,529(7)</w:t>
            </w:r>
          </w:p>
        </w:tc>
        <w:tc>
          <w:tcPr>
            <w:tcW w:w="82" w:type="dxa"/>
            <w:tcBorders/>
            <w:shd w:fill="E5EBEE"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$450,971</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2/3/2022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center"/>
              <w:rPr/>
            </w:pPr>
            <w:r>
              <w:rPr/>
              <w:t>—</w:t>
            </w:r>
          </w:p>
        </w:tc>
        <w:tc>
          <w:tcPr>
            <w:tcW w:w="97"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center"/>
              <w:rPr/>
            </w:pPr>
            <w:r>
              <w:rPr/>
              <w:t>—</w:t>
            </w:r>
          </w:p>
        </w:tc>
        <w:tc>
          <w:tcPr>
            <w:tcW w:w="49" w:type="dxa"/>
            <w:tcBorders/>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center"/>
              <w:rPr/>
            </w:pPr>
            <w:r>
              <w:rPr/>
              <w:t>—</w:t>
            </w:r>
          </w:p>
        </w:tc>
        <w:tc>
          <w:tcPr>
            <w:tcW w:w="82" w:type="dxa"/>
            <w:tcBorders/>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6,373(5)</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$1,136,433</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529" w:type="dxa"/>
            <w:tcBorders/>
            <w:shd w:fill="E5EBEE" w:val="clear"/>
            <w:vAlign w:val="center"/>
          </w:tcPr>
          <w:p>
            <w:pPr>
              <w:pStyle w:val="TableContents"/>
              <w:bidi w:val="0"/>
              <w:spacing w:before="0" w:after="283"/>
              <w:jc w:val="center"/>
              <w:rPr/>
            </w:pPr>
            <w:r>
              <w:rPr/>
              <w:t>1/26/2023</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35" w:type="dxa"/>
            <w:tcBorders/>
            <w:shd w:fill="E5EBEE" w:val="clear"/>
            <w:vAlign w:val="center"/>
          </w:tcPr>
          <w:p>
            <w:pPr>
              <w:pStyle w:val="TableContents"/>
              <w:bidi w:val="0"/>
              <w:spacing w:before="0" w:after="283"/>
              <w:jc w:val="left"/>
              <w:rPr>
                <w:sz w:val="4"/>
                <w:szCs w:val="4"/>
              </w:rPr>
            </w:pPr>
            <w:r>
              <w:rPr>
                <w:sz w:val="4"/>
                <w:szCs w:val="4"/>
              </w:rPr>
            </w:r>
          </w:p>
        </w:tc>
        <w:tc>
          <w:tcPr>
            <w:tcW w:w="93" w:type="dxa"/>
            <w:tcBorders/>
            <w:shd w:fill="E5EBEE" w:val="clear"/>
            <w:vAlign w:val="center"/>
          </w:tcPr>
          <w:p>
            <w:pPr>
              <w:pStyle w:val="TableContents"/>
              <w:bidi w:val="0"/>
              <w:spacing w:before="0" w:after="283"/>
              <w:jc w:val="left"/>
              <w:rPr/>
            </w:pPr>
            <w:r>
              <w:rPr/>
              <w:t> </w:t>
            </w:r>
          </w:p>
        </w:tc>
        <w:tc>
          <w:tcPr>
            <w:tcW w:w="1249" w:type="dxa"/>
            <w:tcBorders/>
            <w:shd w:fill="E5EBEE" w:val="clear"/>
            <w:vAlign w:val="center"/>
          </w:tcPr>
          <w:p>
            <w:pPr>
              <w:pStyle w:val="TableContents"/>
              <w:bidi w:val="0"/>
              <w:spacing w:before="0" w:after="283"/>
              <w:jc w:val="center"/>
              <w:rPr/>
            </w:pPr>
            <w:r>
              <w:rPr/>
              <w:t>—</w:t>
            </w:r>
          </w:p>
        </w:tc>
        <w:tc>
          <w:tcPr>
            <w:tcW w:w="38"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95" w:type="dxa"/>
            <w:tcBorders/>
            <w:shd w:fill="E5EBEE" w:val="clear"/>
            <w:vAlign w:val="center"/>
          </w:tcPr>
          <w:p>
            <w:pPr>
              <w:pStyle w:val="TableContents"/>
              <w:bidi w:val="0"/>
              <w:spacing w:before="0" w:after="283"/>
              <w:jc w:val="left"/>
              <w:rPr>
                <w:sz w:val="4"/>
                <w:szCs w:val="4"/>
              </w:rPr>
            </w:pPr>
            <w:r>
              <w:rPr>
                <w:sz w:val="4"/>
                <w:szCs w:val="4"/>
              </w:rPr>
            </w:r>
          </w:p>
        </w:tc>
        <w:tc>
          <w:tcPr>
            <w:tcW w:w="249" w:type="dxa"/>
            <w:tcBorders/>
            <w:shd w:fill="E5EBEE" w:val="clear"/>
            <w:vAlign w:val="center"/>
          </w:tcPr>
          <w:p>
            <w:pPr>
              <w:pStyle w:val="TableContents"/>
              <w:bidi w:val="0"/>
              <w:spacing w:before="0" w:after="283"/>
              <w:jc w:val="left"/>
              <w:rPr/>
            </w:pPr>
            <w:r>
              <w:rPr/>
              <w:t> </w:t>
            </w:r>
          </w:p>
        </w:tc>
        <w:tc>
          <w:tcPr>
            <w:tcW w:w="1079" w:type="dxa"/>
            <w:tcBorders/>
            <w:shd w:fill="E5EBEE" w:val="clear"/>
            <w:vAlign w:val="center"/>
          </w:tcPr>
          <w:p>
            <w:pPr>
              <w:pStyle w:val="TableContents"/>
              <w:bidi w:val="0"/>
              <w:spacing w:before="0" w:after="283"/>
              <w:jc w:val="center"/>
              <w:rPr/>
            </w:pPr>
            <w:r>
              <w:rPr/>
              <w:t>—</w:t>
            </w:r>
          </w:p>
        </w:tc>
        <w:tc>
          <w:tcPr>
            <w:tcW w:w="97"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9" w:type="dxa"/>
            <w:tcBorders/>
            <w:shd w:fill="E5EBEE" w:val="clear"/>
            <w:vAlign w:val="center"/>
          </w:tcPr>
          <w:p>
            <w:pPr>
              <w:pStyle w:val="TableContents"/>
              <w:bidi w:val="0"/>
              <w:spacing w:before="0" w:after="283"/>
              <w:jc w:val="left"/>
              <w:rPr>
                <w:sz w:val="4"/>
                <w:szCs w:val="4"/>
              </w:rPr>
            </w:pPr>
            <w:r>
              <w:rPr>
                <w:sz w:val="4"/>
                <w:szCs w:val="4"/>
              </w:rPr>
            </w:r>
          </w:p>
        </w:tc>
        <w:tc>
          <w:tcPr>
            <w:tcW w:w="78" w:type="dxa"/>
            <w:tcBorders/>
            <w:shd w:fill="E5EBEE" w:val="clear"/>
            <w:vAlign w:val="center"/>
          </w:tcPr>
          <w:p>
            <w:pPr>
              <w:pStyle w:val="TableContents"/>
              <w:bidi w:val="0"/>
              <w:spacing w:before="0" w:after="283"/>
              <w:jc w:val="left"/>
              <w:rPr/>
            </w:pPr>
            <w:r>
              <w:rPr/>
              <w:t> </w:t>
            </w:r>
          </w:p>
        </w:tc>
        <w:tc>
          <w:tcPr>
            <w:tcW w:w="886"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48" w:type="dxa"/>
            <w:tcBorders/>
            <w:shd w:fill="E5EBEE" w:val="clear"/>
            <w:vAlign w:val="center"/>
          </w:tcPr>
          <w:p>
            <w:pPr>
              <w:pStyle w:val="TableContents"/>
              <w:bidi w:val="0"/>
              <w:spacing w:before="0" w:after="283"/>
              <w:jc w:val="left"/>
              <w:rPr>
                <w:sz w:val="4"/>
                <w:szCs w:val="4"/>
              </w:rPr>
            </w:pPr>
            <w:r>
              <w:rPr>
                <w:sz w:val="4"/>
                <w:szCs w:val="4"/>
              </w:rPr>
            </w:r>
          </w:p>
        </w:tc>
        <w:tc>
          <w:tcPr>
            <w:tcW w:w="125" w:type="dxa"/>
            <w:tcBorders/>
            <w:shd w:fill="E5EBEE" w:val="clear"/>
            <w:vAlign w:val="center"/>
          </w:tcPr>
          <w:p>
            <w:pPr>
              <w:pStyle w:val="TableContents"/>
              <w:bidi w:val="0"/>
              <w:spacing w:before="0" w:after="283"/>
              <w:jc w:val="left"/>
              <w:rPr/>
            </w:pPr>
            <w:r>
              <w:rPr/>
              <w:t> </w:t>
            </w:r>
          </w:p>
        </w:tc>
        <w:tc>
          <w:tcPr>
            <w:tcW w:w="1043" w:type="dxa"/>
            <w:tcBorders/>
            <w:shd w:fill="E5EBEE" w:val="clear"/>
            <w:vAlign w:val="center"/>
          </w:tcPr>
          <w:p>
            <w:pPr>
              <w:pStyle w:val="TableContents"/>
              <w:bidi w:val="0"/>
              <w:spacing w:before="0" w:after="283"/>
              <w:jc w:val="center"/>
              <w:rPr/>
            </w:pPr>
            <w:r>
              <w:rPr/>
              <w:t>—</w:t>
            </w:r>
          </w:p>
        </w:tc>
        <w:tc>
          <w:tcPr>
            <w:tcW w:w="49"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30" w:type="dxa"/>
            <w:tcBorders/>
            <w:shd w:fill="E5EBEE" w:val="clear"/>
            <w:vAlign w:val="center"/>
          </w:tcPr>
          <w:p>
            <w:pPr>
              <w:pStyle w:val="TableContents"/>
              <w:bidi w:val="0"/>
              <w:spacing w:before="0" w:after="283"/>
              <w:jc w:val="left"/>
              <w:rPr>
                <w:sz w:val="4"/>
                <w:szCs w:val="4"/>
              </w:rPr>
            </w:pPr>
            <w:r>
              <w:rPr>
                <w:sz w:val="4"/>
                <w:szCs w:val="4"/>
              </w:rPr>
            </w:r>
          </w:p>
        </w:tc>
        <w:tc>
          <w:tcPr>
            <w:tcW w:w="80" w:type="dxa"/>
            <w:tcBorders/>
            <w:shd w:fill="E5EBEE" w:val="clear"/>
            <w:vAlign w:val="center"/>
          </w:tcPr>
          <w:p>
            <w:pPr>
              <w:pStyle w:val="TableContents"/>
              <w:bidi w:val="0"/>
              <w:spacing w:before="0" w:after="283"/>
              <w:jc w:val="left"/>
              <w:rPr/>
            </w:pPr>
            <w:r>
              <w:rPr/>
              <w:t> </w:t>
            </w:r>
          </w:p>
        </w:tc>
        <w:tc>
          <w:tcPr>
            <w:tcW w:w="1013" w:type="dxa"/>
            <w:tcBorders/>
            <w:shd w:fill="E5EBEE" w:val="clear"/>
            <w:vAlign w:val="center"/>
          </w:tcPr>
          <w:p>
            <w:pPr>
              <w:pStyle w:val="TableContents"/>
              <w:bidi w:val="0"/>
              <w:spacing w:before="0" w:after="283"/>
              <w:jc w:val="center"/>
              <w:rPr/>
            </w:pPr>
            <w:r>
              <w:rPr/>
              <w:t>6,791(7)</w:t>
            </w:r>
          </w:p>
        </w:tc>
        <w:tc>
          <w:tcPr>
            <w:tcW w:w="82" w:type="dxa"/>
            <w:tcBorders/>
            <w:shd w:fill="E5EBEE"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$1,210,971</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1/26/2023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center"/>
              <w:rPr/>
            </w:pPr>
            <w:r>
              <w:rPr/>
              <w:t>—</w:t>
            </w:r>
          </w:p>
        </w:tc>
        <w:tc>
          <w:tcPr>
            <w:tcW w:w="97"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center"/>
              <w:rPr/>
            </w:pPr>
            <w:r>
              <w:rPr/>
              <w:t>—</w:t>
            </w:r>
          </w:p>
        </w:tc>
        <w:tc>
          <w:tcPr>
            <w:tcW w:w="49" w:type="dxa"/>
            <w:tcBorders/>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center"/>
              <w:rPr/>
            </w:pPr>
            <w:r>
              <w:rPr/>
              <w:t>—</w:t>
            </w:r>
          </w:p>
        </w:tc>
        <w:tc>
          <w:tcPr>
            <w:tcW w:w="82" w:type="dxa"/>
            <w:tcBorders/>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18,336(6)</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$3,269,676</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529" w:type="dxa"/>
            <w:tcBorders/>
            <w:shd w:fill="E5EBEE" w:val="clear"/>
            <w:vAlign w:val="center"/>
          </w:tcPr>
          <w:p>
            <w:pPr>
              <w:pStyle w:val="TableContents"/>
              <w:bidi w:val="0"/>
              <w:spacing w:before="0" w:after="283"/>
              <w:jc w:val="center"/>
              <w:rPr/>
            </w:pPr>
            <w:r>
              <w:rPr/>
              <w:t>2/1/2024</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35" w:type="dxa"/>
            <w:tcBorders/>
            <w:shd w:fill="E5EBEE" w:val="clear"/>
            <w:vAlign w:val="center"/>
          </w:tcPr>
          <w:p>
            <w:pPr>
              <w:pStyle w:val="TableContents"/>
              <w:bidi w:val="0"/>
              <w:spacing w:before="0" w:after="283"/>
              <w:jc w:val="left"/>
              <w:rPr>
                <w:sz w:val="4"/>
                <w:szCs w:val="4"/>
              </w:rPr>
            </w:pPr>
            <w:r>
              <w:rPr>
                <w:sz w:val="4"/>
                <w:szCs w:val="4"/>
              </w:rPr>
            </w:r>
          </w:p>
        </w:tc>
        <w:tc>
          <w:tcPr>
            <w:tcW w:w="93" w:type="dxa"/>
            <w:tcBorders/>
            <w:shd w:fill="E5EBEE" w:val="clear"/>
            <w:vAlign w:val="center"/>
          </w:tcPr>
          <w:p>
            <w:pPr>
              <w:pStyle w:val="TableContents"/>
              <w:bidi w:val="0"/>
              <w:spacing w:before="0" w:after="283"/>
              <w:jc w:val="left"/>
              <w:rPr/>
            </w:pPr>
            <w:r>
              <w:rPr/>
              <w:t> </w:t>
            </w:r>
          </w:p>
        </w:tc>
        <w:tc>
          <w:tcPr>
            <w:tcW w:w="1249" w:type="dxa"/>
            <w:tcBorders/>
            <w:shd w:fill="E5EBEE" w:val="clear"/>
            <w:vAlign w:val="center"/>
          </w:tcPr>
          <w:p>
            <w:pPr>
              <w:pStyle w:val="TableContents"/>
              <w:bidi w:val="0"/>
              <w:spacing w:before="0" w:after="283"/>
              <w:jc w:val="center"/>
              <w:rPr/>
            </w:pPr>
            <w:r>
              <w:rPr/>
              <w:t>—</w:t>
            </w:r>
          </w:p>
        </w:tc>
        <w:tc>
          <w:tcPr>
            <w:tcW w:w="38"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95" w:type="dxa"/>
            <w:tcBorders/>
            <w:shd w:fill="E5EBEE" w:val="clear"/>
            <w:vAlign w:val="center"/>
          </w:tcPr>
          <w:p>
            <w:pPr>
              <w:pStyle w:val="TableContents"/>
              <w:bidi w:val="0"/>
              <w:spacing w:before="0" w:after="283"/>
              <w:jc w:val="left"/>
              <w:rPr>
                <w:sz w:val="4"/>
                <w:szCs w:val="4"/>
              </w:rPr>
            </w:pPr>
            <w:r>
              <w:rPr>
                <w:sz w:val="4"/>
                <w:szCs w:val="4"/>
              </w:rPr>
            </w:r>
          </w:p>
        </w:tc>
        <w:tc>
          <w:tcPr>
            <w:tcW w:w="249" w:type="dxa"/>
            <w:tcBorders/>
            <w:shd w:fill="E5EBEE" w:val="clear"/>
            <w:vAlign w:val="center"/>
          </w:tcPr>
          <w:p>
            <w:pPr>
              <w:pStyle w:val="TableContents"/>
              <w:bidi w:val="0"/>
              <w:spacing w:before="0" w:after="283"/>
              <w:jc w:val="left"/>
              <w:rPr/>
            </w:pPr>
            <w:r>
              <w:rPr/>
              <w:t> </w:t>
            </w:r>
          </w:p>
        </w:tc>
        <w:tc>
          <w:tcPr>
            <w:tcW w:w="1079" w:type="dxa"/>
            <w:tcBorders/>
            <w:shd w:fill="E5EBEE" w:val="clear"/>
            <w:vAlign w:val="center"/>
          </w:tcPr>
          <w:p>
            <w:pPr>
              <w:pStyle w:val="TableContents"/>
              <w:bidi w:val="0"/>
              <w:spacing w:before="0" w:after="283"/>
              <w:jc w:val="center"/>
              <w:rPr/>
            </w:pPr>
            <w:r>
              <w:rPr/>
              <w:t>—</w:t>
            </w:r>
          </w:p>
        </w:tc>
        <w:tc>
          <w:tcPr>
            <w:tcW w:w="97"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9" w:type="dxa"/>
            <w:tcBorders/>
            <w:shd w:fill="E5EBEE" w:val="clear"/>
            <w:vAlign w:val="center"/>
          </w:tcPr>
          <w:p>
            <w:pPr>
              <w:pStyle w:val="TableContents"/>
              <w:bidi w:val="0"/>
              <w:spacing w:before="0" w:after="283"/>
              <w:jc w:val="left"/>
              <w:rPr>
                <w:sz w:val="4"/>
                <w:szCs w:val="4"/>
              </w:rPr>
            </w:pPr>
            <w:r>
              <w:rPr>
                <w:sz w:val="4"/>
                <w:szCs w:val="4"/>
              </w:rPr>
            </w:r>
          </w:p>
        </w:tc>
        <w:tc>
          <w:tcPr>
            <w:tcW w:w="78" w:type="dxa"/>
            <w:tcBorders/>
            <w:shd w:fill="E5EBEE" w:val="clear"/>
            <w:vAlign w:val="center"/>
          </w:tcPr>
          <w:p>
            <w:pPr>
              <w:pStyle w:val="TableContents"/>
              <w:bidi w:val="0"/>
              <w:spacing w:before="0" w:after="283"/>
              <w:jc w:val="left"/>
              <w:rPr/>
            </w:pPr>
            <w:r>
              <w:rPr/>
              <w:t> </w:t>
            </w:r>
          </w:p>
        </w:tc>
        <w:tc>
          <w:tcPr>
            <w:tcW w:w="886"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48" w:type="dxa"/>
            <w:tcBorders/>
            <w:shd w:fill="E5EBEE" w:val="clear"/>
            <w:vAlign w:val="center"/>
          </w:tcPr>
          <w:p>
            <w:pPr>
              <w:pStyle w:val="TableContents"/>
              <w:bidi w:val="0"/>
              <w:spacing w:before="0" w:after="283"/>
              <w:jc w:val="left"/>
              <w:rPr>
                <w:sz w:val="4"/>
                <w:szCs w:val="4"/>
              </w:rPr>
            </w:pPr>
            <w:r>
              <w:rPr>
                <w:sz w:val="4"/>
                <w:szCs w:val="4"/>
              </w:rPr>
            </w:r>
          </w:p>
        </w:tc>
        <w:tc>
          <w:tcPr>
            <w:tcW w:w="125" w:type="dxa"/>
            <w:tcBorders/>
            <w:shd w:fill="E5EBEE" w:val="clear"/>
            <w:vAlign w:val="center"/>
          </w:tcPr>
          <w:p>
            <w:pPr>
              <w:pStyle w:val="TableContents"/>
              <w:bidi w:val="0"/>
              <w:spacing w:before="0" w:after="283"/>
              <w:jc w:val="left"/>
              <w:rPr/>
            </w:pPr>
            <w:r>
              <w:rPr/>
              <w:t> </w:t>
            </w:r>
          </w:p>
        </w:tc>
        <w:tc>
          <w:tcPr>
            <w:tcW w:w="1043" w:type="dxa"/>
            <w:tcBorders/>
            <w:shd w:fill="E5EBEE" w:val="clear"/>
            <w:vAlign w:val="center"/>
          </w:tcPr>
          <w:p>
            <w:pPr>
              <w:pStyle w:val="TableContents"/>
              <w:bidi w:val="0"/>
              <w:spacing w:before="0" w:after="283"/>
              <w:jc w:val="center"/>
              <w:rPr/>
            </w:pPr>
            <w:r>
              <w:rPr/>
              <w:t>—</w:t>
            </w:r>
          </w:p>
        </w:tc>
        <w:tc>
          <w:tcPr>
            <w:tcW w:w="49"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30" w:type="dxa"/>
            <w:tcBorders/>
            <w:shd w:fill="E5EBEE" w:val="clear"/>
            <w:vAlign w:val="center"/>
          </w:tcPr>
          <w:p>
            <w:pPr>
              <w:pStyle w:val="TableContents"/>
              <w:bidi w:val="0"/>
              <w:spacing w:before="0" w:after="283"/>
              <w:jc w:val="left"/>
              <w:rPr>
                <w:sz w:val="4"/>
                <w:szCs w:val="4"/>
              </w:rPr>
            </w:pPr>
            <w:r>
              <w:rPr>
                <w:sz w:val="4"/>
                <w:szCs w:val="4"/>
              </w:rPr>
            </w:r>
          </w:p>
        </w:tc>
        <w:tc>
          <w:tcPr>
            <w:tcW w:w="80" w:type="dxa"/>
            <w:tcBorders/>
            <w:shd w:fill="E5EBEE" w:val="clear"/>
            <w:vAlign w:val="center"/>
          </w:tcPr>
          <w:p>
            <w:pPr>
              <w:pStyle w:val="TableContents"/>
              <w:bidi w:val="0"/>
              <w:spacing w:before="0" w:after="283"/>
              <w:jc w:val="left"/>
              <w:rPr/>
            </w:pPr>
            <w:r>
              <w:rPr/>
              <w:t> </w:t>
            </w:r>
          </w:p>
        </w:tc>
        <w:tc>
          <w:tcPr>
            <w:tcW w:w="1013" w:type="dxa"/>
            <w:tcBorders/>
            <w:shd w:fill="E5EBEE" w:val="clear"/>
            <w:vAlign w:val="center"/>
          </w:tcPr>
          <w:p>
            <w:pPr>
              <w:pStyle w:val="TableContents"/>
              <w:bidi w:val="0"/>
              <w:spacing w:before="0" w:after="283"/>
              <w:jc w:val="center"/>
              <w:rPr/>
            </w:pPr>
            <w:r>
              <w:rPr/>
              <w:t>9,236(7)</w:t>
            </w:r>
          </w:p>
        </w:tc>
        <w:tc>
          <w:tcPr>
            <w:tcW w:w="82" w:type="dxa"/>
            <w:tcBorders/>
            <w:shd w:fill="E5EBEE"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$1,646,964</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529" w:type="dxa"/>
            <w:tcBorders>
              <w:bottom w:val="single" w:sz="8" w:space="0" w:color="003A5D"/>
            </w:tcBorders>
            <w:tcMar>
              <w:bottom w:w="60" w:type="dxa"/>
            </w:tcMar>
            <w:vAlign w:val="center"/>
          </w:tcPr>
          <w:p>
            <w:pPr>
              <w:pStyle w:val="TableContents"/>
              <w:bidi w:val="0"/>
              <w:spacing w:before="0" w:after="283"/>
              <w:jc w:val="center"/>
              <w:rPr/>
            </w:pPr>
            <w:r>
              <w:rPr/>
              <w:t>2/1/2024</w:t>
            </w:r>
          </w:p>
        </w:tc>
        <w:tc>
          <w:tcPr>
            <w:tcW w:w="23"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8" w:space="0" w:color="003A5D"/>
            </w:tcBorders>
            <w:tcMar>
              <w:bottom w:w="60" w:type="dxa"/>
            </w:tcMar>
            <w:vAlign w:val="center"/>
          </w:tcPr>
          <w:p>
            <w:pPr>
              <w:pStyle w:val="TableContents"/>
              <w:bidi w:val="0"/>
              <w:spacing w:before="0" w:after="283"/>
              <w:jc w:val="left"/>
              <w:rPr/>
            </w:pPr>
            <w:r>
              <w:rPr/>
              <w:t> </w:t>
            </w:r>
          </w:p>
        </w:tc>
        <w:tc>
          <w:tcPr>
            <w:tcW w:w="1249" w:type="dxa"/>
            <w:tcBorders>
              <w:bottom w:val="single" w:sz="8" w:space="0" w:color="003A5D"/>
            </w:tcBorders>
            <w:tcMar>
              <w:bottom w:w="60" w:type="dxa"/>
            </w:tcMar>
            <w:vAlign w:val="center"/>
          </w:tcPr>
          <w:p>
            <w:pPr>
              <w:pStyle w:val="TableContents"/>
              <w:bidi w:val="0"/>
              <w:spacing w:before="0" w:after="283"/>
              <w:jc w:val="center"/>
              <w:rPr/>
            </w:pPr>
            <w:r>
              <w:rPr/>
              <w:t>—</w:t>
            </w:r>
          </w:p>
        </w:tc>
        <w:tc>
          <w:tcPr>
            <w:tcW w:w="38"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49" w:type="dxa"/>
            <w:tcBorders>
              <w:bottom w:val="single" w:sz="8" w:space="0" w:color="003A5D"/>
            </w:tcBorders>
            <w:tcMar>
              <w:bottom w:w="60" w:type="dxa"/>
            </w:tcMar>
            <w:vAlign w:val="center"/>
          </w:tcPr>
          <w:p>
            <w:pPr>
              <w:pStyle w:val="TableContents"/>
              <w:bidi w:val="0"/>
              <w:spacing w:before="0" w:after="283"/>
              <w:jc w:val="left"/>
              <w:rPr/>
            </w:pPr>
            <w:r>
              <w:rPr/>
              <w:t> </w:t>
            </w:r>
          </w:p>
        </w:tc>
        <w:tc>
          <w:tcPr>
            <w:tcW w:w="1079" w:type="dxa"/>
            <w:tcBorders>
              <w:bottom w:val="single" w:sz="8" w:space="0" w:color="003A5D"/>
            </w:tcBorders>
            <w:tcMar>
              <w:bottom w:w="60" w:type="dxa"/>
            </w:tcMar>
            <w:vAlign w:val="center"/>
          </w:tcPr>
          <w:p>
            <w:pPr>
              <w:pStyle w:val="TableContents"/>
              <w:bidi w:val="0"/>
              <w:spacing w:before="0" w:after="283"/>
              <w:jc w:val="center"/>
              <w:rPr/>
            </w:pPr>
            <w:r>
              <w:rPr/>
              <w:t>—</w:t>
            </w:r>
          </w:p>
        </w:tc>
        <w:tc>
          <w:tcPr>
            <w:tcW w:w="97"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8" w:space="0" w:color="003A5D"/>
            </w:tcBorders>
            <w:tcMar>
              <w:bottom w:w="60" w:type="dxa"/>
            </w:tcMar>
            <w:vAlign w:val="center"/>
          </w:tcPr>
          <w:p>
            <w:pPr>
              <w:pStyle w:val="TableContents"/>
              <w:bidi w:val="0"/>
              <w:spacing w:before="0" w:after="283"/>
              <w:jc w:val="left"/>
              <w:rPr/>
            </w:pPr>
            <w:r>
              <w:rPr/>
              <w:t> </w:t>
            </w:r>
          </w:p>
        </w:tc>
        <w:tc>
          <w:tcPr>
            <w:tcW w:w="886" w:type="dxa"/>
            <w:tcBorders>
              <w:bottom w:val="single" w:sz="8" w:space="0" w:color="003A5D"/>
            </w:tcBorders>
            <w:tcMar>
              <w:bottom w:w="60" w:type="dxa"/>
            </w:tcMar>
            <w:vAlign w:val="center"/>
          </w:tcPr>
          <w:p>
            <w:pPr>
              <w:pStyle w:val="TableContents"/>
              <w:bidi w:val="0"/>
              <w:spacing w:before="0" w:after="283"/>
              <w:jc w:val="center"/>
              <w:rPr/>
            </w:pPr>
            <w:r>
              <w:rPr/>
              <w:t>$—</w:t>
            </w:r>
          </w:p>
        </w:tc>
        <w:tc>
          <w:tcPr>
            <w:tcW w:w="32"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48"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25" w:type="dxa"/>
            <w:tcBorders>
              <w:bottom w:val="single" w:sz="8" w:space="0" w:color="003A5D"/>
            </w:tcBorders>
            <w:tcMar>
              <w:bottom w:w="60" w:type="dxa"/>
            </w:tcMar>
            <w:vAlign w:val="center"/>
          </w:tcPr>
          <w:p>
            <w:pPr>
              <w:pStyle w:val="TableContents"/>
              <w:bidi w:val="0"/>
              <w:spacing w:before="0" w:after="283"/>
              <w:jc w:val="left"/>
              <w:rPr/>
            </w:pPr>
            <w:r>
              <w:rPr/>
              <w:t> </w:t>
            </w:r>
          </w:p>
        </w:tc>
        <w:tc>
          <w:tcPr>
            <w:tcW w:w="1043" w:type="dxa"/>
            <w:tcBorders>
              <w:bottom w:val="single" w:sz="8" w:space="0" w:color="003A5D"/>
            </w:tcBorders>
            <w:tcMar>
              <w:bottom w:w="60" w:type="dxa"/>
            </w:tcMar>
            <w:vAlign w:val="center"/>
          </w:tcPr>
          <w:p>
            <w:pPr>
              <w:pStyle w:val="TableContents"/>
              <w:bidi w:val="0"/>
              <w:spacing w:before="0" w:after="283"/>
              <w:jc w:val="center"/>
              <w:rPr/>
            </w:pPr>
            <w:r>
              <w:rPr/>
              <w:t>—</w:t>
            </w:r>
          </w:p>
        </w:tc>
        <w:tc>
          <w:tcPr>
            <w:tcW w:w="49"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8" w:space="0" w:color="003A5D"/>
            </w:tcBorders>
            <w:tcMar>
              <w:bottom w:w="60" w:type="dxa"/>
            </w:tcMar>
            <w:vAlign w:val="center"/>
          </w:tcPr>
          <w:p>
            <w:pPr>
              <w:pStyle w:val="TableContents"/>
              <w:bidi w:val="0"/>
              <w:spacing w:before="0" w:after="283"/>
              <w:jc w:val="left"/>
              <w:rPr/>
            </w:pPr>
            <w:r>
              <w:rPr/>
              <w:t> </w:t>
            </w:r>
          </w:p>
        </w:tc>
        <w:tc>
          <w:tcPr>
            <w:tcW w:w="1013" w:type="dxa"/>
            <w:tcBorders>
              <w:bottom w:val="single" w:sz="8" w:space="0" w:color="003A5D"/>
            </w:tcBorders>
            <w:tcMar>
              <w:bottom w:w="60" w:type="dxa"/>
            </w:tcMar>
            <w:vAlign w:val="center"/>
          </w:tcPr>
          <w:p>
            <w:pPr>
              <w:pStyle w:val="TableContents"/>
              <w:bidi w:val="0"/>
              <w:spacing w:before="0" w:after="283"/>
              <w:jc w:val="center"/>
              <w:rPr/>
            </w:pPr>
            <w:r>
              <w:rPr/>
              <w:t>—</w:t>
            </w:r>
          </w:p>
        </w:tc>
        <w:tc>
          <w:tcPr>
            <w:tcW w:w="82" w:type="dxa"/>
            <w:tcBorders>
              <w:bottom w:val="single" w:sz="8" w:space="0" w:color="003A5D"/>
            </w:tcBorders>
            <w:tcMar>
              <w:bottom w:w="60" w:type="dxa"/>
            </w:tcM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1100" w:type="dxa"/>
            <w:tcBorders>
              <w:bottom w:val="single" w:sz="8" w:space="0" w:color="003A5D"/>
            </w:tcBorders>
            <w:tcMar>
              <w:bottom w:w="60" w:type="dxa"/>
            </w:tcMar>
            <w:vAlign w:val="center"/>
          </w:tcPr>
          <w:p>
            <w:pPr>
              <w:pStyle w:val="TableContents"/>
              <w:bidi w:val="0"/>
              <w:spacing w:before="0" w:after="283"/>
              <w:jc w:val="center"/>
              <w:rPr/>
            </w:pPr>
            <w:r>
              <w:rPr/>
              <w:t>$—</w:t>
            </w:r>
          </w:p>
        </w:tc>
        <w:tc>
          <w:tcPr>
            <w:tcW w:w="23"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16,625(6)</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$2,964,570</w:t>
            </w:r>
          </w:p>
          <w:p>
            <w:pPr>
              <w:pStyle w:val="TableContents"/>
              <w:bidi w:val="0"/>
              <w:spacing w:before="0" w:after="283"/>
              <w:jc w:val="left"/>
              <w:rPr>
                <w:sz w:val="4"/>
                <w:szCs w:val="4"/>
              </w:rPr>
            </w:pPr>
            <w:r>
              <w:rPr>
                <w:sz w:val="4"/>
                <w:szCs w:val="4"/>
              </w:rPr>
            </w:r>
          </w:p>
        </w:tc>
      </w:tr>
      <w:tr>
        <w:trPr/>
        <w:tc>
          <w:tcPr>
            <w:tcW w:w="815" w:type="dxa"/>
            <w:vMerge w:val="restart"/>
            <w:tcBorders>
              <w:bottom w:val="single" w:sz="8" w:space="0" w:color="003A5D"/>
            </w:tcBorders>
            <w:tcMar>
              <w:bottom w:w="60" w:type="dxa"/>
            </w:tcMar>
            <w:vAlign w:val="center"/>
          </w:tcPr>
          <w:p>
            <w:pPr>
              <w:pStyle w:val="TableContents"/>
              <w:bidi w:val="0"/>
              <w:spacing w:before="0" w:after="0"/>
              <w:jc w:val="left"/>
              <w:rPr>
                <w:rFonts w:ascii="arial" w:hAnsi="arial"/>
                <w:sz w:val="16"/>
              </w:rPr>
            </w:pPr>
            <w:r>
              <w:rPr>
                <w:rFonts w:ascii="arial" w:hAnsi="arial"/>
                <w:sz w:val="16"/>
              </w:rPr>
              <w:t>Frank G. LaPrade, III</w:t>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529" w:type="dxa"/>
            <w:tcBorders/>
            <w:shd w:fill="E5EBEE" w:val="clear"/>
            <w:vAlign w:val="center"/>
          </w:tcPr>
          <w:p>
            <w:pPr>
              <w:pStyle w:val="TableContents"/>
              <w:bidi w:val="0"/>
              <w:spacing w:before="0" w:after="283"/>
              <w:jc w:val="center"/>
              <w:rPr/>
            </w:pPr>
            <w:r>
              <w:rPr/>
              <w:t>2/3/2022</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35" w:type="dxa"/>
            <w:tcBorders/>
            <w:shd w:fill="E5EBEE" w:val="clear"/>
            <w:vAlign w:val="center"/>
          </w:tcPr>
          <w:p>
            <w:pPr>
              <w:pStyle w:val="TableContents"/>
              <w:bidi w:val="0"/>
              <w:spacing w:before="0" w:after="283"/>
              <w:jc w:val="left"/>
              <w:rPr>
                <w:sz w:val="4"/>
                <w:szCs w:val="4"/>
              </w:rPr>
            </w:pPr>
            <w:r>
              <w:rPr>
                <w:sz w:val="4"/>
                <w:szCs w:val="4"/>
              </w:rPr>
            </w:r>
          </w:p>
        </w:tc>
        <w:tc>
          <w:tcPr>
            <w:tcW w:w="93" w:type="dxa"/>
            <w:tcBorders/>
            <w:shd w:fill="E5EBEE" w:val="clear"/>
            <w:vAlign w:val="center"/>
          </w:tcPr>
          <w:p>
            <w:pPr>
              <w:pStyle w:val="TableContents"/>
              <w:bidi w:val="0"/>
              <w:spacing w:before="0" w:after="283"/>
              <w:jc w:val="left"/>
              <w:rPr/>
            </w:pPr>
            <w:r>
              <w:rPr/>
              <w:t> </w:t>
            </w:r>
          </w:p>
        </w:tc>
        <w:tc>
          <w:tcPr>
            <w:tcW w:w="1249" w:type="dxa"/>
            <w:tcBorders/>
            <w:shd w:fill="E5EBEE" w:val="clear"/>
            <w:vAlign w:val="center"/>
          </w:tcPr>
          <w:p>
            <w:pPr>
              <w:pStyle w:val="TableContents"/>
              <w:bidi w:val="0"/>
              <w:spacing w:before="0" w:after="283"/>
              <w:jc w:val="center"/>
              <w:rPr/>
            </w:pPr>
            <w:r>
              <w:rPr/>
              <w:t>—</w:t>
            </w:r>
          </w:p>
        </w:tc>
        <w:tc>
          <w:tcPr>
            <w:tcW w:w="38"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95" w:type="dxa"/>
            <w:tcBorders/>
            <w:shd w:fill="E5EBEE" w:val="clear"/>
            <w:vAlign w:val="center"/>
          </w:tcPr>
          <w:p>
            <w:pPr>
              <w:pStyle w:val="TableContents"/>
              <w:bidi w:val="0"/>
              <w:spacing w:before="0" w:after="283"/>
              <w:jc w:val="left"/>
              <w:rPr>
                <w:sz w:val="4"/>
                <w:szCs w:val="4"/>
              </w:rPr>
            </w:pPr>
            <w:r>
              <w:rPr>
                <w:sz w:val="4"/>
                <w:szCs w:val="4"/>
              </w:rPr>
            </w:r>
          </w:p>
        </w:tc>
        <w:tc>
          <w:tcPr>
            <w:tcW w:w="249" w:type="dxa"/>
            <w:tcBorders/>
            <w:shd w:fill="E5EBEE" w:val="clear"/>
            <w:vAlign w:val="center"/>
          </w:tcPr>
          <w:p>
            <w:pPr>
              <w:pStyle w:val="TableContents"/>
              <w:bidi w:val="0"/>
              <w:spacing w:before="0" w:after="283"/>
              <w:jc w:val="left"/>
              <w:rPr/>
            </w:pPr>
            <w:r>
              <w:rPr/>
              <w:t> </w:t>
            </w:r>
          </w:p>
        </w:tc>
        <w:tc>
          <w:tcPr>
            <w:tcW w:w="1079" w:type="dxa"/>
            <w:tcBorders/>
            <w:shd w:fill="E5EBEE" w:val="clear"/>
            <w:vAlign w:val="center"/>
          </w:tcPr>
          <w:p>
            <w:pPr>
              <w:pStyle w:val="TableContents"/>
              <w:bidi w:val="0"/>
              <w:spacing w:before="0" w:after="283"/>
              <w:jc w:val="center"/>
              <w:rPr/>
            </w:pPr>
            <w:r>
              <w:rPr/>
              <w:t>—</w:t>
            </w:r>
          </w:p>
        </w:tc>
        <w:tc>
          <w:tcPr>
            <w:tcW w:w="97"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9" w:type="dxa"/>
            <w:tcBorders/>
            <w:shd w:fill="E5EBEE" w:val="clear"/>
            <w:vAlign w:val="center"/>
          </w:tcPr>
          <w:p>
            <w:pPr>
              <w:pStyle w:val="TableContents"/>
              <w:bidi w:val="0"/>
              <w:spacing w:before="0" w:after="283"/>
              <w:jc w:val="left"/>
              <w:rPr>
                <w:sz w:val="4"/>
                <w:szCs w:val="4"/>
              </w:rPr>
            </w:pPr>
            <w:r>
              <w:rPr>
                <w:sz w:val="4"/>
                <w:szCs w:val="4"/>
              </w:rPr>
            </w:r>
          </w:p>
        </w:tc>
        <w:tc>
          <w:tcPr>
            <w:tcW w:w="78" w:type="dxa"/>
            <w:tcBorders/>
            <w:shd w:fill="E5EBEE" w:val="clear"/>
            <w:vAlign w:val="center"/>
          </w:tcPr>
          <w:p>
            <w:pPr>
              <w:pStyle w:val="TableContents"/>
              <w:bidi w:val="0"/>
              <w:spacing w:before="0" w:after="283"/>
              <w:jc w:val="left"/>
              <w:rPr/>
            </w:pPr>
            <w:r>
              <w:rPr/>
              <w:t> </w:t>
            </w:r>
          </w:p>
        </w:tc>
        <w:tc>
          <w:tcPr>
            <w:tcW w:w="886"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48" w:type="dxa"/>
            <w:tcBorders/>
            <w:shd w:fill="E5EBEE" w:val="clear"/>
            <w:vAlign w:val="center"/>
          </w:tcPr>
          <w:p>
            <w:pPr>
              <w:pStyle w:val="TableContents"/>
              <w:bidi w:val="0"/>
              <w:spacing w:before="0" w:after="283"/>
              <w:jc w:val="left"/>
              <w:rPr>
                <w:sz w:val="4"/>
                <w:szCs w:val="4"/>
              </w:rPr>
            </w:pPr>
            <w:r>
              <w:rPr>
                <w:sz w:val="4"/>
                <w:szCs w:val="4"/>
              </w:rPr>
            </w:r>
          </w:p>
        </w:tc>
        <w:tc>
          <w:tcPr>
            <w:tcW w:w="125" w:type="dxa"/>
            <w:tcBorders/>
            <w:shd w:fill="E5EBEE" w:val="clear"/>
            <w:vAlign w:val="center"/>
          </w:tcPr>
          <w:p>
            <w:pPr>
              <w:pStyle w:val="TableContents"/>
              <w:bidi w:val="0"/>
              <w:spacing w:before="0" w:after="283"/>
              <w:jc w:val="left"/>
              <w:rPr/>
            </w:pPr>
            <w:r>
              <w:rPr/>
              <w:t> </w:t>
            </w:r>
          </w:p>
        </w:tc>
        <w:tc>
          <w:tcPr>
            <w:tcW w:w="1043" w:type="dxa"/>
            <w:tcBorders/>
            <w:shd w:fill="E5EBEE" w:val="clear"/>
            <w:vAlign w:val="center"/>
          </w:tcPr>
          <w:p>
            <w:pPr>
              <w:pStyle w:val="TableContents"/>
              <w:bidi w:val="0"/>
              <w:spacing w:before="0" w:after="283"/>
              <w:jc w:val="center"/>
              <w:rPr/>
            </w:pPr>
            <w:r>
              <w:rPr/>
              <w:t>—</w:t>
            </w:r>
          </w:p>
        </w:tc>
        <w:tc>
          <w:tcPr>
            <w:tcW w:w="49"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30" w:type="dxa"/>
            <w:tcBorders/>
            <w:shd w:fill="E5EBEE" w:val="clear"/>
            <w:vAlign w:val="center"/>
          </w:tcPr>
          <w:p>
            <w:pPr>
              <w:pStyle w:val="TableContents"/>
              <w:bidi w:val="0"/>
              <w:spacing w:before="0" w:after="283"/>
              <w:jc w:val="left"/>
              <w:rPr>
                <w:sz w:val="4"/>
                <w:szCs w:val="4"/>
              </w:rPr>
            </w:pPr>
            <w:r>
              <w:rPr>
                <w:sz w:val="4"/>
                <w:szCs w:val="4"/>
              </w:rPr>
            </w:r>
          </w:p>
        </w:tc>
        <w:tc>
          <w:tcPr>
            <w:tcW w:w="80" w:type="dxa"/>
            <w:tcBorders/>
            <w:shd w:fill="E5EBEE" w:val="clear"/>
            <w:vAlign w:val="center"/>
          </w:tcPr>
          <w:p>
            <w:pPr>
              <w:pStyle w:val="TableContents"/>
              <w:bidi w:val="0"/>
              <w:spacing w:before="0" w:after="283"/>
              <w:jc w:val="left"/>
              <w:rPr/>
            </w:pPr>
            <w:r>
              <w:rPr/>
              <w:t> </w:t>
            </w:r>
          </w:p>
        </w:tc>
        <w:tc>
          <w:tcPr>
            <w:tcW w:w="1013" w:type="dxa"/>
            <w:tcBorders/>
            <w:shd w:fill="E5EBEE" w:val="clear"/>
            <w:vAlign w:val="center"/>
          </w:tcPr>
          <w:p>
            <w:pPr>
              <w:pStyle w:val="TableContents"/>
              <w:bidi w:val="0"/>
              <w:spacing w:before="0" w:after="283"/>
              <w:jc w:val="center"/>
              <w:rPr/>
            </w:pPr>
            <w:r>
              <w:rPr/>
              <w:t>3,586(7)</w:t>
            </w:r>
          </w:p>
        </w:tc>
        <w:tc>
          <w:tcPr>
            <w:tcW w:w="82" w:type="dxa"/>
            <w:tcBorders/>
            <w:shd w:fill="E5EBEE"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$639,456</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2/3/2022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center"/>
              <w:rPr/>
            </w:pPr>
            <w:r>
              <w:rPr/>
              <w:t>—</w:t>
            </w:r>
          </w:p>
        </w:tc>
        <w:tc>
          <w:tcPr>
            <w:tcW w:w="97"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center"/>
              <w:rPr/>
            </w:pPr>
            <w:r>
              <w:rPr/>
              <w:t>—</w:t>
            </w:r>
          </w:p>
        </w:tc>
        <w:tc>
          <w:tcPr>
            <w:tcW w:w="49" w:type="dxa"/>
            <w:tcBorders/>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center"/>
              <w:rPr/>
            </w:pPr>
            <w:r>
              <w:rPr/>
              <w:t>—</w:t>
            </w:r>
          </w:p>
        </w:tc>
        <w:tc>
          <w:tcPr>
            <w:tcW w:w="82" w:type="dxa"/>
            <w:tcBorders/>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9,036(5)</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$1,611,300</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529" w:type="dxa"/>
            <w:tcBorders/>
            <w:shd w:fill="E5EBEE" w:val="clear"/>
            <w:vAlign w:val="center"/>
          </w:tcPr>
          <w:p>
            <w:pPr>
              <w:pStyle w:val="TableContents"/>
              <w:bidi w:val="0"/>
              <w:spacing w:before="0" w:after="283"/>
              <w:jc w:val="center"/>
              <w:rPr/>
            </w:pPr>
            <w:r>
              <w:rPr/>
              <w:t>1/26/2023</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35" w:type="dxa"/>
            <w:tcBorders/>
            <w:shd w:fill="E5EBEE" w:val="clear"/>
            <w:vAlign w:val="center"/>
          </w:tcPr>
          <w:p>
            <w:pPr>
              <w:pStyle w:val="TableContents"/>
              <w:bidi w:val="0"/>
              <w:spacing w:before="0" w:after="283"/>
              <w:jc w:val="left"/>
              <w:rPr>
                <w:sz w:val="4"/>
                <w:szCs w:val="4"/>
              </w:rPr>
            </w:pPr>
            <w:r>
              <w:rPr>
                <w:sz w:val="4"/>
                <w:szCs w:val="4"/>
              </w:rPr>
            </w:r>
          </w:p>
        </w:tc>
        <w:tc>
          <w:tcPr>
            <w:tcW w:w="93" w:type="dxa"/>
            <w:tcBorders/>
            <w:shd w:fill="E5EBEE" w:val="clear"/>
            <w:vAlign w:val="center"/>
          </w:tcPr>
          <w:p>
            <w:pPr>
              <w:pStyle w:val="TableContents"/>
              <w:bidi w:val="0"/>
              <w:spacing w:before="0" w:after="283"/>
              <w:jc w:val="left"/>
              <w:rPr/>
            </w:pPr>
            <w:r>
              <w:rPr/>
              <w:t> </w:t>
            </w:r>
          </w:p>
        </w:tc>
        <w:tc>
          <w:tcPr>
            <w:tcW w:w="1249" w:type="dxa"/>
            <w:tcBorders/>
            <w:shd w:fill="E5EBEE" w:val="clear"/>
            <w:vAlign w:val="center"/>
          </w:tcPr>
          <w:p>
            <w:pPr>
              <w:pStyle w:val="TableContents"/>
              <w:bidi w:val="0"/>
              <w:spacing w:before="0" w:after="283"/>
              <w:jc w:val="center"/>
              <w:rPr/>
            </w:pPr>
            <w:r>
              <w:rPr/>
              <w:t>—</w:t>
            </w:r>
          </w:p>
        </w:tc>
        <w:tc>
          <w:tcPr>
            <w:tcW w:w="38"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95" w:type="dxa"/>
            <w:tcBorders/>
            <w:shd w:fill="E5EBEE" w:val="clear"/>
            <w:vAlign w:val="center"/>
          </w:tcPr>
          <w:p>
            <w:pPr>
              <w:pStyle w:val="TableContents"/>
              <w:bidi w:val="0"/>
              <w:spacing w:before="0" w:after="283"/>
              <w:jc w:val="left"/>
              <w:rPr>
                <w:sz w:val="4"/>
                <w:szCs w:val="4"/>
              </w:rPr>
            </w:pPr>
            <w:r>
              <w:rPr>
                <w:sz w:val="4"/>
                <w:szCs w:val="4"/>
              </w:rPr>
            </w:r>
          </w:p>
        </w:tc>
        <w:tc>
          <w:tcPr>
            <w:tcW w:w="249" w:type="dxa"/>
            <w:tcBorders/>
            <w:shd w:fill="E5EBEE" w:val="clear"/>
            <w:vAlign w:val="center"/>
          </w:tcPr>
          <w:p>
            <w:pPr>
              <w:pStyle w:val="TableContents"/>
              <w:bidi w:val="0"/>
              <w:spacing w:before="0" w:after="283"/>
              <w:jc w:val="left"/>
              <w:rPr/>
            </w:pPr>
            <w:r>
              <w:rPr/>
              <w:t> </w:t>
            </w:r>
          </w:p>
        </w:tc>
        <w:tc>
          <w:tcPr>
            <w:tcW w:w="1079" w:type="dxa"/>
            <w:tcBorders/>
            <w:shd w:fill="E5EBEE" w:val="clear"/>
            <w:vAlign w:val="center"/>
          </w:tcPr>
          <w:p>
            <w:pPr>
              <w:pStyle w:val="TableContents"/>
              <w:bidi w:val="0"/>
              <w:spacing w:before="0" w:after="283"/>
              <w:jc w:val="center"/>
              <w:rPr/>
            </w:pPr>
            <w:r>
              <w:rPr/>
              <w:t>—</w:t>
            </w:r>
          </w:p>
        </w:tc>
        <w:tc>
          <w:tcPr>
            <w:tcW w:w="97"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9" w:type="dxa"/>
            <w:tcBorders/>
            <w:shd w:fill="E5EBEE" w:val="clear"/>
            <w:vAlign w:val="center"/>
          </w:tcPr>
          <w:p>
            <w:pPr>
              <w:pStyle w:val="TableContents"/>
              <w:bidi w:val="0"/>
              <w:spacing w:before="0" w:after="283"/>
              <w:jc w:val="left"/>
              <w:rPr>
                <w:sz w:val="4"/>
                <w:szCs w:val="4"/>
              </w:rPr>
            </w:pPr>
            <w:r>
              <w:rPr>
                <w:sz w:val="4"/>
                <w:szCs w:val="4"/>
              </w:rPr>
            </w:r>
          </w:p>
        </w:tc>
        <w:tc>
          <w:tcPr>
            <w:tcW w:w="78" w:type="dxa"/>
            <w:tcBorders/>
            <w:shd w:fill="E5EBEE" w:val="clear"/>
            <w:vAlign w:val="center"/>
          </w:tcPr>
          <w:p>
            <w:pPr>
              <w:pStyle w:val="TableContents"/>
              <w:bidi w:val="0"/>
              <w:spacing w:before="0" w:after="283"/>
              <w:jc w:val="left"/>
              <w:rPr/>
            </w:pPr>
            <w:r>
              <w:rPr/>
              <w:t> </w:t>
            </w:r>
          </w:p>
        </w:tc>
        <w:tc>
          <w:tcPr>
            <w:tcW w:w="886"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48" w:type="dxa"/>
            <w:tcBorders/>
            <w:shd w:fill="E5EBEE" w:val="clear"/>
            <w:vAlign w:val="center"/>
          </w:tcPr>
          <w:p>
            <w:pPr>
              <w:pStyle w:val="TableContents"/>
              <w:bidi w:val="0"/>
              <w:spacing w:before="0" w:after="283"/>
              <w:jc w:val="left"/>
              <w:rPr>
                <w:sz w:val="4"/>
                <w:szCs w:val="4"/>
              </w:rPr>
            </w:pPr>
            <w:r>
              <w:rPr>
                <w:sz w:val="4"/>
                <w:szCs w:val="4"/>
              </w:rPr>
            </w:r>
          </w:p>
        </w:tc>
        <w:tc>
          <w:tcPr>
            <w:tcW w:w="125" w:type="dxa"/>
            <w:tcBorders/>
            <w:shd w:fill="E5EBEE" w:val="clear"/>
            <w:vAlign w:val="center"/>
          </w:tcPr>
          <w:p>
            <w:pPr>
              <w:pStyle w:val="TableContents"/>
              <w:bidi w:val="0"/>
              <w:spacing w:before="0" w:after="283"/>
              <w:jc w:val="left"/>
              <w:rPr/>
            </w:pPr>
            <w:r>
              <w:rPr/>
              <w:t> </w:t>
            </w:r>
          </w:p>
        </w:tc>
        <w:tc>
          <w:tcPr>
            <w:tcW w:w="1043" w:type="dxa"/>
            <w:tcBorders/>
            <w:shd w:fill="E5EBEE" w:val="clear"/>
            <w:vAlign w:val="center"/>
          </w:tcPr>
          <w:p>
            <w:pPr>
              <w:pStyle w:val="TableContents"/>
              <w:bidi w:val="0"/>
              <w:spacing w:before="0" w:after="283"/>
              <w:jc w:val="center"/>
              <w:rPr/>
            </w:pPr>
            <w:r>
              <w:rPr/>
              <w:t>—</w:t>
            </w:r>
          </w:p>
        </w:tc>
        <w:tc>
          <w:tcPr>
            <w:tcW w:w="49"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30" w:type="dxa"/>
            <w:tcBorders/>
            <w:shd w:fill="E5EBEE" w:val="clear"/>
            <w:vAlign w:val="center"/>
          </w:tcPr>
          <w:p>
            <w:pPr>
              <w:pStyle w:val="TableContents"/>
              <w:bidi w:val="0"/>
              <w:spacing w:before="0" w:after="283"/>
              <w:jc w:val="left"/>
              <w:rPr>
                <w:sz w:val="4"/>
                <w:szCs w:val="4"/>
              </w:rPr>
            </w:pPr>
            <w:r>
              <w:rPr>
                <w:sz w:val="4"/>
                <w:szCs w:val="4"/>
              </w:rPr>
            </w:r>
          </w:p>
        </w:tc>
        <w:tc>
          <w:tcPr>
            <w:tcW w:w="80" w:type="dxa"/>
            <w:tcBorders/>
            <w:shd w:fill="E5EBEE" w:val="clear"/>
            <w:vAlign w:val="center"/>
          </w:tcPr>
          <w:p>
            <w:pPr>
              <w:pStyle w:val="TableContents"/>
              <w:bidi w:val="0"/>
              <w:spacing w:before="0" w:after="283"/>
              <w:jc w:val="left"/>
              <w:rPr/>
            </w:pPr>
            <w:r>
              <w:rPr/>
              <w:t> </w:t>
            </w:r>
          </w:p>
        </w:tc>
        <w:tc>
          <w:tcPr>
            <w:tcW w:w="1013" w:type="dxa"/>
            <w:tcBorders/>
            <w:shd w:fill="E5EBEE" w:val="clear"/>
            <w:vAlign w:val="center"/>
          </w:tcPr>
          <w:p>
            <w:pPr>
              <w:pStyle w:val="TableContents"/>
              <w:bidi w:val="0"/>
              <w:spacing w:before="0" w:after="283"/>
              <w:jc w:val="center"/>
              <w:rPr/>
            </w:pPr>
            <w:r>
              <w:rPr/>
              <w:t>10,782(7)</w:t>
            </w:r>
          </w:p>
        </w:tc>
        <w:tc>
          <w:tcPr>
            <w:tcW w:w="82" w:type="dxa"/>
            <w:tcBorders/>
            <w:shd w:fill="E5EBEE"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$1,922,646</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1/26/2023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center"/>
              <w:rPr/>
            </w:pPr>
            <w:r>
              <w:rPr/>
              <w:t>—</w:t>
            </w:r>
          </w:p>
        </w:tc>
        <w:tc>
          <w:tcPr>
            <w:tcW w:w="97"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center"/>
              <w:rPr/>
            </w:pPr>
            <w:r>
              <w:rPr/>
              <w:t>—</w:t>
            </w:r>
          </w:p>
        </w:tc>
        <w:tc>
          <w:tcPr>
            <w:tcW w:w="49" w:type="dxa"/>
            <w:tcBorders/>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center"/>
              <w:rPr/>
            </w:pPr>
            <w:r>
              <w:rPr/>
              <w:t>—</w:t>
            </w:r>
          </w:p>
        </w:tc>
        <w:tc>
          <w:tcPr>
            <w:tcW w:w="82" w:type="dxa"/>
            <w:tcBorders/>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29,111(6)</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$5,191,074</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529" w:type="dxa"/>
            <w:tcBorders/>
            <w:shd w:fill="E5EBEE" w:val="clear"/>
            <w:vAlign w:val="center"/>
          </w:tcPr>
          <w:p>
            <w:pPr>
              <w:pStyle w:val="TableContents"/>
              <w:bidi w:val="0"/>
              <w:spacing w:before="0" w:after="283"/>
              <w:jc w:val="center"/>
              <w:rPr/>
            </w:pPr>
            <w:r>
              <w:rPr/>
              <w:t>2/1/2024</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35" w:type="dxa"/>
            <w:tcBorders/>
            <w:shd w:fill="E5EBEE" w:val="clear"/>
            <w:vAlign w:val="center"/>
          </w:tcPr>
          <w:p>
            <w:pPr>
              <w:pStyle w:val="TableContents"/>
              <w:bidi w:val="0"/>
              <w:spacing w:before="0" w:after="283"/>
              <w:jc w:val="left"/>
              <w:rPr>
                <w:sz w:val="4"/>
                <w:szCs w:val="4"/>
              </w:rPr>
            </w:pPr>
            <w:r>
              <w:rPr>
                <w:sz w:val="4"/>
                <w:szCs w:val="4"/>
              </w:rPr>
            </w:r>
          </w:p>
        </w:tc>
        <w:tc>
          <w:tcPr>
            <w:tcW w:w="93" w:type="dxa"/>
            <w:tcBorders/>
            <w:shd w:fill="E5EBEE" w:val="clear"/>
            <w:vAlign w:val="center"/>
          </w:tcPr>
          <w:p>
            <w:pPr>
              <w:pStyle w:val="TableContents"/>
              <w:bidi w:val="0"/>
              <w:spacing w:before="0" w:after="283"/>
              <w:jc w:val="left"/>
              <w:rPr/>
            </w:pPr>
            <w:r>
              <w:rPr/>
              <w:t> </w:t>
            </w:r>
          </w:p>
        </w:tc>
        <w:tc>
          <w:tcPr>
            <w:tcW w:w="1249" w:type="dxa"/>
            <w:tcBorders/>
            <w:shd w:fill="E5EBEE" w:val="clear"/>
            <w:vAlign w:val="center"/>
          </w:tcPr>
          <w:p>
            <w:pPr>
              <w:pStyle w:val="TableContents"/>
              <w:bidi w:val="0"/>
              <w:spacing w:before="0" w:after="283"/>
              <w:jc w:val="center"/>
              <w:rPr/>
            </w:pPr>
            <w:r>
              <w:rPr/>
              <w:t>—</w:t>
            </w:r>
          </w:p>
        </w:tc>
        <w:tc>
          <w:tcPr>
            <w:tcW w:w="38"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95" w:type="dxa"/>
            <w:tcBorders/>
            <w:shd w:fill="E5EBEE" w:val="clear"/>
            <w:vAlign w:val="center"/>
          </w:tcPr>
          <w:p>
            <w:pPr>
              <w:pStyle w:val="TableContents"/>
              <w:bidi w:val="0"/>
              <w:spacing w:before="0" w:after="283"/>
              <w:jc w:val="left"/>
              <w:rPr>
                <w:sz w:val="4"/>
                <w:szCs w:val="4"/>
              </w:rPr>
            </w:pPr>
            <w:r>
              <w:rPr>
                <w:sz w:val="4"/>
                <w:szCs w:val="4"/>
              </w:rPr>
            </w:r>
          </w:p>
        </w:tc>
        <w:tc>
          <w:tcPr>
            <w:tcW w:w="249" w:type="dxa"/>
            <w:tcBorders/>
            <w:shd w:fill="E5EBEE" w:val="clear"/>
            <w:vAlign w:val="center"/>
          </w:tcPr>
          <w:p>
            <w:pPr>
              <w:pStyle w:val="TableContents"/>
              <w:bidi w:val="0"/>
              <w:spacing w:before="0" w:after="283"/>
              <w:jc w:val="left"/>
              <w:rPr/>
            </w:pPr>
            <w:r>
              <w:rPr/>
              <w:t> </w:t>
            </w:r>
          </w:p>
        </w:tc>
        <w:tc>
          <w:tcPr>
            <w:tcW w:w="1079" w:type="dxa"/>
            <w:tcBorders/>
            <w:shd w:fill="E5EBEE" w:val="clear"/>
            <w:vAlign w:val="center"/>
          </w:tcPr>
          <w:p>
            <w:pPr>
              <w:pStyle w:val="TableContents"/>
              <w:bidi w:val="0"/>
              <w:spacing w:before="0" w:after="283"/>
              <w:jc w:val="center"/>
              <w:rPr/>
            </w:pPr>
            <w:r>
              <w:rPr/>
              <w:t>—</w:t>
            </w:r>
          </w:p>
        </w:tc>
        <w:tc>
          <w:tcPr>
            <w:tcW w:w="97"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9" w:type="dxa"/>
            <w:tcBorders/>
            <w:shd w:fill="E5EBEE" w:val="clear"/>
            <w:vAlign w:val="center"/>
          </w:tcPr>
          <w:p>
            <w:pPr>
              <w:pStyle w:val="TableContents"/>
              <w:bidi w:val="0"/>
              <w:spacing w:before="0" w:after="283"/>
              <w:jc w:val="left"/>
              <w:rPr>
                <w:sz w:val="4"/>
                <w:szCs w:val="4"/>
              </w:rPr>
            </w:pPr>
            <w:r>
              <w:rPr>
                <w:sz w:val="4"/>
                <w:szCs w:val="4"/>
              </w:rPr>
            </w:r>
          </w:p>
        </w:tc>
        <w:tc>
          <w:tcPr>
            <w:tcW w:w="78" w:type="dxa"/>
            <w:tcBorders/>
            <w:shd w:fill="E5EBEE" w:val="clear"/>
            <w:vAlign w:val="center"/>
          </w:tcPr>
          <w:p>
            <w:pPr>
              <w:pStyle w:val="TableContents"/>
              <w:bidi w:val="0"/>
              <w:spacing w:before="0" w:after="283"/>
              <w:jc w:val="left"/>
              <w:rPr/>
            </w:pPr>
            <w:r>
              <w:rPr/>
              <w:t> </w:t>
            </w:r>
          </w:p>
        </w:tc>
        <w:tc>
          <w:tcPr>
            <w:tcW w:w="886"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48" w:type="dxa"/>
            <w:tcBorders/>
            <w:shd w:fill="E5EBEE" w:val="clear"/>
            <w:vAlign w:val="center"/>
          </w:tcPr>
          <w:p>
            <w:pPr>
              <w:pStyle w:val="TableContents"/>
              <w:bidi w:val="0"/>
              <w:spacing w:before="0" w:after="283"/>
              <w:jc w:val="left"/>
              <w:rPr>
                <w:sz w:val="4"/>
                <w:szCs w:val="4"/>
              </w:rPr>
            </w:pPr>
            <w:r>
              <w:rPr>
                <w:sz w:val="4"/>
                <w:szCs w:val="4"/>
              </w:rPr>
            </w:r>
          </w:p>
        </w:tc>
        <w:tc>
          <w:tcPr>
            <w:tcW w:w="125" w:type="dxa"/>
            <w:tcBorders/>
            <w:shd w:fill="E5EBEE" w:val="clear"/>
            <w:vAlign w:val="center"/>
          </w:tcPr>
          <w:p>
            <w:pPr>
              <w:pStyle w:val="TableContents"/>
              <w:bidi w:val="0"/>
              <w:spacing w:before="0" w:after="283"/>
              <w:jc w:val="left"/>
              <w:rPr/>
            </w:pPr>
            <w:r>
              <w:rPr/>
              <w:t> </w:t>
            </w:r>
          </w:p>
        </w:tc>
        <w:tc>
          <w:tcPr>
            <w:tcW w:w="1043" w:type="dxa"/>
            <w:tcBorders/>
            <w:shd w:fill="E5EBEE" w:val="clear"/>
            <w:vAlign w:val="center"/>
          </w:tcPr>
          <w:p>
            <w:pPr>
              <w:pStyle w:val="TableContents"/>
              <w:bidi w:val="0"/>
              <w:spacing w:before="0" w:after="283"/>
              <w:jc w:val="center"/>
              <w:rPr/>
            </w:pPr>
            <w:r>
              <w:rPr/>
              <w:t>—</w:t>
            </w:r>
          </w:p>
        </w:tc>
        <w:tc>
          <w:tcPr>
            <w:tcW w:w="49"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30" w:type="dxa"/>
            <w:tcBorders/>
            <w:shd w:fill="E5EBEE" w:val="clear"/>
            <w:vAlign w:val="center"/>
          </w:tcPr>
          <w:p>
            <w:pPr>
              <w:pStyle w:val="TableContents"/>
              <w:bidi w:val="0"/>
              <w:spacing w:before="0" w:after="283"/>
              <w:jc w:val="left"/>
              <w:rPr>
                <w:sz w:val="4"/>
                <w:szCs w:val="4"/>
              </w:rPr>
            </w:pPr>
            <w:r>
              <w:rPr>
                <w:sz w:val="4"/>
                <w:szCs w:val="4"/>
              </w:rPr>
            </w:r>
          </w:p>
        </w:tc>
        <w:tc>
          <w:tcPr>
            <w:tcW w:w="80" w:type="dxa"/>
            <w:tcBorders/>
            <w:shd w:fill="E5EBEE" w:val="clear"/>
            <w:vAlign w:val="center"/>
          </w:tcPr>
          <w:p>
            <w:pPr>
              <w:pStyle w:val="TableContents"/>
              <w:bidi w:val="0"/>
              <w:spacing w:before="0" w:after="283"/>
              <w:jc w:val="left"/>
              <w:rPr/>
            </w:pPr>
            <w:r>
              <w:rPr/>
              <w:t> </w:t>
            </w:r>
          </w:p>
        </w:tc>
        <w:tc>
          <w:tcPr>
            <w:tcW w:w="1013" w:type="dxa"/>
            <w:tcBorders/>
            <w:shd w:fill="E5EBEE" w:val="clear"/>
            <w:vAlign w:val="center"/>
          </w:tcPr>
          <w:p>
            <w:pPr>
              <w:pStyle w:val="TableContents"/>
              <w:bidi w:val="0"/>
              <w:spacing w:before="0" w:after="283"/>
              <w:jc w:val="center"/>
              <w:rPr/>
            </w:pPr>
            <w:r>
              <w:rPr/>
              <w:t>12,503(7)</w:t>
            </w:r>
          </w:p>
        </w:tc>
        <w:tc>
          <w:tcPr>
            <w:tcW w:w="82" w:type="dxa"/>
            <w:tcBorders/>
            <w:shd w:fill="E5EBEE"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$2,229,535</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529" w:type="dxa"/>
            <w:tcBorders>
              <w:bottom w:val="single" w:sz="8" w:space="0" w:color="003A5D"/>
            </w:tcBorders>
            <w:tcMar>
              <w:bottom w:w="60" w:type="dxa"/>
            </w:tcMar>
            <w:vAlign w:val="center"/>
          </w:tcPr>
          <w:p>
            <w:pPr>
              <w:pStyle w:val="TableContents"/>
              <w:bidi w:val="0"/>
              <w:spacing w:before="0" w:after="283"/>
              <w:jc w:val="center"/>
              <w:rPr/>
            </w:pPr>
            <w:r>
              <w:rPr/>
              <w:t>2/1/2024</w:t>
            </w:r>
          </w:p>
        </w:tc>
        <w:tc>
          <w:tcPr>
            <w:tcW w:w="23"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8" w:space="0" w:color="003A5D"/>
            </w:tcBorders>
            <w:tcMar>
              <w:bottom w:w="60" w:type="dxa"/>
            </w:tcMar>
            <w:vAlign w:val="center"/>
          </w:tcPr>
          <w:p>
            <w:pPr>
              <w:pStyle w:val="TableContents"/>
              <w:bidi w:val="0"/>
              <w:spacing w:before="0" w:after="283"/>
              <w:jc w:val="left"/>
              <w:rPr/>
            </w:pPr>
            <w:r>
              <w:rPr/>
              <w:t> </w:t>
            </w:r>
          </w:p>
        </w:tc>
        <w:tc>
          <w:tcPr>
            <w:tcW w:w="1249" w:type="dxa"/>
            <w:tcBorders>
              <w:bottom w:val="single" w:sz="8" w:space="0" w:color="003A5D"/>
            </w:tcBorders>
            <w:tcMar>
              <w:bottom w:w="60" w:type="dxa"/>
            </w:tcMar>
            <w:vAlign w:val="center"/>
          </w:tcPr>
          <w:p>
            <w:pPr>
              <w:pStyle w:val="TableContents"/>
              <w:bidi w:val="0"/>
              <w:spacing w:before="0" w:after="283"/>
              <w:jc w:val="center"/>
              <w:rPr/>
            </w:pPr>
            <w:r>
              <w:rPr/>
              <w:t>—</w:t>
            </w:r>
          </w:p>
        </w:tc>
        <w:tc>
          <w:tcPr>
            <w:tcW w:w="38"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49" w:type="dxa"/>
            <w:tcBorders>
              <w:bottom w:val="single" w:sz="8" w:space="0" w:color="003A5D"/>
            </w:tcBorders>
            <w:tcMar>
              <w:bottom w:w="60" w:type="dxa"/>
            </w:tcMar>
            <w:vAlign w:val="center"/>
          </w:tcPr>
          <w:p>
            <w:pPr>
              <w:pStyle w:val="TableContents"/>
              <w:bidi w:val="0"/>
              <w:spacing w:before="0" w:after="283"/>
              <w:jc w:val="left"/>
              <w:rPr/>
            </w:pPr>
            <w:r>
              <w:rPr/>
              <w:t> </w:t>
            </w:r>
          </w:p>
        </w:tc>
        <w:tc>
          <w:tcPr>
            <w:tcW w:w="1079" w:type="dxa"/>
            <w:tcBorders>
              <w:bottom w:val="single" w:sz="8" w:space="0" w:color="003A5D"/>
            </w:tcBorders>
            <w:tcMar>
              <w:bottom w:w="60" w:type="dxa"/>
            </w:tcMar>
            <w:vAlign w:val="center"/>
          </w:tcPr>
          <w:p>
            <w:pPr>
              <w:pStyle w:val="TableContents"/>
              <w:bidi w:val="0"/>
              <w:spacing w:before="0" w:after="283"/>
              <w:jc w:val="center"/>
              <w:rPr/>
            </w:pPr>
            <w:r>
              <w:rPr/>
              <w:t>—</w:t>
            </w:r>
          </w:p>
        </w:tc>
        <w:tc>
          <w:tcPr>
            <w:tcW w:w="97"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8" w:space="0" w:color="003A5D"/>
            </w:tcBorders>
            <w:tcMar>
              <w:bottom w:w="60" w:type="dxa"/>
            </w:tcMar>
            <w:vAlign w:val="center"/>
          </w:tcPr>
          <w:p>
            <w:pPr>
              <w:pStyle w:val="TableContents"/>
              <w:bidi w:val="0"/>
              <w:spacing w:before="0" w:after="283"/>
              <w:jc w:val="left"/>
              <w:rPr/>
            </w:pPr>
            <w:r>
              <w:rPr/>
              <w:t> </w:t>
            </w:r>
          </w:p>
        </w:tc>
        <w:tc>
          <w:tcPr>
            <w:tcW w:w="886" w:type="dxa"/>
            <w:tcBorders>
              <w:bottom w:val="single" w:sz="8" w:space="0" w:color="003A5D"/>
            </w:tcBorders>
            <w:tcMar>
              <w:bottom w:w="60" w:type="dxa"/>
            </w:tcMar>
            <w:vAlign w:val="center"/>
          </w:tcPr>
          <w:p>
            <w:pPr>
              <w:pStyle w:val="TableContents"/>
              <w:bidi w:val="0"/>
              <w:spacing w:before="0" w:after="283"/>
              <w:jc w:val="center"/>
              <w:rPr/>
            </w:pPr>
            <w:r>
              <w:rPr/>
              <w:t>$—</w:t>
            </w:r>
          </w:p>
        </w:tc>
        <w:tc>
          <w:tcPr>
            <w:tcW w:w="32"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48"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25" w:type="dxa"/>
            <w:tcBorders>
              <w:bottom w:val="single" w:sz="8" w:space="0" w:color="003A5D"/>
            </w:tcBorders>
            <w:tcMar>
              <w:bottom w:w="60" w:type="dxa"/>
            </w:tcMar>
            <w:vAlign w:val="center"/>
          </w:tcPr>
          <w:p>
            <w:pPr>
              <w:pStyle w:val="TableContents"/>
              <w:bidi w:val="0"/>
              <w:spacing w:before="0" w:after="283"/>
              <w:jc w:val="left"/>
              <w:rPr/>
            </w:pPr>
            <w:r>
              <w:rPr/>
              <w:t> </w:t>
            </w:r>
          </w:p>
        </w:tc>
        <w:tc>
          <w:tcPr>
            <w:tcW w:w="1043" w:type="dxa"/>
            <w:tcBorders>
              <w:bottom w:val="single" w:sz="8" w:space="0" w:color="003A5D"/>
            </w:tcBorders>
            <w:tcMar>
              <w:bottom w:w="60" w:type="dxa"/>
            </w:tcMar>
            <w:vAlign w:val="center"/>
          </w:tcPr>
          <w:p>
            <w:pPr>
              <w:pStyle w:val="TableContents"/>
              <w:bidi w:val="0"/>
              <w:spacing w:before="0" w:after="283"/>
              <w:jc w:val="center"/>
              <w:rPr/>
            </w:pPr>
            <w:r>
              <w:rPr/>
              <w:t>—</w:t>
            </w:r>
          </w:p>
        </w:tc>
        <w:tc>
          <w:tcPr>
            <w:tcW w:w="49"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8" w:space="0" w:color="003A5D"/>
            </w:tcBorders>
            <w:tcMar>
              <w:bottom w:w="60" w:type="dxa"/>
            </w:tcMar>
            <w:vAlign w:val="center"/>
          </w:tcPr>
          <w:p>
            <w:pPr>
              <w:pStyle w:val="TableContents"/>
              <w:bidi w:val="0"/>
              <w:spacing w:before="0" w:after="283"/>
              <w:jc w:val="left"/>
              <w:rPr/>
            </w:pPr>
            <w:r>
              <w:rPr/>
              <w:t> </w:t>
            </w:r>
          </w:p>
        </w:tc>
        <w:tc>
          <w:tcPr>
            <w:tcW w:w="1013" w:type="dxa"/>
            <w:tcBorders>
              <w:bottom w:val="single" w:sz="8" w:space="0" w:color="003A5D"/>
            </w:tcBorders>
            <w:tcMar>
              <w:bottom w:w="60" w:type="dxa"/>
            </w:tcMar>
            <w:vAlign w:val="center"/>
          </w:tcPr>
          <w:p>
            <w:pPr>
              <w:pStyle w:val="TableContents"/>
              <w:bidi w:val="0"/>
              <w:spacing w:before="0" w:after="283"/>
              <w:jc w:val="center"/>
              <w:rPr/>
            </w:pPr>
            <w:r>
              <w:rPr/>
              <w:t>—</w:t>
            </w:r>
          </w:p>
        </w:tc>
        <w:tc>
          <w:tcPr>
            <w:tcW w:w="82" w:type="dxa"/>
            <w:tcBorders>
              <w:bottom w:val="single" w:sz="8" w:space="0" w:color="003A5D"/>
            </w:tcBorders>
            <w:tcMar>
              <w:bottom w:w="60" w:type="dxa"/>
            </w:tcM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1100" w:type="dxa"/>
            <w:tcBorders>
              <w:bottom w:val="single" w:sz="8" w:space="0" w:color="003A5D"/>
            </w:tcBorders>
            <w:tcMar>
              <w:bottom w:w="60" w:type="dxa"/>
            </w:tcMar>
            <w:vAlign w:val="center"/>
          </w:tcPr>
          <w:p>
            <w:pPr>
              <w:pStyle w:val="TableContents"/>
              <w:bidi w:val="0"/>
              <w:spacing w:before="0" w:after="283"/>
              <w:jc w:val="center"/>
              <w:rPr/>
            </w:pPr>
            <w:r>
              <w:rPr/>
              <w:t>$—</w:t>
            </w:r>
          </w:p>
        </w:tc>
        <w:tc>
          <w:tcPr>
            <w:tcW w:w="23"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22,505(6)</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$4,013,092</w:t>
            </w:r>
          </w:p>
          <w:p>
            <w:pPr>
              <w:pStyle w:val="TableContents"/>
              <w:bidi w:val="0"/>
              <w:spacing w:before="0" w:after="283"/>
              <w:jc w:val="left"/>
              <w:rPr>
                <w:sz w:val="4"/>
                <w:szCs w:val="4"/>
              </w:rPr>
            </w:pPr>
            <w:r>
              <w:rPr>
                <w:sz w:val="4"/>
                <w:szCs w:val="4"/>
              </w:rPr>
            </w:r>
          </w:p>
        </w:tc>
      </w:tr>
      <w:tr>
        <w:trPr/>
        <w:tc>
          <w:tcPr>
            <w:tcW w:w="815" w:type="dxa"/>
            <w:vMerge w:val="restart"/>
            <w:tcBorders>
              <w:bottom w:val="single" w:sz="8" w:space="0" w:color="003A5D"/>
            </w:tcBorders>
            <w:tcMar>
              <w:bottom w:w="60" w:type="dxa"/>
            </w:tcMar>
            <w:vAlign w:val="center"/>
          </w:tcPr>
          <w:p>
            <w:pPr>
              <w:pStyle w:val="TableContents"/>
              <w:bidi w:val="0"/>
              <w:spacing w:before="0" w:after="0"/>
              <w:jc w:val="left"/>
              <w:rPr>
                <w:rFonts w:ascii="arial" w:hAnsi="arial"/>
                <w:sz w:val="16"/>
              </w:rPr>
            </w:pPr>
            <w:r>
              <w:rPr>
                <w:rFonts w:ascii="arial" w:hAnsi="arial"/>
                <w:sz w:val="16"/>
              </w:rPr>
              <w:t>Matthew W. Cooper</w:t>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529" w:type="dxa"/>
            <w:tcBorders/>
            <w:shd w:fill="E5EBEE" w:val="clear"/>
            <w:vAlign w:val="center"/>
          </w:tcPr>
          <w:p>
            <w:pPr>
              <w:pStyle w:val="TableContents"/>
              <w:bidi w:val="0"/>
              <w:spacing w:before="0" w:after="283"/>
              <w:jc w:val="center"/>
              <w:rPr/>
            </w:pPr>
            <w:r>
              <w:rPr/>
              <w:t>2/3/2022</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35" w:type="dxa"/>
            <w:tcBorders/>
            <w:shd w:fill="E5EBEE" w:val="clear"/>
            <w:vAlign w:val="center"/>
          </w:tcPr>
          <w:p>
            <w:pPr>
              <w:pStyle w:val="TableContents"/>
              <w:bidi w:val="0"/>
              <w:spacing w:before="0" w:after="283"/>
              <w:jc w:val="left"/>
              <w:rPr>
                <w:sz w:val="4"/>
                <w:szCs w:val="4"/>
              </w:rPr>
            </w:pPr>
            <w:r>
              <w:rPr>
                <w:sz w:val="4"/>
                <w:szCs w:val="4"/>
              </w:rPr>
            </w:r>
          </w:p>
        </w:tc>
        <w:tc>
          <w:tcPr>
            <w:tcW w:w="93" w:type="dxa"/>
            <w:tcBorders/>
            <w:shd w:fill="E5EBEE" w:val="clear"/>
            <w:vAlign w:val="center"/>
          </w:tcPr>
          <w:p>
            <w:pPr>
              <w:pStyle w:val="TableContents"/>
              <w:bidi w:val="0"/>
              <w:spacing w:before="0" w:after="283"/>
              <w:jc w:val="left"/>
              <w:rPr/>
            </w:pPr>
            <w:r>
              <w:rPr/>
              <w:t> </w:t>
            </w:r>
          </w:p>
        </w:tc>
        <w:tc>
          <w:tcPr>
            <w:tcW w:w="1249" w:type="dxa"/>
            <w:tcBorders/>
            <w:shd w:fill="E5EBEE" w:val="clear"/>
            <w:vAlign w:val="center"/>
          </w:tcPr>
          <w:p>
            <w:pPr>
              <w:pStyle w:val="TableContents"/>
              <w:bidi w:val="0"/>
              <w:spacing w:before="0" w:after="283"/>
              <w:jc w:val="center"/>
              <w:rPr/>
            </w:pPr>
            <w:r>
              <w:rPr/>
              <w:t>—</w:t>
            </w:r>
          </w:p>
        </w:tc>
        <w:tc>
          <w:tcPr>
            <w:tcW w:w="38"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95" w:type="dxa"/>
            <w:tcBorders/>
            <w:shd w:fill="E5EBEE" w:val="clear"/>
            <w:vAlign w:val="center"/>
          </w:tcPr>
          <w:p>
            <w:pPr>
              <w:pStyle w:val="TableContents"/>
              <w:bidi w:val="0"/>
              <w:spacing w:before="0" w:after="283"/>
              <w:jc w:val="left"/>
              <w:rPr>
                <w:sz w:val="4"/>
                <w:szCs w:val="4"/>
              </w:rPr>
            </w:pPr>
            <w:r>
              <w:rPr>
                <w:sz w:val="4"/>
                <w:szCs w:val="4"/>
              </w:rPr>
            </w:r>
          </w:p>
        </w:tc>
        <w:tc>
          <w:tcPr>
            <w:tcW w:w="249" w:type="dxa"/>
            <w:tcBorders/>
            <w:shd w:fill="E5EBEE" w:val="clear"/>
            <w:vAlign w:val="center"/>
          </w:tcPr>
          <w:p>
            <w:pPr>
              <w:pStyle w:val="TableContents"/>
              <w:bidi w:val="0"/>
              <w:spacing w:before="0" w:after="283"/>
              <w:jc w:val="left"/>
              <w:rPr/>
            </w:pPr>
            <w:r>
              <w:rPr/>
              <w:t> </w:t>
            </w:r>
          </w:p>
        </w:tc>
        <w:tc>
          <w:tcPr>
            <w:tcW w:w="1079" w:type="dxa"/>
            <w:tcBorders/>
            <w:shd w:fill="E5EBEE" w:val="clear"/>
            <w:vAlign w:val="center"/>
          </w:tcPr>
          <w:p>
            <w:pPr>
              <w:pStyle w:val="TableContents"/>
              <w:bidi w:val="0"/>
              <w:spacing w:before="0" w:after="283"/>
              <w:jc w:val="center"/>
              <w:rPr/>
            </w:pPr>
            <w:r>
              <w:rPr/>
              <w:t>—</w:t>
            </w:r>
          </w:p>
        </w:tc>
        <w:tc>
          <w:tcPr>
            <w:tcW w:w="97"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9" w:type="dxa"/>
            <w:tcBorders/>
            <w:shd w:fill="E5EBEE" w:val="clear"/>
            <w:vAlign w:val="center"/>
          </w:tcPr>
          <w:p>
            <w:pPr>
              <w:pStyle w:val="TableContents"/>
              <w:bidi w:val="0"/>
              <w:spacing w:before="0" w:after="283"/>
              <w:jc w:val="left"/>
              <w:rPr>
                <w:sz w:val="4"/>
                <w:szCs w:val="4"/>
              </w:rPr>
            </w:pPr>
            <w:r>
              <w:rPr>
                <w:sz w:val="4"/>
                <w:szCs w:val="4"/>
              </w:rPr>
            </w:r>
          </w:p>
        </w:tc>
        <w:tc>
          <w:tcPr>
            <w:tcW w:w="78" w:type="dxa"/>
            <w:tcBorders/>
            <w:shd w:fill="E5EBEE" w:val="clear"/>
            <w:vAlign w:val="center"/>
          </w:tcPr>
          <w:p>
            <w:pPr>
              <w:pStyle w:val="TableContents"/>
              <w:bidi w:val="0"/>
              <w:spacing w:before="0" w:after="283"/>
              <w:jc w:val="left"/>
              <w:rPr/>
            </w:pPr>
            <w:r>
              <w:rPr/>
              <w:t> </w:t>
            </w:r>
          </w:p>
        </w:tc>
        <w:tc>
          <w:tcPr>
            <w:tcW w:w="886"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48" w:type="dxa"/>
            <w:tcBorders/>
            <w:shd w:fill="E5EBEE" w:val="clear"/>
            <w:vAlign w:val="center"/>
          </w:tcPr>
          <w:p>
            <w:pPr>
              <w:pStyle w:val="TableContents"/>
              <w:bidi w:val="0"/>
              <w:spacing w:before="0" w:after="283"/>
              <w:jc w:val="left"/>
              <w:rPr>
                <w:sz w:val="4"/>
                <w:szCs w:val="4"/>
              </w:rPr>
            </w:pPr>
            <w:r>
              <w:rPr>
                <w:sz w:val="4"/>
                <w:szCs w:val="4"/>
              </w:rPr>
            </w:r>
          </w:p>
        </w:tc>
        <w:tc>
          <w:tcPr>
            <w:tcW w:w="125" w:type="dxa"/>
            <w:tcBorders/>
            <w:shd w:fill="E5EBEE" w:val="clear"/>
            <w:vAlign w:val="center"/>
          </w:tcPr>
          <w:p>
            <w:pPr>
              <w:pStyle w:val="TableContents"/>
              <w:bidi w:val="0"/>
              <w:spacing w:before="0" w:after="283"/>
              <w:jc w:val="left"/>
              <w:rPr/>
            </w:pPr>
            <w:r>
              <w:rPr/>
              <w:t> </w:t>
            </w:r>
          </w:p>
        </w:tc>
        <w:tc>
          <w:tcPr>
            <w:tcW w:w="1043" w:type="dxa"/>
            <w:tcBorders/>
            <w:shd w:fill="E5EBEE" w:val="clear"/>
            <w:vAlign w:val="center"/>
          </w:tcPr>
          <w:p>
            <w:pPr>
              <w:pStyle w:val="TableContents"/>
              <w:bidi w:val="0"/>
              <w:spacing w:before="0" w:after="283"/>
              <w:jc w:val="center"/>
              <w:rPr/>
            </w:pPr>
            <w:r>
              <w:rPr/>
              <w:t>—</w:t>
            </w:r>
          </w:p>
        </w:tc>
        <w:tc>
          <w:tcPr>
            <w:tcW w:w="49"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30" w:type="dxa"/>
            <w:tcBorders/>
            <w:shd w:fill="E5EBEE" w:val="clear"/>
            <w:vAlign w:val="center"/>
          </w:tcPr>
          <w:p>
            <w:pPr>
              <w:pStyle w:val="TableContents"/>
              <w:bidi w:val="0"/>
              <w:spacing w:before="0" w:after="283"/>
              <w:jc w:val="left"/>
              <w:rPr>
                <w:sz w:val="4"/>
                <w:szCs w:val="4"/>
              </w:rPr>
            </w:pPr>
            <w:r>
              <w:rPr>
                <w:sz w:val="4"/>
                <w:szCs w:val="4"/>
              </w:rPr>
            </w:r>
          </w:p>
        </w:tc>
        <w:tc>
          <w:tcPr>
            <w:tcW w:w="80" w:type="dxa"/>
            <w:tcBorders/>
            <w:shd w:fill="E5EBEE" w:val="clear"/>
            <w:vAlign w:val="center"/>
          </w:tcPr>
          <w:p>
            <w:pPr>
              <w:pStyle w:val="TableContents"/>
              <w:bidi w:val="0"/>
              <w:spacing w:before="0" w:after="283"/>
              <w:jc w:val="left"/>
              <w:rPr/>
            </w:pPr>
            <w:r>
              <w:rPr/>
              <w:t> </w:t>
            </w:r>
          </w:p>
        </w:tc>
        <w:tc>
          <w:tcPr>
            <w:tcW w:w="1013" w:type="dxa"/>
            <w:tcBorders/>
            <w:shd w:fill="E5EBEE" w:val="clear"/>
            <w:vAlign w:val="center"/>
          </w:tcPr>
          <w:p>
            <w:pPr>
              <w:pStyle w:val="TableContents"/>
              <w:bidi w:val="0"/>
              <w:spacing w:before="0" w:after="283"/>
              <w:jc w:val="center"/>
              <w:rPr/>
            </w:pPr>
            <w:r>
              <w:rPr/>
              <w:t>2,426(7)</w:t>
            </w:r>
          </w:p>
        </w:tc>
        <w:tc>
          <w:tcPr>
            <w:tcW w:w="82" w:type="dxa"/>
            <w:tcBorders/>
            <w:shd w:fill="E5EBEE"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$432,604</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2/3/2022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center"/>
              <w:rPr/>
            </w:pPr>
            <w:r>
              <w:rPr/>
              <w:t>—</w:t>
            </w:r>
          </w:p>
        </w:tc>
        <w:tc>
          <w:tcPr>
            <w:tcW w:w="97"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center"/>
              <w:rPr/>
            </w:pPr>
            <w:r>
              <w:rPr/>
              <w:t>—</w:t>
            </w:r>
          </w:p>
        </w:tc>
        <w:tc>
          <w:tcPr>
            <w:tcW w:w="49" w:type="dxa"/>
            <w:tcBorders/>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center"/>
              <w:rPr/>
            </w:pPr>
            <w:r>
              <w:rPr/>
              <w:t>—</w:t>
            </w:r>
          </w:p>
        </w:tc>
        <w:tc>
          <w:tcPr>
            <w:tcW w:w="82" w:type="dxa"/>
            <w:tcBorders/>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6,114(5)</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$1,090,248</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529" w:type="dxa"/>
            <w:tcBorders/>
            <w:shd w:fill="E5EBEE" w:val="clear"/>
            <w:vAlign w:val="center"/>
          </w:tcPr>
          <w:p>
            <w:pPr>
              <w:pStyle w:val="TableContents"/>
              <w:bidi w:val="0"/>
              <w:spacing w:before="0" w:after="283"/>
              <w:jc w:val="center"/>
              <w:rPr/>
            </w:pPr>
            <w:r>
              <w:rPr/>
              <w:t>1/26/2023</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35" w:type="dxa"/>
            <w:tcBorders/>
            <w:shd w:fill="E5EBEE" w:val="clear"/>
            <w:vAlign w:val="center"/>
          </w:tcPr>
          <w:p>
            <w:pPr>
              <w:pStyle w:val="TableContents"/>
              <w:bidi w:val="0"/>
              <w:spacing w:before="0" w:after="283"/>
              <w:jc w:val="left"/>
              <w:rPr>
                <w:sz w:val="4"/>
                <w:szCs w:val="4"/>
              </w:rPr>
            </w:pPr>
            <w:r>
              <w:rPr>
                <w:sz w:val="4"/>
                <w:szCs w:val="4"/>
              </w:rPr>
            </w:r>
          </w:p>
        </w:tc>
        <w:tc>
          <w:tcPr>
            <w:tcW w:w="93" w:type="dxa"/>
            <w:tcBorders/>
            <w:shd w:fill="E5EBEE" w:val="clear"/>
            <w:vAlign w:val="center"/>
          </w:tcPr>
          <w:p>
            <w:pPr>
              <w:pStyle w:val="TableContents"/>
              <w:bidi w:val="0"/>
              <w:spacing w:before="0" w:after="283"/>
              <w:jc w:val="left"/>
              <w:rPr/>
            </w:pPr>
            <w:r>
              <w:rPr/>
              <w:t> </w:t>
            </w:r>
          </w:p>
        </w:tc>
        <w:tc>
          <w:tcPr>
            <w:tcW w:w="1249" w:type="dxa"/>
            <w:tcBorders/>
            <w:shd w:fill="E5EBEE" w:val="clear"/>
            <w:vAlign w:val="center"/>
          </w:tcPr>
          <w:p>
            <w:pPr>
              <w:pStyle w:val="TableContents"/>
              <w:bidi w:val="0"/>
              <w:spacing w:before="0" w:after="283"/>
              <w:jc w:val="center"/>
              <w:rPr/>
            </w:pPr>
            <w:r>
              <w:rPr/>
              <w:t>—</w:t>
            </w:r>
          </w:p>
        </w:tc>
        <w:tc>
          <w:tcPr>
            <w:tcW w:w="38"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95" w:type="dxa"/>
            <w:tcBorders/>
            <w:shd w:fill="E5EBEE" w:val="clear"/>
            <w:vAlign w:val="center"/>
          </w:tcPr>
          <w:p>
            <w:pPr>
              <w:pStyle w:val="TableContents"/>
              <w:bidi w:val="0"/>
              <w:spacing w:before="0" w:after="283"/>
              <w:jc w:val="left"/>
              <w:rPr>
                <w:sz w:val="4"/>
                <w:szCs w:val="4"/>
              </w:rPr>
            </w:pPr>
            <w:r>
              <w:rPr>
                <w:sz w:val="4"/>
                <w:szCs w:val="4"/>
              </w:rPr>
            </w:r>
          </w:p>
        </w:tc>
        <w:tc>
          <w:tcPr>
            <w:tcW w:w="249" w:type="dxa"/>
            <w:tcBorders/>
            <w:shd w:fill="E5EBEE" w:val="clear"/>
            <w:vAlign w:val="center"/>
          </w:tcPr>
          <w:p>
            <w:pPr>
              <w:pStyle w:val="TableContents"/>
              <w:bidi w:val="0"/>
              <w:spacing w:before="0" w:after="283"/>
              <w:jc w:val="left"/>
              <w:rPr/>
            </w:pPr>
            <w:r>
              <w:rPr/>
              <w:t> </w:t>
            </w:r>
          </w:p>
        </w:tc>
        <w:tc>
          <w:tcPr>
            <w:tcW w:w="1079" w:type="dxa"/>
            <w:tcBorders/>
            <w:shd w:fill="E5EBEE" w:val="clear"/>
            <w:vAlign w:val="center"/>
          </w:tcPr>
          <w:p>
            <w:pPr>
              <w:pStyle w:val="TableContents"/>
              <w:bidi w:val="0"/>
              <w:spacing w:before="0" w:after="283"/>
              <w:jc w:val="center"/>
              <w:rPr/>
            </w:pPr>
            <w:r>
              <w:rPr/>
              <w:t>—</w:t>
            </w:r>
          </w:p>
        </w:tc>
        <w:tc>
          <w:tcPr>
            <w:tcW w:w="97"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9" w:type="dxa"/>
            <w:tcBorders/>
            <w:shd w:fill="E5EBEE" w:val="clear"/>
            <w:vAlign w:val="center"/>
          </w:tcPr>
          <w:p>
            <w:pPr>
              <w:pStyle w:val="TableContents"/>
              <w:bidi w:val="0"/>
              <w:spacing w:before="0" w:after="283"/>
              <w:jc w:val="left"/>
              <w:rPr>
                <w:sz w:val="4"/>
                <w:szCs w:val="4"/>
              </w:rPr>
            </w:pPr>
            <w:r>
              <w:rPr>
                <w:sz w:val="4"/>
                <w:szCs w:val="4"/>
              </w:rPr>
            </w:r>
          </w:p>
        </w:tc>
        <w:tc>
          <w:tcPr>
            <w:tcW w:w="78" w:type="dxa"/>
            <w:tcBorders/>
            <w:shd w:fill="E5EBEE" w:val="clear"/>
            <w:vAlign w:val="center"/>
          </w:tcPr>
          <w:p>
            <w:pPr>
              <w:pStyle w:val="TableContents"/>
              <w:bidi w:val="0"/>
              <w:spacing w:before="0" w:after="283"/>
              <w:jc w:val="left"/>
              <w:rPr/>
            </w:pPr>
            <w:r>
              <w:rPr/>
              <w:t> </w:t>
            </w:r>
          </w:p>
        </w:tc>
        <w:tc>
          <w:tcPr>
            <w:tcW w:w="886"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48" w:type="dxa"/>
            <w:tcBorders/>
            <w:shd w:fill="E5EBEE" w:val="clear"/>
            <w:vAlign w:val="center"/>
          </w:tcPr>
          <w:p>
            <w:pPr>
              <w:pStyle w:val="TableContents"/>
              <w:bidi w:val="0"/>
              <w:spacing w:before="0" w:after="283"/>
              <w:jc w:val="left"/>
              <w:rPr>
                <w:sz w:val="4"/>
                <w:szCs w:val="4"/>
              </w:rPr>
            </w:pPr>
            <w:r>
              <w:rPr>
                <w:sz w:val="4"/>
                <w:szCs w:val="4"/>
              </w:rPr>
            </w:r>
          </w:p>
        </w:tc>
        <w:tc>
          <w:tcPr>
            <w:tcW w:w="125" w:type="dxa"/>
            <w:tcBorders/>
            <w:shd w:fill="E5EBEE" w:val="clear"/>
            <w:vAlign w:val="center"/>
          </w:tcPr>
          <w:p>
            <w:pPr>
              <w:pStyle w:val="TableContents"/>
              <w:bidi w:val="0"/>
              <w:spacing w:before="0" w:after="283"/>
              <w:jc w:val="left"/>
              <w:rPr/>
            </w:pPr>
            <w:r>
              <w:rPr/>
              <w:t> </w:t>
            </w:r>
          </w:p>
        </w:tc>
        <w:tc>
          <w:tcPr>
            <w:tcW w:w="1043" w:type="dxa"/>
            <w:tcBorders/>
            <w:shd w:fill="E5EBEE" w:val="clear"/>
            <w:vAlign w:val="center"/>
          </w:tcPr>
          <w:p>
            <w:pPr>
              <w:pStyle w:val="TableContents"/>
              <w:bidi w:val="0"/>
              <w:spacing w:before="0" w:after="283"/>
              <w:jc w:val="center"/>
              <w:rPr/>
            </w:pPr>
            <w:r>
              <w:rPr/>
              <w:t>—</w:t>
            </w:r>
          </w:p>
        </w:tc>
        <w:tc>
          <w:tcPr>
            <w:tcW w:w="49"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30" w:type="dxa"/>
            <w:tcBorders/>
            <w:shd w:fill="E5EBEE" w:val="clear"/>
            <w:vAlign w:val="center"/>
          </w:tcPr>
          <w:p>
            <w:pPr>
              <w:pStyle w:val="TableContents"/>
              <w:bidi w:val="0"/>
              <w:spacing w:before="0" w:after="283"/>
              <w:jc w:val="left"/>
              <w:rPr>
                <w:sz w:val="4"/>
                <w:szCs w:val="4"/>
              </w:rPr>
            </w:pPr>
            <w:r>
              <w:rPr>
                <w:sz w:val="4"/>
                <w:szCs w:val="4"/>
              </w:rPr>
            </w:r>
          </w:p>
        </w:tc>
        <w:tc>
          <w:tcPr>
            <w:tcW w:w="80" w:type="dxa"/>
            <w:tcBorders/>
            <w:shd w:fill="E5EBEE" w:val="clear"/>
            <w:vAlign w:val="center"/>
          </w:tcPr>
          <w:p>
            <w:pPr>
              <w:pStyle w:val="TableContents"/>
              <w:bidi w:val="0"/>
              <w:spacing w:before="0" w:after="283"/>
              <w:jc w:val="left"/>
              <w:rPr/>
            </w:pPr>
            <w:r>
              <w:rPr/>
              <w:t> </w:t>
            </w:r>
          </w:p>
        </w:tc>
        <w:tc>
          <w:tcPr>
            <w:tcW w:w="1013" w:type="dxa"/>
            <w:tcBorders/>
            <w:shd w:fill="E5EBEE" w:val="clear"/>
            <w:vAlign w:val="center"/>
          </w:tcPr>
          <w:p>
            <w:pPr>
              <w:pStyle w:val="TableContents"/>
              <w:bidi w:val="0"/>
              <w:spacing w:before="0" w:after="283"/>
              <w:jc w:val="center"/>
              <w:rPr/>
            </w:pPr>
            <w:r>
              <w:rPr/>
              <w:t>7,180(7)</w:t>
            </w:r>
          </w:p>
        </w:tc>
        <w:tc>
          <w:tcPr>
            <w:tcW w:w="82" w:type="dxa"/>
            <w:tcBorders/>
            <w:shd w:fill="E5EBEE"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$1,280,338</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1/26/2023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center"/>
              <w:rPr/>
            </w:pPr>
            <w:r>
              <w:rPr/>
              <w:t>—</w:t>
            </w:r>
          </w:p>
        </w:tc>
        <w:tc>
          <w:tcPr>
            <w:tcW w:w="97"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center"/>
              <w:rPr/>
            </w:pPr>
            <w:r>
              <w:rPr/>
              <w:t>—</w:t>
            </w:r>
          </w:p>
        </w:tc>
        <w:tc>
          <w:tcPr>
            <w:tcW w:w="49" w:type="dxa"/>
            <w:tcBorders/>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center"/>
              <w:rPr/>
            </w:pPr>
            <w:r>
              <w:rPr/>
              <w:t>—</w:t>
            </w:r>
          </w:p>
        </w:tc>
        <w:tc>
          <w:tcPr>
            <w:tcW w:w="82" w:type="dxa"/>
            <w:tcBorders/>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19,386(6)</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$3,456,912</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529" w:type="dxa"/>
            <w:tcBorders/>
            <w:shd w:fill="E5EBEE" w:val="clear"/>
            <w:vAlign w:val="center"/>
          </w:tcPr>
          <w:p>
            <w:pPr>
              <w:pStyle w:val="TableContents"/>
              <w:bidi w:val="0"/>
              <w:spacing w:before="0" w:after="283"/>
              <w:jc w:val="center"/>
              <w:rPr/>
            </w:pPr>
            <w:r>
              <w:rPr/>
              <w:t>2/1/2024</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35" w:type="dxa"/>
            <w:tcBorders/>
            <w:shd w:fill="E5EBEE" w:val="clear"/>
            <w:vAlign w:val="center"/>
          </w:tcPr>
          <w:p>
            <w:pPr>
              <w:pStyle w:val="TableContents"/>
              <w:bidi w:val="0"/>
              <w:spacing w:before="0" w:after="283"/>
              <w:jc w:val="left"/>
              <w:rPr>
                <w:sz w:val="4"/>
                <w:szCs w:val="4"/>
              </w:rPr>
            </w:pPr>
            <w:r>
              <w:rPr>
                <w:sz w:val="4"/>
                <w:szCs w:val="4"/>
              </w:rPr>
            </w:r>
          </w:p>
        </w:tc>
        <w:tc>
          <w:tcPr>
            <w:tcW w:w="93" w:type="dxa"/>
            <w:tcBorders/>
            <w:shd w:fill="E5EBEE" w:val="clear"/>
            <w:vAlign w:val="center"/>
          </w:tcPr>
          <w:p>
            <w:pPr>
              <w:pStyle w:val="TableContents"/>
              <w:bidi w:val="0"/>
              <w:spacing w:before="0" w:after="283"/>
              <w:jc w:val="left"/>
              <w:rPr/>
            </w:pPr>
            <w:r>
              <w:rPr/>
              <w:t> </w:t>
            </w:r>
          </w:p>
        </w:tc>
        <w:tc>
          <w:tcPr>
            <w:tcW w:w="1249" w:type="dxa"/>
            <w:tcBorders/>
            <w:shd w:fill="E5EBEE" w:val="clear"/>
            <w:vAlign w:val="center"/>
          </w:tcPr>
          <w:p>
            <w:pPr>
              <w:pStyle w:val="TableContents"/>
              <w:bidi w:val="0"/>
              <w:spacing w:before="0" w:after="283"/>
              <w:jc w:val="center"/>
              <w:rPr/>
            </w:pPr>
            <w:r>
              <w:rPr/>
              <w:t>—</w:t>
            </w:r>
          </w:p>
        </w:tc>
        <w:tc>
          <w:tcPr>
            <w:tcW w:w="38"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95" w:type="dxa"/>
            <w:tcBorders/>
            <w:shd w:fill="E5EBEE" w:val="clear"/>
            <w:vAlign w:val="center"/>
          </w:tcPr>
          <w:p>
            <w:pPr>
              <w:pStyle w:val="TableContents"/>
              <w:bidi w:val="0"/>
              <w:spacing w:before="0" w:after="283"/>
              <w:jc w:val="left"/>
              <w:rPr>
                <w:sz w:val="4"/>
                <w:szCs w:val="4"/>
              </w:rPr>
            </w:pPr>
            <w:r>
              <w:rPr>
                <w:sz w:val="4"/>
                <w:szCs w:val="4"/>
              </w:rPr>
            </w:r>
          </w:p>
        </w:tc>
        <w:tc>
          <w:tcPr>
            <w:tcW w:w="249" w:type="dxa"/>
            <w:tcBorders/>
            <w:shd w:fill="E5EBEE" w:val="clear"/>
            <w:vAlign w:val="center"/>
          </w:tcPr>
          <w:p>
            <w:pPr>
              <w:pStyle w:val="TableContents"/>
              <w:bidi w:val="0"/>
              <w:spacing w:before="0" w:after="283"/>
              <w:jc w:val="left"/>
              <w:rPr/>
            </w:pPr>
            <w:r>
              <w:rPr/>
              <w:t> </w:t>
            </w:r>
          </w:p>
        </w:tc>
        <w:tc>
          <w:tcPr>
            <w:tcW w:w="1079" w:type="dxa"/>
            <w:tcBorders/>
            <w:shd w:fill="E5EBEE" w:val="clear"/>
            <w:vAlign w:val="center"/>
          </w:tcPr>
          <w:p>
            <w:pPr>
              <w:pStyle w:val="TableContents"/>
              <w:bidi w:val="0"/>
              <w:spacing w:before="0" w:after="283"/>
              <w:jc w:val="center"/>
              <w:rPr/>
            </w:pPr>
            <w:r>
              <w:rPr/>
              <w:t>—</w:t>
            </w:r>
          </w:p>
        </w:tc>
        <w:tc>
          <w:tcPr>
            <w:tcW w:w="97"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9" w:type="dxa"/>
            <w:tcBorders/>
            <w:shd w:fill="E5EBEE" w:val="clear"/>
            <w:vAlign w:val="center"/>
          </w:tcPr>
          <w:p>
            <w:pPr>
              <w:pStyle w:val="TableContents"/>
              <w:bidi w:val="0"/>
              <w:spacing w:before="0" w:after="283"/>
              <w:jc w:val="left"/>
              <w:rPr>
                <w:sz w:val="4"/>
                <w:szCs w:val="4"/>
              </w:rPr>
            </w:pPr>
            <w:r>
              <w:rPr>
                <w:sz w:val="4"/>
                <w:szCs w:val="4"/>
              </w:rPr>
            </w:r>
          </w:p>
        </w:tc>
        <w:tc>
          <w:tcPr>
            <w:tcW w:w="78" w:type="dxa"/>
            <w:tcBorders/>
            <w:shd w:fill="E5EBEE" w:val="clear"/>
            <w:vAlign w:val="center"/>
          </w:tcPr>
          <w:p>
            <w:pPr>
              <w:pStyle w:val="TableContents"/>
              <w:bidi w:val="0"/>
              <w:spacing w:before="0" w:after="283"/>
              <w:jc w:val="left"/>
              <w:rPr/>
            </w:pPr>
            <w:r>
              <w:rPr/>
              <w:t> </w:t>
            </w:r>
          </w:p>
        </w:tc>
        <w:tc>
          <w:tcPr>
            <w:tcW w:w="886"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48" w:type="dxa"/>
            <w:tcBorders/>
            <w:shd w:fill="E5EBEE" w:val="clear"/>
            <w:vAlign w:val="center"/>
          </w:tcPr>
          <w:p>
            <w:pPr>
              <w:pStyle w:val="TableContents"/>
              <w:bidi w:val="0"/>
              <w:spacing w:before="0" w:after="283"/>
              <w:jc w:val="left"/>
              <w:rPr>
                <w:sz w:val="4"/>
                <w:szCs w:val="4"/>
              </w:rPr>
            </w:pPr>
            <w:r>
              <w:rPr>
                <w:sz w:val="4"/>
                <w:szCs w:val="4"/>
              </w:rPr>
            </w:r>
          </w:p>
        </w:tc>
        <w:tc>
          <w:tcPr>
            <w:tcW w:w="125" w:type="dxa"/>
            <w:tcBorders/>
            <w:shd w:fill="E5EBEE" w:val="clear"/>
            <w:vAlign w:val="center"/>
          </w:tcPr>
          <w:p>
            <w:pPr>
              <w:pStyle w:val="TableContents"/>
              <w:bidi w:val="0"/>
              <w:spacing w:before="0" w:after="283"/>
              <w:jc w:val="left"/>
              <w:rPr/>
            </w:pPr>
            <w:r>
              <w:rPr/>
              <w:t> </w:t>
            </w:r>
          </w:p>
        </w:tc>
        <w:tc>
          <w:tcPr>
            <w:tcW w:w="1043" w:type="dxa"/>
            <w:tcBorders/>
            <w:shd w:fill="E5EBEE" w:val="clear"/>
            <w:vAlign w:val="center"/>
          </w:tcPr>
          <w:p>
            <w:pPr>
              <w:pStyle w:val="TableContents"/>
              <w:bidi w:val="0"/>
              <w:spacing w:before="0" w:after="283"/>
              <w:jc w:val="center"/>
              <w:rPr/>
            </w:pPr>
            <w:r>
              <w:rPr/>
              <w:t>—</w:t>
            </w:r>
          </w:p>
        </w:tc>
        <w:tc>
          <w:tcPr>
            <w:tcW w:w="49"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30" w:type="dxa"/>
            <w:tcBorders/>
            <w:shd w:fill="E5EBEE" w:val="clear"/>
            <w:vAlign w:val="center"/>
          </w:tcPr>
          <w:p>
            <w:pPr>
              <w:pStyle w:val="TableContents"/>
              <w:bidi w:val="0"/>
              <w:spacing w:before="0" w:after="283"/>
              <w:jc w:val="left"/>
              <w:rPr>
                <w:sz w:val="4"/>
                <w:szCs w:val="4"/>
              </w:rPr>
            </w:pPr>
            <w:r>
              <w:rPr>
                <w:sz w:val="4"/>
                <w:szCs w:val="4"/>
              </w:rPr>
            </w:r>
          </w:p>
        </w:tc>
        <w:tc>
          <w:tcPr>
            <w:tcW w:w="80" w:type="dxa"/>
            <w:tcBorders/>
            <w:shd w:fill="E5EBEE" w:val="clear"/>
            <w:vAlign w:val="center"/>
          </w:tcPr>
          <w:p>
            <w:pPr>
              <w:pStyle w:val="TableContents"/>
              <w:bidi w:val="0"/>
              <w:spacing w:before="0" w:after="283"/>
              <w:jc w:val="left"/>
              <w:rPr/>
            </w:pPr>
            <w:r>
              <w:rPr/>
              <w:t> </w:t>
            </w:r>
          </w:p>
        </w:tc>
        <w:tc>
          <w:tcPr>
            <w:tcW w:w="1013" w:type="dxa"/>
            <w:tcBorders/>
            <w:shd w:fill="E5EBEE" w:val="clear"/>
            <w:vAlign w:val="center"/>
          </w:tcPr>
          <w:p>
            <w:pPr>
              <w:pStyle w:val="TableContents"/>
              <w:bidi w:val="0"/>
              <w:spacing w:before="0" w:after="283"/>
              <w:jc w:val="center"/>
              <w:rPr/>
            </w:pPr>
            <w:r>
              <w:rPr/>
              <w:t>11,538(7)</w:t>
            </w:r>
          </w:p>
        </w:tc>
        <w:tc>
          <w:tcPr>
            <w:tcW w:w="82" w:type="dxa"/>
            <w:tcBorders/>
            <w:shd w:fill="E5EBEE"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$2,057,456</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529" w:type="dxa"/>
            <w:tcBorders>
              <w:bottom w:val="single" w:sz="8" w:space="0" w:color="003A5D"/>
            </w:tcBorders>
            <w:tcMar>
              <w:bottom w:w="60" w:type="dxa"/>
            </w:tcMar>
            <w:vAlign w:val="center"/>
          </w:tcPr>
          <w:p>
            <w:pPr>
              <w:pStyle w:val="TableContents"/>
              <w:bidi w:val="0"/>
              <w:spacing w:before="0" w:after="283"/>
              <w:jc w:val="center"/>
              <w:rPr/>
            </w:pPr>
            <w:r>
              <w:rPr/>
              <w:t>2/1/2024</w:t>
            </w:r>
          </w:p>
        </w:tc>
        <w:tc>
          <w:tcPr>
            <w:tcW w:w="23"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8" w:space="0" w:color="003A5D"/>
            </w:tcBorders>
            <w:tcMar>
              <w:bottom w:w="60" w:type="dxa"/>
            </w:tcMar>
            <w:vAlign w:val="center"/>
          </w:tcPr>
          <w:p>
            <w:pPr>
              <w:pStyle w:val="TableContents"/>
              <w:bidi w:val="0"/>
              <w:spacing w:before="0" w:after="283"/>
              <w:jc w:val="left"/>
              <w:rPr/>
            </w:pPr>
            <w:r>
              <w:rPr/>
              <w:t> </w:t>
            </w:r>
          </w:p>
        </w:tc>
        <w:tc>
          <w:tcPr>
            <w:tcW w:w="1249" w:type="dxa"/>
            <w:tcBorders>
              <w:bottom w:val="single" w:sz="8" w:space="0" w:color="003A5D"/>
            </w:tcBorders>
            <w:tcMar>
              <w:bottom w:w="60" w:type="dxa"/>
            </w:tcMar>
            <w:vAlign w:val="center"/>
          </w:tcPr>
          <w:p>
            <w:pPr>
              <w:pStyle w:val="TableContents"/>
              <w:bidi w:val="0"/>
              <w:spacing w:before="0" w:after="283"/>
              <w:jc w:val="center"/>
              <w:rPr/>
            </w:pPr>
            <w:r>
              <w:rPr/>
              <w:t>—</w:t>
            </w:r>
          </w:p>
        </w:tc>
        <w:tc>
          <w:tcPr>
            <w:tcW w:w="38"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49" w:type="dxa"/>
            <w:tcBorders>
              <w:bottom w:val="single" w:sz="8" w:space="0" w:color="003A5D"/>
            </w:tcBorders>
            <w:tcMar>
              <w:bottom w:w="60" w:type="dxa"/>
            </w:tcMar>
            <w:vAlign w:val="center"/>
          </w:tcPr>
          <w:p>
            <w:pPr>
              <w:pStyle w:val="TableContents"/>
              <w:bidi w:val="0"/>
              <w:spacing w:before="0" w:after="283"/>
              <w:jc w:val="left"/>
              <w:rPr/>
            </w:pPr>
            <w:r>
              <w:rPr/>
              <w:t> </w:t>
            </w:r>
          </w:p>
        </w:tc>
        <w:tc>
          <w:tcPr>
            <w:tcW w:w="1079" w:type="dxa"/>
            <w:tcBorders>
              <w:bottom w:val="single" w:sz="8" w:space="0" w:color="003A5D"/>
            </w:tcBorders>
            <w:tcMar>
              <w:bottom w:w="60" w:type="dxa"/>
            </w:tcMar>
            <w:vAlign w:val="center"/>
          </w:tcPr>
          <w:p>
            <w:pPr>
              <w:pStyle w:val="TableContents"/>
              <w:bidi w:val="0"/>
              <w:spacing w:before="0" w:after="283"/>
              <w:jc w:val="center"/>
              <w:rPr/>
            </w:pPr>
            <w:r>
              <w:rPr/>
              <w:t>—</w:t>
            </w:r>
          </w:p>
        </w:tc>
        <w:tc>
          <w:tcPr>
            <w:tcW w:w="97"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8" w:space="0" w:color="003A5D"/>
            </w:tcBorders>
            <w:tcMar>
              <w:bottom w:w="60" w:type="dxa"/>
            </w:tcMar>
            <w:vAlign w:val="center"/>
          </w:tcPr>
          <w:p>
            <w:pPr>
              <w:pStyle w:val="TableContents"/>
              <w:bidi w:val="0"/>
              <w:spacing w:before="0" w:after="283"/>
              <w:jc w:val="left"/>
              <w:rPr/>
            </w:pPr>
            <w:r>
              <w:rPr/>
              <w:t> </w:t>
            </w:r>
          </w:p>
        </w:tc>
        <w:tc>
          <w:tcPr>
            <w:tcW w:w="886" w:type="dxa"/>
            <w:tcBorders>
              <w:bottom w:val="single" w:sz="8" w:space="0" w:color="003A5D"/>
            </w:tcBorders>
            <w:tcMar>
              <w:bottom w:w="60" w:type="dxa"/>
            </w:tcMar>
            <w:vAlign w:val="center"/>
          </w:tcPr>
          <w:p>
            <w:pPr>
              <w:pStyle w:val="TableContents"/>
              <w:bidi w:val="0"/>
              <w:spacing w:before="0" w:after="283"/>
              <w:jc w:val="center"/>
              <w:rPr/>
            </w:pPr>
            <w:r>
              <w:rPr/>
              <w:t>$—</w:t>
            </w:r>
          </w:p>
        </w:tc>
        <w:tc>
          <w:tcPr>
            <w:tcW w:w="32"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48"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25" w:type="dxa"/>
            <w:tcBorders>
              <w:bottom w:val="single" w:sz="8" w:space="0" w:color="003A5D"/>
            </w:tcBorders>
            <w:tcMar>
              <w:bottom w:w="60" w:type="dxa"/>
            </w:tcMar>
            <w:vAlign w:val="center"/>
          </w:tcPr>
          <w:p>
            <w:pPr>
              <w:pStyle w:val="TableContents"/>
              <w:bidi w:val="0"/>
              <w:spacing w:before="0" w:after="283"/>
              <w:jc w:val="left"/>
              <w:rPr/>
            </w:pPr>
            <w:r>
              <w:rPr/>
              <w:t> </w:t>
            </w:r>
          </w:p>
        </w:tc>
        <w:tc>
          <w:tcPr>
            <w:tcW w:w="1043" w:type="dxa"/>
            <w:tcBorders>
              <w:bottom w:val="single" w:sz="8" w:space="0" w:color="003A5D"/>
            </w:tcBorders>
            <w:tcMar>
              <w:bottom w:w="60" w:type="dxa"/>
            </w:tcMar>
            <w:vAlign w:val="center"/>
          </w:tcPr>
          <w:p>
            <w:pPr>
              <w:pStyle w:val="TableContents"/>
              <w:bidi w:val="0"/>
              <w:spacing w:before="0" w:after="283"/>
              <w:jc w:val="center"/>
              <w:rPr/>
            </w:pPr>
            <w:r>
              <w:rPr/>
              <w:t>—</w:t>
            </w:r>
          </w:p>
        </w:tc>
        <w:tc>
          <w:tcPr>
            <w:tcW w:w="49"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8" w:space="0" w:color="003A5D"/>
            </w:tcBorders>
            <w:tcMar>
              <w:bottom w:w="60" w:type="dxa"/>
            </w:tcMar>
            <w:vAlign w:val="center"/>
          </w:tcPr>
          <w:p>
            <w:pPr>
              <w:pStyle w:val="TableContents"/>
              <w:bidi w:val="0"/>
              <w:spacing w:before="0" w:after="283"/>
              <w:jc w:val="left"/>
              <w:rPr/>
            </w:pPr>
            <w:r>
              <w:rPr/>
              <w:t> </w:t>
            </w:r>
          </w:p>
        </w:tc>
        <w:tc>
          <w:tcPr>
            <w:tcW w:w="1013" w:type="dxa"/>
            <w:tcBorders>
              <w:bottom w:val="single" w:sz="8" w:space="0" w:color="003A5D"/>
            </w:tcBorders>
            <w:tcMar>
              <w:bottom w:w="60" w:type="dxa"/>
            </w:tcMar>
            <w:vAlign w:val="center"/>
          </w:tcPr>
          <w:p>
            <w:pPr>
              <w:pStyle w:val="TableContents"/>
              <w:bidi w:val="0"/>
              <w:spacing w:before="0" w:after="283"/>
              <w:jc w:val="center"/>
              <w:rPr/>
            </w:pPr>
            <w:r>
              <w:rPr/>
              <w:t>—</w:t>
            </w:r>
          </w:p>
        </w:tc>
        <w:tc>
          <w:tcPr>
            <w:tcW w:w="82" w:type="dxa"/>
            <w:tcBorders>
              <w:bottom w:val="single" w:sz="8" w:space="0" w:color="003A5D"/>
            </w:tcBorders>
            <w:tcMar>
              <w:bottom w:w="60" w:type="dxa"/>
            </w:tcM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1100" w:type="dxa"/>
            <w:tcBorders>
              <w:bottom w:val="single" w:sz="8" w:space="0" w:color="003A5D"/>
            </w:tcBorders>
            <w:tcMar>
              <w:bottom w:w="60" w:type="dxa"/>
            </w:tcMar>
            <w:vAlign w:val="center"/>
          </w:tcPr>
          <w:p>
            <w:pPr>
              <w:pStyle w:val="TableContents"/>
              <w:bidi w:val="0"/>
              <w:spacing w:before="0" w:after="283"/>
              <w:jc w:val="center"/>
              <w:rPr/>
            </w:pPr>
            <w:r>
              <w:rPr/>
              <w:t>$—</w:t>
            </w:r>
          </w:p>
        </w:tc>
        <w:tc>
          <w:tcPr>
            <w:tcW w:w="23"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20,769(6)</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$3,703,528</w:t>
            </w:r>
          </w:p>
          <w:p>
            <w:pPr>
              <w:pStyle w:val="TableContents"/>
              <w:bidi w:val="0"/>
              <w:spacing w:before="0" w:after="283"/>
              <w:jc w:val="left"/>
              <w:rPr>
                <w:sz w:val="4"/>
                <w:szCs w:val="4"/>
              </w:rPr>
            </w:pPr>
            <w:r>
              <w:rPr>
                <w:sz w:val="4"/>
                <w:szCs w:val="4"/>
              </w:rPr>
            </w:r>
          </w:p>
        </w:tc>
      </w:tr>
      <w:tr>
        <w:trPr/>
        <w:tc>
          <w:tcPr>
            <w:tcW w:w="815" w:type="dxa"/>
            <w:vMerge w:val="restart"/>
            <w:tcBorders>
              <w:bottom w:val="single" w:sz="8" w:space="0" w:color="003A5D"/>
            </w:tcBorders>
            <w:tcMar>
              <w:bottom w:w="60" w:type="dxa"/>
            </w:tcMar>
            <w:vAlign w:val="center"/>
          </w:tcPr>
          <w:p>
            <w:pPr>
              <w:pStyle w:val="TableContents"/>
              <w:bidi w:val="0"/>
              <w:spacing w:before="0" w:after="0"/>
              <w:jc w:val="left"/>
              <w:rPr>
                <w:rFonts w:ascii="arial" w:hAnsi="arial"/>
                <w:sz w:val="16"/>
              </w:rPr>
            </w:pPr>
            <w:r>
              <w:rPr>
                <w:rFonts w:ascii="arial" w:hAnsi="arial"/>
                <w:sz w:val="16"/>
              </w:rPr>
              <w:t>Sanjiv Yajnik</w:t>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529" w:type="dxa"/>
            <w:tcBorders/>
            <w:shd w:fill="E5EBEE" w:val="clear"/>
            <w:vAlign w:val="center"/>
          </w:tcPr>
          <w:p>
            <w:pPr>
              <w:pStyle w:val="TableContents"/>
              <w:bidi w:val="0"/>
              <w:spacing w:before="0" w:after="283"/>
              <w:jc w:val="center"/>
              <w:rPr/>
            </w:pPr>
            <w:r>
              <w:rPr/>
              <w:t>2/3/2022</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35" w:type="dxa"/>
            <w:tcBorders/>
            <w:shd w:fill="E5EBEE" w:val="clear"/>
            <w:vAlign w:val="center"/>
          </w:tcPr>
          <w:p>
            <w:pPr>
              <w:pStyle w:val="TableContents"/>
              <w:bidi w:val="0"/>
              <w:spacing w:before="0" w:after="283"/>
              <w:jc w:val="left"/>
              <w:rPr>
                <w:sz w:val="4"/>
                <w:szCs w:val="4"/>
              </w:rPr>
            </w:pPr>
            <w:r>
              <w:rPr>
                <w:sz w:val="4"/>
                <w:szCs w:val="4"/>
              </w:rPr>
            </w:r>
          </w:p>
        </w:tc>
        <w:tc>
          <w:tcPr>
            <w:tcW w:w="93" w:type="dxa"/>
            <w:tcBorders/>
            <w:shd w:fill="E5EBEE" w:val="clear"/>
            <w:vAlign w:val="center"/>
          </w:tcPr>
          <w:p>
            <w:pPr>
              <w:pStyle w:val="TableContents"/>
              <w:bidi w:val="0"/>
              <w:spacing w:before="0" w:after="283"/>
              <w:jc w:val="left"/>
              <w:rPr/>
            </w:pPr>
            <w:r>
              <w:rPr/>
              <w:t> </w:t>
            </w:r>
          </w:p>
        </w:tc>
        <w:tc>
          <w:tcPr>
            <w:tcW w:w="1249" w:type="dxa"/>
            <w:tcBorders/>
            <w:shd w:fill="E5EBEE" w:val="clear"/>
            <w:vAlign w:val="center"/>
          </w:tcPr>
          <w:p>
            <w:pPr>
              <w:pStyle w:val="TableContents"/>
              <w:bidi w:val="0"/>
              <w:spacing w:before="0" w:after="283"/>
              <w:jc w:val="center"/>
              <w:rPr/>
            </w:pPr>
            <w:r>
              <w:rPr/>
              <w:t>—</w:t>
            </w:r>
          </w:p>
        </w:tc>
        <w:tc>
          <w:tcPr>
            <w:tcW w:w="38"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95" w:type="dxa"/>
            <w:tcBorders/>
            <w:shd w:fill="E5EBEE" w:val="clear"/>
            <w:vAlign w:val="center"/>
          </w:tcPr>
          <w:p>
            <w:pPr>
              <w:pStyle w:val="TableContents"/>
              <w:bidi w:val="0"/>
              <w:spacing w:before="0" w:after="283"/>
              <w:jc w:val="left"/>
              <w:rPr>
                <w:sz w:val="4"/>
                <w:szCs w:val="4"/>
              </w:rPr>
            </w:pPr>
            <w:r>
              <w:rPr>
                <w:sz w:val="4"/>
                <w:szCs w:val="4"/>
              </w:rPr>
            </w:r>
          </w:p>
        </w:tc>
        <w:tc>
          <w:tcPr>
            <w:tcW w:w="249" w:type="dxa"/>
            <w:tcBorders/>
            <w:shd w:fill="E5EBEE" w:val="clear"/>
            <w:vAlign w:val="center"/>
          </w:tcPr>
          <w:p>
            <w:pPr>
              <w:pStyle w:val="TableContents"/>
              <w:bidi w:val="0"/>
              <w:spacing w:before="0" w:after="283"/>
              <w:jc w:val="left"/>
              <w:rPr/>
            </w:pPr>
            <w:r>
              <w:rPr/>
              <w:t> </w:t>
            </w:r>
          </w:p>
        </w:tc>
        <w:tc>
          <w:tcPr>
            <w:tcW w:w="1079" w:type="dxa"/>
            <w:tcBorders/>
            <w:shd w:fill="E5EBEE" w:val="clear"/>
            <w:vAlign w:val="center"/>
          </w:tcPr>
          <w:p>
            <w:pPr>
              <w:pStyle w:val="TableContents"/>
              <w:bidi w:val="0"/>
              <w:spacing w:before="0" w:after="283"/>
              <w:jc w:val="center"/>
              <w:rPr/>
            </w:pPr>
            <w:r>
              <w:rPr/>
              <w:t>—</w:t>
            </w:r>
          </w:p>
        </w:tc>
        <w:tc>
          <w:tcPr>
            <w:tcW w:w="97"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9" w:type="dxa"/>
            <w:tcBorders/>
            <w:shd w:fill="E5EBEE" w:val="clear"/>
            <w:vAlign w:val="center"/>
          </w:tcPr>
          <w:p>
            <w:pPr>
              <w:pStyle w:val="TableContents"/>
              <w:bidi w:val="0"/>
              <w:spacing w:before="0" w:after="283"/>
              <w:jc w:val="left"/>
              <w:rPr>
                <w:sz w:val="4"/>
                <w:szCs w:val="4"/>
              </w:rPr>
            </w:pPr>
            <w:r>
              <w:rPr>
                <w:sz w:val="4"/>
                <w:szCs w:val="4"/>
              </w:rPr>
            </w:r>
          </w:p>
        </w:tc>
        <w:tc>
          <w:tcPr>
            <w:tcW w:w="78" w:type="dxa"/>
            <w:tcBorders/>
            <w:shd w:fill="E5EBEE" w:val="clear"/>
            <w:vAlign w:val="center"/>
          </w:tcPr>
          <w:p>
            <w:pPr>
              <w:pStyle w:val="TableContents"/>
              <w:bidi w:val="0"/>
              <w:spacing w:before="0" w:after="283"/>
              <w:jc w:val="left"/>
              <w:rPr/>
            </w:pPr>
            <w:r>
              <w:rPr/>
              <w:t> </w:t>
            </w:r>
          </w:p>
        </w:tc>
        <w:tc>
          <w:tcPr>
            <w:tcW w:w="886"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48" w:type="dxa"/>
            <w:tcBorders/>
            <w:shd w:fill="E5EBEE" w:val="clear"/>
            <w:vAlign w:val="center"/>
          </w:tcPr>
          <w:p>
            <w:pPr>
              <w:pStyle w:val="TableContents"/>
              <w:bidi w:val="0"/>
              <w:spacing w:before="0" w:after="283"/>
              <w:jc w:val="left"/>
              <w:rPr>
                <w:sz w:val="4"/>
                <w:szCs w:val="4"/>
              </w:rPr>
            </w:pPr>
            <w:r>
              <w:rPr>
                <w:sz w:val="4"/>
                <w:szCs w:val="4"/>
              </w:rPr>
            </w:r>
          </w:p>
        </w:tc>
        <w:tc>
          <w:tcPr>
            <w:tcW w:w="125" w:type="dxa"/>
            <w:tcBorders/>
            <w:shd w:fill="E5EBEE" w:val="clear"/>
            <w:vAlign w:val="center"/>
          </w:tcPr>
          <w:p>
            <w:pPr>
              <w:pStyle w:val="TableContents"/>
              <w:bidi w:val="0"/>
              <w:spacing w:before="0" w:after="283"/>
              <w:jc w:val="left"/>
              <w:rPr/>
            </w:pPr>
            <w:r>
              <w:rPr/>
              <w:t> </w:t>
            </w:r>
          </w:p>
        </w:tc>
        <w:tc>
          <w:tcPr>
            <w:tcW w:w="1043" w:type="dxa"/>
            <w:tcBorders/>
            <w:shd w:fill="E5EBEE" w:val="clear"/>
            <w:vAlign w:val="center"/>
          </w:tcPr>
          <w:p>
            <w:pPr>
              <w:pStyle w:val="TableContents"/>
              <w:bidi w:val="0"/>
              <w:spacing w:before="0" w:after="283"/>
              <w:jc w:val="center"/>
              <w:rPr/>
            </w:pPr>
            <w:r>
              <w:rPr/>
              <w:t>—</w:t>
            </w:r>
          </w:p>
        </w:tc>
        <w:tc>
          <w:tcPr>
            <w:tcW w:w="49"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30" w:type="dxa"/>
            <w:tcBorders/>
            <w:shd w:fill="E5EBEE" w:val="clear"/>
            <w:vAlign w:val="center"/>
          </w:tcPr>
          <w:p>
            <w:pPr>
              <w:pStyle w:val="TableContents"/>
              <w:bidi w:val="0"/>
              <w:spacing w:before="0" w:after="283"/>
              <w:jc w:val="left"/>
              <w:rPr>
                <w:sz w:val="4"/>
                <w:szCs w:val="4"/>
              </w:rPr>
            </w:pPr>
            <w:r>
              <w:rPr>
                <w:sz w:val="4"/>
                <w:szCs w:val="4"/>
              </w:rPr>
            </w:r>
          </w:p>
        </w:tc>
        <w:tc>
          <w:tcPr>
            <w:tcW w:w="80" w:type="dxa"/>
            <w:tcBorders/>
            <w:shd w:fill="E5EBEE" w:val="clear"/>
            <w:vAlign w:val="center"/>
          </w:tcPr>
          <w:p>
            <w:pPr>
              <w:pStyle w:val="TableContents"/>
              <w:bidi w:val="0"/>
              <w:spacing w:before="0" w:after="283"/>
              <w:jc w:val="left"/>
              <w:rPr/>
            </w:pPr>
            <w:r>
              <w:rPr/>
              <w:t> </w:t>
            </w:r>
          </w:p>
        </w:tc>
        <w:tc>
          <w:tcPr>
            <w:tcW w:w="1013" w:type="dxa"/>
            <w:tcBorders/>
            <w:shd w:fill="E5EBEE" w:val="clear"/>
            <w:vAlign w:val="center"/>
          </w:tcPr>
          <w:p>
            <w:pPr>
              <w:pStyle w:val="TableContents"/>
              <w:bidi w:val="0"/>
              <w:spacing w:before="0" w:after="283"/>
              <w:jc w:val="center"/>
              <w:rPr/>
            </w:pPr>
            <w:r>
              <w:rPr/>
              <w:t>3,362(7)</w:t>
            </w:r>
          </w:p>
        </w:tc>
        <w:tc>
          <w:tcPr>
            <w:tcW w:w="82" w:type="dxa"/>
            <w:tcBorders/>
            <w:shd w:fill="E5EBEE"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$599,512</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2/3/2022</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center"/>
              <w:rPr/>
            </w:pPr>
            <w:r>
              <w:rPr/>
              <w:t>—</w:t>
            </w:r>
          </w:p>
        </w:tc>
        <w:tc>
          <w:tcPr>
            <w:tcW w:w="97"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center"/>
              <w:rPr/>
            </w:pPr>
            <w:r>
              <w:rPr/>
              <w:t>—</w:t>
            </w:r>
          </w:p>
        </w:tc>
        <w:tc>
          <w:tcPr>
            <w:tcW w:w="49" w:type="dxa"/>
            <w:tcBorders/>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center"/>
              <w:rPr/>
            </w:pPr>
            <w:r>
              <w:rPr/>
              <w:t>—</w:t>
            </w:r>
          </w:p>
        </w:tc>
        <w:tc>
          <w:tcPr>
            <w:tcW w:w="82" w:type="dxa"/>
            <w:tcBorders/>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8,473(5)</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$1,510,905</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529" w:type="dxa"/>
            <w:tcBorders/>
            <w:shd w:fill="E5EBEE" w:val="clear"/>
            <w:vAlign w:val="center"/>
          </w:tcPr>
          <w:p>
            <w:pPr>
              <w:pStyle w:val="TableContents"/>
              <w:bidi w:val="0"/>
              <w:spacing w:before="0" w:after="283"/>
              <w:jc w:val="center"/>
              <w:rPr/>
            </w:pPr>
            <w:r>
              <w:rPr/>
              <w:t>1/26/2023</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35" w:type="dxa"/>
            <w:tcBorders/>
            <w:shd w:fill="E5EBEE" w:val="clear"/>
            <w:vAlign w:val="center"/>
          </w:tcPr>
          <w:p>
            <w:pPr>
              <w:pStyle w:val="TableContents"/>
              <w:bidi w:val="0"/>
              <w:spacing w:before="0" w:after="283"/>
              <w:jc w:val="left"/>
              <w:rPr>
                <w:sz w:val="4"/>
                <w:szCs w:val="4"/>
              </w:rPr>
            </w:pPr>
            <w:r>
              <w:rPr>
                <w:sz w:val="4"/>
                <w:szCs w:val="4"/>
              </w:rPr>
            </w:r>
          </w:p>
        </w:tc>
        <w:tc>
          <w:tcPr>
            <w:tcW w:w="93" w:type="dxa"/>
            <w:tcBorders/>
            <w:shd w:fill="E5EBEE" w:val="clear"/>
            <w:vAlign w:val="center"/>
          </w:tcPr>
          <w:p>
            <w:pPr>
              <w:pStyle w:val="TableContents"/>
              <w:bidi w:val="0"/>
              <w:spacing w:before="0" w:after="283"/>
              <w:jc w:val="left"/>
              <w:rPr/>
            </w:pPr>
            <w:r>
              <w:rPr/>
              <w:t> </w:t>
            </w:r>
          </w:p>
        </w:tc>
        <w:tc>
          <w:tcPr>
            <w:tcW w:w="1249" w:type="dxa"/>
            <w:tcBorders/>
            <w:shd w:fill="E5EBEE" w:val="clear"/>
            <w:vAlign w:val="center"/>
          </w:tcPr>
          <w:p>
            <w:pPr>
              <w:pStyle w:val="TableContents"/>
              <w:bidi w:val="0"/>
              <w:spacing w:before="0" w:after="283"/>
              <w:jc w:val="center"/>
              <w:rPr/>
            </w:pPr>
            <w:r>
              <w:rPr/>
              <w:t>—</w:t>
            </w:r>
          </w:p>
        </w:tc>
        <w:tc>
          <w:tcPr>
            <w:tcW w:w="38"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95" w:type="dxa"/>
            <w:tcBorders/>
            <w:shd w:fill="E5EBEE" w:val="clear"/>
            <w:vAlign w:val="center"/>
          </w:tcPr>
          <w:p>
            <w:pPr>
              <w:pStyle w:val="TableContents"/>
              <w:bidi w:val="0"/>
              <w:spacing w:before="0" w:after="283"/>
              <w:jc w:val="left"/>
              <w:rPr>
                <w:sz w:val="4"/>
                <w:szCs w:val="4"/>
              </w:rPr>
            </w:pPr>
            <w:r>
              <w:rPr>
                <w:sz w:val="4"/>
                <w:szCs w:val="4"/>
              </w:rPr>
            </w:r>
          </w:p>
        </w:tc>
        <w:tc>
          <w:tcPr>
            <w:tcW w:w="249" w:type="dxa"/>
            <w:tcBorders/>
            <w:shd w:fill="E5EBEE" w:val="clear"/>
            <w:vAlign w:val="center"/>
          </w:tcPr>
          <w:p>
            <w:pPr>
              <w:pStyle w:val="TableContents"/>
              <w:bidi w:val="0"/>
              <w:spacing w:before="0" w:after="283"/>
              <w:jc w:val="left"/>
              <w:rPr/>
            </w:pPr>
            <w:r>
              <w:rPr/>
              <w:t> </w:t>
            </w:r>
          </w:p>
        </w:tc>
        <w:tc>
          <w:tcPr>
            <w:tcW w:w="1079" w:type="dxa"/>
            <w:tcBorders/>
            <w:shd w:fill="E5EBEE" w:val="clear"/>
            <w:vAlign w:val="center"/>
          </w:tcPr>
          <w:p>
            <w:pPr>
              <w:pStyle w:val="TableContents"/>
              <w:bidi w:val="0"/>
              <w:spacing w:before="0" w:after="283"/>
              <w:jc w:val="center"/>
              <w:rPr/>
            </w:pPr>
            <w:r>
              <w:rPr/>
              <w:t>—</w:t>
            </w:r>
          </w:p>
        </w:tc>
        <w:tc>
          <w:tcPr>
            <w:tcW w:w="97"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9" w:type="dxa"/>
            <w:tcBorders/>
            <w:shd w:fill="E5EBEE" w:val="clear"/>
            <w:vAlign w:val="center"/>
          </w:tcPr>
          <w:p>
            <w:pPr>
              <w:pStyle w:val="TableContents"/>
              <w:bidi w:val="0"/>
              <w:spacing w:before="0" w:after="283"/>
              <w:jc w:val="left"/>
              <w:rPr>
                <w:sz w:val="4"/>
                <w:szCs w:val="4"/>
              </w:rPr>
            </w:pPr>
            <w:r>
              <w:rPr>
                <w:sz w:val="4"/>
                <w:szCs w:val="4"/>
              </w:rPr>
            </w:r>
          </w:p>
        </w:tc>
        <w:tc>
          <w:tcPr>
            <w:tcW w:w="78" w:type="dxa"/>
            <w:tcBorders/>
            <w:shd w:fill="E5EBEE" w:val="clear"/>
            <w:vAlign w:val="center"/>
          </w:tcPr>
          <w:p>
            <w:pPr>
              <w:pStyle w:val="TableContents"/>
              <w:bidi w:val="0"/>
              <w:spacing w:before="0" w:after="283"/>
              <w:jc w:val="left"/>
              <w:rPr/>
            </w:pPr>
            <w:r>
              <w:rPr/>
              <w:t> </w:t>
            </w:r>
          </w:p>
        </w:tc>
        <w:tc>
          <w:tcPr>
            <w:tcW w:w="886"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48" w:type="dxa"/>
            <w:tcBorders/>
            <w:shd w:fill="E5EBEE" w:val="clear"/>
            <w:vAlign w:val="center"/>
          </w:tcPr>
          <w:p>
            <w:pPr>
              <w:pStyle w:val="TableContents"/>
              <w:bidi w:val="0"/>
              <w:spacing w:before="0" w:after="283"/>
              <w:jc w:val="left"/>
              <w:rPr>
                <w:sz w:val="4"/>
                <w:szCs w:val="4"/>
              </w:rPr>
            </w:pPr>
            <w:r>
              <w:rPr>
                <w:sz w:val="4"/>
                <w:szCs w:val="4"/>
              </w:rPr>
            </w:r>
          </w:p>
        </w:tc>
        <w:tc>
          <w:tcPr>
            <w:tcW w:w="125" w:type="dxa"/>
            <w:tcBorders/>
            <w:shd w:fill="E5EBEE" w:val="clear"/>
            <w:vAlign w:val="center"/>
          </w:tcPr>
          <w:p>
            <w:pPr>
              <w:pStyle w:val="TableContents"/>
              <w:bidi w:val="0"/>
              <w:spacing w:before="0" w:after="283"/>
              <w:jc w:val="left"/>
              <w:rPr/>
            </w:pPr>
            <w:r>
              <w:rPr/>
              <w:t> </w:t>
            </w:r>
          </w:p>
        </w:tc>
        <w:tc>
          <w:tcPr>
            <w:tcW w:w="1043" w:type="dxa"/>
            <w:tcBorders/>
            <w:shd w:fill="E5EBEE" w:val="clear"/>
            <w:vAlign w:val="center"/>
          </w:tcPr>
          <w:p>
            <w:pPr>
              <w:pStyle w:val="TableContents"/>
              <w:bidi w:val="0"/>
              <w:spacing w:before="0" w:after="283"/>
              <w:jc w:val="center"/>
              <w:rPr/>
            </w:pPr>
            <w:r>
              <w:rPr/>
              <w:t>—</w:t>
            </w:r>
          </w:p>
        </w:tc>
        <w:tc>
          <w:tcPr>
            <w:tcW w:w="49"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30" w:type="dxa"/>
            <w:tcBorders/>
            <w:shd w:fill="E5EBEE" w:val="clear"/>
            <w:vAlign w:val="center"/>
          </w:tcPr>
          <w:p>
            <w:pPr>
              <w:pStyle w:val="TableContents"/>
              <w:bidi w:val="0"/>
              <w:spacing w:before="0" w:after="283"/>
              <w:jc w:val="left"/>
              <w:rPr>
                <w:sz w:val="4"/>
                <w:szCs w:val="4"/>
              </w:rPr>
            </w:pPr>
            <w:r>
              <w:rPr>
                <w:sz w:val="4"/>
                <w:szCs w:val="4"/>
              </w:rPr>
            </w:r>
          </w:p>
        </w:tc>
        <w:tc>
          <w:tcPr>
            <w:tcW w:w="80" w:type="dxa"/>
            <w:tcBorders/>
            <w:shd w:fill="E5EBEE" w:val="clear"/>
            <w:vAlign w:val="center"/>
          </w:tcPr>
          <w:p>
            <w:pPr>
              <w:pStyle w:val="TableContents"/>
              <w:bidi w:val="0"/>
              <w:spacing w:before="0" w:after="283"/>
              <w:jc w:val="left"/>
              <w:rPr/>
            </w:pPr>
            <w:r>
              <w:rPr/>
              <w:t> </w:t>
            </w:r>
          </w:p>
        </w:tc>
        <w:tc>
          <w:tcPr>
            <w:tcW w:w="1013" w:type="dxa"/>
            <w:tcBorders/>
            <w:shd w:fill="E5EBEE" w:val="clear"/>
            <w:vAlign w:val="center"/>
          </w:tcPr>
          <w:p>
            <w:pPr>
              <w:pStyle w:val="TableContents"/>
              <w:bidi w:val="0"/>
              <w:spacing w:before="0" w:after="283"/>
              <w:jc w:val="center"/>
              <w:rPr/>
            </w:pPr>
            <w:r>
              <w:rPr/>
              <w:t>8,802(7)</w:t>
            </w:r>
          </w:p>
        </w:tc>
        <w:tc>
          <w:tcPr>
            <w:tcW w:w="82" w:type="dxa"/>
            <w:tcBorders/>
            <w:shd w:fill="E5EBEE"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$1,569,573</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center"/>
              <w:rPr/>
            </w:pPr>
            <w:r>
              <w:rPr/>
              <w:t>1/26/2023</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center"/>
              <w:rPr/>
            </w:pPr>
            <w:r>
              <w:rPr/>
              <w:t>—</w:t>
            </w:r>
          </w:p>
        </w:tc>
        <w:tc>
          <w:tcPr>
            <w:tcW w:w="38"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center"/>
              <w:rPr/>
            </w:pPr>
            <w:r>
              <w:rPr/>
              <w:t>—</w:t>
            </w:r>
          </w:p>
        </w:tc>
        <w:tc>
          <w:tcPr>
            <w:tcW w:w="97"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center"/>
              <w:rPr/>
            </w:pPr>
            <w:r>
              <w:rPr/>
              <w:t>—</w:t>
            </w:r>
          </w:p>
        </w:tc>
        <w:tc>
          <w:tcPr>
            <w:tcW w:w="49" w:type="dxa"/>
            <w:tcBorders/>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center"/>
              <w:rPr/>
            </w:pPr>
            <w:r>
              <w:rPr/>
              <w:t>—</w:t>
            </w:r>
          </w:p>
        </w:tc>
        <w:tc>
          <w:tcPr>
            <w:tcW w:w="82" w:type="dxa"/>
            <w:tcBorders/>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23,763(6)</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$4,237,418</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529" w:type="dxa"/>
            <w:tcBorders/>
            <w:shd w:fill="E5EBEE" w:val="clear"/>
            <w:vAlign w:val="center"/>
          </w:tcPr>
          <w:p>
            <w:pPr>
              <w:pStyle w:val="TableContents"/>
              <w:bidi w:val="0"/>
              <w:spacing w:before="0" w:after="283"/>
              <w:jc w:val="center"/>
              <w:rPr/>
            </w:pPr>
            <w:r>
              <w:rPr/>
              <w:t>2/1/2024</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35" w:type="dxa"/>
            <w:tcBorders/>
            <w:shd w:fill="E5EBEE" w:val="clear"/>
            <w:vAlign w:val="center"/>
          </w:tcPr>
          <w:p>
            <w:pPr>
              <w:pStyle w:val="TableContents"/>
              <w:bidi w:val="0"/>
              <w:spacing w:before="0" w:after="283"/>
              <w:jc w:val="left"/>
              <w:rPr>
                <w:sz w:val="4"/>
                <w:szCs w:val="4"/>
              </w:rPr>
            </w:pPr>
            <w:r>
              <w:rPr>
                <w:sz w:val="4"/>
                <w:szCs w:val="4"/>
              </w:rPr>
            </w:r>
          </w:p>
        </w:tc>
        <w:tc>
          <w:tcPr>
            <w:tcW w:w="93" w:type="dxa"/>
            <w:tcBorders/>
            <w:shd w:fill="E5EBEE" w:val="clear"/>
            <w:vAlign w:val="center"/>
          </w:tcPr>
          <w:p>
            <w:pPr>
              <w:pStyle w:val="TableContents"/>
              <w:bidi w:val="0"/>
              <w:spacing w:before="0" w:after="283"/>
              <w:jc w:val="left"/>
              <w:rPr/>
            </w:pPr>
            <w:r>
              <w:rPr/>
              <w:t> </w:t>
            </w:r>
          </w:p>
        </w:tc>
        <w:tc>
          <w:tcPr>
            <w:tcW w:w="1249" w:type="dxa"/>
            <w:tcBorders/>
            <w:shd w:fill="E5EBEE" w:val="clear"/>
            <w:vAlign w:val="center"/>
          </w:tcPr>
          <w:p>
            <w:pPr>
              <w:pStyle w:val="TableContents"/>
              <w:bidi w:val="0"/>
              <w:spacing w:before="0" w:after="283"/>
              <w:jc w:val="center"/>
              <w:rPr/>
            </w:pPr>
            <w:r>
              <w:rPr/>
              <w:t>—</w:t>
            </w:r>
          </w:p>
        </w:tc>
        <w:tc>
          <w:tcPr>
            <w:tcW w:w="38"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95" w:type="dxa"/>
            <w:tcBorders/>
            <w:shd w:fill="E5EBEE" w:val="clear"/>
            <w:vAlign w:val="center"/>
          </w:tcPr>
          <w:p>
            <w:pPr>
              <w:pStyle w:val="TableContents"/>
              <w:bidi w:val="0"/>
              <w:spacing w:before="0" w:after="283"/>
              <w:jc w:val="left"/>
              <w:rPr>
                <w:sz w:val="4"/>
                <w:szCs w:val="4"/>
              </w:rPr>
            </w:pPr>
            <w:r>
              <w:rPr>
                <w:sz w:val="4"/>
                <w:szCs w:val="4"/>
              </w:rPr>
            </w:r>
          </w:p>
        </w:tc>
        <w:tc>
          <w:tcPr>
            <w:tcW w:w="249" w:type="dxa"/>
            <w:tcBorders/>
            <w:shd w:fill="E5EBEE" w:val="clear"/>
            <w:vAlign w:val="center"/>
          </w:tcPr>
          <w:p>
            <w:pPr>
              <w:pStyle w:val="TableContents"/>
              <w:bidi w:val="0"/>
              <w:spacing w:before="0" w:after="283"/>
              <w:jc w:val="left"/>
              <w:rPr/>
            </w:pPr>
            <w:r>
              <w:rPr/>
              <w:t> </w:t>
            </w:r>
          </w:p>
        </w:tc>
        <w:tc>
          <w:tcPr>
            <w:tcW w:w="1079" w:type="dxa"/>
            <w:tcBorders/>
            <w:shd w:fill="E5EBEE" w:val="clear"/>
            <w:vAlign w:val="center"/>
          </w:tcPr>
          <w:p>
            <w:pPr>
              <w:pStyle w:val="TableContents"/>
              <w:bidi w:val="0"/>
              <w:spacing w:before="0" w:after="283"/>
              <w:jc w:val="center"/>
              <w:rPr/>
            </w:pPr>
            <w:r>
              <w:rPr/>
              <w:t>—</w:t>
            </w:r>
          </w:p>
        </w:tc>
        <w:tc>
          <w:tcPr>
            <w:tcW w:w="97"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9" w:type="dxa"/>
            <w:tcBorders/>
            <w:shd w:fill="E5EBEE" w:val="clear"/>
            <w:vAlign w:val="center"/>
          </w:tcPr>
          <w:p>
            <w:pPr>
              <w:pStyle w:val="TableContents"/>
              <w:bidi w:val="0"/>
              <w:spacing w:before="0" w:after="283"/>
              <w:jc w:val="left"/>
              <w:rPr>
                <w:sz w:val="4"/>
                <w:szCs w:val="4"/>
              </w:rPr>
            </w:pPr>
            <w:r>
              <w:rPr>
                <w:sz w:val="4"/>
                <w:szCs w:val="4"/>
              </w:rPr>
            </w:r>
          </w:p>
        </w:tc>
        <w:tc>
          <w:tcPr>
            <w:tcW w:w="78" w:type="dxa"/>
            <w:tcBorders/>
            <w:shd w:fill="E5EBEE" w:val="clear"/>
            <w:vAlign w:val="center"/>
          </w:tcPr>
          <w:p>
            <w:pPr>
              <w:pStyle w:val="TableContents"/>
              <w:bidi w:val="0"/>
              <w:spacing w:before="0" w:after="283"/>
              <w:jc w:val="left"/>
              <w:rPr/>
            </w:pPr>
            <w:r>
              <w:rPr/>
              <w:t> </w:t>
            </w:r>
          </w:p>
        </w:tc>
        <w:tc>
          <w:tcPr>
            <w:tcW w:w="886"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48" w:type="dxa"/>
            <w:tcBorders/>
            <w:shd w:fill="E5EBEE" w:val="clear"/>
            <w:vAlign w:val="center"/>
          </w:tcPr>
          <w:p>
            <w:pPr>
              <w:pStyle w:val="TableContents"/>
              <w:bidi w:val="0"/>
              <w:spacing w:before="0" w:after="283"/>
              <w:jc w:val="left"/>
              <w:rPr>
                <w:sz w:val="4"/>
                <w:szCs w:val="4"/>
              </w:rPr>
            </w:pPr>
            <w:r>
              <w:rPr>
                <w:sz w:val="4"/>
                <w:szCs w:val="4"/>
              </w:rPr>
            </w:r>
          </w:p>
        </w:tc>
        <w:tc>
          <w:tcPr>
            <w:tcW w:w="125" w:type="dxa"/>
            <w:tcBorders/>
            <w:shd w:fill="E5EBEE" w:val="clear"/>
            <w:vAlign w:val="center"/>
          </w:tcPr>
          <w:p>
            <w:pPr>
              <w:pStyle w:val="TableContents"/>
              <w:bidi w:val="0"/>
              <w:spacing w:before="0" w:after="283"/>
              <w:jc w:val="left"/>
              <w:rPr/>
            </w:pPr>
            <w:r>
              <w:rPr/>
              <w:t> </w:t>
            </w:r>
          </w:p>
        </w:tc>
        <w:tc>
          <w:tcPr>
            <w:tcW w:w="1043" w:type="dxa"/>
            <w:tcBorders/>
            <w:shd w:fill="E5EBEE" w:val="clear"/>
            <w:vAlign w:val="center"/>
          </w:tcPr>
          <w:p>
            <w:pPr>
              <w:pStyle w:val="TableContents"/>
              <w:bidi w:val="0"/>
              <w:spacing w:before="0" w:after="283"/>
              <w:jc w:val="center"/>
              <w:rPr/>
            </w:pPr>
            <w:r>
              <w:rPr/>
              <w:t>—</w:t>
            </w:r>
          </w:p>
        </w:tc>
        <w:tc>
          <w:tcPr>
            <w:tcW w:w="49"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shd w:fill="E5EBEE" w:val="clear"/>
            <w:tcMar>
              <w:left w:w="28" w:type="dxa"/>
            </w:tcMar>
            <w:vAlign w:val="center"/>
          </w:tcPr>
          <w:p>
            <w:pPr>
              <w:pStyle w:val="TableContents"/>
              <w:bidi w:val="0"/>
              <w:spacing w:before="0" w:after="283"/>
              <w:jc w:val="left"/>
              <w:rPr>
                <w:sz w:val="4"/>
                <w:szCs w:val="4"/>
              </w:rPr>
            </w:pPr>
            <w:r>
              <w:rPr>
                <w:sz w:val="4"/>
                <w:szCs w:val="4"/>
              </w:rPr>
            </w:r>
          </w:p>
        </w:tc>
        <w:tc>
          <w:tcPr>
            <w:tcW w:w="30" w:type="dxa"/>
            <w:tcBorders/>
            <w:shd w:fill="E5EBEE" w:val="clear"/>
            <w:vAlign w:val="center"/>
          </w:tcPr>
          <w:p>
            <w:pPr>
              <w:pStyle w:val="TableContents"/>
              <w:bidi w:val="0"/>
              <w:spacing w:before="0" w:after="283"/>
              <w:jc w:val="left"/>
              <w:rPr>
                <w:sz w:val="4"/>
                <w:szCs w:val="4"/>
              </w:rPr>
            </w:pPr>
            <w:r>
              <w:rPr>
                <w:sz w:val="4"/>
                <w:szCs w:val="4"/>
              </w:rPr>
            </w:r>
          </w:p>
        </w:tc>
        <w:tc>
          <w:tcPr>
            <w:tcW w:w="80" w:type="dxa"/>
            <w:tcBorders/>
            <w:shd w:fill="E5EBEE" w:val="clear"/>
            <w:vAlign w:val="center"/>
          </w:tcPr>
          <w:p>
            <w:pPr>
              <w:pStyle w:val="TableContents"/>
              <w:bidi w:val="0"/>
              <w:spacing w:before="0" w:after="283"/>
              <w:jc w:val="left"/>
              <w:rPr/>
            </w:pPr>
            <w:r>
              <w:rPr/>
              <w:t> </w:t>
            </w:r>
          </w:p>
        </w:tc>
        <w:tc>
          <w:tcPr>
            <w:tcW w:w="1013" w:type="dxa"/>
            <w:tcBorders/>
            <w:shd w:fill="E5EBEE" w:val="clear"/>
            <w:vAlign w:val="center"/>
          </w:tcPr>
          <w:p>
            <w:pPr>
              <w:pStyle w:val="TableContents"/>
              <w:bidi w:val="0"/>
              <w:spacing w:before="0" w:after="283"/>
              <w:jc w:val="center"/>
              <w:rPr/>
            </w:pPr>
            <w:r>
              <w:rPr/>
              <w:t>11,742(7)</w:t>
            </w:r>
          </w:p>
        </w:tc>
        <w:tc>
          <w:tcPr>
            <w:tcW w:w="82" w:type="dxa"/>
            <w:tcBorders/>
            <w:shd w:fill="E5EBEE"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$2,093,833</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529" w:type="dxa"/>
            <w:tcBorders>
              <w:bottom w:val="single" w:sz="8" w:space="0" w:color="003A5D"/>
            </w:tcBorders>
            <w:tcMar>
              <w:bottom w:w="60" w:type="dxa"/>
            </w:tcMar>
            <w:vAlign w:val="center"/>
          </w:tcPr>
          <w:p>
            <w:pPr>
              <w:pStyle w:val="TableContents"/>
              <w:bidi w:val="0"/>
              <w:spacing w:before="0" w:after="283"/>
              <w:jc w:val="center"/>
              <w:rPr/>
            </w:pPr>
            <w:r>
              <w:rPr/>
              <w:t>2/1/2024</w:t>
            </w:r>
          </w:p>
        </w:tc>
        <w:tc>
          <w:tcPr>
            <w:tcW w:w="23"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35"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93" w:type="dxa"/>
            <w:tcBorders>
              <w:bottom w:val="single" w:sz="8" w:space="0" w:color="003A5D"/>
            </w:tcBorders>
            <w:tcMar>
              <w:bottom w:w="60" w:type="dxa"/>
            </w:tcMar>
            <w:vAlign w:val="center"/>
          </w:tcPr>
          <w:p>
            <w:pPr>
              <w:pStyle w:val="TableContents"/>
              <w:bidi w:val="0"/>
              <w:spacing w:before="0" w:after="283"/>
              <w:jc w:val="left"/>
              <w:rPr/>
            </w:pPr>
            <w:r>
              <w:rPr/>
              <w:t> </w:t>
            </w:r>
          </w:p>
        </w:tc>
        <w:tc>
          <w:tcPr>
            <w:tcW w:w="1249" w:type="dxa"/>
            <w:tcBorders>
              <w:bottom w:val="single" w:sz="8" w:space="0" w:color="003A5D"/>
            </w:tcBorders>
            <w:tcMar>
              <w:bottom w:w="60" w:type="dxa"/>
            </w:tcMar>
            <w:vAlign w:val="center"/>
          </w:tcPr>
          <w:p>
            <w:pPr>
              <w:pStyle w:val="TableContents"/>
              <w:bidi w:val="0"/>
              <w:spacing w:before="0" w:after="283"/>
              <w:jc w:val="center"/>
              <w:rPr/>
            </w:pPr>
            <w:r>
              <w:rPr/>
              <w:t>—</w:t>
            </w:r>
          </w:p>
        </w:tc>
        <w:tc>
          <w:tcPr>
            <w:tcW w:w="38"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95"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49" w:type="dxa"/>
            <w:tcBorders>
              <w:bottom w:val="single" w:sz="8" w:space="0" w:color="003A5D"/>
            </w:tcBorders>
            <w:tcMar>
              <w:bottom w:w="60" w:type="dxa"/>
            </w:tcMar>
            <w:vAlign w:val="center"/>
          </w:tcPr>
          <w:p>
            <w:pPr>
              <w:pStyle w:val="TableContents"/>
              <w:bidi w:val="0"/>
              <w:spacing w:before="0" w:after="283"/>
              <w:jc w:val="left"/>
              <w:rPr/>
            </w:pPr>
            <w:r>
              <w:rPr/>
              <w:t> </w:t>
            </w:r>
          </w:p>
        </w:tc>
        <w:tc>
          <w:tcPr>
            <w:tcW w:w="1079" w:type="dxa"/>
            <w:tcBorders>
              <w:bottom w:val="single" w:sz="8" w:space="0" w:color="003A5D"/>
            </w:tcBorders>
            <w:tcMar>
              <w:bottom w:w="60" w:type="dxa"/>
            </w:tcMar>
            <w:vAlign w:val="center"/>
          </w:tcPr>
          <w:p>
            <w:pPr>
              <w:pStyle w:val="TableContents"/>
              <w:bidi w:val="0"/>
              <w:spacing w:before="0" w:after="283"/>
              <w:jc w:val="center"/>
              <w:rPr/>
            </w:pPr>
            <w:r>
              <w:rPr/>
              <w:t>—</w:t>
            </w:r>
          </w:p>
        </w:tc>
        <w:tc>
          <w:tcPr>
            <w:tcW w:w="97"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78" w:type="dxa"/>
            <w:tcBorders>
              <w:bottom w:val="single" w:sz="8" w:space="0" w:color="003A5D"/>
            </w:tcBorders>
            <w:tcMar>
              <w:bottom w:w="60" w:type="dxa"/>
            </w:tcMar>
            <w:vAlign w:val="center"/>
          </w:tcPr>
          <w:p>
            <w:pPr>
              <w:pStyle w:val="TableContents"/>
              <w:bidi w:val="0"/>
              <w:spacing w:before="0" w:after="283"/>
              <w:jc w:val="left"/>
              <w:rPr/>
            </w:pPr>
            <w:r>
              <w:rPr/>
              <w:t> </w:t>
            </w:r>
          </w:p>
        </w:tc>
        <w:tc>
          <w:tcPr>
            <w:tcW w:w="886" w:type="dxa"/>
            <w:tcBorders>
              <w:bottom w:val="single" w:sz="8" w:space="0" w:color="003A5D"/>
            </w:tcBorders>
            <w:tcMar>
              <w:bottom w:w="60" w:type="dxa"/>
            </w:tcMar>
            <w:vAlign w:val="center"/>
          </w:tcPr>
          <w:p>
            <w:pPr>
              <w:pStyle w:val="TableContents"/>
              <w:bidi w:val="0"/>
              <w:spacing w:before="0" w:after="283"/>
              <w:jc w:val="center"/>
              <w:rPr/>
            </w:pPr>
            <w:r>
              <w:rPr/>
              <w:t>$—</w:t>
            </w:r>
          </w:p>
        </w:tc>
        <w:tc>
          <w:tcPr>
            <w:tcW w:w="32"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48"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25" w:type="dxa"/>
            <w:tcBorders>
              <w:bottom w:val="single" w:sz="8" w:space="0" w:color="003A5D"/>
            </w:tcBorders>
            <w:tcMar>
              <w:bottom w:w="60" w:type="dxa"/>
            </w:tcMar>
            <w:vAlign w:val="center"/>
          </w:tcPr>
          <w:p>
            <w:pPr>
              <w:pStyle w:val="TableContents"/>
              <w:bidi w:val="0"/>
              <w:spacing w:before="0" w:after="283"/>
              <w:jc w:val="left"/>
              <w:rPr/>
            </w:pPr>
            <w:r>
              <w:rPr/>
              <w:t> </w:t>
            </w:r>
          </w:p>
        </w:tc>
        <w:tc>
          <w:tcPr>
            <w:tcW w:w="1043" w:type="dxa"/>
            <w:tcBorders>
              <w:bottom w:val="single" w:sz="8" w:space="0" w:color="003A5D"/>
            </w:tcBorders>
            <w:tcMar>
              <w:bottom w:w="60" w:type="dxa"/>
            </w:tcMar>
            <w:vAlign w:val="center"/>
          </w:tcPr>
          <w:p>
            <w:pPr>
              <w:pStyle w:val="TableContents"/>
              <w:bidi w:val="0"/>
              <w:spacing w:before="0" w:after="283"/>
              <w:jc w:val="center"/>
              <w:rPr/>
            </w:pPr>
            <w:r>
              <w:rPr/>
              <w:t>—</w:t>
            </w:r>
          </w:p>
        </w:tc>
        <w:tc>
          <w:tcPr>
            <w:tcW w:w="49"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30"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8" w:space="0" w:color="003A5D"/>
            </w:tcBorders>
            <w:tcMar>
              <w:bottom w:w="60" w:type="dxa"/>
            </w:tcMar>
            <w:vAlign w:val="center"/>
          </w:tcPr>
          <w:p>
            <w:pPr>
              <w:pStyle w:val="TableContents"/>
              <w:bidi w:val="0"/>
              <w:spacing w:before="0" w:after="283"/>
              <w:jc w:val="left"/>
              <w:rPr/>
            </w:pPr>
            <w:r>
              <w:rPr/>
              <w:t> </w:t>
            </w:r>
          </w:p>
        </w:tc>
        <w:tc>
          <w:tcPr>
            <w:tcW w:w="1013" w:type="dxa"/>
            <w:tcBorders>
              <w:bottom w:val="single" w:sz="8" w:space="0" w:color="003A5D"/>
            </w:tcBorders>
            <w:tcMar>
              <w:bottom w:w="60" w:type="dxa"/>
            </w:tcMar>
            <w:vAlign w:val="center"/>
          </w:tcPr>
          <w:p>
            <w:pPr>
              <w:pStyle w:val="TableContents"/>
              <w:bidi w:val="0"/>
              <w:spacing w:before="0" w:after="283"/>
              <w:jc w:val="center"/>
              <w:rPr/>
            </w:pPr>
            <w:r>
              <w:rPr/>
              <w:t>—</w:t>
            </w:r>
          </w:p>
        </w:tc>
        <w:tc>
          <w:tcPr>
            <w:tcW w:w="82" w:type="dxa"/>
            <w:tcBorders>
              <w:bottom w:val="single" w:sz="8" w:space="0" w:color="003A5D"/>
            </w:tcBorders>
            <w:tcMar>
              <w:bottom w:w="60" w:type="dxa"/>
            </w:tcM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1100" w:type="dxa"/>
            <w:tcBorders>
              <w:bottom w:val="single" w:sz="8" w:space="0" w:color="003A5D"/>
            </w:tcBorders>
            <w:tcMar>
              <w:bottom w:w="60" w:type="dxa"/>
            </w:tcMar>
            <w:vAlign w:val="center"/>
          </w:tcPr>
          <w:p>
            <w:pPr>
              <w:pStyle w:val="TableContents"/>
              <w:bidi w:val="0"/>
              <w:spacing w:before="0" w:after="283"/>
              <w:jc w:val="center"/>
              <w:rPr/>
            </w:pPr>
            <w:r>
              <w:rPr/>
              <w:t>$—</w:t>
            </w:r>
          </w:p>
        </w:tc>
        <w:tc>
          <w:tcPr>
            <w:tcW w:w="23"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21,137(6)</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center"/>
              <w:rPr/>
            </w:pPr>
            <w:r>
              <w:rPr/>
              <w:t>$3,769,150</w:t>
            </w:r>
          </w:p>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tcBorders>
            <w:tcMar>
              <w:left w:w="28" w:type="dxa"/>
            </w:tcMar>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0"/>
              <w:jc w:val="both"/>
              <w:rPr>
                <w:rFonts w:ascii="arial" w:hAnsi="arial"/>
                <w:sz w:val="16"/>
              </w:rPr>
            </w:pPr>
            <w:r>
              <w:rPr>
                <w:rFonts w:ascii="arial" w:hAnsi="arial"/>
                <w:sz w:val="16"/>
              </w:rPr>
              <w:t xml:space="preserve">Stock options granted generally have time-based vesting schedules, are exercisable upon vesting and vest earlier upon the optionee’s termination of employment for death, disability, or termination by Capital One without cause or by the individual for “good reason” within </w:t>
            </w:r>
          </w:p>
        </w:tc>
      </w:tr>
    </w:tbl>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102 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390" w:type="dxa"/>
        <w:jc w:val="left"/>
        <w:tblInd w:w="0" w:type="dxa"/>
        <w:tblLayout w:type="fixed"/>
        <w:tblCellMar>
          <w:top w:w="0" w:type="dxa"/>
          <w:left w:w="0" w:type="dxa"/>
          <w:bottom w:w="0" w:type="dxa"/>
          <w:right w:w="0" w:type="dxa"/>
        </w:tblCellMar>
      </w:tblPr>
      <w:tblGrid>
        <w:gridCol w:w="5390"/>
      </w:tblGrid>
      <w:tr>
        <w:trPr/>
        <w:tc>
          <w:tcPr>
            <w:tcW w:w="5390"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center"/>
          </w:tcPr>
          <w:p>
            <w:pPr>
              <w:pStyle w:val="TableContents"/>
              <w:bidi w:val="0"/>
              <w:spacing w:before="0" w:after="283"/>
              <w:jc w:val="right"/>
              <w:rPr>
                <w:b/>
                <w:color w:val="003A5D"/>
              </w:rPr>
            </w:pPr>
            <w:r>
              <w:rPr>
                <w:b/>
                <w:color w:val="003A5D"/>
              </w:rPr>
              <w:t>Section VI - Named Executive Officer Compensation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16"/>
              </w:rPr>
            </w:pPr>
            <w:r>
              <w:rPr>
                <w:rFonts w:ascii="arial" w:hAnsi="arial"/>
                <w:sz w:val="16"/>
              </w:rPr>
              <w:t xml:space="preserve">two years following (or in anticipation of) a change of control of Capital One. For the treatment of stock options after the optionee’s retirement, see “Payments Upon Retirement” beginning on page 107 for details.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(2)</w:t>
            </w:r>
          </w:p>
        </w:tc>
        <w:tc>
          <w:tcPr>
            <w:tcW w:w="9912" w:type="dxa"/>
            <w:tcBorders/>
            <w:vAlign w:val="center"/>
          </w:tcPr>
          <w:p>
            <w:pPr>
              <w:pStyle w:val="TableContents"/>
              <w:bidi w:val="0"/>
              <w:spacing w:before="0" w:after="0"/>
              <w:jc w:val="both"/>
              <w:rPr>
                <w:rFonts w:ascii="arial" w:hAnsi="arial"/>
                <w:sz w:val="16"/>
              </w:rPr>
            </w:pPr>
            <w:r>
              <w:rPr>
                <w:rFonts w:ascii="arial" w:hAnsi="arial"/>
                <w:sz w:val="16"/>
              </w:rPr>
              <w:t xml:space="preserve">For stock options, the exercise price is equal to the closing price of common stock on the date of grant as reported by the NYSE Composite Transaction Tape.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(3)</w:t>
            </w:r>
          </w:p>
        </w:tc>
        <w:tc>
          <w:tcPr>
            <w:tcW w:w="9917" w:type="dxa"/>
            <w:tcBorders/>
            <w:vAlign w:val="center"/>
          </w:tcPr>
          <w:p>
            <w:pPr>
              <w:pStyle w:val="TableContents"/>
              <w:bidi w:val="0"/>
              <w:spacing w:before="0" w:after="0"/>
              <w:jc w:val="both"/>
              <w:rPr>
                <w:rFonts w:ascii="arial" w:hAnsi="arial"/>
                <w:sz w:val="16"/>
              </w:rPr>
            </w:pPr>
            <w:r>
              <w:rPr>
                <w:rFonts w:ascii="arial" w:hAnsi="arial"/>
                <w:sz w:val="16"/>
              </w:rPr>
              <w:t xml:space="preserve">Market value is based on the closing price of a share of Capital One common stock on the last trading day of 2024 as reported by the NYSE Composite Transaction Tape.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(4)</w:t>
            </w:r>
          </w:p>
        </w:tc>
        <w:tc>
          <w:tcPr>
            <w:tcW w:w="9956" w:type="dxa"/>
            <w:tcBorders/>
            <w:vAlign w:val="center"/>
          </w:tcPr>
          <w:p>
            <w:pPr>
              <w:pStyle w:val="TableContents"/>
              <w:bidi w:val="0"/>
              <w:spacing w:before="0" w:after="0"/>
              <w:jc w:val="both"/>
              <w:rPr>
                <w:rFonts w:ascii="arial" w:hAnsi="arial"/>
                <w:sz w:val="16"/>
              </w:rPr>
            </w:pPr>
            <w:r>
              <w:rPr>
                <w:rFonts w:ascii="arial" w:hAnsi="arial"/>
                <w:sz w:val="16"/>
              </w:rPr>
              <w:t xml:space="preserve">Awards settle in cash. A portion of the award is subject to vesting following the first and second anniversary of the grant date in connection with required tax-related withholdings made by the Company on behalf of the executive; the remaining shares vest in full on February 15 after the third anniversary of the date of grant. The awards are subject to performance-based vesting provisions (see “Performance-Based Vesting Provisions” on page 87 for details).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(5)</w:t>
            </w:r>
          </w:p>
        </w:tc>
        <w:tc>
          <w:tcPr>
            <w:tcW w:w="9962" w:type="dxa"/>
            <w:tcBorders/>
            <w:vAlign w:val="center"/>
          </w:tcPr>
          <w:p>
            <w:pPr>
              <w:pStyle w:val="TableContents"/>
              <w:bidi w:val="0"/>
              <w:spacing w:before="0" w:after="0"/>
              <w:jc w:val="both"/>
              <w:rPr>
                <w:rFonts w:ascii="arial" w:hAnsi="arial"/>
                <w:sz w:val="16"/>
              </w:rPr>
            </w:pPr>
            <w:r>
              <w:rPr>
                <w:rFonts w:ascii="arial" w:hAnsi="arial"/>
                <w:sz w:val="16"/>
              </w:rPr>
              <w:t xml:space="preserve">Represents the number of shares expected to be issued, excluding accrued dividend equivalents, for the performance share awards granted on February 3, 2022 as of December 31, 2024. Shares were issued on March 10, 2025 with the following issuance date values (including accrued dividends paid out as additional shares): $11,034,678 and $7,882,147, respectively for Mr. Fairbank; $1,091,538 for Mr. Young; $1,547,588 for Mr. LaPrade; $1,047,129 for Mr. Cooper; and $1,451,069 for Mr. Yajnik. The number of shares an executive receives under a performance share award is dependent on the Company’s performance over the applicable three-year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(6)</w:t>
            </w:r>
          </w:p>
        </w:tc>
        <w:tc>
          <w:tcPr>
            <w:tcW w:w="9963" w:type="dxa"/>
            <w:tcBorders/>
            <w:vAlign w:val="center"/>
          </w:tcPr>
          <w:p>
            <w:pPr>
              <w:pStyle w:val="TableContents"/>
              <w:bidi w:val="0"/>
              <w:spacing w:before="0" w:after="0"/>
              <w:jc w:val="both"/>
              <w:rPr>
                <w:rFonts w:ascii="arial" w:hAnsi="arial"/>
                <w:sz w:val="16"/>
              </w:rPr>
            </w:pPr>
            <w:r>
              <w:rPr>
                <w:rFonts w:ascii="arial" w:hAnsi="arial"/>
                <w:sz w:val="16"/>
              </w:rPr>
              <w:t xml:space="preserve">Represents the maximum number of shares the executive may receive under the performance share awards granted. The actual number of shares an executive receives under a performance share award is dependent on the Company’s performance over the applicable three-year performance period and may range from 0% to 150% of target. The value reported excludes dividend equivalents accrued with respect to performance shares which are paid in shares at the time the underlying performance shares are issued, and only with respect to the number of shares that actually vest. The Committee will certify the performance of the Company over the applicable performance period by March 15 after the third anniversary of the grant.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(7)</w:t>
            </w:r>
          </w:p>
        </w:tc>
        <w:tc>
          <w:tcPr>
            <w:tcW w:w="9935" w:type="dxa"/>
            <w:tcBorders/>
            <w:vAlign w:val="center"/>
          </w:tcPr>
          <w:p>
            <w:pPr>
              <w:pStyle w:val="TableContents"/>
              <w:bidi w:val="0"/>
              <w:spacing w:before="0" w:after="0"/>
              <w:jc w:val="both"/>
              <w:rPr>
                <w:rFonts w:ascii="arial" w:hAnsi="arial"/>
                <w:sz w:val="16"/>
              </w:rPr>
            </w:pPr>
            <w:r>
              <w:rPr>
                <w:rFonts w:ascii="arial" w:hAnsi="arial"/>
                <w:sz w:val="16"/>
              </w:rPr>
              <w:t xml:space="preserve">Awards vest one-third annually beginning on February 15 after the first anniversary of the date of grant. Awards are subject to performance-based vesting provisions (see “Performance-Based Vesting Provisions” on page 87 for details). </w:t>
            </w:r>
          </w:p>
        </w:tc>
      </w:tr>
    </w:tbl>
    <w:p>
      <w:pPr>
        <w:pStyle w:val="TextBody"/>
        <w:bidi w:val="0"/>
        <w:spacing w:before="240" w:after="0"/>
        <w:jc w:val="left"/>
        <w:rPr>
          <w:rFonts w:ascii="arial" w:hAnsi="arial"/>
          <w:b/>
          <w:color w:val="003A5D"/>
          <w:sz w:val="32"/>
        </w:rPr>
      </w:pPr>
      <w:bookmarkStart w:id="93" w:name="txa845790_39"/>
      <w:bookmarkEnd w:id="93"/>
      <w:r>
        <w:rPr>
          <w:rFonts w:ascii="arial" w:hAnsi="arial"/>
          <w:b/>
          <w:color w:val="003A5D"/>
          <w:sz w:val="32"/>
        </w:rPr>
        <w:t xml:space="preserve">Pension Benefits </w:t>
      </w:r>
    </w:p>
    <w:p>
      <w:pPr>
        <w:pStyle w:val="TextBody"/>
        <w:bidi w:val="0"/>
        <w:spacing w:before="240" w:after="0"/>
        <w:jc w:val="left"/>
        <w:rPr>
          <w:rFonts w:ascii="arial" w:hAnsi="arial"/>
          <w:b/>
          <w:i/>
          <w:color w:val="003A5D"/>
          <w:sz w:val="24"/>
        </w:rPr>
      </w:pPr>
      <w:r>
        <w:rPr>
          <w:rFonts w:ascii="arial" w:hAnsi="arial"/>
          <w:b/>
          <w:i/>
          <w:color w:val="003A5D"/>
          <w:sz w:val="24"/>
        </w:rPr>
        <w:t xml:space="preserve">Capital One Pension Benefit Programs </w:t>
      </w:r>
    </w:p>
    <w:p>
      <w:pPr>
        <w:pStyle w:val="TextBody"/>
        <w:bidi w:val="0"/>
        <w:spacing w:before="240" w:after="0"/>
        <w:jc w:val="both"/>
        <w:rPr>
          <w:rFonts w:ascii="arial" w:hAnsi="arial"/>
          <w:sz w:val="20"/>
        </w:rPr>
      </w:pPr>
      <w:r>
        <w:rPr>
          <w:rFonts w:ascii="arial" w:hAnsi="arial"/>
          <w:sz w:val="20"/>
        </w:rPr>
        <w:t xml:space="preserve">Capital One does not currently maintain a pension benefit program. Prior to November 1995, Capital One offered a Cash Balance Pension Plan (“CBPP”) and an Excess Cash Balance Pension Plan (“Excess CBPP”) to all full-time salaried associates and certain executive officers. Both of these programs were frozen in December 1995; however, interest continues to accrue on plan balances on a quarterly basis for the CBPP and on a monthly basis for the Excess CBPP. We are currently in the process of terminating the CBPP. A notice of intent to terminate the CBPP was distributed to plan participants on January 21, 2025 and a request for qualified status determination was filed with the IRS on February 13, 2025. Termination activities are expected to continue through the first quarter of 2026. </w:t>
      </w:r>
    </w:p>
    <w:p>
      <w:pPr>
        <w:pStyle w:val="TextBody"/>
        <w:bidi w:val="0"/>
        <w:spacing w:before="240" w:after="0"/>
        <w:jc w:val="both"/>
        <w:rPr>
          <w:rFonts w:ascii="arial" w:hAnsi="arial"/>
          <w:sz w:val="20"/>
        </w:rPr>
      </w:pPr>
      <w:r>
        <w:rPr>
          <w:rFonts w:ascii="arial" w:hAnsi="arial"/>
          <w:sz w:val="20"/>
        </w:rPr>
        <w:t xml:space="preserve">The CBPP interest rate changes annually, based on the average yield of five-year U.S. Treasury Securities for the month of October of the prior plan year and is compounded quarterly (4.85% effective annual interest crediting rate for 2024). The Excess CBPP interest rate changes monthly based on the Wall Street Journal Prime Rate and is compounded monthly (8.68% effective annual interest crediting rate for 2024). </w:t>
      </w:r>
    </w:p>
    <w:p>
      <w:pPr>
        <w:pStyle w:val="TextBody"/>
        <w:bidi w:val="0"/>
        <w:spacing w:before="240" w:after="0"/>
        <w:jc w:val="both"/>
        <w:rPr>
          <w:rFonts w:ascii="arial" w:hAnsi="arial"/>
          <w:sz w:val="20"/>
        </w:rPr>
      </w:pPr>
      <w:r>
        <w:rPr>
          <w:rFonts w:ascii="arial" w:hAnsi="arial"/>
          <w:sz w:val="20"/>
        </w:rPr>
        <w:t xml:space="preserve">Mr. Fairbank participated in these programs. The estimated annual payouts upon retirement in the CBPP and the Excess CBPP as of December 31, 2024, are $4,026 and $16,163, respectively, for Mr. Fairbank. As of December 31, 2024, the “Present Value of Accumulated Benefit” for Mr. Fairbank for both plans is equal to his account balance because Mr. Fairbank has attained the normal retirement age of 65 and so is assumed to retire immediately under the actuarial valuation assumptions. Since Mr. Fairbank is assumed to retire as of the measurement date, the future interest rate does not apply. The account in each plan is distributed after any separation from service. Distribution options from the CBPP plan are lump sum (eligible for rollover to another qualified plan or personal IRA) or an annuity option. The Excess CBPP will be distributed in the same form as the CBPP, as a lump sum (not eligible for rollover) or as an annuity. Since the CBPP and Excess CBPP are account-based defined benefit plans, years of service are not tracked.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103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390" w:type="dxa"/>
        <w:jc w:val="left"/>
        <w:tblInd w:w="0" w:type="dxa"/>
        <w:tblLayout w:type="fixed"/>
        <w:tblCellMar>
          <w:top w:w="0" w:type="dxa"/>
          <w:left w:w="0" w:type="dxa"/>
          <w:bottom w:w="0" w:type="dxa"/>
          <w:right w:w="0" w:type="dxa"/>
        </w:tblCellMar>
      </w:tblPr>
      <w:tblGrid>
        <w:gridCol w:w="5390"/>
      </w:tblGrid>
      <w:tr>
        <w:trPr/>
        <w:tc>
          <w:tcPr>
            <w:tcW w:w="5390"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center"/>
          </w:tcPr>
          <w:p>
            <w:pPr>
              <w:pStyle w:val="TableContents"/>
              <w:bidi w:val="0"/>
              <w:spacing w:before="0" w:after="283"/>
              <w:jc w:val="left"/>
              <w:rPr>
                <w:b/>
                <w:color w:val="003A5D"/>
              </w:rPr>
            </w:pPr>
            <w:r>
              <w:rPr>
                <w:b/>
                <w:color w:val="003A5D"/>
              </w:rPr>
              <w:t>Section VI - Named Executive Officer Compensation</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94" w:name="txa845790_40"/>
      <w:bookmarkEnd w:id="94"/>
      <w:r>
        <w:rPr>
          <w:rFonts w:ascii="arial" w:hAnsi="arial"/>
          <w:b/>
          <w:color w:val="003A5D"/>
          <w:sz w:val="32"/>
        </w:rPr>
        <w:t xml:space="preserve">2024 Pension Benefits Table </w:t>
      </w:r>
    </w:p>
    <w:p>
      <w:pPr>
        <w:pStyle w:val="TextBody"/>
        <w:bidi w:val="0"/>
        <w:spacing w:before="0" w:after="0"/>
        <w:jc w:val="left"/>
        <w:rPr/>
      </w:pPr>
      <w:r>
        <w:rPr/>
        <w:t> </w:t>
      </w:r>
    </w:p>
    <w:tbl>
      <w:tblPr>
        <w:tblW w:w="7985" w:type="dxa"/>
        <w:jc w:val="left"/>
        <w:tblInd w:w="0" w:type="dxa"/>
        <w:tblLayout w:type="fixed"/>
        <w:tblCellMar>
          <w:top w:w="0" w:type="dxa"/>
          <w:left w:w="0" w:type="dxa"/>
          <w:bottom w:w="0" w:type="dxa"/>
          <w:right w:w="0" w:type="dxa"/>
        </w:tblCellMar>
      </w:tblPr>
      <w:tblGrid>
        <w:gridCol w:w="1925"/>
        <w:gridCol w:w="23"/>
        <w:gridCol w:w="23"/>
        <w:gridCol w:w="60"/>
        <w:gridCol w:w="1340"/>
        <w:gridCol w:w="60"/>
        <w:gridCol w:w="23"/>
        <w:gridCol w:w="72"/>
        <w:gridCol w:w="188"/>
        <w:gridCol w:w="1384"/>
        <w:gridCol w:w="191"/>
        <w:gridCol w:w="23"/>
        <w:gridCol w:w="29"/>
        <w:gridCol w:w="77"/>
        <w:gridCol w:w="1185"/>
        <w:gridCol w:w="79"/>
        <w:gridCol w:w="23"/>
        <w:gridCol w:w="70"/>
        <w:gridCol w:w="183"/>
        <w:gridCol w:w="796"/>
        <w:gridCol w:w="231"/>
      </w:tblGrid>
      <w:tr>
        <w:trPr/>
        <w:tc>
          <w:tcPr>
            <w:tcW w:w="192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925" w:type="dxa"/>
            <w:tcBorders/>
            <w:shd w:fill="003A5D" w:val="clear"/>
            <w:vAlign w:val="center"/>
          </w:tcPr>
          <w:p>
            <w:pPr>
              <w:pStyle w:val="TableContents"/>
              <w:bidi w:val="0"/>
              <w:spacing w:before="0" w:after="283"/>
              <w:jc w:val="left"/>
              <w:rPr>
                <w:sz w:val="4"/>
                <w:szCs w:val="4"/>
              </w:rPr>
            </w:pPr>
            <w:r>
              <w:rPr>
                <w:sz w:val="4"/>
                <w:szCs w:val="4"/>
              </w:rPr>
            </w:r>
          </w:p>
        </w:tc>
        <w:tc>
          <w:tcPr>
            <w:tcW w:w="1506" w:type="dxa"/>
            <w:gridSpan w:val="5"/>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858" w:type="dxa"/>
            <w:gridSpan w:val="5"/>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393" w:type="dxa"/>
            <w:gridSpan w:val="5"/>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303" w:type="dxa"/>
            <w:gridSpan w:val="5"/>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1925" w:type="dxa"/>
            <w:tcBorders/>
            <w:shd w:fill="003A5D" w:val="clear"/>
            <w:vAlign w:val="center"/>
          </w:tcPr>
          <w:p>
            <w:pPr>
              <w:pStyle w:val="TableContents"/>
              <w:bidi w:val="0"/>
              <w:spacing w:before="0" w:after="283"/>
              <w:jc w:val="left"/>
              <w:rPr>
                <w:color w:val="FFFFFF"/>
              </w:rPr>
            </w:pPr>
            <w:r>
              <w:rPr>
                <w:color w:val="FFFFFF"/>
              </w:rPr>
              <w:t> </w:t>
            </w:r>
            <w:r>
              <w:rPr>
                <w:b/>
                <w:color w:val="FFFFFF"/>
              </w:rPr>
              <w:t>Name</w:t>
            </w:r>
          </w:p>
        </w:tc>
        <w:tc>
          <w:tcPr>
            <w:tcW w:w="23" w:type="dxa"/>
            <w:tcBorders>
              <w:left w:val="single" w:sz="24"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1483" w:type="dxa"/>
            <w:gridSpan w:val="4"/>
            <w:tcBorders/>
            <w:shd w:fill="003A5D" w:val="clear"/>
            <w:vAlign w:val="center"/>
          </w:tcPr>
          <w:p>
            <w:pPr>
              <w:pStyle w:val="TableContents"/>
              <w:bidi w:val="0"/>
              <w:spacing w:before="0" w:after="283"/>
              <w:jc w:val="center"/>
              <w:rPr>
                <w:b/>
                <w:color w:val="FFFFFF"/>
              </w:rPr>
            </w:pPr>
            <w:r>
              <w:rPr>
                <w:b/>
                <w:color w:val="FFFFFF"/>
              </w:rPr>
              <w:t>Plan Name(1)</w:t>
            </w:r>
          </w:p>
        </w:tc>
        <w:tc>
          <w:tcPr>
            <w:tcW w:w="23" w:type="dxa"/>
            <w:tcBorders>
              <w:left w:val="single" w:sz="24"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1835" w:type="dxa"/>
            <w:gridSpan w:val="4"/>
            <w:tcBorders/>
            <w:shd w:fill="003A5D" w:val="clear"/>
            <w:vAlign w:val="center"/>
          </w:tcPr>
          <w:p>
            <w:pPr>
              <w:pStyle w:val="TableContents"/>
              <w:bidi w:val="0"/>
              <w:spacing w:before="0" w:after="283"/>
              <w:jc w:val="center"/>
              <w:rPr>
                <w:b/>
                <w:color w:val="FFFFFF"/>
              </w:rPr>
            </w:pPr>
            <w:r>
              <w:rPr>
                <w:b/>
                <w:color w:val="FFFFFF"/>
              </w:rPr>
              <w:t>Years of Credited</w:t>
              <w:br/>
              <w:t>Service</w:t>
            </w:r>
          </w:p>
        </w:tc>
        <w:tc>
          <w:tcPr>
            <w:tcW w:w="23" w:type="dxa"/>
            <w:tcBorders>
              <w:left w:val="single" w:sz="24"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1370" w:type="dxa"/>
            <w:gridSpan w:val="4"/>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Present Value</w:t>
            </w:r>
          </w:p>
          <w:p>
            <w:pPr>
              <w:pStyle w:val="TableContents"/>
              <w:bidi w:val="0"/>
              <w:spacing w:before="0" w:after="20"/>
              <w:jc w:val="center"/>
              <w:rPr>
                <w:rFonts w:ascii="arial" w:hAnsi="arial"/>
                <w:b/>
                <w:color w:val="FFFFFF"/>
                <w:sz w:val="18"/>
              </w:rPr>
            </w:pPr>
            <w:r>
              <w:rPr>
                <w:rFonts w:ascii="arial" w:hAnsi="arial"/>
                <w:b/>
                <w:color w:val="FFFFFF"/>
                <w:sz w:val="18"/>
              </w:rPr>
              <w:t>of Accumulated</w:t>
              <w:br/>
              <w:t>Benefit(2)(3)</w:t>
            </w:r>
          </w:p>
        </w:tc>
        <w:tc>
          <w:tcPr>
            <w:tcW w:w="23" w:type="dxa"/>
            <w:tcBorders>
              <w:left w:val="single" w:sz="24"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1280" w:type="dxa"/>
            <w:gridSpan w:val="4"/>
            <w:tcBorders/>
            <w:shd w:fill="003A5D" w:val="clear"/>
            <w:vAlign w:val="center"/>
          </w:tcPr>
          <w:p>
            <w:pPr>
              <w:pStyle w:val="TableContents"/>
              <w:bidi w:val="0"/>
              <w:spacing w:before="0" w:after="283"/>
              <w:jc w:val="center"/>
              <w:rPr>
                <w:b/>
                <w:color w:val="FFFFFF"/>
              </w:rPr>
            </w:pPr>
            <w:r>
              <w:rPr>
                <w:b/>
                <w:color w:val="FFFFFF"/>
              </w:rPr>
              <w:t>Payments</w:t>
              <w:br/>
              <w:t>During Last</w:t>
              <w:br/>
              <w:t>Fiscal Year</w:t>
            </w:r>
          </w:p>
        </w:tc>
      </w:tr>
      <w:tr>
        <w:trPr/>
        <w:tc>
          <w:tcPr>
            <w:tcW w:w="1925" w:type="dxa"/>
            <w:tcBorders>
              <w:top w:val="single" w:sz="8" w:space="0" w:color="FFFFFF"/>
            </w:tcBorders>
            <w:tcMar>
              <w:top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Richard D. Fairbank</w:t>
            </w:r>
          </w:p>
        </w:tc>
        <w:tc>
          <w:tcPr>
            <w:tcW w:w="23" w:type="dxa"/>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tcBorders>
            <w:shd w:fill="E5EBEE" w:val="clear"/>
            <w:tcMar>
              <w:top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tcBorders>
            <w:shd w:fill="E5EBEE" w:val="clear"/>
            <w:tcMar>
              <w:top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340" w:type="dxa"/>
            <w:tcBorders>
              <w:top w:val="single" w:sz="8" w:space="0" w:color="FFFFFF"/>
            </w:tcBorders>
            <w:shd w:fill="E5EBEE" w:val="clear"/>
            <w:tcMar>
              <w:top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CBPP</w:t>
            </w:r>
          </w:p>
        </w:tc>
        <w:tc>
          <w:tcPr>
            <w:tcW w:w="60" w:type="dxa"/>
            <w:tcBorders>
              <w:top w:val="single" w:sz="8" w:space="0" w:color="FFFFFF"/>
            </w:tcBorders>
            <w:shd w:fill="E5EBEE" w:val="clear"/>
            <w:tcMar>
              <w:top w:w="28" w:type="dxa"/>
            </w:tcMar>
            <w:vAlign w:val="center"/>
          </w:tcPr>
          <w:p>
            <w:pPr>
              <w:pStyle w:val="TableContents"/>
              <w:bidi w:val="0"/>
              <w:spacing w:before="0" w:after="0"/>
              <w:jc w:val="left"/>
              <w:rPr/>
            </w:pPr>
            <w:r>
              <w:rPr/>
              <w:t> </w:t>
            </w:r>
          </w:p>
        </w:tc>
        <w:tc>
          <w:tcPr>
            <w:tcW w:w="23" w:type="dxa"/>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sz w:val="4"/>
                <w:szCs w:val="4"/>
              </w:rPr>
            </w:pPr>
            <w:r>
              <w:rPr>
                <w:sz w:val="4"/>
                <w:szCs w:val="4"/>
              </w:rPr>
            </w:r>
          </w:p>
        </w:tc>
        <w:tc>
          <w:tcPr>
            <w:tcW w:w="72" w:type="dxa"/>
            <w:tcBorders>
              <w:top w:val="single" w:sz="8" w:space="0" w:color="FFFFFF"/>
            </w:tcBorders>
            <w:shd w:fill="E5EBEE" w:val="clear"/>
            <w:tcMar>
              <w:top w:w="28"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FFFFFF"/>
            </w:tcBorders>
            <w:shd w:fill="E5EBEE" w:val="clear"/>
            <w:tcMar>
              <w:top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384" w:type="dxa"/>
            <w:tcBorders>
              <w:top w:val="single" w:sz="8" w:space="0" w:color="FFFFFF"/>
            </w:tcBorders>
            <w:shd w:fill="E5EBEE" w:val="clear"/>
            <w:tcMar>
              <w:top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7.25</w:t>
            </w:r>
          </w:p>
        </w:tc>
        <w:tc>
          <w:tcPr>
            <w:tcW w:w="191" w:type="dxa"/>
            <w:tcBorders>
              <w:top w:val="single" w:sz="8" w:space="0" w:color="FFFFFF"/>
            </w:tcBorders>
            <w:shd w:fill="E5EBEE" w:val="clear"/>
            <w:tcMar>
              <w:top w:w="28" w:type="dxa"/>
            </w:tcMar>
            <w:vAlign w:val="center"/>
          </w:tcPr>
          <w:p>
            <w:pPr>
              <w:pStyle w:val="TableContents"/>
              <w:bidi w:val="0"/>
              <w:spacing w:before="0" w:after="0"/>
              <w:jc w:val="left"/>
              <w:rPr/>
            </w:pPr>
            <w:r>
              <w:rPr/>
              <w:t> </w:t>
            </w:r>
          </w:p>
        </w:tc>
        <w:tc>
          <w:tcPr>
            <w:tcW w:w="23" w:type="dxa"/>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sz w:val="4"/>
                <w:szCs w:val="4"/>
              </w:rPr>
            </w:pPr>
            <w:r>
              <w:rPr>
                <w:sz w:val="4"/>
                <w:szCs w:val="4"/>
              </w:rPr>
            </w:r>
          </w:p>
        </w:tc>
        <w:tc>
          <w:tcPr>
            <w:tcW w:w="29" w:type="dxa"/>
            <w:tcBorders>
              <w:top w:val="single" w:sz="8" w:space="0" w:color="FFFFFF"/>
            </w:tcBorders>
            <w:shd w:fill="E5EBEE" w:val="clear"/>
            <w:tcMar>
              <w:top w:w="28" w:type="dxa"/>
            </w:tcMar>
            <w:vAlign w:val="center"/>
          </w:tcPr>
          <w:p>
            <w:pPr>
              <w:pStyle w:val="TableContents"/>
              <w:bidi w:val="0"/>
              <w:spacing w:before="0" w:after="283"/>
              <w:jc w:val="left"/>
              <w:rPr>
                <w:sz w:val="4"/>
                <w:szCs w:val="4"/>
              </w:rPr>
            </w:pPr>
            <w:r>
              <w:rPr>
                <w:sz w:val="4"/>
                <w:szCs w:val="4"/>
              </w:rPr>
            </w:r>
          </w:p>
        </w:tc>
        <w:tc>
          <w:tcPr>
            <w:tcW w:w="77" w:type="dxa"/>
            <w:tcBorders>
              <w:top w:val="single" w:sz="8" w:space="0" w:color="FFFFFF"/>
            </w:tcBorders>
            <w:shd w:fill="E5EBEE" w:val="clear"/>
            <w:tcMar>
              <w:top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85" w:type="dxa"/>
            <w:tcBorders>
              <w:top w:val="single" w:sz="8" w:space="0" w:color="FFFFFF"/>
            </w:tcBorders>
            <w:shd w:fill="E5EBEE" w:val="clear"/>
            <w:tcMar>
              <w:top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$33,075</w:t>
            </w:r>
          </w:p>
        </w:tc>
        <w:tc>
          <w:tcPr>
            <w:tcW w:w="79" w:type="dxa"/>
            <w:tcBorders>
              <w:top w:val="single" w:sz="8" w:space="0" w:color="FFFFFF"/>
            </w:tcBorders>
            <w:shd w:fill="E5EBEE" w:val="clear"/>
            <w:tcMar>
              <w:top w:w="28" w:type="dxa"/>
            </w:tcMar>
            <w:vAlign w:val="center"/>
          </w:tcPr>
          <w:p>
            <w:pPr>
              <w:pStyle w:val="TableContents"/>
              <w:bidi w:val="0"/>
              <w:spacing w:before="0" w:after="0"/>
              <w:jc w:val="left"/>
              <w:rPr/>
            </w:pPr>
            <w:r>
              <w:rPr/>
              <w:t> </w:t>
            </w:r>
          </w:p>
        </w:tc>
        <w:tc>
          <w:tcPr>
            <w:tcW w:w="23" w:type="dxa"/>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sz w:val="4"/>
                <w:szCs w:val="4"/>
              </w:rPr>
            </w:pPr>
            <w:r>
              <w:rPr>
                <w:sz w:val="4"/>
                <w:szCs w:val="4"/>
              </w:rPr>
            </w:r>
          </w:p>
        </w:tc>
        <w:tc>
          <w:tcPr>
            <w:tcW w:w="70" w:type="dxa"/>
            <w:tcBorders>
              <w:top w:val="single" w:sz="8" w:space="0" w:color="FFFFFF"/>
            </w:tcBorders>
            <w:shd w:fill="E5EBEE" w:val="clear"/>
            <w:tcMar>
              <w:top w:w="28"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FFFFFF"/>
            </w:tcBorders>
            <w:shd w:fill="E5EBEE" w:val="clear"/>
            <w:tcMar>
              <w:top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796" w:type="dxa"/>
            <w:tcBorders>
              <w:top w:val="single" w:sz="8" w:space="0" w:color="FFFFFF"/>
            </w:tcBorders>
            <w:shd w:fill="E5EBEE" w:val="clear"/>
            <w:tcMar>
              <w:top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w:t>
            </w:r>
          </w:p>
        </w:tc>
        <w:tc>
          <w:tcPr>
            <w:tcW w:w="231" w:type="dxa"/>
            <w:tcBorders>
              <w:top w:val="single" w:sz="8" w:space="0" w:color="FFFFFF"/>
            </w:tcBorders>
            <w:shd w:fill="E5EBEE" w:val="clear"/>
            <w:tcMar>
              <w:top w:w="28" w:type="dxa"/>
            </w:tcMar>
            <w:vAlign w:val="center"/>
          </w:tcPr>
          <w:p>
            <w:pPr>
              <w:pStyle w:val="TableContents"/>
              <w:bidi w:val="0"/>
              <w:spacing w:before="0" w:after="0"/>
              <w:jc w:val="left"/>
              <w:rPr/>
            </w:pPr>
            <w:r>
              <w:rPr/>
              <w:t> </w:t>
            </w:r>
          </w:p>
        </w:tc>
      </w:tr>
      <w:tr>
        <w:trPr/>
        <w:tc>
          <w:tcPr>
            <w:tcW w:w="1925" w:type="dxa"/>
            <w:tcBorders/>
            <w:vAlign w:val="center"/>
          </w:tcPr>
          <w:p>
            <w:pPr>
              <w:pStyle w:val="TableContents"/>
              <w:bidi w:val="0"/>
              <w:spacing w:before="0" w:after="283"/>
              <w:jc w:val="left"/>
              <w:rPr>
                <w:sz w:val="4"/>
                <w:szCs w:val="4"/>
              </w:rPr>
            </w:pPr>
            <w:r>
              <w:rPr>
                <w:sz w:val="4"/>
                <w:szCs w:val="4"/>
              </w:rPr>
            </w:r>
          </w:p>
        </w:tc>
        <w:tc>
          <w:tcPr>
            <w:tcW w:w="1506" w:type="dxa"/>
            <w:gridSpan w:val="5"/>
            <w:tcBorders>
              <w:left w:val="single" w:sz="24" w:space="0" w:color="FFFFFF"/>
            </w:tcBorders>
            <w:tcMar>
              <w:left w:w="28" w:type="dxa"/>
            </w:tcMar>
            <w:vAlign w:val="center"/>
          </w:tcPr>
          <w:p>
            <w:pPr>
              <w:pStyle w:val="TableContents"/>
              <w:bidi w:val="0"/>
              <w:spacing w:before="0" w:after="283"/>
              <w:jc w:val="left"/>
              <w:rPr/>
            </w:pPr>
            <w:r>
              <w:rPr/>
              <w:t> </w:t>
            </w:r>
          </w:p>
        </w:tc>
        <w:tc>
          <w:tcPr>
            <w:tcW w:w="1858" w:type="dxa"/>
            <w:gridSpan w:val="5"/>
            <w:tcBorders>
              <w:left w:val="single" w:sz="24" w:space="0" w:color="FFFFFF"/>
            </w:tcBorders>
            <w:tcMar>
              <w:left w:w="28" w:type="dxa"/>
            </w:tcMar>
            <w:vAlign w:val="center"/>
          </w:tcPr>
          <w:p>
            <w:pPr>
              <w:pStyle w:val="TableContents"/>
              <w:bidi w:val="0"/>
              <w:spacing w:before="0" w:after="283"/>
              <w:jc w:val="left"/>
              <w:rPr/>
            </w:pPr>
            <w:r>
              <w:rPr/>
              <w:t> </w:t>
            </w:r>
          </w:p>
        </w:tc>
        <w:tc>
          <w:tcPr>
            <w:tcW w:w="1393" w:type="dxa"/>
            <w:gridSpan w:val="5"/>
            <w:tcBorders>
              <w:left w:val="single" w:sz="24" w:space="0" w:color="FFFFFF"/>
            </w:tcBorders>
            <w:tcMar>
              <w:left w:w="28" w:type="dxa"/>
            </w:tcMar>
            <w:vAlign w:val="center"/>
          </w:tcPr>
          <w:p>
            <w:pPr>
              <w:pStyle w:val="TableContents"/>
              <w:bidi w:val="0"/>
              <w:spacing w:before="0" w:after="283"/>
              <w:jc w:val="left"/>
              <w:rPr/>
            </w:pPr>
            <w:r>
              <w:rPr/>
              <w:t> </w:t>
            </w:r>
          </w:p>
        </w:tc>
        <w:tc>
          <w:tcPr>
            <w:tcW w:w="1303" w:type="dxa"/>
            <w:gridSpan w:val="5"/>
            <w:tcBorders>
              <w:left w:val="single" w:sz="24" w:space="0" w:color="FFFFFF"/>
            </w:tcBorders>
            <w:tcMar>
              <w:left w:w="28" w:type="dxa"/>
            </w:tcMar>
            <w:vAlign w:val="center"/>
          </w:tcPr>
          <w:p>
            <w:pPr>
              <w:pStyle w:val="TableContents"/>
              <w:bidi w:val="0"/>
              <w:spacing w:before="0" w:after="283"/>
              <w:jc w:val="left"/>
              <w:rPr/>
            </w:pPr>
            <w:r>
              <w:rPr/>
              <w:t> </w:t>
            </w:r>
          </w:p>
        </w:tc>
      </w:tr>
      <w:tr>
        <w:trPr/>
        <w:tc>
          <w:tcPr>
            <w:tcW w:w="1925"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1340" w:type="dxa"/>
            <w:tcBorders>
              <w:bottom w:val="single" w:sz="8" w:space="0" w:color="003A5D"/>
            </w:tcBorders>
            <w:tcMar>
              <w:bottom w:w="60" w:type="dxa"/>
            </w:tcMar>
            <w:vAlign w:val="center"/>
          </w:tcPr>
          <w:p>
            <w:pPr>
              <w:pStyle w:val="TableContents"/>
              <w:bidi w:val="0"/>
              <w:spacing w:before="0" w:after="283"/>
              <w:jc w:val="center"/>
              <w:rPr/>
            </w:pPr>
            <w:r>
              <w:rPr/>
              <w:t>Excess CBPP</w:t>
            </w:r>
          </w:p>
        </w:tc>
        <w:tc>
          <w:tcPr>
            <w:tcW w:w="60"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88" w:type="dxa"/>
            <w:tcBorders>
              <w:bottom w:val="single" w:sz="8" w:space="0" w:color="003A5D"/>
            </w:tcBorders>
            <w:tcMar>
              <w:bottom w:w="60" w:type="dxa"/>
            </w:tcMar>
            <w:vAlign w:val="center"/>
          </w:tcPr>
          <w:p>
            <w:pPr>
              <w:pStyle w:val="TableContents"/>
              <w:bidi w:val="0"/>
              <w:spacing w:before="0" w:after="283"/>
              <w:jc w:val="left"/>
              <w:rPr/>
            </w:pPr>
            <w:r>
              <w:rPr/>
              <w:t> </w:t>
            </w:r>
          </w:p>
        </w:tc>
        <w:tc>
          <w:tcPr>
            <w:tcW w:w="1384" w:type="dxa"/>
            <w:tcBorders>
              <w:bottom w:val="single" w:sz="8" w:space="0" w:color="003A5D"/>
            </w:tcBorders>
            <w:tcMar>
              <w:bottom w:w="60" w:type="dxa"/>
            </w:tcMar>
            <w:vAlign w:val="center"/>
          </w:tcPr>
          <w:p>
            <w:pPr>
              <w:pStyle w:val="TableContents"/>
              <w:bidi w:val="0"/>
              <w:spacing w:before="0" w:after="283"/>
              <w:jc w:val="center"/>
              <w:rPr/>
            </w:pPr>
            <w:r>
              <w:rPr/>
              <w:t>7.25</w:t>
            </w:r>
          </w:p>
        </w:tc>
        <w:tc>
          <w:tcPr>
            <w:tcW w:w="191"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77" w:type="dxa"/>
            <w:tcBorders>
              <w:bottom w:val="single" w:sz="8" w:space="0" w:color="003A5D"/>
            </w:tcBorders>
            <w:tcMar>
              <w:bottom w:w="60" w:type="dxa"/>
            </w:tcMar>
            <w:vAlign w:val="center"/>
          </w:tcPr>
          <w:p>
            <w:pPr>
              <w:pStyle w:val="TableContents"/>
              <w:bidi w:val="0"/>
              <w:spacing w:before="0" w:after="283"/>
              <w:jc w:val="left"/>
              <w:rPr/>
            </w:pPr>
            <w:r>
              <w:rPr/>
              <w:t> </w:t>
            </w:r>
          </w:p>
        </w:tc>
        <w:tc>
          <w:tcPr>
            <w:tcW w:w="1185" w:type="dxa"/>
            <w:tcBorders>
              <w:bottom w:val="single" w:sz="8" w:space="0" w:color="003A5D"/>
            </w:tcBorders>
            <w:tcMar>
              <w:bottom w:w="60" w:type="dxa"/>
            </w:tcMar>
            <w:vAlign w:val="center"/>
          </w:tcPr>
          <w:p>
            <w:pPr>
              <w:pStyle w:val="TableContents"/>
              <w:bidi w:val="0"/>
              <w:spacing w:before="0" w:after="283"/>
              <w:jc w:val="center"/>
              <w:rPr/>
            </w:pPr>
            <w:r>
              <w:rPr/>
              <w:t>$132,800</w:t>
            </w:r>
          </w:p>
        </w:tc>
        <w:tc>
          <w:tcPr>
            <w:tcW w:w="79"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83" w:type="dxa"/>
            <w:tcBorders>
              <w:bottom w:val="single" w:sz="8" w:space="0" w:color="003A5D"/>
            </w:tcBorders>
            <w:tcMar>
              <w:bottom w:w="60" w:type="dxa"/>
            </w:tcMar>
            <w:vAlign w:val="center"/>
          </w:tcPr>
          <w:p>
            <w:pPr>
              <w:pStyle w:val="TableContents"/>
              <w:bidi w:val="0"/>
              <w:spacing w:before="0" w:after="283"/>
              <w:jc w:val="left"/>
              <w:rPr/>
            </w:pPr>
            <w:r>
              <w:rPr/>
              <w:t> </w:t>
            </w:r>
          </w:p>
        </w:tc>
        <w:tc>
          <w:tcPr>
            <w:tcW w:w="796" w:type="dxa"/>
            <w:tcBorders>
              <w:bottom w:val="single" w:sz="8" w:space="0" w:color="003A5D"/>
            </w:tcBorders>
            <w:tcMar>
              <w:bottom w:w="60" w:type="dxa"/>
            </w:tcMar>
            <w:vAlign w:val="center"/>
          </w:tcPr>
          <w:p>
            <w:pPr>
              <w:pStyle w:val="TableContents"/>
              <w:bidi w:val="0"/>
              <w:spacing w:before="0" w:after="283"/>
              <w:jc w:val="center"/>
              <w:rPr/>
            </w:pPr>
            <w:r>
              <w:rPr/>
              <w:t>$—</w:t>
            </w:r>
          </w:p>
        </w:tc>
        <w:tc>
          <w:tcPr>
            <w:tcW w:w="231"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sz w:val="4"/>
                <w:szCs w:val="4"/>
              </w:rPr>
            </w:pPr>
            <w:r>
              <w:rPr>
                <w:sz w:val="4"/>
                <w:szCs w:val="4"/>
              </w:rPr>
            </w:r>
          </w:p>
        </w:tc>
        <w:tc>
          <w:tcPr>
            <w:tcW w:w="1506" w:type="dxa"/>
            <w:gridSpan w:val="5"/>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858" w:type="dxa"/>
            <w:gridSpan w:val="5"/>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93" w:type="dxa"/>
            <w:gridSpan w:val="5"/>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03" w:type="dxa"/>
            <w:gridSpan w:val="5"/>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1925" w:type="dxa"/>
            <w:tcBorders>
              <w:bottom w:val="single" w:sz="8" w:space="0" w:color="003A5D"/>
            </w:tcBorders>
            <w:tcMar>
              <w:bottom w:w="60" w:type="dxa"/>
            </w:tcMar>
            <w:vAlign w:val="center"/>
          </w:tcPr>
          <w:p>
            <w:pPr>
              <w:pStyle w:val="TableContents"/>
              <w:bidi w:val="0"/>
              <w:spacing w:before="0" w:after="0"/>
              <w:jc w:val="left"/>
              <w:rPr/>
            </w:pPr>
            <w:r>
              <w:rPr/>
              <w:t> </w:t>
            </w:r>
            <w:r>
              <w:rPr>
                <w:rFonts w:ascii="arial" w:hAnsi="arial"/>
                <w:sz w:val="20"/>
              </w:rPr>
              <w:t>Andrew M. Young</w:t>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340"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88"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384"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191"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77"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185"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79"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83"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796"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231"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sz w:val="4"/>
                <w:szCs w:val="4"/>
              </w:rPr>
            </w:pPr>
            <w:r>
              <w:rPr>
                <w:sz w:val="4"/>
                <w:szCs w:val="4"/>
              </w:rPr>
            </w:r>
          </w:p>
        </w:tc>
        <w:tc>
          <w:tcPr>
            <w:tcW w:w="1506" w:type="dxa"/>
            <w:gridSpan w:val="5"/>
            <w:tcBorders>
              <w:left w:val="single" w:sz="24" w:space="0" w:color="FFFFFF"/>
            </w:tcBorders>
            <w:tcMar>
              <w:left w:w="28" w:type="dxa"/>
            </w:tcMar>
            <w:vAlign w:val="center"/>
          </w:tcPr>
          <w:p>
            <w:pPr>
              <w:pStyle w:val="TableContents"/>
              <w:bidi w:val="0"/>
              <w:spacing w:before="0" w:after="283"/>
              <w:jc w:val="left"/>
              <w:rPr/>
            </w:pPr>
            <w:r>
              <w:rPr/>
              <w:t> </w:t>
            </w:r>
          </w:p>
        </w:tc>
        <w:tc>
          <w:tcPr>
            <w:tcW w:w="1858" w:type="dxa"/>
            <w:gridSpan w:val="5"/>
            <w:tcBorders>
              <w:left w:val="single" w:sz="24" w:space="0" w:color="FFFFFF"/>
            </w:tcBorders>
            <w:tcMar>
              <w:left w:w="28" w:type="dxa"/>
            </w:tcMar>
            <w:vAlign w:val="center"/>
          </w:tcPr>
          <w:p>
            <w:pPr>
              <w:pStyle w:val="TableContents"/>
              <w:bidi w:val="0"/>
              <w:spacing w:before="0" w:after="283"/>
              <w:jc w:val="left"/>
              <w:rPr/>
            </w:pPr>
            <w:r>
              <w:rPr/>
              <w:t> </w:t>
            </w:r>
          </w:p>
        </w:tc>
        <w:tc>
          <w:tcPr>
            <w:tcW w:w="1393" w:type="dxa"/>
            <w:gridSpan w:val="5"/>
            <w:tcBorders>
              <w:left w:val="single" w:sz="24" w:space="0" w:color="FFFFFF"/>
            </w:tcBorders>
            <w:tcMar>
              <w:left w:w="28" w:type="dxa"/>
            </w:tcMar>
            <w:vAlign w:val="center"/>
          </w:tcPr>
          <w:p>
            <w:pPr>
              <w:pStyle w:val="TableContents"/>
              <w:bidi w:val="0"/>
              <w:spacing w:before="0" w:after="283"/>
              <w:jc w:val="left"/>
              <w:rPr/>
            </w:pPr>
            <w:r>
              <w:rPr/>
              <w:t> </w:t>
            </w:r>
          </w:p>
        </w:tc>
        <w:tc>
          <w:tcPr>
            <w:tcW w:w="1303" w:type="dxa"/>
            <w:gridSpan w:val="5"/>
            <w:tcBorders>
              <w:left w:val="single" w:sz="24" w:space="0" w:color="FFFFFF"/>
            </w:tcBorders>
            <w:tcMar>
              <w:left w:w="28" w:type="dxa"/>
            </w:tcMar>
            <w:vAlign w:val="center"/>
          </w:tcPr>
          <w:p>
            <w:pPr>
              <w:pStyle w:val="TableContents"/>
              <w:bidi w:val="0"/>
              <w:spacing w:before="0" w:after="283"/>
              <w:jc w:val="left"/>
              <w:rPr/>
            </w:pPr>
            <w:r>
              <w:rPr/>
              <w:t> </w:t>
            </w:r>
          </w:p>
        </w:tc>
      </w:tr>
      <w:tr>
        <w:trPr/>
        <w:tc>
          <w:tcPr>
            <w:tcW w:w="1925" w:type="dxa"/>
            <w:tcBorders>
              <w:bottom w:val="single" w:sz="8" w:space="0" w:color="003A5D"/>
            </w:tcBorders>
            <w:tcMar>
              <w:bottom w:w="60" w:type="dxa"/>
            </w:tcMar>
            <w:vAlign w:val="center"/>
          </w:tcPr>
          <w:p>
            <w:pPr>
              <w:pStyle w:val="TableContents"/>
              <w:bidi w:val="0"/>
              <w:spacing w:before="0" w:after="0"/>
              <w:jc w:val="left"/>
              <w:rPr/>
            </w:pPr>
            <w:r>
              <w:rPr/>
              <w:t> </w:t>
            </w:r>
            <w:r>
              <w:rPr>
                <w:rFonts w:ascii="arial" w:hAnsi="arial"/>
                <w:sz w:val="20"/>
              </w:rPr>
              <w:t>Frank G. LaPrade, III</w:t>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1340" w:type="dxa"/>
            <w:tcBorders>
              <w:bottom w:val="single" w:sz="8" w:space="0" w:color="003A5D"/>
            </w:tcBorders>
            <w:tcMar>
              <w:bottom w:w="60" w:type="dxa"/>
            </w:tcMar>
            <w:vAlign w:val="center"/>
          </w:tcPr>
          <w:p>
            <w:pPr>
              <w:pStyle w:val="TableContents"/>
              <w:bidi w:val="0"/>
              <w:spacing w:before="0" w:after="283"/>
              <w:jc w:val="center"/>
              <w:rPr/>
            </w:pPr>
            <w:r>
              <w:rPr/>
              <w:t>—</w:t>
            </w:r>
          </w:p>
        </w:tc>
        <w:tc>
          <w:tcPr>
            <w:tcW w:w="60"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88" w:type="dxa"/>
            <w:tcBorders>
              <w:bottom w:val="single" w:sz="8" w:space="0" w:color="003A5D"/>
            </w:tcBorders>
            <w:tcMar>
              <w:bottom w:w="60" w:type="dxa"/>
            </w:tcMar>
            <w:vAlign w:val="center"/>
          </w:tcPr>
          <w:p>
            <w:pPr>
              <w:pStyle w:val="TableContents"/>
              <w:bidi w:val="0"/>
              <w:spacing w:before="0" w:after="283"/>
              <w:jc w:val="left"/>
              <w:rPr/>
            </w:pPr>
            <w:r>
              <w:rPr/>
              <w:t> </w:t>
            </w:r>
          </w:p>
        </w:tc>
        <w:tc>
          <w:tcPr>
            <w:tcW w:w="1384" w:type="dxa"/>
            <w:tcBorders>
              <w:bottom w:val="single" w:sz="8" w:space="0" w:color="003A5D"/>
            </w:tcBorders>
            <w:tcMar>
              <w:bottom w:w="60" w:type="dxa"/>
            </w:tcMar>
            <w:vAlign w:val="center"/>
          </w:tcPr>
          <w:p>
            <w:pPr>
              <w:pStyle w:val="TableContents"/>
              <w:bidi w:val="0"/>
              <w:spacing w:before="0" w:after="283"/>
              <w:jc w:val="center"/>
              <w:rPr/>
            </w:pPr>
            <w:r>
              <w:rPr/>
              <w:t>—</w:t>
            </w:r>
          </w:p>
        </w:tc>
        <w:tc>
          <w:tcPr>
            <w:tcW w:w="191"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77" w:type="dxa"/>
            <w:tcBorders>
              <w:bottom w:val="single" w:sz="8" w:space="0" w:color="003A5D"/>
            </w:tcBorders>
            <w:tcMar>
              <w:bottom w:w="60" w:type="dxa"/>
            </w:tcMar>
            <w:vAlign w:val="center"/>
          </w:tcPr>
          <w:p>
            <w:pPr>
              <w:pStyle w:val="TableContents"/>
              <w:bidi w:val="0"/>
              <w:spacing w:before="0" w:after="283"/>
              <w:jc w:val="left"/>
              <w:rPr/>
            </w:pPr>
            <w:r>
              <w:rPr/>
              <w:t> </w:t>
            </w:r>
          </w:p>
        </w:tc>
        <w:tc>
          <w:tcPr>
            <w:tcW w:w="1185" w:type="dxa"/>
            <w:tcBorders>
              <w:bottom w:val="single" w:sz="8" w:space="0" w:color="003A5D"/>
            </w:tcBorders>
            <w:tcMar>
              <w:bottom w:w="60" w:type="dxa"/>
            </w:tcMar>
            <w:vAlign w:val="center"/>
          </w:tcPr>
          <w:p>
            <w:pPr>
              <w:pStyle w:val="TableContents"/>
              <w:bidi w:val="0"/>
              <w:spacing w:before="0" w:after="283"/>
              <w:jc w:val="center"/>
              <w:rPr/>
            </w:pPr>
            <w:r>
              <w:rPr/>
              <w:t>$—</w:t>
            </w:r>
          </w:p>
        </w:tc>
        <w:tc>
          <w:tcPr>
            <w:tcW w:w="79"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83" w:type="dxa"/>
            <w:tcBorders>
              <w:bottom w:val="single" w:sz="8" w:space="0" w:color="003A5D"/>
            </w:tcBorders>
            <w:tcMar>
              <w:bottom w:w="60" w:type="dxa"/>
            </w:tcMar>
            <w:vAlign w:val="center"/>
          </w:tcPr>
          <w:p>
            <w:pPr>
              <w:pStyle w:val="TableContents"/>
              <w:bidi w:val="0"/>
              <w:spacing w:before="0" w:after="283"/>
              <w:jc w:val="left"/>
              <w:rPr/>
            </w:pPr>
            <w:r>
              <w:rPr/>
              <w:t> </w:t>
            </w:r>
          </w:p>
        </w:tc>
        <w:tc>
          <w:tcPr>
            <w:tcW w:w="796" w:type="dxa"/>
            <w:tcBorders>
              <w:bottom w:val="single" w:sz="8" w:space="0" w:color="003A5D"/>
            </w:tcBorders>
            <w:tcMar>
              <w:bottom w:w="60" w:type="dxa"/>
            </w:tcMar>
            <w:vAlign w:val="center"/>
          </w:tcPr>
          <w:p>
            <w:pPr>
              <w:pStyle w:val="TableContents"/>
              <w:bidi w:val="0"/>
              <w:spacing w:before="0" w:after="283"/>
              <w:jc w:val="center"/>
              <w:rPr/>
            </w:pPr>
            <w:r>
              <w:rPr/>
              <w:t>$—</w:t>
            </w:r>
          </w:p>
        </w:tc>
        <w:tc>
          <w:tcPr>
            <w:tcW w:w="231"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sz w:val="4"/>
                <w:szCs w:val="4"/>
              </w:rPr>
            </w:pPr>
            <w:r>
              <w:rPr>
                <w:sz w:val="4"/>
                <w:szCs w:val="4"/>
              </w:rPr>
            </w:r>
          </w:p>
        </w:tc>
        <w:tc>
          <w:tcPr>
            <w:tcW w:w="1506" w:type="dxa"/>
            <w:gridSpan w:val="5"/>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858" w:type="dxa"/>
            <w:gridSpan w:val="5"/>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93" w:type="dxa"/>
            <w:gridSpan w:val="5"/>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03" w:type="dxa"/>
            <w:gridSpan w:val="5"/>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1925" w:type="dxa"/>
            <w:tcBorders>
              <w:bottom w:val="single" w:sz="8" w:space="0" w:color="003A5D"/>
            </w:tcBorders>
            <w:tcMar>
              <w:bottom w:w="60" w:type="dxa"/>
            </w:tcMar>
            <w:vAlign w:val="center"/>
          </w:tcPr>
          <w:p>
            <w:pPr>
              <w:pStyle w:val="TableContents"/>
              <w:bidi w:val="0"/>
              <w:spacing w:before="0" w:after="0"/>
              <w:jc w:val="left"/>
              <w:rPr/>
            </w:pPr>
            <w:r>
              <w:rPr/>
              <w:t> </w:t>
            </w:r>
            <w:r>
              <w:rPr>
                <w:rFonts w:ascii="arial" w:hAnsi="arial"/>
                <w:sz w:val="20"/>
              </w:rPr>
              <w:t>Matthew W. Cooper</w:t>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340"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88"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384"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191"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77"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185"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79"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83"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796"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231"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sz w:val="4"/>
                <w:szCs w:val="4"/>
              </w:rPr>
            </w:pPr>
            <w:r>
              <w:rPr>
                <w:sz w:val="4"/>
                <w:szCs w:val="4"/>
              </w:rPr>
            </w:r>
          </w:p>
        </w:tc>
        <w:tc>
          <w:tcPr>
            <w:tcW w:w="1506" w:type="dxa"/>
            <w:gridSpan w:val="5"/>
            <w:tcBorders>
              <w:left w:val="single" w:sz="24" w:space="0" w:color="FFFFFF"/>
            </w:tcBorders>
            <w:tcMar>
              <w:left w:w="28" w:type="dxa"/>
            </w:tcMar>
            <w:vAlign w:val="center"/>
          </w:tcPr>
          <w:p>
            <w:pPr>
              <w:pStyle w:val="TableContents"/>
              <w:bidi w:val="0"/>
              <w:spacing w:before="0" w:after="283"/>
              <w:jc w:val="left"/>
              <w:rPr/>
            </w:pPr>
            <w:r>
              <w:rPr/>
              <w:t> </w:t>
            </w:r>
          </w:p>
        </w:tc>
        <w:tc>
          <w:tcPr>
            <w:tcW w:w="1858" w:type="dxa"/>
            <w:gridSpan w:val="5"/>
            <w:tcBorders>
              <w:left w:val="single" w:sz="24" w:space="0" w:color="FFFFFF"/>
            </w:tcBorders>
            <w:tcMar>
              <w:left w:w="28" w:type="dxa"/>
            </w:tcMar>
            <w:vAlign w:val="center"/>
          </w:tcPr>
          <w:p>
            <w:pPr>
              <w:pStyle w:val="TableContents"/>
              <w:bidi w:val="0"/>
              <w:spacing w:before="0" w:after="283"/>
              <w:jc w:val="left"/>
              <w:rPr/>
            </w:pPr>
            <w:r>
              <w:rPr/>
              <w:t> </w:t>
            </w:r>
          </w:p>
        </w:tc>
        <w:tc>
          <w:tcPr>
            <w:tcW w:w="1393" w:type="dxa"/>
            <w:gridSpan w:val="5"/>
            <w:tcBorders>
              <w:left w:val="single" w:sz="24" w:space="0" w:color="FFFFFF"/>
            </w:tcBorders>
            <w:tcMar>
              <w:left w:w="28" w:type="dxa"/>
            </w:tcMar>
            <w:vAlign w:val="center"/>
          </w:tcPr>
          <w:p>
            <w:pPr>
              <w:pStyle w:val="TableContents"/>
              <w:bidi w:val="0"/>
              <w:spacing w:before="0" w:after="283"/>
              <w:jc w:val="left"/>
              <w:rPr/>
            </w:pPr>
            <w:r>
              <w:rPr/>
              <w:t> </w:t>
            </w:r>
          </w:p>
        </w:tc>
        <w:tc>
          <w:tcPr>
            <w:tcW w:w="1303" w:type="dxa"/>
            <w:gridSpan w:val="5"/>
            <w:tcBorders>
              <w:left w:val="single" w:sz="24" w:space="0" w:color="FFFFFF"/>
            </w:tcBorders>
            <w:tcMar>
              <w:left w:w="28" w:type="dxa"/>
            </w:tcMar>
            <w:vAlign w:val="center"/>
          </w:tcPr>
          <w:p>
            <w:pPr>
              <w:pStyle w:val="TableContents"/>
              <w:bidi w:val="0"/>
              <w:spacing w:before="0" w:after="283"/>
              <w:jc w:val="left"/>
              <w:rPr/>
            </w:pPr>
            <w:r>
              <w:rPr/>
              <w:t> </w:t>
            </w:r>
          </w:p>
        </w:tc>
      </w:tr>
      <w:tr>
        <w:trPr/>
        <w:tc>
          <w:tcPr>
            <w:tcW w:w="1925" w:type="dxa"/>
            <w:tcBorders>
              <w:bottom w:val="single" w:sz="8" w:space="0" w:color="003A5D"/>
            </w:tcBorders>
            <w:tcMar>
              <w:bottom w:w="60" w:type="dxa"/>
            </w:tcMar>
            <w:vAlign w:val="center"/>
          </w:tcPr>
          <w:p>
            <w:pPr>
              <w:pStyle w:val="TableContents"/>
              <w:bidi w:val="0"/>
              <w:spacing w:before="0" w:after="0"/>
              <w:jc w:val="left"/>
              <w:rPr/>
            </w:pPr>
            <w:r>
              <w:rPr/>
              <w:t> </w:t>
            </w:r>
            <w:r>
              <w:rPr>
                <w:rFonts w:ascii="arial" w:hAnsi="arial"/>
                <w:sz w:val="20"/>
              </w:rPr>
              <w:t>Sanjiv Yajnik</w:t>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1340" w:type="dxa"/>
            <w:tcBorders>
              <w:bottom w:val="single" w:sz="8" w:space="0" w:color="003A5D"/>
            </w:tcBorders>
            <w:tcMar>
              <w:bottom w:w="60" w:type="dxa"/>
            </w:tcMar>
            <w:vAlign w:val="center"/>
          </w:tcPr>
          <w:p>
            <w:pPr>
              <w:pStyle w:val="TableContents"/>
              <w:bidi w:val="0"/>
              <w:spacing w:before="0" w:after="283"/>
              <w:jc w:val="center"/>
              <w:rPr/>
            </w:pPr>
            <w:r>
              <w:rPr/>
              <w:t>—</w:t>
            </w:r>
          </w:p>
        </w:tc>
        <w:tc>
          <w:tcPr>
            <w:tcW w:w="60"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88" w:type="dxa"/>
            <w:tcBorders>
              <w:bottom w:val="single" w:sz="8" w:space="0" w:color="003A5D"/>
            </w:tcBorders>
            <w:tcMar>
              <w:bottom w:w="60" w:type="dxa"/>
            </w:tcMar>
            <w:vAlign w:val="center"/>
          </w:tcPr>
          <w:p>
            <w:pPr>
              <w:pStyle w:val="TableContents"/>
              <w:bidi w:val="0"/>
              <w:spacing w:before="0" w:after="283"/>
              <w:jc w:val="left"/>
              <w:rPr/>
            </w:pPr>
            <w:r>
              <w:rPr/>
              <w:t> </w:t>
            </w:r>
          </w:p>
        </w:tc>
        <w:tc>
          <w:tcPr>
            <w:tcW w:w="1384" w:type="dxa"/>
            <w:tcBorders>
              <w:bottom w:val="single" w:sz="8" w:space="0" w:color="003A5D"/>
            </w:tcBorders>
            <w:tcMar>
              <w:bottom w:w="60" w:type="dxa"/>
            </w:tcMar>
            <w:vAlign w:val="center"/>
          </w:tcPr>
          <w:p>
            <w:pPr>
              <w:pStyle w:val="TableContents"/>
              <w:bidi w:val="0"/>
              <w:spacing w:before="0" w:after="283"/>
              <w:jc w:val="center"/>
              <w:rPr/>
            </w:pPr>
            <w:r>
              <w:rPr/>
              <w:t>—</w:t>
            </w:r>
          </w:p>
        </w:tc>
        <w:tc>
          <w:tcPr>
            <w:tcW w:w="191"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77" w:type="dxa"/>
            <w:tcBorders>
              <w:bottom w:val="single" w:sz="8" w:space="0" w:color="003A5D"/>
            </w:tcBorders>
            <w:tcMar>
              <w:bottom w:w="60" w:type="dxa"/>
            </w:tcMar>
            <w:vAlign w:val="center"/>
          </w:tcPr>
          <w:p>
            <w:pPr>
              <w:pStyle w:val="TableContents"/>
              <w:bidi w:val="0"/>
              <w:spacing w:before="0" w:after="283"/>
              <w:jc w:val="left"/>
              <w:rPr/>
            </w:pPr>
            <w:r>
              <w:rPr/>
              <w:t> </w:t>
            </w:r>
          </w:p>
        </w:tc>
        <w:tc>
          <w:tcPr>
            <w:tcW w:w="1185" w:type="dxa"/>
            <w:tcBorders>
              <w:bottom w:val="single" w:sz="8" w:space="0" w:color="003A5D"/>
            </w:tcBorders>
            <w:tcMar>
              <w:bottom w:w="60" w:type="dxa"/>
            </w:tcMar>
            <w:vAlign w:val="center"/>
          </w:tcPr>
          <w:p>
            <w:pPr>
              <w:pStyle w:val="TableContents"/>
              <w:bidi w:val="0"/>
              <w:spacing w:before="0" w:after="283"/>
              <w:jc w:val="center"/>
              <w:rPr/>
            </w:pPr>
            <w:r>
              <w:rPr/>
              <w:t>$—</w:t>
            </w:r>
          </w:p>
        </w:tc>
        <w:tc>
          <w:tcPr>
            <w:tcW w:w="79"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83" w:type="dxa"/>
            <w:tcBorders>
              <w:bottom w:val="single" w:sz="8" w:space="0" w:color="003A5D"/>
            </w:tcBorders>
            <w:tcMar>
              <w:bottom w:w="60" w:type="dxa"/>
            </w:tcMar>
            <w:vAlign w:val="center"/>
          </w:tcPr>
          <w:p>
            <w:pPr>
              <w:pStyle w:val="TableContents"/>
              <w:bidi w:val="0"/>
              <w:spacing w:before="0" w:after="283"/>
              <w:jc w:val="left"/>
              <w:rPr/>
            </w:pPr>
            <w:r>
              <w:rPr/>
              <w:t> </w:t>
            </w:r>
          </w:p>
        </w:tc>
        <w:tc>
          <w:tcPr>
            <w:tcW w:w="796" w:type="dxa"/>
            <w:tcBorders>
              <w:bottom w:val="single" w:sz="8" w:space="0" w:color="003A5D"/>
            </w:tcBorders>
            <w:tcMar>
              <w:bottom w:w="60" w:type="dxa"/>
            </w:tcMar>
            <w:vAlign w:val="center"/>
          </w:tcPr>
          <w:p>
            <w:pPr>
              <w:pStyle w:val="TableContents"/>
              <w:bidi w:val="0"/>
              <w:spacing w:before="0" w:after="283"/>
              <w:jc w:val="center"/>
              <w:rPr/>
            </w:pPr>
            <w:r>
              <w:rPr/>
              <w:t>$—</w:t>
            </w:r>
          </w:p>
        </w:tc>
        <w:tc>
          <w:tcPr>
            <w:tcW w:w="231"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0"/>
              <w:jc w:val="both"/>
              <w:rPr>
                <w:rFonts w:ascii="arial" w:hAnsi="arial"/>
                <w:sz w:val="16"/>
              </w:rPr>
            </w:pPr>
            <w:r>
              <w:rPr>
                <w:rFonts w:ascii="arial" w:hAnsi="arial"/>
                <w:sz w:val="16"/>
              </w:rPr>
              <w:t xml:space="preserve">In November 1995, Capital One amended the CBPP and the Excess CBPP to eliminate further pay-based credits to participants as of December 31, 1995 and to provide that there would be no new participants in such plans on or after January 1, 1996. Interest continues to be credited on plan balances on a quarterly (CBPP) or monthly (Excess CBPP) basis. “Years of Credited Service” reflects years of service from plan inception of October 24, 1988 to December 31, 1995.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0"/>
              <w:jc w:val="both"/>
              <w:rPr>
                <w:rFonts w:ascii="arial" w:hAnsi="arial"/>
                <w:sz w:val="16"/>
              </w:rPr>
            </w:pPr>
            <w:r>
              <w:rPr>
                <w:rFonts w:ascii="arial" w:hAnsi="arial"/>
                <w:sz w:val="16"/>
              </w:rPr>
              <w:t xml:space="preserve">The amounts shown are the present value of the accrued benefit determined by our external benefits provider, using similar actuarial assumptions and the measurement date used for financial accounting purposes.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(3)</w:t>
            </w:r>
          </w:p>
        </w:tc>
        <w:tc>
          <w:tcPr>
            <w:tcW w:w="9920" w:type="dxa"/>
            <w:tcBorders/>
            <w:vAlign w:val="center"/>
          </w:tcPr>
          <w:p>
            <w:pPr>
              <w:pStyle w:val="TableContents"/>
              <w:bidi w:val="0"/>
              <w:spacing w:before="0" w:after="0"/>
              <w:jc w:val="both"/>
              <w:rPr>
                <w:rFonts w:ascii="arial" w:hAnsi="arial"/>
                <w:sz w:val="16"/>
              </w:rPr>
            </w:pPr>
            <w:r>
              <w:rPr>
                <w:rFonts w:ascii="arial" w:hAnsi="arial"/>
                <w:sz w:val="16"/>
              </w:rPr>
              <w:t xml:space="preserve">Consistent with the measurement date used for financial disclosure for the pension plans, the amounts for each year are determined as of a December 31, 2024 measurement date. </w:t>
            </w:r>
          </w:p>
        </w:tc>
      </w:tr>
    </w:tbl>
    <w:p>
      <w:pPr>
        <w:pStyle w:val="TextBody"/>
        <w:bidi w:val="0"/>
        <w:spacing w:before="240" w:after="0"/>
        <w:jc w:val="left"/>
        <w:rPr>
          <w:rFonts w:ascii="arial" w:hAnsi="arial"/>
          <w:b/>
          <w:color w:val="003A5D"/>
          <w:sz w:val="32"/>
        </w:rPr>
      </w:pPr>
      <w:bookmarkStart w:id="95" w:name="txa845790_41"/>
      <w:bookmarkEnd w:id="95"/>
      <w:r>
        <w:rPr>
          <w:rFonts w:ascii="arial" w:hAnsi="arial"/>
          <w:b/>
          <w:color w:val="003A5D"/>
          <w:sz w:val="32"/>
        </w:rPr>
        <w:t xml:space="preserve">Capital One’s Voluntary Non-Qualified Deferred Compensation Programs </w:t>
      </w:r>
    </w:p>
    <w:p>
      <w:pPr>
        <w:pStyle w:val="TextBody"/>
        <w:bidi w:val="0"/>
        <w:spacing w:before="240" w:after="0"/>
        <w:jc w:val="both"/>
        <w:rPr>
          <w:rFonts w:ascii="arial" w:hAnsi="arial"/>
          <w:sz w:val="20"/>
        </w:rPr>
      </w:pPr>
      <w:r>
        <w:rPr>
          <w:rFonts w:ascii="arial" w:hAnsi="arial"/>
          <w:sz w:val="20"/>
        </w:rPr>
        <w:t xml:space="preserve">Capital One offers a VNQDCP to eligible associates. In 2024, our NEOs, excluding our CEO, could elect to contribute up to 50% of the cash portion of their respective base salaries and up to 90% of their cash incentive on a tax-deferred basis to the VNQDCP. Messrs. Young, LaPrade, Cooper, and Yajnik participated in the program in 2024. In 2024, 100% of the CEO’s deferred cash bonus was mandatorily deferred for three years under the VNQDCP and will be paid in a lump sum in the first quarter of 2027. In addition to participant deferrals, Capital One makes contributions under the VNQDCP. Company contributions vest immediately when posted to the VNQDCP. </w:t>
      </w:r>
    </w:p>
    <w:p>
      <w:pPr>
        <w:pStyle w:val="TextBody"/>
        <w:bidi w:val="0"/>
        <w:spacing w:before="240" w:after="0"/>
        <w:jc w:val="both"/>
        <w:rPr>
          <w:rFonts w:ascii="arial" w:hAnsi="arial"/>
          <w:sz w:val="20"/>
        </w:rPr>
      </w:pPr>
      <w:r>
        <w:rPr>
          <w:rFonts w:ascii="arial" w:hAnsi="arial"/>
          <w:sz w:val="20"/>
        </w:rPr>
        <w:t xml:space="preserve">Participants in the VNQDCP have the option to direct their individual investments daily among the following ten different investment offerings made available by the plans, which posted the corresponding returns for 2024: Mercer Core Fixed Income Fund Class Y3 (2.0%); T. Rowe Price U.S. Equity Research Fund I Class (26.6%); Mercer US Small/Mid Cap Equity Fund Class Y3 (13.5%); Mercer Non-US Core Equity Fund Class Y3 (6.3%); Fidelity Investments Money Market Government Portfolio—Institutional Class (5.2%); Dodge and Cox Balanced Fund (8.9%); Fidelity 500 Index Fund—Institutional Premium Class (25.0%); Fidelity Extended Market Index Fund (17.0%); Fidelity Global ex U.S. Index Fund (5.3%); and Fidelity U.S. Bond Index Fund (3.0%). In 2024, the VNQDCP had total investment earnings of $91,033,264. </w:t>
      </w:r>
    </w:p>
    <w:p>
      <w:pPr>
        <w:pStyle w:val="TextBody"/>
        <w:bidi w:val="0"/>
        <w:spacing w:before="240" w:after="0"/>
        <w:jc w:val="both"/>
        <w:rPr>
          <w:rFonts w:ascii="arial" w:hAnsi="arial"/>
          <w:sz w:val="20"/>
        </w:rPr>
      </w:pPr>
      <w:r>
        <w:rPr>
          <w:rFonts w:ascii="arial" w:hAnsi="arial"/>
          <w:sz w:val="20"/>
        </w:rPr>
        <w:t xml:space="preserve">Distributions under the VNQDCP may be made to participants according to the schedule for distribution that they elect in accordance with plan terms. Distributions can occur based upon the following events: termination of employment (including for retirement), death, disability, in-service distribution election, or change of control. The distribution schedules available under the plan include lump sum and, in the case of retirement, five-, ten-, or fifteen-year annual installments. </w:t>
      </w:r>
    </w:p>
    <w:p>
      <w:pPr>
        <w:pStyle w:val="TextBody"/>
        <w:bidi w:val="0"/>
        <w:spacing w:before="240" w:after="0"/>
        <w:jc w:val="both"/>
        <w:rPr>
          <w:rFonts w:ascii="arial" w:hAnsi="arial"/>
          <w:sz w:val="20"/>
        </w:rPr>
      </w:pPr>
      <w:r>
        <w:rPr>
          <w:rFonts w:ascii="arial" w:hAnsi="arial"/>
          <w:sz w:val="20"/>
        </w:rPr>
        <w:t xml:space="preserve">Prior to December 31, 2005, Capital One offered its executives an Excess Savings Plan (“ESP”). The plan was frozen as of December 31, 2005: no additional participants have been permitted to enter the plan, and no compensation has since been taken into account after this date. Messrs. Fairbank, Young, LaPrade, and Yajnik participated in the ESP, and returns on these investments are reported for 2024. Effective January 1, 2008, the ESP was merged into the VNQDCP, and participants in the ESP have the option to direct their individual investments among the same offerings as the VNQDCP. </w: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104 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390" w:type="dxa"/>
        <w:jc w:val="left"/>
        <w:tblInd w:w="0" w:type="dxa"/>
        <w:tblLayout w:type="fixed"/>
        <w:tblCellMar>
          <w:top w:w="0" w:type="dxa"/>
          <w:left w:w="0" w:type="dxa"/>
          <w:bottom w:w="0" w:type="dxa"/>
          <w:right w:w="0" w:type="dxa"/>
        </w:tblCellMar>
      </w:tblPr>
      <w:tblGrid>
        <w:gridCol w:w="5390"/>
      </w:tblGrid>
      <w:tr>
        <w:trPr/>
        <w:tc>
          <w:tcPr>
            <w:tcW w:w="5390"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center"/>
          </w:tcPr>
          <w:p>
            <w:pPr>
              <w:pStyle w:val="TableContents"/>
              <w:bidi w:val="0"/>
              <w:spacing w:before="0" w:after="283"/>
              <w:jc w:val="right"/>
              <w:rPr>
                <w:b/>
                <w:color w:val="003A5D"/>
              </w:rPr>
            </w:pPr>
            <w:r>
              <w:rPr>
                <w:b/>
                <w:color w:val="003A5D"/>
              </w:rPr>
              <w:t>Section VI - Named Executive Officer Compensation</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96" w:name="txa845790_42"/>
      <w:bookmarkEnd w:id="96"/>
      <w:r>
        <w:rPr>
          <w:rFonts w:ascii="arial" w:hAnsi="arial"/>
          <w:b/>
          <w:color w:val="003A5D"/>
          <w:sz w:val="32"/>
        </w:rPr>
        <w:t xml:space="preserve">2024 Non-Qualified Deferred Compensation Table </w:t>
      </w:r>
    </w:p>
    <w:p>
      <w:pPr>
        <w:pStyle w:val="TextBody"/>
        <w:bidi w:val="0"/>
        <w:spacing w:before="0" w:after="0"/>
        <w:jc w:val="left"/>
        <w:rPr/>
      </w:pPr>
      <w:r>
        <w:rPr/>
        <w:t> </w:t>
      </w:r>
    </w:p>
    <w:tbl>
      <w:tblPr>
        <w:tblW w:w="10745" w:type="dxa"/>
        <w:jc w:val="left"/>
        <w:tblInd w:w="0" w:type="dxa"/>
        <w:tblLayout w:type="fixed"/>
        <w:tblCellMar>
          <w:top w:w="0" w:type="dxa"/>
          <w:left w:w="0" w:type="dxa"/>
          <w:bottom w:w="0" w:type="dxa"/>
          <w:right w:w="0" w:type="dxa"/>
        </w:tblCellMar>
      </w:tblPr>
      <w:tblGrid>
        <w:gridCol w:w="1880"/>
        <w:gridCol w:w="60"/>
        <w:gridCol w:w="1760"/>
        <w:gridCol w:w="60"/>
        <w:gridCol w:w="1445"/>
        <w:gridCol w:w="60"/>
        <w:gridCol w:w="1445"/>
        <w:gridCol w:w="60"/>
        <w:gridCol w:w="1220"/>
        <w:gridCol w:w="60"/>
        <w:gridCol w:w="1400"/>
        <w:gridCol w:w="60"/>
        <w:gridCol w:w="1235"/>
      </w:tblGrid>
      <w:tr>
        <w:trPr/>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1880" w:type="dxa"/>
            <w:tcBorders/>
            <w:shd w:fill="003A5D" w:val="clear"/>
            <w:vAlign w:val="center"/>
          </w:tcPr>
          <w:p>
            <w:pPr>
              <w:pStyle w:val="TableContents"/>
              <w:bidi w:val="0"/>
              <w:spacing w:before="0" w:after="283"/>
              <w:jc w:val="left"/>
              <w:rPr>
                <w:sz w:val="4"/>
                <w:szCs w:val="4"/>
              </w:rPr>
            </w:pPr>
            <w:r>
              <w:rPr>
                <w:sz w:val="4"/>
                <w:szCs w:val="4"/>
              </w:rPr>
            </w:r>
          </w:p>
        </w:tc>
        <w:tc>
          <w:tcPr>
            <w:tcW w:w="1820"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505"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505"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280"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460"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295"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1880" w:type="dxa"/>
            <w:tcBorders/>
            <w:shd w:fill="003A5D" w:val="clear"/>
            <w:vAlign w:val="center"/>
          </w:tcPr>
          <w:p>
            <w:pPr>
              <w:pStyle w:val="TableContents"/>
              <w:bidi w:val="0"/>
              <w:spacing w:before="0" w:after="283"/>
              <w:jc w:val="left"/>
              <w:rPr>
                <w:color w:val="FFFFFF"/>
              </w:rPr>
            </w:pPr>
            <w:r>
              <w:rPr>
                <w:color w:val="FFFFFF"/>
              </w:rPr>
              <w:t> </w:t>
            </w:r>
            <w:r>
              <w:rPr>
                <w:b/>
                <w:color w:val="FFFFFF"/>
              </w:rPr>
              <w:t>Name</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760" w:type="dxa"/>
            <w:tcBorders/>
            <w:shd w:fill="003A5D" w:val="clear"/>
            <w:vAlign w:val="center"/>
          </w:tcPr>
          <w:p>
            <w:pPr>
              <w:pStyle w:val="TableContents"/>
              <w:bidi w:val="0"/>
              <w:spacing w:before="0" w:after="283"/>
              <w:jc w:val="center"/>
              <w:rPr>
                <w:b/>
                <w:color w:val="FFFFFF"/>
              </w:rPr>
            </w:pPr>
            <w:r>
              <w:rPr>
                <w:b/>
                <w:color w:val="FFFFFF"/>
              </w:rPr>
              <w:t>Plan Name</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445" w:type="dxa"/>
            <w:tcBorders/>
            <w:shd w:fill="003A5D" w:val="clear"/>
            <w:vAlign w:val="center"/>
          </w:tcPr>
          <w:p>
            <w:pPr>
              <w:pStyle w:val="TableContents"/>
              <w:bidi w:val="0"/>
              <w:spacing w:before="0" w:after="283"/>
              <w:jc w:val="center"/>
              <w:rPr>
                <w:b/>
                <w:color w:val="FFFFFF"/>
              </w:rPr>
            </w:pPr>
            <w:r>
              <w:rPr>
                <w:b/>
                <w:color w:val="FFFFFF"/>
              </w:rPr>
              <w:t>Executive</w:t>
              <w:br/>
              <w:t>Contributions</w:t>
              <w:br/>
              <w:t>in Last FY(1)</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445" w:type="dxa"/>
            <w:tcBorders/>
            <w:shd w:fill="003A5D" w:val="clear"/>
            <w:vAlign w:val="center"/>
          </w:tcPr>
          <w:p>
            <w:pPr>
              <w:pStyle w:val="TableContents"/>
              <w:bidi w:val="0"/>
              <w:spacing w:before="0" w:after="283"/>
              <w:jc w:val="center"/>
              <w:rPr>
                <w:b/>
                <w:color w:val="FFFFFF"/>
              </w:rPr>
            </w:pPr>
            <w:r>
              <w:rPr>
                <w:b/>
                <w:color w:val="FFFFFF"/>
              </w:rPr>
              <w:t>Registrant</w:t>
              <w:br/>
              <w:t>Contributions</w:t>
              <w:br/>
              <w:t>in Last FY(2)</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220" w:type="dxa"/>
            <w:tcBorders/>
            <w:shd w:fill="003A5D" w:val="clear"/>
            <w:vAlign w:val="center"/>
          </w:tcPr>
          <w:p>
            <w:pPr>
              <w:pStyle w:val="TableContents"/>
              <w:bidi w:val="0"/>
              <w:spacing w:before="0" w:after="283"/>
              <w:jc w:val="center"/>
              <w:rPr>
                <w:b/>
                <w:color w:val="FFFFFF"/>
              </w:rPr>
            </w:pPr>
            <w:r>
              <w:rPr>
                <w:b/>
                <w:color w:val="FFFFFF"/>
              </w:rPr>
              <w:t>Aggregate</w:t>
              <w:br/>
              <w:t>Earnings</w:t>
              <w:br/>
              <w:t>in Last</w:t>
              <w:br/>
              <w:t>FY(3)</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400" w:type="dxa"/>
            <w:tcBorders/>
            <w:shd w:fill="003A5D" w:val="clear"/>
            <w:vAlign w:val="center"/>
          </w:tcPr>
          <w:p>
            <w:pPr>
              <w:pStyle w:val="TableContents"/>
              <w:bidi w:val="0"/>
              <w:spacing w:before="0" w:after="283"/>
              <w:jc w:val="center"/>
              <w:rPr>
                <w:b/>
                <w:color w:val="FFFFFF"/>
              </w:rPr>
            </w:pPr>
            <w:r>
              <w:rPr>
                <w:b/>
                <w:color w:val="FFFFFF"/>
              </w:rPr>
              <w:t>Aggregate</w:t>
              <w:br/>
              <w:t>Withdrawals/</w:t>
              <w:br/>
              <w:t>Distributions</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235" w:type="dxa"/>
            <w:tcBorders/>
            <w:shd w:fill="003A5D" w:val="clear"/>
            <w:vAlign w:val="center"/>
          </w:tcPr>
          <w:p>
            <w:pPr>
              <w:pStyle w:val="TableContents"/>
              <w:bidi w:val="0"/>
              <w:spacing w:before="0" w:after="283"/>
              <w:jc w:val="center"/>
              <w:rPr>
                <w:b/>
                <w:color w:val="FFFFFF"/>
              </w:rPr>
            </w:pPr>
            <w:r>
              <w:rPr>
                <w:b/>
                <w:color w:val="FFFFFF"/>
              </w:rPr>
              <w:t>Aggregate</w:t>
              <w:br/>
              <w:t>Balance at</w:t>
              <w:br/>
              <w:t>Last FYE(4)</w:t>
            </w:r>
          </w:p>
        </w:tc>
      </w:tr>
      <w:tr>
        <w:trPr/>
        <w:tc>
          <w:tcPr>
            <w:tcW w:w="1880" w:type="dxa"/>
            <w:tcBorders>
              <w:top w:val="single" w:sz="8" w:space="0" w:color="FFFFFF"/>
            </w:tcBorders>
            <w:tcMar>
              <w:top w:w="28" w:type="dxa"/>
            </w:tcMar>
            <w:vAlign w:val="center"/>
          </w:tcPr>
          <w:p>
            <w:pPr>
              <w:pStyle w:val="TableContents"/>
              <w:bidi w:val="0"/>
              <w:spacing w:before="0" w:after="283"/>
              <w:jc w:val="left"/>
              <w:rPr/>
            </w:pPr>
            <w:r>
              <w:rPr/>
              <w:t> </w:t>
            </w:r>
          </w:p>
        </w:tc>
        <w:tc>
          <w:tcPr>
            <w:tcW w:w="1820" w:type="dxa"/>
            <w:gridSpan w:val="2"/>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pPr>
            <w:r>
              <w:rPr/>
              <w:t> </w:t>
            </w:r>
          </w:p>
        </w:tc>
        <w:tc>
          <w:tcPr>
            <w:tcW w:w="1505" w:type="dxa"/>
            <w:gridSpan w:val="2"/>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pPr>
            <w:r>
              <w:rPr/>
              <w:t> </w:t>
            </w:r>
          </w:p>
        </w:tc>
        <w:tc>
          <w:tcPr>
            <w:tcW w:w="1505" w:type="dxa"/>
            <w:gridSpan w:val="2"/>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pPr>
            <w:r>
              <w:rPr/>
              <w:t> </w:t>
            </w:r>
          </w:p>
        </w:tc>
        <w:tc>
          <w:tcPr>
            <w:tcW w:w="1280" w:type="dxa"/>
            <w:gridSpan w:val="2"/>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pPr>
            <w:r>
              <w:rPr/>
              <w:t> </w:t>
            </w:r>
          </w:p>
        </w:tc>
        <w:tc>
          <w:tcPr>
            <w:tcW w:w="1460" w:type="dxa"/>
            <w:gridSpan w:val="2"/>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pPr>
            <w:r>
              <w:rPr/>
              <w:t> </w:t>
            </w:r>
          </w:p>
        </w:tc>
        <w:tc>
          <w:tcPr>
            <w:tcW w:w="1295" w:type="dxa"/>
            <w:gridSpan w:val="2"/>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0"/>
              <w:jc w:val="left"/>
              <w:rPr/>
            </w:pPr>
            <w:r>
              <w:rPr/>
              <w:t> </w:t>
            </w:r>
            <w:r>
              <w:rPr>
                <w:rFonts w:ascii="arial" w:hAnsi="arial"/>
                <w:sz w:val="20"/>
              </w:rPr>
              <w:t>Richard D. Fairbank</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760" w:type="dxa"/>
            <w:tcBorders/>
            <w:shd w:fill="E5EBEE" w:val="clear"/>
            <w:vAlign w:val="center"/>
          </w:tcPr>
          <w:p>
            <w:pPr>
              <w:pStyle w:val="TableContents"/>
              <w:bidi w:val="0"/>
              <w:spacing w:before="0" w:after="283"/>
              <w:jc w:val="left"/>
              <w:rPr/>
            </w:pPr>
            <w:r>
              <w:rPr/>
              <w:t>VNQDCP</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445" w:type="dxa"/>
            <w:tcBorders/>
            <w:shd w:fill="E5EBEE" w:val="clear"/>
            <w:vAlign w:val="center"/>
          </w:tcPr>
          <w:p>
            <w:pPr>
              <w:pStyle w:val="TableContents"/>
              <w:bidi w:val="0"/>
              <w:spacing w:before="0" w:after="283"/>
              <w:jc w:val="center"/>
              <w:rPr/>
            </w:pPr>
            <w:r>
              <w:rPr/>
              <w:t>$5,000,000</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445"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20" w:type="dxa"/>
            <w:tcBorders/>
            <w:shd w:fill="E5EBEE" w:val="clear"/>
            <w:vAlign w:val="center"/>
          </w:tcPr>
          <w:p>
            <w:pPr>
              <w:pStyle w:val="TableContents"/>
              <w:bidi w:val="0"/>
              <w:spacing w:before="0" w:after="283"/>
              <w:jc w:val="center"/>
              <w:rPr/>
            </w:pPr>
            <w:r>
              <w:rPr/>
              <w:t>$736,591</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400" w:type="dxa"/>
            <w:tcBorders/>
            <w:shd w:fill="E5EBEE" w:val="clear"/>
            <w:vAlign w:val="center"/>
          </w:tcPr>
          <w:p>
            <w:pPr>
              <w:pStyle w:val="TableContents"/>
              <w:bidi w:val="0"/>
              <w:spacing w:before="0" w:after="283"/>
              <w:jc w:val="center"/>
              <w:rPr/>
            </w:pPr>
            <w:r>
              <w:rPr/>
              <w:t>$3,228,669</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35" w:type="dxa"/>
            <w:tcBorders/>
            <w:shd w:fill="E5EBEE" w:val="clear"/>
            <w:vAlign w:val="center"/>
          </w:tcPr>
          <w:p>
            <w:pPr>
              <w:pStyle w:val="TableContents"/>
              <w:bidi w:val="0"/>
              <w:spacing w:before="0" w:after="283"/>
              <w:jc w:val="center"/>
              <w:rPr/>
            </w:pPr>
            <w:r>
              <w:rPr/>
              <w:t>$15,012,441</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82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50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50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28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46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295"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ESP</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$295,660</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pPr>
            <w:r>
              <w:rPr/>
              <w:t>$1,480,795</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8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0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0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8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46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9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188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760" w:type="dxa"/>
            <w:tcBorders>
              <w:bottom w:val="single" w:sz="8" w:space="0" w:color="003A5D"/>
            </w:tcBorders>
            <w:shd w:fill="E5EBEE" w:val="clear"/>
            <w:tcMar>
              <w:bottom w:w="60" w:type="dxa"/>
            </w:tcMar>
            <w:vAlign w:val="center"/>
          </w:tcPr>
          <w:p>
            <w:pPr>
              <w:pStyle w:val="TableContents"/>
              <w:bidi w:val="0"/>
              <w:jc w:val="left"/>
              <w:rPr/>
            </w:pPr>
            <w:r>
              <w:rPr/>
              <w:t>2003 Performance</w:t>
            </w:r>
          </w:p>
          <w:p>
            <w:pPr>
              <w:pStyle w:val="TableContents"/>
              <w:bidi w:val="0"/>
              <w:spacing w:before="0" w:after="20"/>
              <w:jc w:val="left"/>
              <w:rPr/>
            </w:pPr>
            <w:r>
              <w:rPr/>
              <w:t> </w:t>
            </w:r>
            <w:r>
              <w:rPr>
                <w:rFonts w:ascii="arial" w:hAnsi="arial"/>
                <w:sz w:val="20"/>
              </w:rPr>
              <w:t>Share Award(5)</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45"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45"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$11,407,296</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00"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235" w:type="dxa"/>
            <w:tcBorders>
              <w:bottom w:val="single" w:sz="8" w:space="0" w:color="003A5D"/>
            </w:tcBorders>
            <w:shd w:fill="E5EBEE" w:val="clear"/>
            <w:tcMar>
              <w:bottom w:w="60" w:type="dxa"/>
            </w:tcMar>
            <w:vAlign w:val="center"/>
          </w:tcPr>
          <w:p>
            <w:pPr>
              <w:pStyle w:val="TableContents"/>
              <w:bidi w:val="0"/>
              <w:spacing w:before="0" w:after="283"/>
              <w:jc w:val="center"/>
              <w:rPr/>
            </w:pPr>
            <w:r>
              <w:rPr/>
              <w:t>$43,096,378</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82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50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50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28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46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295"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0"/>
              <w:jc w:val="left"/>
              <w:rPr/>
            </w:pPr>
            <w:r>
              <w:rPr/>
              <w:t> </w:t>
            </w:r>
            <w:r>
              <w:rPr>
                <w:rFonts w:ascii="arial" w:hAnsi="arial"/>
                <w:sz w:val="20"/>
              </w:rPr>
              <w:t>Andrew M. Young</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VNQDCP</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$31,037</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$152,328</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$273,428</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pPr>
            <w:r>
              <w:rPr/>
              <w:t>$2,051,755</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8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0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0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8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46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9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188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760" w:type="dxa"/>
            <w:tcBorders>
              <w:bottom w:val="single" w:sz="8" w:space="0" w:color="003A5D"/>
            </w:tcBorders>
            <w:shd w:fill="E5EBEE" w:val="clear"/>
            <w:tcMar>
              <w:bottom w:w="60" w:type="dxa"/>
            </w:tcMar>
            <w:vAlign w:val="center"/>
          </w:tcPr>
          <w:p>
            <w:pPr>
              <w:pStyle w:val="TableContents"/>
              <w:bidi w:val="0"/>
              <w:spacing w:before="0" w:after="283"/>
              <w:jc w:val="left"/>
              <w:rPr/>
            </w:pPr>
            <w:r>
              <w:rPr/>
              <w:t>ESP</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45"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45"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$37</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00"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235" w:type="dxa"/>
            <w:tcBorders>
              <w:bottom w:val="single" w:sz="8" w:space="0" w:color="003A5D"/>
            </w:tcBorders>
            <w:shd w:fill="E5EBEE" w:val="clear"/>
            <w:tcMar>
              <w:bottom w:w="60" w:type="dxa"/>
            </w:tcMar>
            <w:vAlign w:val="center"/>
          </w:tcPr>
          <w:p>
            <w:pPr>
              <w:pStyle w:val="TableContents"/>
              <w:bidi w:val="0"/>
              <w:spacing w:before="0" w:after="283"/>
              <w:jc w:val="center"/>
              <w:rPr/>
            </w:pPr>
            <w:r>
              <w:rPr/>
              <w:t>$1,824</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82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50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50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28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46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295"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0"/>
              <w:jc w:val="left"/>
              <w:rPr/>
            </w:pPr>
            <w:r>
              <w:rPr/>
              <w:t> </w:t>
            </w:r>
            <w:r>
              <w:rPr>
                <w:rFonts w:ascii="arial" w:hAnsi="arial"/>
                <w:sz w:val="20"/>
              </w:rPr>
              <w:t>Frank G. LaPrade, III</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VNQDCP</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$41,495</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$153,112</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$1,717,714</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pPr>
            <w:r>
              <w:rPr/>
              <w:t>$8,441,963</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8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0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0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8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46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9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188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760" w:type="dxa"/>
            <w:tcBorders>
              <w:bottom w:val="single" w:sz="8" w:space="0" w:color="003A5D"/>
            </w:tcBorders>
            <w:shd w:fill="E5EBEE" w:val="clear"/>
            <w:tcMar>
              <w:bottom w:w="60" w:type="dxa"/>
            </w:tcMar>
            <w:vAlign w:val="center"/>
          </w:tcPr>
          <w:p>
            <w:pPr>
              <w:pStyle w:val="TableContents"/>
              <w:bidi w:val="0"/>
              <w:spacing w:before="0" w:after="283"/>
              <w:jc w:val="left"/>
              <w:rPr/>
            </w:pPr>
            <w:r>
              <w:rPr/>
              <w:t>ESP</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45"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45"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$225,512</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00"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235" w:type="dxa"/>
            <w:tcBorders>
              <w:bottom w:val="single" w:sz="8" w:space="0" w:color="003A5D"/>
            </w:tcBorders>
            <w:shd w:fill="E5EBEE" w:val="clear"/>
            <w:tcMar>
              <w:bottom w:w="60" w:type="dxa"/>
            </w:tcMar>
            <w:vAlign w:val="center"/>
          </w:tcPr>
          <w:p>
            <w:pPr>
              <w:pStyle w:val="TableContents"/>
              <w:bidi w:val="0"/>
              <w:spacing w:before="0" w:after="283"/>
              <w:jc w:val="center"/>
              <w:rPr/>
            </w:pPr>
            <w:r>
              <w:rPr/>
              <w:t>$1,129,462</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82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50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50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28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46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295"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0"/>
              <w:jc w:val="left"/>
              <w:rPr/>
            </w:pPr>
            <w:r>
              <w:rPr/>
              <w:t> </w:t>
            </w:r>
            <w:r>
              <w:rPr>
                <w:rFonts w:ascii="arial" w:hAnsi="arial"/>
                <w:sz w:val="20"/>
              </w:rPr>
              <w:t>Matthew W. Cooper</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VNQDCP</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$33,302</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$152,498</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$49,851</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$184,377</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pPr>
            <w:r>
              <w:rPr/>
              <w:t>$371,502</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8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0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0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8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46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9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188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760" w:type="dxa"/>
            <w:tcBorders>
              <w:bottom w:val="single" w:sz="8" w:space="0" w:color="003A5D"/>
            </w:tcBorders>
            <w:shd w:fill="E5EBEE" w:val="clear"/>
            <w:tcMar>
              <w:bottom w:w="60" w:type="dxa"/>
            </w:tcMar>
            <w:vAlign w:val="center"/>
          </w:tcPr>
          <w:p>
            <w:pPr>
              <w:pStyle w:val="TableContents"/>
              <w:bidi w:val="0"/>
              <w:spacing w:before="0" w:after="283"/>
              <w:jc w:val="left"/>
              <w:rPr/>
            </w:pPr>
            <w:r>
              <w:rPr/>
              <w:t>ESP</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45"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45"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00"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235"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82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50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50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28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46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295"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0"/>
              <w:jc w:val="left"/>
              <w:rPr/>
            </w:pPr>
            <w:r>
              <w:rPr/>
              <w:t> </w:t>
            </w:r>
            <w:r>
              <w:rPr>
                <w:rFonts w:ascii="arial" w:hAnsi="arial"/>
                <w:sz w:val="20"/>
              </w:rPr>
              <w:t>Sanjiv Yajnik</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VNQDCP</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$38,929</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$152,920</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$472,601</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pPr>
            <w:r>
              <w:rPr/>
              <w:t>$4,963,548</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8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0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0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8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46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9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188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760" w:type="dxa"/>
            <w:tcBorders>
              <w:bottom w:val="single" w:sz="8" w:space="0" w:color="003A5D"/>
            </w:tcBorders>
            <w:shd w:fill="E5EBEE" w:val="clear"/>
            <w:tcMar>
              <w:bottom w:w="60" w:type="dxa"/>
            </w:tcMar>
            <w:vAlign w:val="center"/>
          </w:tcPr>
          <w:p>
            <w:pPr>
              <w:pStyle w:val="TableContents"/>
              <w:bidi w:val="0"/>
              <w:spacing w:before="0" w:after="283"/>
              <w:jc w:val="left"/>
              <w:rPr/>
            </w:pPr>
            <w:r>
              <w:rPr/>
              <w:t>ESP</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45"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45"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$46,259</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00"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235" w:type="dxa"/>
            <w:tcBorders>
              <w:bottom w:val="single" w:sz="8" w:space="0" w:color="003A5D"/>
            </w:tcBorders>
            <w:shd w:fill="E5EBEE" w:val="clear"/>
            <w:tcMar>
              <w:bottom w:w="60" w:type="dxa"/>
            </w:tcMar>
            <w:vAlign w:val="center"/>
          </w:tcPr>
          <w:p>
            <w:pPr>
              <w:pStyle w:val="TableContents"/>
              <w:bidi w:val="0"/>
              <w:spacing w:before="0" w:after="283"/>
              <w:jc w:val="center"/>
              <w:rPr/>
            </w:pPr>
            <w:r>
              <w:rPr/>
              <w:t>$588,044</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0"/>
              <w:jc w:val="both"/>
              <w:rPr>
                <w:rFonts w:ascii="arial" w:hAnsi="arial"/>
                <w:sz w:val="16"/>
              </w:rPr>
            </w:pPr>
            <w:r>
              <w:rPr>
                <w:rFonts w:ascii="arial" w:hAnsi="arial"/>
                <w:sz w:val="16"/>
              </w:rPr>
              <w:t xml:space="preserve">Reflects executive contributions made for 2024. Mr. Fairbank’s executive contribution under the VNQDCP was a mandatory deferral of the deferred cash bonus awarded in February 2024 for 2023 performance, which was reported in the 2023 Summary Compensation Table. For Messrs. LaPrade and Yajnik, all executive contributions under the VNQDCP were made in the form of base salary deferrals and are reported in the “2024 Summary Compensation Table” beginning on page 96. For Messrs. Young and Cooper, executive contributions under the VNQDCP were made in the form of (i) base salary deferrals, which are reported in the “2024 Summary Compensation Table” beginning on page 96, and (ii) deferrals of cash bonuses awarded in February 2024 for 2023 performance, which were reported in the 2023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0"/>
              <w:jc w:val="both"/>
              <w:rPr>
                <w:rFonts w:ascii="arial" w:hAnsi="arial"/>
                <w:sz w:val="16"/>
              </w:rPr>
            </w:pPr>
            <w:r>
              <w:rPr>
                <w:rFonts w:ascii="arial" w:hAnsi="arial"/>
                <w:sz w:val="16"/>
              </w:rPr>
              <w:t xml:space="preserve">Company contributions are also included in the “2024 Summary Compensation Table” beginning on page 96 (see “Company Contributions to Defined Contribution Plans” in the footnote to that table identified with an asterisk).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(3)</w:t>
            </w:r>
          </w:p>
        </w:tc>
        <w:tc>
          <w:tcPr>
            <w:tcW w:w="9925" w:type="dxa"/>
            <w:tcBorders/>
            <w:vAlign w:val="center"/>
          </w:tcPr>
          <w:p>
            <w:pPr>
              <w:pStyle w:val="TableContents"/>
              <w:bidi w:val="0"/>
              <w:spacing w:before="0" w:after="0"/>
              <w:jc w:val="both"/>
              <w:rPr>
                <w:rFonts w:ascii="arial" w:hAnsi="arial"/>
                <w:sz w:val="16"/>
              </w:rPr>
            </w:pPr>
            <w:r>
              <w:rPr>
                <w:rFonts w:ascii="arial" w:hAnsi="arial"/>
                <w:sz w:val="16"/>
              </w:rPr>
              <w:t xml:space="preserve">Includes earnings on total assets in the VNQDCP and the ESP. Earnings under the VNQDCP and ESP were not above market and therefore are not reported in the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(4)</w:t>
            </w:r>
          </w:p>
        </w:tc>
        <w:tc>
          <w:tcPr>
            <w:tcW w:w="9960" w:type="dxa"/>
            <w:tcBorders/>
            <w:vAlign w:val="center"/>
          </w:tcPr>
          <w:p>
            <w:pPr>
              <w:pStyle w:val="TableContents"/>
              <w:bidi w:val="0"/>
              <w:spacing w:before="0" w:after="0"/>
              <w:jc w:val="both"/>
              <w:rPr>
                <w:rFonts w:ascii="arial" w:hAnsi="arial"/>
                <w:sz w:val="16"/>
              </w:rPr>
            </w:pPr>
            <w:r>
              <w:rPr>
                <w:rFonts w:ascii="arial" w:hAnsi="arial"/>
                <w:sz w:val="16"/>
              </w:rPr>
              <w:t xml:space="preserve">All the amounts shown in this column, other than earnings on deferred compensation, were included in compensation amounts reported in the current or prior years for those executives that were NEOs in the applicable year and in the amounts required to be reported pursuant to the then applicable rules. Of these balances, the following amounts were reported in the Summary Compensation Tables in prior-year proxy statements (to the extent that the NEO was an NEO in the applicable year): Mr. Fairbank $37,513,750; Mr. Young $678,528; Mr. LaPrade $1,376,110; Mr. Cooper $0; and Mr. Yajnik $1,716,412.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(5)</w:t>
            </w:r>
          </w:p>
        </w:tc>
        <w:tc>
          <w:tcPr>
            <w:tcW w:w="9951" w:type="dxa"/>
            <w:tcBorders/>
            <w:vAlign w:val="center"/>
          </w:tcPr>
          <w:p>
            <w:pPr>
              <w:pStyle w:val="TableContents"/>
              <w:bidi w:val="0"/>
              <w:spacing w:before="0" w:after="0"/>
              <w:jc w:val="both"/>
              <w:rPr>
                <w:rFonts w:ascii="arial" w:hAnsi="arial"/>
                <w:sz w:val="16"/>
              </w:rPr>
            </w:pPr>
            <w:r>
              <w:rPr>
                <w:rFonts w:ascii="arial" w:hAnsi="arial"/>
                <w:sz w:val="16"/>
              </w:rPr>
              <w:t xml:space="preserve">Includes the value of 241,680 shares of Capital One common stock earned on March 31, 2007 in connection with performance shares that were granted to Mr. Fairbank in December 2003. Delivery of these shares is deferred until the end of Mr. Fairbank’s employment with the Company. Mr. Fairbank neither acquired these shares nor realized any value from these shares in 2024. </w:t>
            </w:r>
          </w:p>
        </w:tc>
      </w:tr>
    </w:tbl>
    <w:p>
      <w:pPr>
        <w:pStyle w:val="TextBody"/>
        <w:bidi w:val="0"/>
        <w:spacing w:before="240" w:after="0"/>
        <w:jc w:val="left"/>
        <w:rPr>
          <w:rFonts w:ascii="arial" w:hAnsi="arial"/>
          <w:b/>
          <w:color w:val="003A5D"/>
          <w:sz w:val="32"/>
        </w:rPr>
      </w:pPr>
      <w:bookmarkStart w:id="97" w:name="txa845790_43"/>
      <w:bookmarkStart w:id="98" w:name="txa845790_211a"/>
      <w:bookmarkEnd w:id="97"/>
      <w:bookmarkEnd w:id="98"/>
      <w:r>
        <w:rPr>
          <w:rFonts w:ascii="arial" w:hAnsi="arial"/>
          <w:b/>
          <w:color w:val="003A5D"/>
          <w:sz w:val="32"/>
        </w:rPr>
        <w:t xml:space="preserve">Potential Payments Upon Termination or Change of Control </w:t>
      </w:r>
    </w:p>
    <w:p>
      <w:pPr>
        <w:pStyle w:val="TextBody"/>
        <w:bidi w:val="0"/>
        <w:spacing w:before="240" w:after="0"/>
        <w:jc w:val="left"/>
        <w:rPr>
          <w:rFonts w:ascii="arial" w:hAnsi="arial"/>
          <w:b/>
          <w:i/>
          <w:color w:val="003A5D"/>
          <w:sz w:val="24"/>
        </w:rPr>
      </w:pPr>
      <w:r>
        <w:rPr>
          <w:rFonts w:ascii="arial" w:hAnsi="arial"/>
          <w:b/>
          <w:i/>
          <w:color w:val="003A5D"/>
          <w:sz w:val="24"/>
        </w:rPr>
        <w:t xml:space="preserve">Overview </w:t>
      </w:r>
    </w:p>
    <w:p>
      <w:pPr>
        <w:pStyle w:val="TextBody"/>
        <w:bidi w:val="0"/>
        <w:spacing w:before="240" w:after="0"/>
        <w:jc w:val="both"/>
        <w:rPr>
          <w:rFonts w:ascii="arial" w:hAnsi="arial"/>
          <w:sz w:val="20"/>
        </w:rPr>
      </w:pPr>
      <w:r>
        <w:rPr>
          <w:rFonts w:ascii="arial" w:hAnsi="arial"/>
          <w:sz w:val="20"/>
        </w:rPr>
        <w:t xml:space="preserve">The disclosure in the “2024 Potential Payments and Benefits Upon Termination or Change of Control Table” found on page 110 illustrates payouts that the NEOs could receive under certain hypothetical termination scenarios. Actual circumstances resulting in the departure of our NEOs cannot be predicted and may differ from the assumptions used in the information outlined below. The Company has adopted plans providing certain standards governing NEO separation payments, reflected in the table, in order to protect the Company’s interests in the event of an acquisition, as well as to provide competitive benefits to senior executives.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105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390" w:type="dxa"/>
        <w:jc w:val="left"/>
        <w:tblInd w:w="0" w:type="dxa"/>
        <w:tblLayout w:type="fixed"/>
        <w:tblCellMar>
          <w:top w:w="0" w:type="dxa"/>
          <w:left w:w="0" w:type="dxa"/>
          <w:bottom w:w="0" w:type="dxa"/>
          <w:right w:w="0" w:type="dxa"/>
        </w:tblCellMar>
      </w:tblPr>
      <w:tblGrid>
        <w:gridCol w:w="5390"/>
      </w:tblGrid>
      <w:tr>
        <w:trPr/>
        <w:tc>
          <w:tcPr>
            <w:tcW w:w="5390"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center"/>
          </w:tcPr>
          <w:p>
            <w:pPr>
              <w:pStyle w:val="TableContents"/>
              <w:bidi w:val="0"/>
              <w:spacing w:before="0" w:after="283"/>
              <w:jc w:val="left"/>
              <w:rPr>
                <w:b/>
                <w:color w:val="003A5D"/>
              </w:rPr>
            </w:pPr>
            <w:r>
              <w:rPr>
                <w:b/>
                <w:color w:val="003A5D"/>
              </w:rPr>
              <w:t>Section VI - Named Executive Officer Compensation</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The Committee reviews each executive officer’s separation on a case-by-case basis and exercises its business judgment, with the approval of the Independent Directors, to customize the terms of such separations in consideration of the relevant circumstances, including: </w:t>
      </w:r>
    </w:p>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75"/>
        <w:gridCol w:w="215"/>
        <w:gridCol w:w="60"/>
        <w:gridCol w:w="275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both"/>
              <w:rPr>
                <w:rFonts w:ascii="arial" w:hAnsi="arial"/>
                <w:sz w:val="20"/>
              </w:rPr>
            </w:pPr>
            <w:r>
              <w:rPr>
                <w:rFonts w:ascii="arial" w:hAnsi="arial"/>
                <w:sz w:val="20"/>
              </w:rPr>
              <w:t xml:space="preserve">The reasons for the separation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215"/>
        <w:gridCol w:w="60"/>
        <w:gridCol w:w="582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both"/>
              <w:rPr>
                <w:rFonts w:ascii="arial" w:hAnsi="arial"/>
                <w:sz w:val="20"/>
              </w:rPr>
            </w:pPr>
            <w:r>
              <w:rPr>
                <w:rFonts w:ascii="arial" w:hAnsi="arial"/>
                <w:sz w:val="20"/>
              </w:rPr>
              <w:t xml:space="preserve">Market competitive practices for comparable separation scenarios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Potential benefits to the Company, such as retaining its competitive advantage, maintaining a positive reputation internally and externally, and preserving its ability to recruit highly talented executives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215"/>
        <w:gridCol w:w="60"/>
        <w:gridCol w:w="600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both"/>
              <w:rPr>
                <w:rFonts w:ascii="arial" w:hAnsi="arial"/>
                <w:sz w:val="20"/>
              </w:rPr>
            </w:pPr>
            <w:r>
              <w:rPr>
                <w:rFonts w:ascii="arial" w:hAnsi="arial"/>
                <w:sz w:val="20"/>
              </w:rPr>
              <w:t xml:space="preserve">The executive’s tenure and contributions to the Company’s success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The executive’s willingness to provide legal waivers and/or enter into agreements not to compete with the Company or to solicit the Company’s associates or customers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215"/>
        <w:gridCol w:w="60"/>
        <w:gridCol w:w="723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both"/>
              <w:rPr>
                <w:rFonts w:ascii="arial" w:hAnsi="arial"/>
                <w:sz w:val="20"/>
              </w:rPr>
            </w:pPr>
            <w:r>
              <w:rPr>
                <w:rFonts w:ascii="arial" w:hAnsi="arial"/>
                <w:sz w:val="20"/>
              </w:rPr>
              <w:t xml:space="preserve">The resulting impact of the separation terms on the Company and its stockholders </w:t>
            </w:r>
          </w:p>
        </w:tc>
      </w:tr>
    </w:tbl>
    <w:p>
      <w:pPr>
        <w:pStyle w:val="TextBody"/>
        <w:bidi w:val="0"/>
        <w:spacing w:before="240" w:after="0"/>
        <w:jc w:val="left"/>
        <w:rPr>
          <w:rFonts w:ascii="arial" w:hAnsi="arial"/>
          <w:b/>
          <w:i/>
          <w:color w:val="003A5D"/>
          <w:sz w:val="24"/>
        </w:rPr>
      </w:pPr>
      <w:bookmarkStart w:id="99" w:name="txa845790_2500"/>
      <w:bookmarkEnd w:id="99"/>
      <w:r>
        <w:rPr>
          <w:rFonts w:ascii="arial" w:hAnsi="arial"/>
          <w:b/>
          <w:i/>
          <w:color w:val="003A5D"/>
          <w:sz w:val="24"/>
        </w:rPr>
        <w:t xml:space="preserve">Restrictive Covenants </w:t>
      </w:r>
    </w:p>
    <w:p>
      <w:pPr>
        <w:pStyle w:val="TextBody"/>
        <w:bidi w:val="0"/>
        <w:spacing w:before="240" w:after="0"/>
        <w:jc w:val="both"/>
        <w:rPr>
          <w:rFonts w:ascii="arial" w:hAnsi="arial"/>
          <w:sz w:val="20"/>
        </w:rPr>
      </w:pPr>
      <w:r>
        <w:rPr>
          <w:rFonts w:ascii="arial" w:hAnsi="arial"/>
          <w:sz w:val="20"/>
        </w:rPr>
        <w:t xml:space="preserve">Capital One maintains a competitive advantage in part through the intellectual property developed and utilized by our senior executives. Capital One has asked certain NEOs to enter into various agreements that contain restrictive covenants related to confidentiality, non-competition, non-solicitation, and ownership of work product, as described below. </w:t>
      </w:r>
    </w:p>
    <w:p>
      <w:pPr>
        <w:pStyle w:val="TextBody"/>
        <w:bidi w:val="0"/>
        <w:spacing w:before="240" w:after="0"/>
        <w:jc w:val="left"/>
        <w:rPr>
          <w:rFonts w:ascii="arial" w:hAnsi="arial"/>
          <w:b/>
          <w:color w:val="003A5D"/>
          <w:sz w:val="20"/>
        </w:rPr>
      </w:pPr>
      <w:r>
        <w:rPr>
          <w:rFonts w:ascii="arial" w:hAnsi="arial"/>
          <w:b/>
          <w:color w:val="003A5D"/>
          <w:sz w:val="20"/>
        </w:rPr>
        <w:t xml:space="preserve">Non-Competition Agreements </w:t>
      </w:r>
    </w:p>
    <w:p>
      <w:pPr>
        <w:pStyle w:val="TextBody"/>
        <w:bidi w:val="0"/>
        <w:spacing w:before="240" w:after="0"/>
        <w:jc w:val="both"/>
        <w:rPr>
          <w:rFonts w:ascii="arial" w:hAnsi="arial"/>
          <w:sz w:val="20"/>
        </w:rPr>
      </w:pPr>
      <w:r>
        <w:rPr>
          <w:rFonts w:ascii="arial" w:hAnsi="arial"/>
          <w:sz w:val="20"/>
        </w:rPr>
        <w:t xml:space="preserve">Messrs. Yajnik and Young have entered into non-competition agreements with the Company pursuant to which they may be restricted as to what competitive services they may provide to an entity following separation from Capital One. </w:t>
      </w:r>
    </w:p>
    <w:p>
      <w:pPr>
        <w:pStyle w:val="TextBody"/>
        <w:bidi w:val="0"/>
        <w:spacing w:before="240" w:after="0"/>
        <w:jc w:val="both"/>
        <w:rPr>
          <w:rFonts w:ascii="arial" w:hAnsi="arial"/>
          <w:sz w:val="20"/>
        </w:rPr>
      </w:pPr>
      <w:r>
        <w:rPr>
          <w:rFonts w:ascii="arial" w:hAnsi="arial"/>
          <w:sz w:val="20"/>
        </w:rPr>
        <w:t xml:space="preserve">These non-competition agreements provide for the following in exchange for the NEO complying with non-competition restrictions for up to two years following an involuntary termination, other than for cause, death, or disability: payment equal to 15% of the NEO’s total target compensation for each year of enforcement and subsidized health insurance premiums for a period of up to 18 months through COBRA if the NEO is eligible and elects such coverage, subject to certain terms and conditions. The payments are made in two lump sums: the first following termination and the second upon successful completion of the enforcement period. In the event of a voluntary termination, the previously described payments are typically made for the second year of enforcement for agreements with a two-year enforcement period. </w:t>
      </w:r>
    </w:p>
    <w:p>
      <w:pPr>
        <w:pStyle w:val="TextBody"/>
        <w:bidi w:val="0"/>
        <w:spacing w:before="240" w:after="0"/>
        <w:jc w:val="left"/>
        <w:rPr>
          <w:rFonts w:ascii="arial" w:hAnsi="arial"/>
          <w:b/>
          <w:color w:val="003A5D"/>
          <w:sz w:val="20"/>
        </w:rPr>
      </w:pPr>
      <w:r>
        <w:rPr>
          <w:rFonts w:ascii="arial" w:hAnsi="arial"/>
          <w:b/>
          <w:color w:val="003A5D"/>
          <w:sz w:val="20"/>
        </w:rPr>
        <w:t xml:space="preserve">Confidentiality, Work Product, and No Hire/Non-Solicitation of Employee Agreement </w:t>
      </w:r>
    </w:p>
    <w:p>
      <w:pPr>
        <w:pStyle w:val="TextBody"/>
        <w:bidi w:val="0"/>
        <w:spacing w:before="240" w:after="0"/>
        <w:jc w:val="both"/>
        <w:rPr>
          <w:rFonts w:ascii="arial" w:hAnsi="arial"/>
          <w:sz w:val="20"/>
        </w:rPr>
      </w:pPr>
      <w:r>
        <w:rPr>
          <w:rFonts w:ascii="arial" w:hAnsi="arial"/>
          <w:sz w:val="20"/>
        </w:rPr>
        <w:t xml:space="preserve">Messrs. Cooper, Yajnik, and Young are parties to confidentiality, work product, and no hire/non-solicitation of employee agreements. The confidentiality provisions of these agreements generally provide that at all times during and following employment with the Company, these NEOs may not use for personal benefit or the benefit of others, or divulge to others, any of Capital One’s confidential information, except as expressly authorized by Capital One or required by legal process. </w:t>
      </w:r>
    </w:p>
    <w:p>
      <w:pPr>
        <w:pStyle w:val="TextBody"/>
        <w:bidi w:val="0"/>
        <w:spacing w:before="240" w:after="0"/>
        <w:jc w:val="both"/>
        <w:rPr>
          <w:rFonts w:ascii="arial" w:hAnsi="arial"/>
          <w:sz w:val="20"/>
        </w:rPr>
      </w:pPr>
      <w:r>
        <w:rPr>
          <w:rFonts w:ascii="arial" w:hAnsi="arial"/>
          <w:sz w:val="20"/>
        </w:rPr>
        <w:t xml:space="preserve">Messrs. Cooper’s and Yajnik’s agreements also provide that, for a period of two years following separation from Capital One, they shall not directly or indirectly solicit or induce any associate of Capital One to become employed by any person or entity engaged in competition with Capital One, and shall not directly or indirectly solicit or induce any associate of Capital One to end their employment based on confidential information learned about the associate while they were employed by Capital One. </w: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106 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390" w:type="dxa"/>
        <w:jc w:val="left"/>
        <w:tblInd w:w="0" w:type="dxa"/>
        <w:tblLayout w:type="fixed"/>
        <w:tblCellMar>
          <w:top w:w="0" w:type="dxa"/>
          <w:left w:w="0" w:type="dxa"/>
          <w:bottom w:w="0" w:type="dxa"/>
          <w:right w:w="0" w:type="dxa"/>
        </w:tblCellMar>
      </w:tblPr>
      <w:tblGrid>
        <w:gridCol w:w="5390"/>
      </w:tblGrid>
      <w:tr>
        <w:trPr/>
        <w:tc>
          <w:tcPr>
            <w:tcW w:w="5390"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center"/>
          </w:tcPr>
          <w:p>
            <w:pPr>
              <w:pStyle w:val="TableContents"/>
              <w:bidi w:val="0"/>
              <w:spacing w:before="0" w:after="283"/>
              <w:jc w:val="right"/>
              <w:rPr>
                <w:b/>
                <w:color w:val="003A5D"/>
              </w:rPr>
            </w:pPr>
            <w:r>
              <w:rPr>
                <w:b/>
                <w:color w:val="003A5D"/>
              </w:rPr>
              <w:t>Section VI - Named Executive Officer Compensation</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Mr. Young’s agreement also provides that, for a period of two years following separation from Capital One, he shall not, directly or indirectly, (i) solicit or induce any covered Capital One associate to become employed by any other person or entity, (ii) hire or otherwise engage any covered Capital One associate (or a person who was a covered associate and resigned in the prior three months) to work for or provide services to any other person or entity, or (iii) solicit or induce any Capital One employee to leave or cease their employment with Capital One, or to hire or otherwise engage any Capital One employee to work for or provide services to any other person or entity, if based on confidential information he learned about such employee while employed by Capital One. </w:t>
      </w:r>
    </w:p>
    <w:p>
      <w:pPr>
        <w:pStyle w:val="TextBody"/>
        <w:bidi w:val="0"/>
        <w:spacing w:before="240" w:after="0"/>
        <w:jc w:val="left"/>
        <w:rPr>
          <w:rFonts w:ascii="arial" w:hAnsi="arial"/>
          <w:b/>
          <w:i/>
          <w:color w:val="003A5D"/>
          <w:sz w:val="24"/>
        </w:rPr>
      </w:pPr>
      <w:bookmarkStart w:id="100" w:name="txa1845790_vftyu"/>
      <w:bookmarkEnd w:id="100"/>
      <w:r>
        <w:rPr>
          <w:rFonts w:ascii="arial" w:hAnsi="arial"/>
          <w:b/>
          <w:i/>
          <w:color w:val="003A5D"/>
          <w:sz w:val="24"/>
        </w:rPr>
        <w:t xml:space="preserve">Payments Under Certain Termination Scenarios </w:t>
      </w:r>
    </w:p>
    <w:p>
      <w:pPr>
        <w:pStyle w:val="TextBody"/>
        <w:bidi w:val="0"/>
        <w:spacing w:before="240" w:after="0"/>
        <w:jc w:val="both"/>
        <w:rPr>
          <w:rFonts w:ascii="arial" w:hAnsi="arial"/>
          <w:sz w:val="20"/>
        </w:rPr>
      </w:pPr>
      <w:r>
        <w:rPr>
          <w:rFonts w:ascii="arial" w:hAnsi="arial"/>
          <w:sz w:val="20"/>
        </w:rPr>
        <w:t xml:space="preserve">Upon separation from the Company, the NEOs, regardless of the reason for termination, receive certain earned, but previously unpaid, payments, such as accrued but unused vacation pay, and amounts vested under the Company’s qualified and non-qualified retirement programs. In addition, cash-settled RSUs granted to NEOs, other than the CEO, after the end of a performance year continue to vest according to the original provisions of such grants upon involuntary separation for any reason other than cause or as soon as practicable following a “double trigger” change of control (as discussed below). </w:t>
      </w:r>
    </w:p>
    <w:p>
      <w:pPr>
        <w:pStyle w:val="TextBody"/>
        <w:bidi w:val="0"/>
        <w:spacing w:before="240" w:after="0"/>
        <w:jc w:val="left"/>
        <w:rPr>
          <w:rFonts w:ascii="arial" w:hAnsi="arial"/>
          <w:b/>
          <w:color w:val="003A5D"/>
          <w:sz w:val="20"/>
        </w:rPr>
      </w:pPr>
      <w:r>
        <w:rPr>
          <w:rFonts w:ascii="arial" w:hAnsi="arial"/>
          <w:b/>
          <w:color w:val="003A5D"/>
          <w:sz w:val="20"/>
        </w:rPr>
        <w:t xml:space="preserve">Voluntary Termination </w:t>
      </w:r>
    </w:p>
    <w:p>
      <w:pPr>
        <w:pStyle w:val="TextBody"/>
        <w:bidi w:val="0"/>
        <w:spacing w:before="240" w:after="0"/>
        <w:jc w:val="both"/>
        <w:rPr>
          <w:rFonts w:ascii="arial" w:hAnsi="arial"/>
          <w:sz w:val="20"/>
        </w:rPr>
      </w:pPr>
      <w:r>
        <w:rPr>
          <w:rFonts w:ascii="arial" w:hAnsi="arial"/>
          <w:sz w:val="20"/>
        </w:rPr>
        <w:t xml:space="preserve">An NEO, other than the CEO, who voluntarily terminates employment with Capital One may receive payments related to non-competition covenants (described above, if applicable) and any contractual payments to which the NEO may otherwise be entitled. In addition, the NEO has the ability following separation to exercise vested but unexercised options for three months following voluntary termination. </w:t>
      </w:r>
    </w:p>
    <w:p>
      <w:pPr>
        <w:pStyle w:val="TextBody"/>
        <w:bidi w:val="0"/>
        <w:spacing w:before="240" w:after="0"/>
        <w:jc w:val="left"/>
        <w:rPr>
          <w:rFonts w:ascii="arial" w:hAnsi="arial"/>
          <w:b/>
          <w:color w:val="003A5D"/>
          <w:sz w:val="20"/>
        </w:rPr>
      </w:pPr>
      <w:r>
        <w:rPr>
          <w:rFonts w:ascii="arial" w:hAnsi="arial"/>
          <w:b/>
          <w:color w:val="003A5D"/>
          <w:sz w:val="20"/>
        </w:rPr>
        <w:t xml:space="preserve">Involuntary Termination Without Cause </w:t>
      </w:r>
    </w:p>
    <w:p>
      <w:pPr>
        <w:pStyle w:val="TextBody"/>
        <w:bidi w:val="0"/>
        <w:spacing w:before="240" w:after="0"/>
        <w:jc w:val="both"/>
        <w:rPr>
          <w:rFonts w:ascii="arial" w:hAnsi="arial"/>
          <w:sz w:val="20"/>
        </w:rPr>
      </w:pPr>
      <w:r>
        <w:rPr>
          <w:rFonts w:ascii="arial" w:hAnsi="arial"/>
          <w:sz w:val="20"/>
        </w:rPr>
        <w:t xml:space="preserve">An NEO, other than the CEO, whose employment with Capital One is terminated involuntarily, for performance or job elimination, is entitled to receive the amounts set forth in the Company’s executive severance plan (“Executive Severance Plan”) in exchange for executing a release of claims against the Company. For 2024, potential payments under the Executive Severance Plan were 30% of total target compensation, plus a severance bonus based on such NEO’s target cash incentive in the event of termination due to restructuring. Additional benefits include healthcare continuation subsidy through COBRA, outplacement services, and any contractual payments to which the NEO may otherwise have been entitled. Further, an NEO, other than the CEO, whose employment is terminated involuntarily without cause and not due to death or disability may receive payments related to non-competition covenants (as described above, if applicable). </w:t>
      </w:r>
    </w:p>
    <w:p>
      <w:pPr>
        <w:pStyle w:val="TextBody"/>
        <w:bidi w:val="0"/>
        <w:spacing w:before="240" w:after="0"/>
        <w:jc w:val="both"/>
        <w:rPr>
          <w:rFonts w:ascii="arial" w:hAnsi="arial"/>
          <w:sz w:val="20"/>
        </w:rPr>
      </w:pPr>
      <w:r>
        <w:rPr>
          <w:rFonts w:ascii="arial" w:hAnsi="arial"/>
          <w:sz w:val="20"/>
        </w:rPr>
        <w:t xml:space="preserve">Generally, performance shares granted to NEOs will vest in full, based on actual Company performance and stock-settled RSUs granted to NEOs will continue to vest, subject to the NEO’s execution of a release of claims against the Company. In addition, NEOs can exercise vested but unexercised options for two years following separation. If an NEO’s employment with Capital One is terminated because of death or disability, the NEO’s unvested RSUs and performance shares will vest in full based on target Company performance. </w:t>
      </w:r>
    </w:p>
    <w:p>
      <w:pPr>
        <w:pStyle w:val="TextBody"/>
        <w:bidi w:val="0"/>
        <w:spacing w:before="240" w:after="0"/>
        <w:jc w:val="left"/>
        <w:rPr>
          <w:rFonts w:ascii="arial" w:hAnsi="arial"/>
          <w:b/>
          <w:color w:val="003A5D"/>
          <w:sz w:val="20"/>
        </w:rPr>
      </w:pPr>
      <w:bookmarkStart w:id="101" w:name="txa1845790_jhuy"/>
      <w:bookmarkEnd w:id="101"/>
      <w:r>
        <w:rPr>
          <w:rFonts w:ascii="arial" w:hAnsi="arial"/>
          <w:b/>
          <w:color w:val="003A5D"/>
          <w:sz w:val="20"/>
        </w:rPr>
        <w:t xml:space="preserve">Payments Upon Retirement </w:t>
      </w:r>
    </w:p>
    <w:p>
      <w:pPr>
        <w:pStyle w:val="TextBody"/>
        <w:bidi w:val="0"/>
        <w:spacing w:before="240" w:after="0"/>
        <w:jc w:val="both"/>
        <w:rPr>
          <w:rFonts w:ascii="arial" w:hAnsi="arial"/>
          <w:sz w:val="20"/>
        </w:rPr>
      </w:pPr>
      <w:r>
        <w:rPr>
          <w:rFonts w:ascii="arial" w:hAnsi="arial"/>
          <w:sz w:val="20"/>
        </w:rPr>
        <w:t xml:space="preserve">As with all executives who are eligible for retirement, NEOs who retire from Capital One may receive the following amounts: payments related to non-competition covenants as if they had terminated voluntarily (as described above); up to 18 months of subsidized COBRA coverage; any contractual payments to which they may otherwise be entitled; and, for Messrs. Fairbank and Yajnik, who became eligible to retire on or before December 31, 2012, a retiree medical subsidy and access to a variety of medical plans through a private exchange. Retirees eligible for subsidized retiree medical coverage receive funding through a HRA which can be used to pay for health care insurance premiums or eligible claims expenses.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107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390" w:type="dxa"/>
        <w:jc w:val="left"/>
        <w:tblInd w:w="0" w:type="dxa"/>
        <w:tblLayout w:type="fixed"/>
        <w:tblCellMar>
          <w:top w:w="0" w:type="dxa"/>
          <w:left w:w="0" w:type="dxa"/>
          <w:bottom w:w="0" w:type="dxa"/>
          <w:right w:w="0" w:type="dxa"/>
        </w:tblCellMar>
      </w:tblPr>
      <w:tblGrid>
        <w:gridCol w:w="5390"/>
      </w:tblGrid>
      <w:tr>
        <w:trPr/>
        <w:tc>
          <w:tcPr>
            <w:tcW w:w="5390"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center"/>
          </w:tcPr>
          <w:p>
            <w:pPr>
              <w:pStyle w:val="TableContents"/>
              <w:bidi w:val="0"/>
              <w:spacing w:before="0" w:after="283"/>
              <w:jc w:val="left"/>
              <w:rPr>
                <w:b/>
                <w:color w:val="003A5D"/>
              </w:rPr>
            </w:pPr>
            <w:r>
              <w:rPr>
                <w:b/>
                <w:color w:val="003A5D"/>
              </w:rPr>
              <w:t>Section VI - Named Executive Officer Compensation</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Upon retirement, all RSUs continue to vest according to their original terms based on actual performance, which, for stock-settled RSUs granted, also includes performance-based vesting provisions. In addition, performance shares granted to NEOs will continue to vest after retirement. For stock options, the executive has until the expiration of the option term to exercise vested but unexercised options. </w:t>
      </w:r>
    </w:p>
    <w:p>
      <w:pPr>
        <w:pStyle w:val="TextBody"/>
        <w:bidi w:val="0"/>
        <w:spacing w:before="240" w:after="0"/>
        <w:jc w:val="left"/>
        <w:rPr>
          <w:rFonts w:ascii="arial" w:hAnsi="arial"/>
          <w:b/>
          <w:color w:val="003A5D"/>
          <w:sz w:val="20"/>
        </w:rPr>
      </w:pPr>
      <w:r>
        <w:rPr>
          <w:rFonts w:ascii="arial" w:hAnsi="arial"/>
          <w:b/>
          <w:color w:val="003A5D"/>
          <w:sz w:val="20"/>
        </w:rPr>
        <w:t xml:space="preserve">Termination for Cause </w:t>
      </w:r>
    </w:p>
    <w:p>
      <w:pPr>
        <w:pStyle w:val="TextBody"/>
        <w:bidi w:val="0"/>
        <w:spacing w:before="240" w:after="0"/>
        <w:jc w:val="both"/>
        <w:rPr>
          <w:rFonts w:ascii="arial" w:hAnsi="arial"/>
          <w:sz w:val="20"/>
        </w:rPr>
      </w:pPr>
      <w:r>
        <w:rPr>
          <w:rFonts w:ascii="arial" w:hAnsi="arial"/>
          <w:sz w:val="20"/>
        </w:rPr>
        <w:t xml:space="preserve">Generally, an NEO whose employment with Capital One is terminated for cause receives no additional benefits but is required to comply with any applicable restrictive covenants related to confidentiality, non-competition, non-solicitation of associates or customers, and ownership of work product, as described above. In addition, if terminated for cause, the NEOs have the ability following separation to exercise vested but unexercised options for three months. </w:t>
      </w:r>
    </w:p>
    <w:p>
      <w:pPr>
        <w:pStyle w:val="TextBody"/>
        <w:bidi w:val="0"/>
        <w:spacing w:before="240" w:after="0"/>
        <w:jc w:val="left"/>
        <w:rPr>
          <w:rFonts w:ascii="arial" w:hAnsi="arial"/>
          <w:b/>
          <w:color w:val="003A5D"/>
          <w:sz w:val="20"/>
        </w:rPr>
      </w:pPr>
      <w:r>
        <w:rPr>
          <w:rFonts w:ascii="arial" w:hAnsi="arial"/>
          <w:b/>
          <w:color w:val="003A5D"/>
          <w:sz w:val="20"/>
        </w:rPr>
        <w:t xml:space="preserve">Change of Control </w:t>
      </w:r>
    </w:p>
    <w:p>
      <w:pPr>
        <w:pStyle w:val="TextBody"/>
        <w:bidi w:val="0"/>
        <w:spacing w:before="240" w:after="0"/>
        <w:jc w:val="both"/>
        <w:rPr>
          <w:rFonts w:ascii="arial" w:hAnsi="arial"/>
          <w:sz w:val="20"/>
        </w:rPr>
      </w:pPr>
      <w:r>
        <w:rPr>
          <w:rFonts w:ascii="arial" w:hAnsi="arial"/>
          <w:sz w:val="20"/>
        </w:rPr>
        <w:t xml:space="preserve">Each NEO is a party to an agreement (“Change of Control Agreement”) that provides for certain payments in the event their employment is terminated within two years following (or within one year prior to but in anticipation of) a change of control of Capital One, either involuntarily without cause or voluntarily for good reason. Amounts payable in each of these scenarios are outlined below. </w:t>
      </w:r>
    </w:p>
    <w:p>
      <w:pPr>
        <w:pStyle w:val="TextBody"/>
        <w:bidi w:val="0"/>
        <w:spacing w:before="240" w:after="0"/>
        <w:jc w:val="both"/>
        <w:rPr>
          <w:rFonts w:ascii="arial" w:hAnsi="arial"/>
          <w:sz w:val="20"/>
        </w:rPr>
      </w:pPr>
      <w:r>
        <w:rPr>
          <w:rFonts w:ascii="arial" w:hAnsi="arial"/>
          <w:sz w:val="20"/>
        </w:rPr>
        <w:t xml:space="preserve">Pursuant to the agreements, a “change of control” occurs if one or more of the following events take place: (i) an acquisition of 20% or more of Capital One common stock or the combined voting power of the voting securities of Capital One by a person or group, (ii) certain changes in the majority of the Board, (iii) consummation of a reorganization, merger, share exchange or consolidation or similar transaction, sale of all assets or the acquisition of another company, except where all or substantially all of Capital One’s stockholders receive 50% or more of the stock of the resulting company, at least a majority of the board of directors of the resulting company were incumbent Board members, and no person owns 20% or more of the resulting company who did not own such stock immediately before the business combination, or (iv) approval by stockholders of a complete liquidation or dissolution of Capital One. In the event of a change of control, we do not provide for excise tax gross-up payments. In addition, all equity awards granted to the NEOs require a so-called “double trigger” for accelerated vesting in connection with a change of control. Upon a change of control, all equity awards continue to vest according to their original schedule. The vesting of such awards only accelerates if an NEO is involuntarily terminated without cause or voluntarily terminates for “good reason” (as defined in the agreements) within the two years following a change of control. </w:t>
      </w:r>
    </w:p>
    <w:p>
      <w:pPr>
        <w:pStyle w:val="TextBody"/>
        <w:bidi w:val="0"/>
        <w:spacing w:before="240" w:after="0"/>
        <w:jc w:val="left"/>
        <w:rPr>
          <w:rFonts w:ascii="arial" w:hAnsi="arial"/>
          <w:b/>
          <w:i/>
          <w:color w:val="003A5D"/>
          <w:sz w:val="20"/>
        </w:rPr>
      </w:pPr>
      <w:r>
        <w:rPr>
          <w:rFonts w:ascii="arial" w:hAnsi="arial"/>
          <w:b/>
          <w:i/>
          <w:color w:val="003A5D"/>
          <w:sz w:val="20"/>
        </w:rPr>
        <w:t xml:space="preserve">Termination for Cause in Connection with a Change of Control </w:t>
      </w:r>
    </w:p>
    <w:p>
      <w:pPr>
        <w:pStyle w:val="TextBody"/>
        <w:bidi w:val="0"/>
        <w:spacing w:before="240" w:after="0"/>
        <w:jc w:val="both"/>
        <w:rPr>
          <w:rFonts w:ascii="arial" w:hAnsi="arial"/>
          <w:sz w:val="20"/>
        </w:rPr>
      </w:pPr>
      <w:r>
        <w:rPr>
          <w:rFonts w:ascii="arial" w:hAnsi="arial"/>
          <w:sz w:val="20"/>
        </w:rPr>
        <w:t xml:space="preserve">NEOs terminated involuntarily for cause following a change of control receive no additional benefits except regarding options, which allow NEOs to exercise vested but unexercised options for three months following a termination for cause. </w: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108 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390" w:type="dxa"/>
        <w:jc w:val="left"/>
        <w:tblInd w:w="0" w:type="dxa"/>
        <w:tblLayout w:type="fixed"/>
        <w:tblCellMar>
          <w:top w:w="0" w:type="dxa"/>
          <w:left w:w="0" w:type="dxa"/>
          <w:bottom w:w="0" w:type="dxa"/>
          <w:right w:w="0" w:type="dxa"/>
        </w:tblCellMar>
      </w:tblPr>
      <w:tblGrid>
        <w:gridCol w:w="5390"/>
      </w:tblGrid>
      <w:tr>
        <w:trPr/>
        <w:tc>
          <w:tcPr>
            <w:tcW w:w="5390"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center"/>
          </w:tcPr>
          <w:p>
            <w:pPr>
              <w:pStyle w:val="TableContents"/>
              <w:bidi w:val="0"/>
              <w:spacing w:before="0" w:after="283"/>
              <w:jc w:val="right"/>
              <w:rPr>
                <w:b/>
                <w:color w:val="003A5D"/>
              </w:rPr>
            </w:pPr>
            <w:r>
              <w:rPr>
                <w:b/>
                <w:color w:val="003A5D"/>
              </w:rPr>
              <w:t>Section VI - Named Executive Officer Compensation</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0"/>
        </w:rPr>
      </w:pPr>
      <w:r>
        <w:rPr>
          <w:rFonts w:ascii="arial" w:hAnsi="arial"/>
          <w:b/>
          <w:i/>
          <w:color w:val="003A5D"/>
          <w:sz w:val="20"/>
        </w:rPr>
        <w:t xml:space="preserve">Voluntary Termination with Good Reason or Involuntary Termination Without Cause in Connection with a Change of Control </w:t>
      </w:r>
    </w:p>
    <w:p>
      <w:pPr>
        <w:pStyle w:val="TextBody"/>
        <w:bidi w:val="0"/>
        <w:spacing w:before="240" w:after="0"/>
        <w:jc w:val="both"/>
        <w:rPr>
          <w:rFonts w:ascii="arial" w:hAnsi="arial"/>
          <w:sz w:val="20"/>
        </w:rPr>
      </w:pPr>
      <w:r>
        <w:rPr>
          <w:rFonts w:ascii="arial" w:hAnsi="arial"/>
          <w:sz w:val="20"/>
        </w:rPr>
        <w:t xml:space="preserve">In the event of a voluntary termination with good reason or an involuntary termination without cause, the potential payments that the NEOs could receive under certain termination scenarios are based on a percentage of total target compensation. For the CEO, the potential payments are based on a multiple of his notional salary and his year-end incentive opportunity. If a change of control of Capital One had occurred as of December 31, 2024, then following a voluntary termination with good reason or involuntary termination without cause, an NEO would have received certain benefits as outlined below: </w:t>
      </w:r>
    </w:p>
    <w:p>
      <w:pPr>
        <w:pStyle w:val="TextBody"/>
        <w:bidi w:val="0"/>
        <w:spacing w:before="240" w:after="0"/>
        <w:jc w:val="both"/>
        <w:rPr>
          <w:rFonts w:ascii="arial" w:hAnsi="arial"/>
          <w:sz w:val="20"/>
        </w:rPr>
      </w:pPr>
      <w:r>
        <w:rPr>
          <w:rFonts w:ascii="arial" w:hAnsi="arial"/>
          <w:sz w:val="20"/>
        </w:rPr>
        <w:t xml:space="preserve">The CEO would be entitled to receive: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 lump-sum payment of two and one half times the sum of his current notional salary and the “Highest Annual Bonus,” which is the highest of (i) the deferred cash bonus for the year in which the change of control occurs (or the mid-point if no target is established), (ii) the deferred cash bonus for the year immediately before the year the change of control occurs (or midpoint if no target is established), or (iii) the deferred cash bonus paid or payable for the most recently completed fiscal year; and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215"/>
        <w:gridCol w:w="60"/>
        <w:gridCol w:w="764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0"/>
              <w:jc w:val="both"/>
              <w:rPr>
                <w:rFonts w:ascii="arial" w:hAnsi="arial"/>
                <w:sz w:val="20"/>
              </w:rPr>
            </w:pPr>
            <w:r>
              <w:rPr>
                <w:rFonts w:ascii="arial" w:hAnsi="arial"/>
                <w:sz w:val="20"/>
              </w:rPr>
              <w:t xml:space="preserve">The cash value, prorated through the date of termination, of the Highest Annual Bonus. </w:t>
            </w:r>
          </w:p>
        </w:tc>
      </w:tr>
    </w:tbl>
    <w:p>
      <w:pPr>
        <w:pStyle w:val="TextBody"/>
        <w:bidi w:val="0"/>
        <w:spacing w:before="240" w:after="0"/>
        <w:jc w:val="both"/>
        <w:rPr>
          <w:rFonts w:ascii="arial" w:hAnsi="arial"/>
          <w:sz w:val="20"/>
        </w:rPr>
      </w:pPr>
      <w:r>
        <w:rPr>
          <w:rFonts w:ascii="arial" w:hAnsi="arial"/>
          <w:sz w:val="20"/>
        </w:rPr>
        <w:t xml:space="preserve">An NEO other than the CEO would be entitled to receive: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 lump-sum payment of 112.5% of the highest of (i) the NEO’s current total target compensation, (ii) the NEO’s total target compensation for the prior year, or (iii) the NEO’s actual total compensation for the prior year; and </w:t>
            </w:r>
          </w:p>
        </w:tc>
      </w:tr>
    </w:tbl>
    <w:p>
      <w:pPr>
        <w:pStyle w:val="TextBody"/>
        <w:bidi w:val="0"/>
        <w:spacing w:before="0" w:after="0"/>
        <w:jc w:val="left"/>
        <w:rPr/>
      </w:pPr>
      <w:r>
        <w:rPr/>
        <w:t> </w:t>
      </w:r>
    </w:p>
    <w:tbl>
      <w:tblPr>
        <w:tblW w:w="9115" w:type="dxa"/>
        <w:jc w:val="left"/>
        <w:tblInd w:w="0" w:type="dxa"/>
        <w:tblLayout w:type="fixed"/>
        <w:tblCellMar>
          <w:top w:w="0" w:type="dxa"/>
          <w:left w:w="0" w:type="dxa"/>
          <w:bottom w:w="0" w:type="dxa"/>
          <w:right w:w="0" w:type="dxa"/>
        </w:tblCellMar>
      </w:tblPr>
      <w:tblGrid>
        <w:gridCol w:w="75"/>
        <w:gridCol w:w="215"/>
        <w:gridCol w:w="60"/>
        <w:gridCol w:w="876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before="0" w:after="0"/>
              <w:jc w:val="both"/>
              <w:rPr>
                <w:rFonts w:ascii="arial" w:hAnsi="arial"/>
                <w:sz w:val="20"/>
              </w:rPr>
            </w:pPr>
            <w:r>
              <w:rPr>
                <w:rFonts w:ascii="arial" w:hAnsi="arial"/>
                <w:sz w:val="20"/>
              </w:rPr>
              <w:t xml:space="preserve">The cash value, prorated through the date of termination, of the current year’s target cash incentive. </w:t>
            </w:r>
          </w:p>
        </w:tc>
      </w:tr>
    </w:tbl>
    <w:p>
      <w:pPr>
        <w:pStyle w:val="TextBody"/>
        <w:bidi w:val="0"/>
        <w:spacing w:before="240" w:after="0"/>
        <w:jc w:val="both"/>
        <w:rPr>
          <w:rFonts w:ascii="arial" w:hAnsi="arial"/>
          <w:sz w:val="20"/>
        </w:rPr>
      </w:pPr>
      <w:r>
        <w:rPr>
          <w:rFonts w:ascii="arial" w:hAnsi="arial"/>
          <w:sz w:val="20"/>
        </w:rPr>
        <w:t xml:space="preserve">The CEO and each NEO would also be entitled to receive: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An amount equal to the employer contributions under the Company’s qualified and non-qualified retirement, healthcare, and life insurance programs for two and a half years, as well as access to such healthcare and life insurance plans for the NEO (and dependents as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Service credit of two and a half years for purposes of determining vesting under any supplemental or excess defined contribution plan and eligibility under any applicable retiree medical plan; </w:t>
            </w:r>
          </w:p>
        </w:tc>
      </w:tr>
    </w:tbl>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75"/>
        <w:gridCol w:w="215"/>
        <w:gridCol w:w="60"/>
        <w:gridCol w:w="401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jc w:val="both"/>
              <w:rPr>
                <w:rFonts w:ascii="arial" w:hAnsi="arial"/>
                <w:sz w:val="20"/>
              </w:rPr>
            </w:pPr>
            <w:r>
              <w:rPr>
                <w:rFonts w:ascii="arial" w:hAnsi="arial"/>
                <w:sz w:val="20"/>
              </w:rPr>
              <w:t xml:space="preserve">Outplacement services of up to $30,000; and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215"/>
        <w:gridCol w:w="60"/>
        <w:gridCol w:w="699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0"/>
              <w:jc w:val="both"/>
              <w:rPr>
                <w:rFonts w:ascii="arial" w:hAnsi="arial"/>
                <w:sz w:val="20"/>
              </w:rPr>
            </w:pPr>
            <w:r>
              <w:rPr>
                <w:rFonts w:ascii="arial" w:hAnsi="arial"/>
                <w:sz w:val="20"/>
              </w:rPr>
              <w:t xml:space="preserve">Any contractual payments to which the NEO may otherwise have been entitled. </w:t>
            </w:r>
          </w:p>
        </w:tc>
      </w:tr>
    </w:tbl>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109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390" w:type="dxa"/>
        <w:jc w:val="left"/>
        <w:tblInd w:w="0" w:type="dxa"/>
        <w:tblLayout w:type="fixed"/>
        <w:tblCellMar>
          <w:top w:w="0" w:type="dxa"/>
          <w:left w:w="0" w:type="dxa"/>
          <w:bottom w:w="0" w:type="dxa"/>
          <w:right w:w="0" w:type="dxa"/>
        </w:tblCellMar>
      </w:tblPr>
      <w:tblGrid>
        <w:gridCol w:w="5390"/>
      </w:tblGrid>
      <w:tr>
        <w:trPr/>
        <w:tc>
          <w:tcPr>
            <w:tcW w:w="5390"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center"/>
          </w:tcPr>
          <w:p>
            <w:pPr>
              <w:pStyle w:val="TableContents"/>
              <w:bidi w:val="0"/>
              <w:spacing w:before="0" w:after="283"/>
              <w:jc w:val="left"/>
              <w:rPr>
                <w:b/>
                <w:color w:val="003A5D"/>
              </w:rPr>
            </w:pPr>
            <w:r>
              <w:rPr>
                <w:b/>
                <w:color w:val="003A5D"/>
              </w:rPr>
              <w:t>Section VI - Named Executive Officer Compensation</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102" w:name="txa845790_44"/>
      <w:bookmarkEnd w:id="102"/>
      <w:r>
        <w:rPr>
          <w:rFonts w:ascii="arial" w:hAnsi="arial"/>
          <w:b/>
          <w:color w:val="003A5D"/>
          <w:sz w:val="32"/>
        </w:rPr>
        <w:t xml:space="preserve">2024 Potential Payments and Benefits Upon Termination or Change of Control Table </w:t>
      </w:r>
    </w:p>
    <w:p>
      <w:pPr>
        <w:pStyle w:val="TextBody"/>
        <w:bidi w:val="0"/>
        <w:spacing w:before="0" w:after="0"/>
        <w:jc w:val="left"/>
        <w:rPr/>
      </w:pPr>
      <w:r>
        <w:rPr/>
        <w:t> </w:t>
      </w:r>
    </w:p>
    <w:tbl>
      <w:tblPr>
        <w:tblW w:w="11035" w:type="dxa"/>
        <w:jc w:val="left"/>
        <w:tblInd w:w="0" w:type="dxa"/>
        <w:tblLayout w:type="fixed"/>
        <w:tblCellMar>
          <w:top w:w="0" w:type="dxa"/>
          <w:left w:w="0" w:type="dxa"/>
          <w:bottom w:w="0" w:type="dxa"/>
          <w:right w:w="0" w:type="dxa"/>
        </w:tblCellMar>
      </w:tblPr>
      <w:tblGrid>
        <w:gridCol w:w="815"/>
        <w:gridCol w:w="60"/>
        <w:gridCol w:w="2270"/>
        <w:gridCol w:w="60"/>
        <w:gridCol w:w="1220"/>
        <w:gridCol w:w="60"/>
        <w:gridCol w:w="1520"/>
        <w:gridCol w:w="60"/>
        <w:gridCol w:w="1610"/>
        <w:gridCol w:w="60"/>
        <w:gridCol w:w="1130"/>
        <w:gridCol w:w="60"/>
        <w:gridCol w:w="695"/>
        <w:gridCol w:w="60"/>
        <w:gridCol w:w="1355"/>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815" w:type="dxa"/>
            <w:tcBorders/>
            <w:shd w:fill="003A5D" w:val="clear"/>
            <w:vAlign w:val="center"/>
          </w:tcPr>
          <w:p>
            <w:pPr>
              <w:pStyle w:val="TableContents"/>
              <w:bidi w:val="0"/>
              <w:spacing w:before="0" w:after="283"/>
              <w:jc w:val="left"/>
              <w:rPr>
                <w:sz w:val="4"/>
                <w:szCs w:val="4"/>
              </w:rPr>
            </w:pPr>
            <w:r>
              <w:rPr>
                <w:sz w:val="4"/>
                <w:szCs w:val="4"/>
              </w:rPr>
            </w:r>
          </w:p>
        </w:tc>
        <w:tc>
          <w:tcPr>
            <w:tcW w:w="2330"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280"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580"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670"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190"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755"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415"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815" w:type="dxa"/>
            <w:tcBorders/>
            <w:shd w:fill="003A5D" w:val="clear"/>
            <w:vAlign w:val="center"/>
          </w:tcPr>
          <w:p>
            <w:pPr>
              <w:pStyle w:val="TableContents"/>
              <w:bidi w:val="0"/>
              <w:spacing w:before="0" w:after="283"/>
              <w:jc w:val="left"/>
              <w:rPr>
                <w:color w:val="FFFFFF"/>
              </w:rPr>
            </w:pPr>
            <w:r>
              <w:rPr>
                <w:color w:val="FFFFFF"/>
              </w:rPr>
              <w:t> </w:t>
            </w:r>
            <w:r>
              <w:rPr>
                <w:b/>
                <w:color w:val="FFFFFF"/>
              </w:rPr>
              <w:t>Name</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2270" w:type="dxa"/>
            <w:tcBorders/>
            <w:shd w:fill="003A5D" w:val="clear"/>
            <w:vAlign w:val="center"/>
          </w:tcPr>
          <w:p>
            <w:pPr>
              <w:pStyle w:val="TableContents"/>
              <w:bidi w:val="0"/>
              <w:spacing w:before="0" w:after="283"/>
              <w:jc w:val="center"/>
              <w:rPr>
                <w:b/>
                <w:color w:val="FFFFFF"/>
              </w:rPr>
            </w:pPr>
            <w:r>
              <w:rPr>
                <w:b/>
                <w:color w:val="FFFFFF"/>
              </w:rPr>
              <w:t>Type of Termination</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220" w:type="dxa"/>
            <w:tcBorders/>
            <w:shd w:fill="003A5D" w:val="clear"/>
            <w:vAlign w:val="center"/>
          </w:tcPr>
          <w:p>
            <w:pPr>
              <w:pStyle w:val="TableContents"/>
              <w:bidi w:val="0"/>
              <w:spacing w:before="0" w:after="283"/>
              <w:jc w:val="center"/>
              <w:rPr>
                <w:b/>
                <w:color w:val="FFFFFF"/>
              </w:rPr>
            </w:pPr>
            <w:r>
              <w:rPr>
                <w:b/>
                <w:color w:val="FFFFFF"/>
              </w:rPr>
              <w:t>Cash(1)</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520" w:type="dxa"/>
            <w:tcBorders/>
            <w:shd w:fill="003A5D" w:val="clear"/>
            <w:vAlign w:val="center"/>
          </w:tcPr>
          <w:p>
            <w:pPr>
              <w:pStyle w:val="TableContents"/>
              <w:bidi w:val="0"/>
              <w:spacing w:before="0" w:after="283"/>
              <w:jc w:val="center"/>
              <w:rPr>
                <w:b/>
                <w:color w:val="FFFFFF"/>
              </w:rPr>
            </w:pPr>
            <w:r>
              <w:rPr>
                <w:b/>
                <w:color w:val="FFFFFF"/>
              </w:rPr>
              <w:t>Retirement</w:t>
              <w:br/>
              <w:t>Plan</w:t>
              <w:br/>
              <w:t>Contributions(2)</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610" w:type="dxa"/>
            <w:tcBorders/>
            <w:shd w:fill="003A5D" w:val="clear"/>
            <w:vAlign w:val="center"/>
          </w:tcPr>
          <w:p>
            <w:pPr>
              <w:pStyle w:val="TableContents"/>
              <w:bidi w:val="0"/>
              <w:spacing w:before="0" w:after="283"/>
              <w:jc w:val="center"/>
              <w:rPr>
                <w:b/>
                <w:color w:val="FFFFFF"/>
              </w:rPr>
            </w:pPr>
            <w:r>
              <w:rPr>
                <w:b/>
                <w:color w:val="FFFFFF"/>
              </w:rPr>
              <w:t>Acceleration </w:t>
              <w:br/>
              <w:t>and </w:t>
              <w:br/>
              <w:t>Continuation </w:t>
              <w:br/>
              <w:t>of Equity </w:t>
              <w:br/>
              <w:t>Awards(3) 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130" w:type="dxa"/>
            <w:tcBorders/>
            <w:shd w:fill="003A5D"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Continuation </w:t>
              <w:br/>
              <w:t>  of Medical/ </w:t>
            </w:r>
          </w:p>
          <w:p>
            <w:pPr>
              <w:pStyle w:val="TableContents"/>
              <w:bidi w:val="0"/>
              <w:spacing w:before="0" w:after="20"/>
              <w:jc w:val="center"/>
              <w:rPr>
                <w:rFonts w:ascii="arial" w:hAnsi="arial"/>
                <w:b/>
                <w:color w:val="FFFFFF"/>
                <w:sz w:val="16"/>
              </w:rPr>
            </w:pPr>
            <w:r>
              <w:rPr>
                <w:rFonts w:ascii="arial" w:hAnsi="arial"/>
                <w:b/>
                <w:color w:val="FFFFFF"/>
                <w:sz w:val="16"/>
              </w:rPr>
              <w:t>Welfare </w:t>
              <w:br/>
              <w:t>Benefits(4) 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695" w:type="dxa"/>
            <w:tcBorders/>
            <w:shd w:fill="003A5D" w:val="clear"/>
            <w:vAlign w:val="center"/>
          </w:tcPr>
          <w:p>
            <w:pPr>
              <w:pStyle w:val="TableContents"/>
              <w:bidi w:val="0"/>
              <w:spacing w:before="0" w:after="0"/>
              <w:jc w:val="center"/>
              <w:rPr>
                <w:color w:val="FFFFFF"/>
              </w:rPr>
            </w:pPr>
            <w:r>
              <w:rPr>
                <w:color w:val="FFFFFF"/>
              </w:rPr>
              <w:t> </w:t>
            </w:r>
            <w:r>
              <w:rPr>
                <w:rFonts w:ascii="arial" w:hAnsi="arial"/>
                <w:b/>
                <w:color w:val="FFFFFF"/>
                <w:sz w:val="16"/>
              </w:rPr>
              <w:t>Excise </w:t>
              <w:br/>
              <w:t>Tax</w:t>
            </w:r>
          </w:p>
          <w:p>
            <w:pPr>
              <w:pStyle w:val="TableContents"/>
              <w:bidi w:val="0"/>
              <w:spacing w:before="0" w:after="20"/>
              <w:jc w:val="center"/>
              <w:rPr>
                <w:rFonts w:ascii="arial" w:hAnsi="arial"/>
                <w:b/>
                <w:color w:val="FFFFFF"/>
                <w:sz w:val="16"/>
              </w:rPr>
            </w:pPr>
            <w:r>
              <w:rPr>
                <w:rFonts w:ascii="arial" w:hAnsi="arial"/>
                <w:b/>
                <w:color w:val="FFFFFF"/>
                <w:sz w:val="16"/>
              </w:rPr>
              <w:t>Gross</w:t>
              <w:br/>
              <w:t>Up(5)</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355" w:type="dxa"/>
            <w:tcBorders/>
            <w:shd w:fill="003A5D" w:val="clear"/>
            <w:vAlign w:val="center"/>
          </w:tcPr>
          <w:p>
            <w:pPr>
              <w:pStyle w:val="TableContents"/>
              <w:bidi w:val="0"/>
              <w:spacing w:before="0" w:after="283"/>
              <w:jc w:val="center"/>
              <w:rPr>
                <w:b/>
                <w:color w:val="FFFFFF"/>
              </w:rPr>
            </w:pPr>
            <w:r>
              <w:rPr>
                <w:b/>
                <w:color w:val="FFFFFF"/>
              </w:rPr>
              <w:t>Total</w:t>
            </w:r>
          </w:p>
        </w:tc>
      </w:tr>
      <w:tr>
        <w:trPr/>
        <w:tc>
          <w:tcPr>
            <w:tcW w:w="815" w:type="dxa"/>
            <w:tcBorders>
              <w:top w:val="single" w:sz="8" w:space="0" w:color="FFFFFF"/>
            </w:tcBorders>
            <w:tcMar>
              <w:top w:w="28" w:type="dxa"/>
            </w:tcMar>
            <w:vAlign w:val="center"/>
          </w:tcPr>
          <w:p>
            <w:pPr>
              <w:pStyle w:val="TableContents"/>
              <w:bidi w:val="0"/>
              <w:spacing w:before="0" w:after="283"/>
              <w:jc w:val="left"/>
              <w:rPr/>
            </w:pPr>
            <w:r>
              <w:rPr/>
              <w:t> </w:t>
            </w:r>
          </w:p>
        </w:tc>
        <w:tc>
          <w:tcPr>
            <w:tcW w:w="2330" w:type="dxa"/>
            <w:gridSpan w:val="2"/>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pPr>
            <w:r>
              <w:rPr/>
              <w:t> </w:t>
            </w:r>
          </w:p>
        </w:tc>
        <w:tc>
          <w:tcPr>
            <w:tcW w:w="1280" w:type="dxa"/>
            <w:gridSpan w:val="2"/>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pPr>
            <w:r>
              <w:rPr/>
              <w:t> </w:t>
            </w:r>
          </w:p>
        </w:tc>
        <w:tc>
          <w:tcPr>
            <w:tcW w:w="1580" w:type="dxa"/>
            <w:gridSpan w:val="2"/>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pPr>
            <w:r>
              <w:rPr/>
              <w:t> </w:t>
            </w:r>
          </w:p>
        </w:tc>
        <w:tc>
          <w:tcPr>
            <w:tcW w:w="1670" w:type="dxa"/>
            <w:gridSpan w:val="2"/>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pPr>
            <w:r>
              <w:rPr/>
              <w:t> </w:t>
            </w:r>
          </w:p>
        </w:tc>
        <w:tc>
          <w:tcPr>
            <w:tcW w:w="1190" w:type="dxa"/>
            <w:gridSpan w:val="2"/>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pPr>
            <w:r>
              <w:rPr/>
              <w:t> </w:t>
            </w:r>
          </w:p>
        </w:tc>
        <w:tc>
          <w:tcPr>
            <w:tcW w:w="755" w:type="dxa"/>
            <w:gridSpan w:val="2"/>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pPr>
            <w:r>
              <w:rPr/>
              <w:t> </w:t>
            </w:r>
          </w:p>
        </w:tc>
        <w:tc>
          <w:tcPr>
            <w:tcW w:w="1415" w:type="dxa"/>
            <w:gridSpan w:val="2"/>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pPr>
            <w:r>
              <w:rPr/>
              <w:t> </w:t>
            </w:r>
          </w:p>
        </w:tc>
      </w:tr>
      <w:tr>
        <w:trPr/>
        <w:tc>
          <w:tcPr>
            <w:tcW w:w="815" w:type="dxa"/>
            <w:vMerge w:val="restart"/>
            <w:tcBorders>
              <w:bottom w:val="single" w:sz="8" w:space="0" w:color="003A5D"/>
            </w:tcBorders>
            <w:tcMar>
              <w:bottom w:w="60" w:type="dxa"/>
            </w:tcMar>
            <w:vAlign w:val="center"/>
          </w:tcPr>
          <w:p>
            <w:pPr>
              <w:pStyle w:val="TableContents"/>
              <w:bidi w:val="0"/>
              <w:spacing w:before="0" w:after="0"/>
              <w:jc w:val="left"/>
              <w:rPr>
                <w:rFonts w:ascii="arial" w:hAnsi="arial"/>
                <w:sz w:val="16"/>
              </w:rPr>
            </w:pPr>
            <w:r>
              <w:rPr>
                <w:rFonts w:ascii="arial" w:hAnsi="arial"/>
                <w:sz w:val="16"/>
              </w:rPr>
              <w:t>Richard D. Fairbank(6)</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270" w:type="dxa"/>
            <w:tcBorders/>
            <w:shd w:fill="E5EBEE" w:val="clear"/>
            <w:vAlign w:val="center"/>
          </w:tcPr>
          <w:p>
            <w:pPr>
              <w:pStyle w:val="TableContents"/>
              <w:bidi w:val="0"/>
              <w:spacing w:before="0" w:after="283"/>
              <w:jc w:val="left"/>
              <w:rPr/>
            </w:pPr>
            <w:r>
              <w:rPr/>
              <w:t>Voluntary Termination(7)</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20"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20"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610" w:type="dxa"/>
            <w:tcBorders/>
            <w:shd w:fill="E5EBEE" w:val="clear"/>
            <w:vAlign w:val="center"/>
          </w:tcPr>
          <w:p>
            <w:pPr>
              <w:pStyle w:val="TableContents"/>
              <w:bidi w:val="0"/>
              <w:spacing w:before="0" w:after="283"/>
              <w:jc w:val="center"/>
              <w:rPr/>
            </w:pPr>
            <w:r>
              <w:rPr/>
              <w:t>$93,663,472 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30" w:type="dxa"/>
            <w:tcBorders/>
            <w:shd w:fill="E5EBEE" w:val="clear"/>
            <w:vAlign w:val="center"/>
          </w:tcPr>
          <w:p>
            <w:pPr>
              <w:pStyle w:val="TableContents"/>
              <w:bidi w:val="0"/>
              <w:spacing w:before="0" w:after="283"/>
              <w:jc w:val="center"/>
              <w:rPr/>
            </w:pPr>
            <w:r>
              <w:rPr/>
              <w:t>$90,000 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95"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55" w:type="dxa"/>
            <w:tcBorders/>
            <w:shd w:fill="E5EBEE" w:val="clear"/>
            <w:vAlign w:val="center"/>
          </w:tcPr>
          <w:p>
            <w:pPr>
              <w:pStyle w:val="TableContents"/>
              <w:bidi w:val="0"/>
              <w:spacing w:before="0" w:after="283"/>
              <w:jc w:val="center"/>
              <w:rPr/>
            </w:pPr>
            <w:r>
              <w:rPr/>
              <w:t>$93,753,472</w:t>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Involuntary</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w:t>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270" w:type="dxa"/>
            <w:tcBorders/>
            <w:shd w:fill="E5EBEE" w:val="clear"/>
            <w:vAlign w:val="center"/>
          </w:tcPr>
          <w:p>
            <w:pPr>
              <w:pStyle w:val="TableContents"/>
              <w:bidi w:val="0"/>
              <w:spacing w:before="0" w:after="283"/>
              <w:jc w:val="left"/>
              <w:rPr/>
            </w:pPr>
            <w:r>
              <w:rPr/>
              <w:t>Retirement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20"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20"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610" w:type="dxa"/>
            <w:tcBorders/>
            <w:shd w:fill="E5EBEE" w:val="clear"/>
            <w:vAlign w:val="center"/>
          </w:tcPr>
          <w:p>
            <w:pPr>
              <w:pStyle w:val="TableContents"/>
              <w:bidi w:val="0"/>
              <w:spacing w:before="0" w:after="283"/>
              <w:jc w:val="center"/>
              <w:rPr/>
            </w:pPr>
            <w:r>
              <w:rPr/>
              <w:t>$93,663,472 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30" w:type="dxa"/>
            <w:tcBorders/>
            <w:shd w:fill="E5EBEE" w:val="clear"/>
            <w:vAlign w:val="center"/>
          </w:tcPr>
          <w:p>
            <w:pPr>
              <w:pStyle w:val="TableContents"/>
              <w:bidi w:val="0"/>
              <w:spacing w:before="0" w:after="283"/>
              <w:jc w:val="center"/>
              <w:rPr/>
            </w:pPr>
            <w:r>
              <w:rPr/>
              <w:t>$90,000 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95"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55" w:type="dxa"/>
            <w:tcBorders/>
            <w:shd w:fill="E5EBEE" w:val="clear"/>
            <w:vAlign w:val="center"/>
          </w:tcPr>
          <w:p>
            <w:pPr>
              <w:pStyle w:val="TableContents"/>
              <w:bidi w:val="0"/>
              <w:spacing w:before="0" w:after="283"/>
              <w:jc w:val="center"/>
              <w:rPr/>
            </w:pPr>
            <w:r>
              <w:rPr/>
              <w:t>$93,753,472</w:t>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For Cause Termination</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w:t>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2270" w:type="dxa"/>
            <w:tcBorders>
              <w:bottom w:val="single" w:sz="8" w:space="0" w:color="003A5D"/>
            </w:tcBorders>
            <w:shd w:fill="E5EBEE" w:val="clear"/>
            <w:tcMar>
              <w:bottom w:w="60" w:type="dxa"/>
            </w:tcMar>
            <w:vAlign w:val="center"/>
          </w:tcPr>
          <w:p>
            <w:pPr>
              <w:pStyle w:val="TableContents"/>
              <w:bidi w:val="0"/>
              <w:spacing w:before="0" w:after="283"/>
              <w:jc w:val="left"/>
              <w:rPr/>
            </w:pPr>
            <w:r>
              <w:rPr/>
              <w:t>Change of Control(8)</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$20,426,177</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520"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610" w:type="dxa"/>
            <w:tcBorders>
              <w:bottom w:val="single" w:sz="8" w:space="0" w:color="003A5D"/>
            </w:tcBorders>
            <w:shd w:fill="E5EBEE" w:val="clear"/>
            <w:tcMar>
              <w:bottom w:w="60" w:type="dxa"/>
            </w:tcMar>
            <w:vAlign w:val="center"/>
          </w:tcPr>
          <w:p>
            <w:pPr>
              <w:pStyle w:val="TableContents"/>
              <w:bidi w:val="0"/>
              <w:spacing w:before="0" w:after="283"/>
              <w:jc w:val="center"/>
              <w:rPr/>
            </w:pPr>
            <w:r>
              <w:rPr/>
              <w:t>$93,663,472(9) </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130" w:type="dxa"/>
            <w:tcBorders>
              <w:bottom w:val="single" w:sz="8" w:space="0" w:color="003A5D"/>
            </w:tcBorders>
            <w:shd w:fill="E5EBEE" w:val="clear"/>
            <w:tcMar>
              <w:bottom w:w="60" w:type="dxa"/>
            </w:tcMar>
            <w:vAlign w:val="center"/>
          </w:tcPr>
          <w:p>
            <w:pPr>
              <w:pStyle w:val="TableContents"/>
              <w:bidi w:val="0"/>
              <w:spacing w:before="0" w:after="283"/>
              <w:jc w:val="center"/>
              <w:rPr/>
            </w:pPr>
            <w:r>
              <w:rPr/>
              <w:t>$346,318 </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95"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55" w:type="dxa"/>
            <w:tcBorders>
              <w:bottom w:val="single" w:sz="8" w:space="0" w:color="003A5D"/>
            </w:tcBorders>
            <w:shd w:fill="E5EBEE" w:val="clear"/>
            <w:tcMar>
              <w:bottom w:w="60" w:type="dxa"/>
            </w:tcMar>
            <w:vAlign w:val="center"/>
          </w:tcPr>
          <w:p>
            <w:pPr>
              <w:pStyle w:val="TableContents"/>
              <w:bidi w:val="0"/>
              <w:spacing w:before="0" w:after="283"/>
              <w:jc w:val="center"/>
              <w:rPr/>
            </w:pPr>
            <w:r>
              <w:rPr/>
              <w:t>$114,435,967</w:t>
            </w:r>
          </w:p>
        </w:tc>
      </w:tr>
      <w:tr>
        <w:trPr/>
        <w:tc>
          <w:tcPr>
            <w:tcW w:w="815" w:type="dxa"/>
            <w:tcBorders/>
            <w:vAlign w:val="center"/>
          </w:tcPr>
          <w:p>
            <w:pPr>
              <w:pStyle w:val="TableContents"/>
              <w:bidi w:val="0"/>
              <w:spacing w:before="0" w:after="283"/>
              <w:jc w:val="left"/>
              <w:rPr>
                <w:sz w:val="4"/>
                <w:szCs w:val="4"/>
              </w:rPr>
            </w:pPr>
            <w:r>
              <w:rPr>
                <w:sz w:val="4"/>
                <w:szCs w:val="4"/>
              </w:rPr>
            </w:r>
          </w:p>
        </w:tc>
        <w:tc>
          <w:tcPr>
            <w:tcW w:w="233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28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58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67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19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75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415"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815" w:type="dxa"/>
            <w:vMerge w:val="restart"/>
            <w:tcBorders>
              <w:bottom w:val="single" w:sz="8" w:space="0" w:color="003A5D"/>
            </w:tcBorders>
            <w:tcMar>
              <w:bottom w:w="60" w:type="dxa"/>
            </w:tcMar>
            <w:vAlign w:val="center"/>
          </w:tcPr>
          <w:p>
            <w:pPr>
              <w:pStyle w:val="TableContents"/>
              <w:bidi w:val="0"/>
              <w:spacing w:before="0" w:after="0"/>
              <w:jc w:val="left"/>
              <w:rPr>
                <w:rFonts w:ascii="arial" w:hAnsi="arial"/>
                <w:sz w:val="16"/>
              </w:rPr>
            </w:pPr>
            <w:r>
              <w:rPr>
                <w:rFonts w:ascii="arial" w:hAnsi="arial"/>
                <w:sz w:val="16"/>
              </w:rPr>
              <w:t>Andrew M. Young</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Voluntary Termination</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$780,000</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$780,000</w:t>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270" w:type="dxa"/>
            <w:tcBorders/>
            <w:shd w:fill="E5EBEE" w:val="clear"/>
            <w:vAlign w:val="center"/>
          </w:tcPr>
          <w:p>
            <w:pPr>
              <w:pStyle w:val="TableContents"/>
              <w:bidi w:val="0"/>
              <w:spacing w:before="0" w:after="283"/>
              <w:jc w:val="left"/>
              <w:rPr/>
            </w:pPr>
            <w:r>
              <w:rPr/>
              <w:t>Involuntary</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20" w:type="dxa"/>
            <w:tcBorders/>
            <w:shd w:fill="E5EBEE" w:val="clear"/>
            <w:vAlign w:val="center"/>
          </w:tcPr>
          <w:p>
            <w:pPr>
              <w:pStyle w:val="TableContents"/>
              <w:bidi w:val="0"/>
              <w:spacing w:before="0" w:after="283"/>
              <w:jc w:val="center"/>
              <w:rPr/>
            </w:pPr>
            <w:r>
              <w:rPr/>
              <w:t>$4,420,000</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20"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610" w:type="dxa"/>
            <w:tcBorders/>
            <w:shd w:fill="E5EBEE" w:val="clear"/>
            <w:vAlign w:val="center"/>
          </w:tcPr>
          <w:p>
            <w:pPr>
              <w:pStyle w:val="TableContents"/>
              <w:bidi w:val="0"/>
              <w:spacing w:before="0" w:after="283"/>
              <w:jc w:val="center"/>
              <w:rPr/>
            </w:pPr>
            <w:r>
              <w:rPr/>
              <w:t>$9,088,435 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30" w:type="dxa"/>
            <w:tcBorders/>
            <w:shd w:fill="E5EBEE" w:val="clear"/>
            <w:vAlign w:val="center"/>
          </w:tcPr>
          <w:p>
            <w:pPr>
              <w:pStyle w:val="TableContents"/>
              <w:bidi w:val="0"/>
              <w:spacing w:before="0" w:after="283"/>
              <w:jc w:val="center"/>
              <w:rPr/>
            </w:pPr>
            <w:r>
              <w:rPr/>
              <w:t>$30,000 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95"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55" w:type="dxa"/>
            <w:tcBorders/>
            <w:shd w:fill="E5EBEE" w:val="clear"/>
            <w:vAlign w:val="center"/>
          </w:tcPr>
          <w:p>
            <w:pPr>
              <w:pStyle w:val="TableContents"/>
              <w:bidi w:val="0"/>
              <w:spacing w:before="0" w:after="283"/>
              <w:jc w:val="center"/>
              <w:rPr/>
            </w:pPr>
            <w:r>
              <w:rPr/>
              <w:t>$13,538,435</w:t>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Retirement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w:t>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270" w:type="dxa"/>
            <w:tcBorders/>
            <w:shd w:fill="E5EBEE" w:val="clear"/>
            <w:vAlign w:val="center"/>
          </w:tcPr>
          <w:p>
            <w:pPr>
              <w:pStyle w:val="TableContents"/>
              <w:bidi w:val="0"/>
              <w:spacing w:before="0" w:after="283"/>
              <w:jc w:val="left"/>
              <w:rPr/>
            </w:pPr>
            <w:r>
              <w:rPr/>
              <w:t>For Cause Termination</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20"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20"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610" w:type="dxa"/>
            <w:tcBorders/>
            <w:shd w:fill="E5EBEE" w:val="clear"/>
            <w:vAlign w:val="center"/>
          </w:tcPr>
          <w:p>
            <w:pPr>
              <w:pStyle w:val="TableContents"/>
              <w:bidi w:val="0"/>
              <w:spacing w:before="0" w:after="283"/>
              <w:jc w:val="center"/>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30" w:type="dxa"/>
            <w:tcBorders/>
            <w:shd w:fill="E5EBEE" w:val="clear"/>
            <w:vAlign w:val="center"/>
          </w:tcPr>
          <w:p>
            <w:pPr>
              <w:pStyle w:val="TableContents"/>
              <w:bidi w:val="0"/>
              <w:spacing w:before="0" w:after="283"/>
              <w:jc w:val="center"/>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95"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55" w:type="dxa"/>
            <w:tcBorders/>
            <w:shd w:fill="E5EBEE" w:val="clear"/>
            <w:vAlign w:val="center"/>
          </w:tcPr>
          <w:p>
            <w:pPr>
              <w:pStyle w:val="TableContents"/>
              <w:bidi w:val="0"/>
              <w:spacing w:before="0" w:after="283"/>
              <w:jc w:val="center"/>
              <w:rPr/>
            </w:pPr>
            <w:r>
              <w:rPr/>
              <w:t>$—</w:t>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2270" w:type="dxa"/>
            <w:tcBorders>
              <w:bottom w:val="single" w:sz="8" w:space="0" w:color="003A5D"/>
            </w:tcBorders>
            <w:tcMar>
              <w:bottom w:w="60" w:type="dxa"/>
            </w:tcMar>
            <w:vAlign w:val="center"/>
          </w:tcPr>
          <w:p>
            <w:pPr>
              <w:pStyle w:val="TableContents"/>
              <w:bidi w:val="0"/>
              <w:spacing w:before="0" w:after="283"/>
              <w:jc w:val="left"/>
              <w:rPr/>
            </w:pPr>
            <w:r>
              <w:rPr/>
              <w:t>Change of Control(8)</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003A5D"/>
            </w:tcBorders>
            <w:tcMar>
              <w:bottom w:w="60" w:type="dxa"/>
            </w:tcMar>
            <w:vAlign w:val="center"/>
          </w:tcPr>
          <w:p>
            <w:pPr>
              <w:pStyle w:val="TableContents"/>
              <w:bidi w:val="0"/>
              <w:spacing w:before="0" w:after="283"/>
              <w:jc w:val="center"/>
              <w:rPr/>
            </w:pPr>
            <w:r>
              <w:rPr/>
              <w:t>$7,746,092</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520" w:type="dxa"/>
            <w:tcBorders>
              <w:bottom w:val="single" w:sz="8" w:space="0" w:color="003A5D"/>
            </w:tcBorders>
            <w:tcMar>
              <w:bottom w:w="60" w:type="dxa"/>
            </w:tcMar>
            <w:vAlign w:val="center"/>
          </w:tcPr>
          <w:p>
            <w:pPr>
              <w:pStyle w:val="TableContents"/>
              <w:bidi w:val="0"/>
              <w:spacing w:before="0" w:after="283"/>
              <w:jc w:val="center"/>
              <w:rPr/>
            </w:pPr>
            <w:r>
              <w:rPr/>
              <w:t>$455,000</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610" w:type="dxa"/>
            <w:tcBorders>
              <w:bottom w:val="single" w:sz="8" w:space="0" w:color="003A5D"/>
            </w:tcBorders>
            <w:tcMar>
              <w:bottom w:w="60" w:type="dxa"/>
            </w:tcMar>
            <w:vAlign w:val="center"/>
          </w:tcPr>
          <w:p>
            <w:pPr>
              <w:pStyle w:val="TableContents"/>
              <w:bidi w:val="0"/>
              <w:spacing w:before="0" w:after="283"/>
              <w:jc w:val="center"/>
              <w:rPr/>
            </w:pPr>
            <w:r>
              <w:rPr/>
              <w:t>$9,088,435(9) </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130" w:type="dxa"/>
            <w:tcBorders>
              <w:bottom w:val="single" w:sz="8" w:space="0" w:color="003A5D"/>
            </w:tcBorders>
            <w:tcMar>
              <w:bottom w:w="60" w:type="dxa"/>
            </w:tcMar>
            <w:vAlign w:val="center"/>
          </w:tcPr>
          <w:p>
            <w:pPr>
              <w:pStyle w:val="TableContents"/>
              <w:bidi w:val="0"/>
              <w:spacing w:before="0" w:after="283"/>
              <w:jc w:val="center"/>
              <w:rPr/>
            </w:pPr>
            <w:r>
              <w:rPr/>
              <w:t>$171,220 </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695" w:type="dxa"/>
            <w:tcBorders>
              <w:bottom w:val="single" w:sz="8" w:space="0" w:color="003A5D"/>
            </w:tcBorders>
            <w:tcMar>
              <w:bottom w:w="60" w:type="dxa"/>
            </w:tcMar>
            <w:vAlign w:val="center"/>
          </w:tcPr>
          <w:p>
            <w:pPr>
              <w:pStyle w:val="TableContents"/>
              <w:bidi w:val="0"/>
              <w:spacing w:before="0" w:after="283"/>
              <w:jc w:val="center"/>
              <w:rPr/>
            </w:pPr>
            <w:r>
              <w:rPr/>
              <w:t>$—</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355" w:type="dxa"/>
            <w:tcBorders>
              <w:bottom w:val="single" w:sz="8" w:space="0" w:color="003A5D"/>
            </w:tcBorders>
            <w:tcMar>
              <w:bottom w:w="60" w:type="dxa"/>
            </w:tcMar>
            <w:vAlign w:val="center"/>
          </w:tcPr>
          <w:p>
            <w:pPr>
              <w:pStyle w:val="TableContents"/>
              <w:bidi w:val="0"/>
              <w:spacing w:before="0" w:after="283"/>
              <w:jc w:val="center"/>
              <w:rPr/>
            </w:pPr>
            <w:r>
              <w:rPr/>
              <w:t>$17,460,747</w:t>
            </w:r>
          </w:p>
        </w:tc>
      </w:tr>
      <w:tr>
        <w:trPr/>
        <w:tc>
          <w:tcPr>
            <w:tcW w:w="815" w:type="dxa"/>
            <w:tcBorders/>
            <w:vAlign w:val="center"/>
          </w:tcPr>
          <w:p>
            <w:pPr>
              <w:pStyle w:val="TableContents"/>
              <w:bidi w:val="0"/>
              <w:spacing w:before="0" w:after="283"/>
              <w:jc w:val="left"/>
              <w:rPr>
                <w:sz w:val="4"/>
                <w:szCs w:val="4"/>
              </w:rPr>
            </w:pPr>
            <w:r>
              <w:rPr>
                <w:sz w:val="4"/>
                <w:szCs w:val="4"/>
              </w:rPr>
            </w:r>
          </w:p>
        </w:tc>
        <w:tc>
          <w:tcPr>
            <w:tcW w:w="233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8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8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67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9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75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41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815" w:type="dxa"/>
            <w:vMerge w:val="restart"/>
            <w:tcBorders>
              <w:bottom w:val="single" w:sz="8" w:space="0" w:color="003A5D"/>
            </w:tcBorders>
            <w:tcMar>
              <w:bottom w:w="60" w:type="dxa"/>
            </w:tcMar>
            <w:vAlign w:val="center"/>
          </w:tcPr>
          <w:p>
            <w:pPr>
              <w:pStyle w:val="TableContents"/>
              <w:bidi w:val="0"/>
              <w:spacing w:before="0" w:after="0"/>
              <w:jc w:val="left"/>
              <w:rPr>
                <w:rFonts w:ascii="arial" w:hAnsi="arial"/>
                <w:sz w:val="16"/>
              </w:rPr>
            </w:pPr>
            <w:r>
              <w:rPr>
                <w:rFonts w:ascii="arial" w:hAnsi="arial"/>
                <w:sz w:val="16"/>
              </w:rPr>
              <w:t>Frank G. LaPrade, III</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270" w:type="dxa"/>
            <w:tcBorders/>
            <w:shd w:fill="E5EBEE" w:val="clear"/>
            <w:vAlign w:val="center"/>
          </w:tcPr>
          <w:p>
            <w:pPr>
              <w:pStyle w:val="TableContents"/>
              <w:bidi w:val="0"/>
              <w:spacing w:before="0" w:after="283"/>
              <w:jc w:val="left"/>
              <w:rPr/>
            </w:pPr>
            <w:r>
              <w:rPr/>
              <w:t>Voluntary Termination(7)</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20"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20"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610" w:type="dxa"/>
            <w:tcBorders/>
            <w:shd w:fill="E5EBEE" w:val="clear"/>
            <w:vAlign w:val="center"/>
          </w:tcPr>
          <w:p>
            <w:pPr>
              <w:pStyle w:val="TableContents"/>
              <w:bidi w:val="0"/>
              <w:spacing w:before="0" w:after="283"/>
              <w:jc w:val="center"/>
              <w:rPr/>
            </w:pPr>
            <w:r>
              <w:rPr/>
              <w:t>$13,229,382 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30" w:type="dxa"/>
            <w:tcBorders/>
            <w:shd w:fill="E5EBEE" w:val="clear"/>
            <w:vAlign w:val="center"/>
          </w:tcPr>
          <w:p>
            <w:pPr>
              <w:pStyle w:val="TableContents"/>
              <w:bidi w:val="0"/>
              <w:spacing w:before="0" w:after="283"/>
              <w:jc w:val="center"/>
              <w:rPr/>
            </w:pPr>
            <w:r>
              <w:rPr/>
              <w:t>$61,000 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95"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55" w:type="dxa"/>
            <w:tcBorders/>
            <w:shd w:fill="E5EBEE" w:val="clear"/>
            <w:vAlign w:val="center"/>
          </w:tcPr>
          <w:p>
            <w:pPr>
              <w:pStyle w:val="TableContents"/>
              <w:bidi w:val="0"/>
              <w:spacing w:before="0" w:after="283"/>
              <w:jc w:val="center"/>
              <w:rPr/>
            </w:pPr>
            <w:r>
              <w:rPr/>
              <w:t>$13,290,382</w:t>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Involuntary</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$3,817,000</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$13,229,382 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$30,000 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$17,076,382</w:t>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270" w:type="dxa"/>
            <w:tcBorders/>
            <w:shd w:fill="E5EBEE" w:val="clear"/>
            <w:vAlign w:val="center"/>
          </w:tcPr>
          <w:p>
            <w:pPr>
              <w:pStyle w:val="TableContents"/>
              <w:bidi w:val="0"/>
              <w:spacing w:before="0" w:after="283"/>
              <w:jc w:val="left"/>
              <w:rPr/>
            </w:pPr>
            <w:r>
              <w:rPr/>
              <w:t>Retirement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20"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20"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610" w:type="dxa"/>
            <w:tcBorders/>
            <w:shd w:fill="E5EBEE" w:val="clear"/>
            <w:vAlign w:val="center"/>
          </w:tcPr>
          <w:p>
            <w:pPr>
              <w:pStyle w:val="TableContents"/>
              <w:bidi w:val="0"/>
              <w:spacing w:before="0" w:after="283"/>
              <w:jc w:val="center"/>
              <w:rPr/>
            </w:pPr>
            <w:r>
              <w:rPr/>
              <w:t>$13,229,382 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30" w:type="dxa"/>
            <w:tcBorders/>
            <w:shd w:fill="E5EBEE" w:val="clear"/>
            <w:vAlign w:val="center"/>
          </w:tcPr>
          <w:p>
            <w:pPr>
              <w:pStyle w:val="TableContents"/>
              <w:bidi w:val="0"/>
              <w:spacing w:before="0" w:after="283"/>
              <w:jc w:val="center"/>
              <w:rPr/>
            </w:pPr>
            <w:r>
              <w:rPr/>
              <w:t>$61,000 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95"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55" w:type="dxa"/>
            <w:tcBorders/>
            <w:shd w:fill="E5EBEE" w:val="clear"/>
            <w:vAlign w:val="center"/>
          </w:tcPr>
          <w:p>
            <w:pPr>
              <w:pStyle w:val="TableContents"/>
              <w:bidi w:val="0"/>
              <w:spacing w:before="0" w:after="283"/>
              <w:jc w:val="center"/>
              <w:rPr/>
            </w:pPr>
            <w:r>
              <w:rPr/>
              <w:t>$13,290,382</w:t>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For Cause Termination</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w:t>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2270" w:type="dxa"/>
            <w:tcBorders>
              <w:bottom w:val="single" w:sz="8" w:space="0" w:color="003A5D"/>
            </w:tcBorders>
            <w:shd w:fill="E5EBEE" w:val="clear"/>
            <w:tcMar>
              <w:bottom w:w="60" w:type="dxa"/>
            </w:tcMar>
            <w:vAlign w:val="center"/>
          </w:tcPr>
          <w:p>
            <w:pPr>
              <w:pStyle w:val="TableContents"/>
              <w:bidi w:val="0"/>
              <w:spacing w:before="0" w:after="283"/>
              <w:jc w:val="left"/>
              <w:rPr/>
            </w:pPr>
            <w:r>
              <w:rPr/>
              <w:t>Change of Control(8)</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$10,466,352</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520" w:type="dxa"/>
            <w:tcBorders>
              <w:bottom w:val="single" w:sz="8" w:space="0" w:color="003A5D"/>
            </w:tcBorders>
            <w:shd w:fill="E5EBEE" w:val="clear"/>
            <w:tcMar>
              <w:bottom w:w="60" w:type="dxa"/>
            </w:tcMar>
            <w:vAlign w:val="center"/>
          </w:tcPr>
          <w:p>
            <w:pPr>
              <w:pStyle w:val="TableContents"/>
              <w:bidi w:val="0"/>
              <w:spacing w:before="0" w:after="283"/>
              <w:jc w:val="center"/>
              <w:rPr/>
            </w:pPr>
            <w:r>
              <w:rPr/>
              <w:t>$457,003</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610" w:type="dxa"/>
            <w:tcBorders>
              <w:bottom w:val="single" w:sz="8" w:space="0" w:color="003A5D"/>
            </w:tcBorders>
            <w:shd w:fill="E5EBEE" w:val="clear"/>
            <w:tcMar>
              <w:bottom w:w="60" w:type="dxa"/>
            </w:tcMar>
            <w:vAlign w:val="center"/>
          </w:tcPr>
          <w:p>
            <w:pPr>
              <w:pStyle w:val="TableContents"/>
              <w:bidi w:val="0"/>
              <w:spacing w:before="0" w:after="283"/>
              <w:jc w:val="center"/>
              <w:rPr/>
            </w:pPr>
            <w:r>
              <w:rPr/>
              <w:t>$13,229,382(9) </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130" w:type="dxa"/>
            <w:tcBorders>
              <w:bottom w:val="single" w:sz="8" w:space="0" w:color="003A5D"/>
            </w:tcBorders>
            <w:shd w:fill="E5EBEE" w:val="clear"/>
            <w:tcMar>
              <w:bottom w:w="60" w:type="dxa"/>
            </w:tcMar>
            <w:vAlign w:val="center"/>
          </w:tcPr>
          <w:p>
            <w:pPr>
              <w:pStyle w:val="TableContents"/>
              <w:bidi w:val="0"/>
              <w:spacing w:before="0" w:after="283"/>
              <w:jc w:val="center"/>
              <w:rPr/>
            </w:pPr>
            <w:r>
              <w:rPr/>
              <w:t>$200,404 </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95"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55" w:type="dxa"/>
            <w:tcBorders>
              <w:bottom w:val="single" w:sz="8" w:space="0" w:color="003A5D"/>
            </w:tcBorders>
            <w:shd w:fill="E5EBEE" w:val="clear"/>
            <w:tcMar>
              <w:bottom w:w="60" w:type="dxa"/>
            </w:tcMar>
            <w:vAlign w:val="center"/>
          </w:tcPr>
          <w:p>
            <w:pPr>
              <w:pStyle w:val="TableContents"/>
              <w:bidi w:val="0"/>
              <w:spacing w:before="0" w:after="283"/>
              <w:jc w:val="center"/>
              <w:rPr/>
            </w:pPr>
            <w:r>
              <w:rPr/>
              <w:t>$24,353,141</w:t>
            </w:r>
          </w:p>
        </w:tc>
      </w:tr>
      <w:tr>
        <w:trPr/>
        <w:tc>
          <w:tcPr>
            <w:tcW w:w="815" w:type="dxa"/>
            <w:tcBorders/>
            <w:vAlign w:val="center"/>
          </w:tcPr>
          <w:p>
            <w:pPr>
              <w:pStyle w:val="TableContents"/>
              <w:bidi w:val="0"/>
              <w:spacing w:before="0" w:after="283"/>
              <w:jc w:val="left"/>
              <w:rPr>
                <w:sz w:val="4"/>
                <w:szCs w:val="4"/>
              </w:rPr>
            </w:pPr>
            <w:r>
              <w:rPr>
                <w:sz w:val="4"/>
                <w:szCs w:val="4"/>
              </w:rPr>
            </w:r>
          </w:p>
        </w:tc>
        <w:tc>
          <w:tcPr>
            <w:tcW w:w="233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28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58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67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19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75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415"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815" w:type="dxa"/>
            <w:vMerge w:val="restart"/>
            <w:tcBorders>
              <w:bottom w:val="single" w:sz="8" w:space="0" w:color="003A5D"/>
            </w:tcBorders>
            <w:tcMar>
              <w:bottom w:w="60" w:type="dxa"/>
            </w:tcMar>
            <w:vAlign w:val="center"/>
          </w:tcPr>
          <w:p>
            <w:pPr>
              <w:pStyle w:val="TableContents"/>
              <w:bidi w:val="0"/>
              <w:spacing w:before="0" w:after="0"/>
              <w:jc w:val="left"/>
              <w:rPr>
                <w:rFonts w:ascii="arial" w:hAnsi="arial"/>
                <w:sz w:val="16"/>
              </w:rPr>
            </w:pPr>
            <w:r>
              <w:rPr>
                <w:rFonts w:ascii="arial" w:hAnsi="arial"/>
                <w:sz w:val="16"/>
              </w:rPr>
              <w:t>Matthew W. Cooper</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Voluntary</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w:t>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270" w:type="dxa"/>
            <w:tcBorders/>
            <w:shd w:fill="E5EBEE" w:val="clear"/>
            <w:vAlign w:val="center"/>
          </w:tcPr>
          <w:p>
            <w:pPr>
              <w:pStyle w:val="TableContents"/>
              <w:bidi w:val="0"/>
              <w:spacing w:before="0" w:after="283"/>
              <w:jc w:val="left"/>
              <w:rPr/>
            </w:pPr>
            <w:r>
              <w:rPr/>
              <w:t>Involuntary</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20" w:type="dxa"/>
            <w:tcBorders/>
            <w:shd w:fill="E5EBEE" w:val="clear"/>
            <w:vAlign w:val="center"/>
          </w:tcPr>
          <w:p>
            <w:pPr>
              <w:pStyle w:val="TableContents"/>
              <w:bidi w:val="0"/>
              <w:spacing w:before="0" w:after="283"/>
              <w:jc w:val="center"/>
              <w:rPr/>
            </w:pPr>
            <w:r>
              <w:rPr/>
              <w:t>$3,064,000</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20"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610" w:type="dxa"/>
            <w:tcBorders/>
            <w:shd w:fill="E5EBEE" w:val="clear"/>
            <w:vAlign w:val="center"/>
          </w:tcPr>
          <w:p>
            <w:pPr>
              <w:pStyle w:val="TableContents"/>
              <w:bidi w:val="0"/>
              <w:spacing w:before="0" w:after="283"/>
              <w:jc w:val="center"/>
              <w:rPr/>
            </w:pPr>
            <w:r>
              <w:rPr/>
              <w:t>$10,101,293 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30" w:type="dxa"/>
            <w:tcBorders/>
            <w:shd w:fill="E5EBEE" w:val="clear"/>
            <w:vAlign w:val="center"/>
          </w:tcPr>
          <w:p>
            <w:pPr>
              <w:pStyle w:val="TableContents"/>
              <w:bidi w:val="0"/>
              <w:spacing w:before="0" w:after="283"/>
              <w:jc w:val="center"/>
              <w:rPr/>
            </w:pPr>
            <w:r>
              <w:rPr/>
              <w:t>$30,000 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95"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55" w:type="dxa"/>
            <w:tcBorders/>
            <w:shd w:fill="E5EBEE" w:val="clear"/>
            <w:vAlign w:val="center"/>
          </w:tcPr>
          <w:p>
            <w:pPr>
              <w:pStyle w:val="TableContents"/>
              <w:bidi w:val="0"/>
              <w:spacing w:before="0" w:after="283"/>
              <w:jc w:val="center"/>
              <w:rPr/>
            </w:pPr>
            <w:r>
              <w:rPr/>
              <w:t>$13,195,293</w:t>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Retirement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w:t>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270" w:type="dxa"/>
            <w:tcBorders/>
            <w:shd w:fill="E5EBEE" w:val="clear"/>
            <w:vAlign w:val="center"/>
          </w:tcPr>
          <w:p>
            <w:pPr>
              <w:pStyle w:val="TableContents"/>
              <w:bidi w:val="0"/>
              <w:spacing w:before="0" w:after="283"/>
              <w:jc w:val="left"/>
              <w:rPr/>
            </w:pPr>
            <w:r>
              <w:rPr/>
              <w:t>For Cause Termination</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20"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20"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610" w:type="dxa"/>
            <w:tcBorders/>
            <w:shd w:fill="E5EBEE" w:val="clear"/>
            <w:vAlign w:val="center"/>
          </w:tcPr>
          <w:p>
            <w:pPr>
              <w:pStyle w:val="TableContents"/>
              <w:bidi w:val="0"/>
              <w:spacing w:before="0" w:after="283"/>
              <w:jc w:val="center"/>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30" w:type="dxa"/>
            <w:tcBorders/>
            <w:shd w:fill="E5EBEE" w:val="clear"/>
            <w:vAlign w:val="center"/>
          </w:tcPr>
          <w:p>
            <w:pPr>
              <w:pStyle w:val="TableContents"/>
              <w:bidi w:val="0"/>
              <w:spacing w:before="0" w:after="283"/>
              <w:jc w:val="center"/>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95"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55" w:type="dxa"/>
            <w:tcBorders/>
            <w:shd w:fill="E5EBEE" w:val="clear"/>
            <w:vAlign w:val="center"/>
          </w:tcPr>
          <w:p>
            <w:pPr>
              <w:pStyle w:val="TableContents"/>
              <w:bidi w:val="0"/>
              <w:spacing w:before="0" w:after="283"/>
              <w:jc w:val="center"/>
              <w:rPr/>
            </w:pPr>
            <w:r>
              <w:rPr/>
              <w:t>$—</w:t>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2270" w:type="dxa"/>
            <w:tcBorders>
              <w:bottom w:val="single" w:sz="8" w:space="0" w:color="003A5D"/>
            </w:tcBorders>
            <w:tcMar>
              <w:bottom w:w="60" w:type="dxa"/>
            </w:tcMar>
            <w:vAlign w:val="center"/>
          </w:tcPr>
          <w:p>
            <w:pPr>
              <w:pStyle w:val="TableContents"/>
              <w:bidi w:val="0"/>
              <w:spacing w:before="0" w:after="283"/>
              <w:jc w:val="left"/>
              <w:rPr/>
            </w:pPr>
            <w:r>
              <w:rPr/>
              <w:t>Change of Control(8)</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003A5D"/>
            </w:tcBorders>
            <w:tcMar>
              <w:bottom w:w="60" w:type="dxa"/>
            </w:tcMar>
            <w:vAlign w:val="center"/>
          </w:tcPr>
          <w:p>
            <w:pPr>
              <w:pStyle w:val="TableContents"/>
              <w:bidi w:val="0"/>
              <w:spacing w:before="0" w:after="283"/>
              <w:jc w:val="center"/>
              <w:rPr/>
            </w:pPr>
            <w:r>
              <w:rPr/>
              <w:t>$8,904,148</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520" w:type="dxa"/>
            <w:tcBorders>
              <w:bottom w:val="single" w:sz="8" w:space="0" w:color="003A5D"/>
            </w:tcBorders>
            <w:tcMar>
              <w:bottom w:w="60" w:type="dxa"/>
            </w:tcMar>
            <w:vAlign w:val="center"/>
          </w:tcPr>
          <w:p>
            <w:pPr>
              <w:pStyle w:val="TableContents"/>
              <w:bidi w:val="0"/>
              <w:spacing w:before="0" w:after="283"/>
              <w:jc w:val="center"/>
              <w:rPr/>
            </w:pPr>
            <w:r>
              <w:rPr/>
              <w:t>$455,434</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610" w:type="dxa"/>
            <w:tcBorders>
              <w:bottom w:val="single" w:sz="8" w:space="0" w:color="003A5D"/>
            </w:tcBorders>
            <w:tcMar>
              <w:bottom w:w="60" w:type="dxa"/>
            </w:tcMar>
            <w:vAlign w:val="center"/>
          </w:tcPr>
          <w:p>
            <w:pPr>
              <w:pStyle w:val="TableContents"/>
              <w:bidi w:val="0"/>
              <w:spacing w:before="0" w:after="283"/>
              <w:jc w:val="center"/>
              <w:rPr/>
            </w:pPr>
            <w:r>
              <w:rPr/>
              <w:t>$10,101,293(9) </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130" w:type="dxa"/>
            <w:tcBorders>
              <w:bottom w:val="single" w:sz="8" w:space="0" w:color="003A5D"/>
            </w:tcBorders>
            <w:tcMar>
              <w:bottom w:w="60" w:type="dxa"/>
            </w:tcMar>
            <w:vAlign w:val="center"/>
          </w:tcPr>
          <w:p>
            <w:pPr>
              <w:pStyle w:val="TableContents"/>
              <w:bidi w:val="0"/>
              <w:spacing w:before="0" w:after="283"/>
              <w:jc w:val="center"/>
              <w:rPr/>
            </w:pPr>
            <w:r>
              <w:rPr/>
              <w:t>$182,015 </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695" w:type="dxa"/>
            <w:tcBorders>
              <w:bottom w:val="single" w:sz="8" w:space="0" w:color="003A5D"/>
            </w:tcBorders>
            <w:tcMar>
              <w:bottom w:w="60" w:type="dxa"/>
            </w:tcMar>
            <w:vAlign w:val="center"/>
          </w:tcPr>
          <w:p>
            <w:pPr>
              <w:pStyle w:val="TableContents"/>
              <w:bidi w:val="0"/>
              <w:spacing w:before="0" w:after="283"/>
              <w:jc w:val="center"/>
              <w:rPr/>
            </w:pPr>
            <w:r>
              <w:rPr/>
              <w:t>$—</w:t>
            </w:r>
          </w:p>
        </w:tc>
        <w:tc>
          <w:tcPr>
            <w:tcW w:w="6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355" w:type="dxa"/>
            <w:tcBorders>
              <w:bottom w:val="single" w:sz="8" w:space="0" w:color="003A5D"/>
            </w:tcBorders>
            <w:tcMar>
              <w:bottom w:w="60" w:type="dxa"/>
            </w:tcMar>
            <w:vAlign w:val="center"/>
          </w:tcPr>
          <w:p>
            <w:pPr>
              <w:pStyle w:val="TableContents"/>
              <w:bidi w:val="0"/>
              <w:spacing w:before="0" w:after="283"/>
              <w:jc w:val="center"/>
              <w:rPr/>
            </w:pPr>
            <w:r>
              <w:rPr/>
              <w:t>$19,642,890</w:t>
            </w:r>
          </w:p>
        </w:tc>
      </w:tr>
      <w:tr>
        <w:trPr/>
        <w:tc>
          <w:tcPr>
            <w:tcW w:w="815" w:type="dxa"/>
            <w:tcBorders/>
            <w:vAlign w:val="center"/>
          </w:tcPr>
          <w:p>
            <w:pPr>
              <w:pStyle w:val="TableContents"/>
              <w:bidi w:val="0"/>
              <w:spacing w:before="0" w:after="283"/>
              <w:jc w:val="left"/>
              <w:rPr>
                <w:sz w:val="4"/>
                <w:szCs w:val="4"/>
              </w:rPr>
            </w:pPr>
            <w:r>
              <w:rPr>
                <w:sz w:val="4"/>
                <w:szCs w:val="4"/>
              </w:rPr>
            </w:r>
          </w:p>
        </w:tc>
        <w:tc>
          <w:tcPr>
            <w:tcW w:w="233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8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8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67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9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75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41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815" w:type="dxa"/>
            <w:vMerge w:val="restart"/>
            <w:tcBorders>
              <w:bottom w:val="single" w:sz="8" w:space="0" w:color="003A5D"/>
            </w:tcBorders>
            <w:tcMar>
              <w:bottom w:w="60" w:type="dxa"/>
            </w:tcMar>
            <w:vAlign w:val="center"/>
          </w:tcPr>
          <w:p>
            <w:pPr>
              <w:pStyle w:val="TableContents"/>
              <w:bidi w:val="0"/>
              <w:spacing w:before="0" w:after="0"/>
              <w:jc w:val="left"/>
              <w:rPr>
                <w:rFonts w:ascii="arial" w:hAnsi="arial"/>
                <w:sz w:val="16"/>
              </w:rPr>
            </w:pPr>
            <w:r>
              <w:rPr>
                <w:rFonts w:ascii="arial" w:hAnsi="arial"/>
                <w:sz w:val="16"/>
              </w:rPr>
              <w:t>Sanjiv Yajnik</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270" w:type="dxa"/>
            <w:tcBorders/>
            <w:shd w:fill="E5EBEE" w:val="clear"/>
            <w:vAlign w:val="center"/>
          </w:tcPr>
          <w:p>
            <w:pPr>
              <w:pStyle w:val="TableContents"/>
              <w:bidi w:val="0"/>
              <w:spacing w:before="0" w:after="283"/>
              <w:jc w:val="left"/>
              <w:rPr/>
            </w:pPr>
            <w:r>
              <w:rPr/>
              <w:t>Voluntary Termination(7)</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20" w:type="dxa"/>
            <w:tcBorders/>
            <w:shd w:fill="E5EBEE" w:val="clear"/>
            <w:vAlign w:val="center"/>
          </w:tcPr>
          <w:p>
            <w:pPr>
              <w:pStyle w:val="TableContents"/>
              <w:bidi w:val="0"/>
              <w:spacing w:before="0" w:after="283"/>
              <w:jc w:val="center"/>
              <w:rPr/>
            </w:pPr>
            <w:r>
              <w:rPr/>
              <w:t>$976,500</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20"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610" w:type="dxa"/>
            <w:tcBorders/>
            <w:shd w:fill="E5EBEE" w:val="clear"/>
            <w:vAlign w:val="center"/>
          </w:tcPr>
          <w:p>
            <w:pPr>
              <w:pStyle w:val="TableContents"/>
              <w:bidi w:val="0"/>
              <w:spacing w:before="0" w:after="283"/>
              <w:jc w:val="center"/>
              <w:rPr/>
            </w:pPr>
            <w:r>
              <w:rPr/>
              <w:t>$11,758,777 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30" w:type="dxa"/>
            <w:tcBorders/>
            <w:shd w:fill="E5EBEE" w:val="clear"/>
            <w:vAlign w:val="center"/>
          </w:tcPr>
          <w:p>
            <w:pPr>
              <w:pStyle w:val="TableContents"/>
              <w:bidi w:val="0"/>
              <w:spacing w:before="0" w:after="283"/>
              <w:jc w:val="center"/>
              <w:rPr/>
            </w:pPr>
            <w:r>
              <w:rPr/>
              <w:t>$61,000 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95"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55" w:type="dxa"/>
            <w:tcBorders/>
            <w:shd w:fill="E5EBEE" w:val="clear"/>
            <w:vAlign w:val="center"/>
          </w:tcPr>
          <w:p>
            <w:pPr>
              <w:pStyle w:val="TableContents"/>
              <w:bidi w:val="0"/>
              <w:spacing w:before="0" w:after="283"/>
              <w:jc w:val="center"/>
              <w:rPr/>
            </w:pPr>
            <w:r>
              <w:rPr/>
              <w:t>$12,796,277</w:t>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Involuntary</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$5,534,000</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$11,758,777 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$30,000 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$17,322,777</w:t>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270" w:type="dxa"/>
            <w:tcBorders/>
            <w:shd w:fill="E5EBEE" w:val="clear"/>
            <w:vAlign w:val="center"/>
          </w:tcPr>
          <w:p>
            <w:pPr>
              <w:pStyle w:val="TableContents"/>
              <w:bidi w:val="0"/>
              <w:spacing w:before="0" w:after="283"/>
              <w:jc w:val="left"/>
              <w:rPr/>
            </w:pPr>
            <w:r>
              <w:rPr/>
              <w:t>Retirement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20" w:type="dxa"/>
            <w:tcBorders/>
            <w:shd w:fill="E5EBEE" w:val="clear"/>
            <w:vAlign w:val="center"/>
          </w:tcPr>
          <w:p>
            <w:pPr>
              <w:pStyle w:val="TableContents"/>
              <w:bidi w:val="0"/>
              <w:spacing w:before="0" w:after="283"/>
              <w:jc w:val="center"/>
              <w:rPr/>
            </w:pPr>
            <w:r>
              <w:rPr/>
              <w:t>$976,500</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20"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610" w:type="dxa"/>
            <w:tcBorders/>
            <w:shd w:fill="E5EBEE" w:val="clear"/>
            <w:vAlign w:val="center"/>
          </w:tcPr>
          <w:p>
            <w:pPr>
              <w:pStyle w:val="TableContents"/>
              <w:bidi w:val="0"/>
              <w:spacing w:before="0" w:after="283"/>
              <w:jc w:val="center"/>
              <w:rPr/>
            </w:pPr>
            <w:r>
              <w:rPr/>
              <w:t>$11,758,777 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30" w:type="dxa"/>
            <w:tcBorders/>
            <w:shd w:fill="E5EBEE" w:val="clear"/>
            <w:vAlign w:val="center"/>
          </w:tcPr>
          <w:p>
            <w:pPr>
              <w:pStyle w:val="TableContents"/>
              <w:bidi w:val="0"/>
              <w:spacing w:before="0" w:after="283"/>
              <w:jc w:val="center"/>
              <w:rPr/>
            </w:pPr>
            <w:r>
              <w:rPr/>
              <w:t>$61,000 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95" w:type="dxa"/>
            <w:tcBorders/>
            <w:shd w:fill="E5EBEE" w:val="clear"/>
            <w:vAlign w:val="center"/>
          </w:tcPr>
          <w:p>
            <w:pPr>
              <w:pStyle w:val="TableContents"/>
              <w:bidi w:val="0"/>
              <w:spacing w:before="0" w:after="283"/>
              <w:jc w:val="center"/>
              <w:rPr/>
            </w:pPr>
            <w:r>
              <w:rPr/>
              <w: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55" w:type="dxa"/>
            <w:tcBorders/>
            <w:shd w:fill="E5EBEE" w:val="clear"/>
            <w:vAlign w:val="center"/>
          </w:tcPr>
          <w:p>
            <w:pPr>
              <w:pStyle w:val="TableContents"/>
              <w:bidi w:val="0"/>
              <w:spacing w:before="0" w:after="283"/>
              <w:jc w:val="center"/>
              <w:rPr/>
            </w:pPr>
            <w:r>
              <w:rPr/>
              <w:t>$12,796,277</w:t>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For Cause Termination</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w:t>
            </w:r>
          </w:p>
        </w:tc>
      </w:tr>
      <w:tr>
        <w:trPr/>
        <w:tc>
          <w:tcPr>
            <w:tcW w:w="815" w:type="dxa"/>
            <w:vMerge w:val="continue"/>
            <w:tcBorders>
              <w:bottom w:val="single" w:sz="8" w:space="0" w:color="003A5D"/>
            </w:tcBorders>
            <w:tcMar>
              <w:bottom w:w="60" w:type="dxa"/>
            </w:tcMar>
            <w:vAlign w:val="center"/>
          </w:tcPr>
          <w:p>
            <w:pPr>
              <w:pStyle w:val="Normal"/>
              <w:bidi w:val="0"/>
              <w:jc w:val="left"/>
              <w:rPr/>
            </w:pPr>
            <w:r>
              <w:rPr/>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2270" w:type="dxa"/>
            <w:tcBorders>
              <w:bottom w:val="single" w:sz="8" w:space="0" w:color="003A5D"/>
            </w:tcBorders>
            <w:shd w:fill="E5EBEE" w:val="clear"/>
            <w:tcMar>
              <w:bottom w:w="60" w:type="dxa"/>
            </w:tcMar>
            <w:vAlign w:val="center"/>
          </w:tcPr>
          <w:p>
            <w:pPr>
              <w:pStyle w:val="TableContents"/>
              <w:bidi w:val="0"/>
              <w:spacing w:before="0" w:after="283"/>
              <w:jc w:val="left"/>
              <w:rPr/>
            </w:pPr>
            <w:r>
              <w:rPr/>
              <w:t>Change of Control(8)</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$9,826,949</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520" w:type="dxa"/>
            <w:tcBorders>
              <w:bottom w:val="single" w:sz="8" w:space="0" w:color="003A5D"/>
            </w:tcBorders>
            <w:shd w:fill="E5EBEE" w:val="clear"/>
            <w:tcMar>
              <w:bottom w:w="60" w:type="dxa"/>
            </w:tcMar>
            <w:vAlign w:val="center"/>
          </w:tcPr>
          <w:p>
            <w:pPr>
              <w:pStyle w:val="TableContents"/>
              <w:bidi w:val="0"/>
              <w:spacing w:before="0" w:after="283"/>
              <w:jc w:val="center"/>
              <w:rPr/>
            </w:pPr>
            <w:r>
              <w:rPr/>
              <w:t>$456,511</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610" w:type="dxa"/>
            <w:tcBorders>
              <w:bottom w:val="single" w:sz="8" w:space="0" w:color="003A5D"/>
            </w:tcBorders>
            <w:shd w:fill="E5EBEE" w:val="clear"/>
            <w:tcMar>
              <w:bottom w:w="60" w:type="dxa"/>
            </w:tcMar>
            <w:vAlign w:val="center"/>
          </w:tcPr>
          <w:p>
            <w:pPr>
              <w:pStyle w:val="TableContents"/>
              <w:bidi w:val="0"/>
              <w:spacing w:before="0" w:after="283"/>
              <w:jc w:val="center"/>
              <w:rPr/>
            </w:pPr>
            <w:r>
              <w:rPr/>
              <w:t>$11,758,777(9) </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130" w:type="dxa"/>
            <w:tcBorders>
              <w:bottom w:val="single" w:sz="8" w:space="0" w:color="003A5D"/>
            </w:tcBorders>
            <w:shd w:fill="E5EBEE" w:val="clear"/>
            <w:tcMar>
              <w:bottom w:w="60" w:type="dxa"/>
            </w:tcMar>
            <w:vAlign w:val="center"/>
          </w:tcPr>
          <w:p>
            <w:pPr>
              <w:pStyle w:val="TableContents"/>
              <w:bidi w:val="0"/>
              <w:spacing w:before="0" w:after="283"/>
              <w:jc w:val="center"/>
              <w:rPr/>
            </w:pPr>
            <w:r>
              <w:rPr/>
              <w:t>$247,176 </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95"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55" w:type="dxa"/>
            <w:tcBorders>
              <w:bottom w:val="single" w:sz="8" w:space="0" w:color="003A5D"/>
            </w:tcBorders>
            <w:shd w:fill="E5EBEE" w:val="clear"/>
            <w:tcMar>
              <w:bottom w:w="60" w:type="dxa"/>
            </w:tcMar>
            <w:vAlign w:val="center"/>
          </w:tcPr>
          <w:p>
            <w:pPr>
              <w:pStyle w:val="TableContents"/>
              <w:bidi w:val="0"/>
              <w:spacing w:before="0" w:after="283"/>
              <w:jc w:val="center"/>
              <w:rPr/>
            </w:pPr>
            <w:r>
              <w:rPr/>
              <w:t>$22,289,413</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both"/>
              <w:rPr>
                <w:rFonts w:ascii="arial" w:hAnsi="arial"/>
                <w:sz w:val="16"/>
              </w:rPr>
            </w:pPr>
            <w:r>
              <w:rPr>
                <w:rFonts w:ascii="arial" w:hAnsi="arial"/>
                <w:sz w:val="16"/>
              </w:rPr>
              <w:t xml:space="preserve">Represents cash amounts paid for severance or in relation to enforcement of non-competition covenants as described under “Restrictive Covenants” beginning on page 106. Cash-settled RSUs granted after the end of a performance year are included in the “Acceleration and Continuation of Equity Awards” column.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305"/>
        <w:gridCol w:w="7040"/>
      </w:tblGrid>
      <w:tr>
        <w:trPr/>
        <w:tc>
          <w:tcPr>
            <w:tcW w:w="305" w:type="dxa"/>
            <w:tcBorders/>
            <w:vAlign w:val="center"/>
          </w:tcPr>
          <w:p>
            <w:pPr>
              <w:pStyle w:val="TableContents"/>
              <w:bidi w:val="0"/>
              <w:spacing w:before="0" w:after="283"/>
              <w:jc w:val="left"/>
              <w:rPr/>
            </w:pPr>
            <w:r>
              <w:rPr/>
              <w:t>(2)</w:t>
            </w:r>
          </w:p>
        </w:tc>
        <w:tc>
          <w:tcPr>
            <w:tcW w:w="7040" w:type="dxa"/>
            <w:tcBorders/>
            <w:vAlign w:val="center"/>
          </w:tcPr>
          <w:p>
            <w:pPr>
              <w:pStyle w:val="TableContents"/>
              <w:bidi w:val="0"/>
              <w:spacing w:before="0" w:after="0"/>
              <w:jc w:val="both"/>
              <w:rPr>
                <w:rFonts w:ascii="arial" w:hAnsi="arial"/>
                <w:sz w:val="16"/>
              </w:rPr>
            </w:pPr>
            <w:r>
              <w:rPr>
                <w:rFonts w:ascii="arial" w:hAnsi="arial"/>
                <w:sz w:val="16"/>
              </w:rPr>
              <w:t xml:space="preserve">Represents the value of projected contributions to retirement plans during the severance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(3)</w:t>
            </w:r>
          </w:p>
        </w:tc>
        <w:tc>
          <w:tcPr>
            <w:tcW w:w="9961" w:type="dxa"/>
            <w:tcBorders/>
            <w:vAlign w:val="center"/>
          </w:tcPr>
          <w:p>
            <w:pPr>
              <w:pStyle w:val="TableContents"/>
              <w:bidi w:val="0"/>
              <w:spacing w:before="0" w:after="0"/>
              <w:jc w:val="both"/>
              <w:rPr>
                <w:rFonts w:ascii="arial" w:hAnsi="arial"/>
                <w:sz w:val="16"/>
              </w:rPr>
            </w:pPr>
            <w:r>
              <w:rPr>
                <w:rFonts w:ascii="arial" w:hAnsi="arial"/>
                <w:sz w:val="16"/>
              </w:rPr>
              <w:t xml:space="preserve">Represents the value of equity where vesting is accelerated or continued by the triggering event. For stock options, this represents the in-the-money value on December 31, 2024. For stock awards, this represents the fair market value of the shares on December 31, 2024. Most currently unvested equity awards held by our retirement-eligible executives will continue to vest according to their original terms following retirement, which includes a voluntary or involuntary termination not for cause after an NEO becomes eligible for retirement. Messrs. Fairbank, LaPrade, and Yajnik were the only NEOs eligible for retirement as of December 31,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(4)</w:t>
            </w:r>
          </w:p>
        </w:tc>
        <w:tc>
          <w:tcPr>
            <w:tcW w:w="9955" w:type="dxa"/>
            <w:tcBorders/>
            <w:vAlign w:val="center"/>
          </w:tcPr>
          <w:p>
            <w:pPr>
              <w:pStyle w:val="TableContents"/>
              <w:bidi w:val="0"/>
              <w:spacing w:before="0" w:after="0"/>
              <w:jc w:val="both"/>
              <w:rPr>
                <w:rFonts w:ascii="arial" w:hAnsi="arial"/>
                <w:sz w:val="16"/>
              </w:rPr>
            </w:pPr>
            <w:r>
              <w:rPr>
                <w:rFonts w:ascii="arial" w:hAnsi="arial"/>
                <w:sz w:val="16"/>
              </w:rPr>
              <w:t xml:space="preserve">Represents the value of potential payments made on the executive’s behalf for continuation of medical and welfare benefits during the non-competition or severance period, as applicable. Includes programs such as medical, dental, insurance, outplacement services, and related benefits. Only includes programs that are specific to the NEOs; does not include the value of programs generally available to all associates upon separation from the Company. </w:t>
            </w:r>
          </w:p>
        </w:tc>
      </w:tr>
    </w:tbl>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110 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390" w:type="dxa"/>
        <w:jc w:val="left"/>
        <w:tblInd w:w="0" w:type="dxa"/>
        <w:tblLayout w:type="fixed"/>
        <w:tblCellMar>
          <w:top w:w="0" w:type="dxa"/>
          <w:left w:w="0" w:type="dxa"/>
          <w:bottom w:w="0" w:type="dxa"/>
          <w:right w:w="0" w:type="dxa"/>
        </w:tblCellMar>
      </w:tblPr>
      <w:tblGrid>
        <w:gridCol w:w="5390"/>
      </w:tblGrid>
      <w:tr>
        <w:trPr/>
        <w:tc>
          <w:tcPr>
            <w:tcW w:w="5390"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center"/>
          </w:tcPr>
          <w:p>
            <w:pPr>
              <w:pStyle w:val="TableContents"/>
              <w:bidi w:val="0"/>
              <w:spacing w:before="0" w:after="283"/>
              <w:jc w:val="right"/>
              <w:rPr>
                <w:b/>
                <w:color w:val="003A5D"/>
              </w:rPr>
            </w:pPr>
            <w:r>
              <w:rPr>
                <w:b/>
                <w:color w:val="003A5D"/>
              </w:rPr>
              <w:t>Section VI - Named Executive Officer Compensation</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305"/>
        <w:gridCol w:w="5870"/>
      </w:tblGrid>
      <w:tr>
        <w:trPr/>
        <w:tc>
          <w:tcPr>
            <w:tcW w:w="305" w:type="dxa"/>
            <w:tcBorders/>
            <w:vAlign w:val="center"/>
          </w:tcPr>
          <w:p>
            <w:pPr>
              <w:pStyle w:val="TableContents"/>
              <w:bidi w:val="0"/>
              <w:spacing w:before="0" w:after="283"/>
              <w:jc w:val="left"/>
              <w:rPr/>
            </w:pPr>
            <w:r>
              <w:rPr/>
              <w:t>(5)</w:t>
            </w:r>
          </w:p>
        </w:tc>
        <w:tc>
          <w:tcPr>
            <w:tcW w:w="5870" w:type="dxa"/>
            <w:tcBorders/>
            <w:vAlign w:val="center"/>
          </w:tcPr>
          <w:p>
            <w:pPr>
              <w:pStyle w:val="TableContents"/>
              <w:bidi w:val="0"/>
              <w:spacing w:before="0" w:after="0"/>
              <w:jc w:val="both"/>
              <w:rPr>
                <w:rFonts w:ascii="arial" w:hAnsi="arial"/>
                <w:sz w:val="16"/>
              </w:rPr>
            </w:pPr>
            <w:r>
              <w:rPr>
                <w:rFonts w:ascii="arial" w:hAnsi="arial"/>
                <w:sz w:val="16"/>
              </w:rPr>
              <w:t xml:space="preserve">Executive officers, including our NEOs, are not eligible for excise tax gross ups.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(6)</w:t>
            </w:r>
          </w:p>
        </w:tc>
        <w:tc>
          <w:tcPr>
            <w:tcW w:w="9956" w:type="dxa"/>
            <w:tcBorders/>
            <w:vAlign w:val="center"/>
          </w:tcPr>
          <w:p>
            <w:pPr>
              <w:pStyle w:val="TableContents"/>
              <w:bidi w:val="0"/>
              <w:spacing w:before="0" w:after="0"/>
              <w:jc w:val="both"/>
              <w:rPr>
                <w:rFonts w:ascii="arial" w:hAnsi="arial"/>
                <w:sz w:val="16"/>
              </w:rPr>
            </w:pPr>
            <w:r>
              <w:rPr>
                <w:rFonts w:ascii="arial" w:hAnsi="arial"/>
                <w:sz w:val="16"/>
              </w:rPr>
              <w:t xml:space="preserve">Mr. Fairbank receives no regular base salary. For 2024, Mr. Fairbank’s payment in the event of a termination following a change of control was based on a notional salary of $1 million and his Highest Annual Bonus (as defined above). The Committee reviews and establishes the notional salary amount on an annual basis, based on market trends related to CEO compensation and recommendations provided by FW Cook. Mr. Fairbank is a party to a Change of Control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(7)</w:t>
            </w:r>
          </w:p>
        </w:tc>
        <w:tc>
          <w:tcPr>
            <w:tcW w:w="9925" w:type="dxa"/>
            <w:tcBorders/>
            <w:vAlign w:val="center"/>
          </w:tcPr>
          <w:p>
            <w:pPr>
              <w:pStyle w:val="TableContents"/>
              <w:bidi w:val="0"/>
              <w:spacing w:before="0" w:after="0"/>
              <w:jc w:val="both"/>
              <w:rPr>
                <w:rFonts w:ascii="arial" w:hAnsi="arial"/>
                <w:sz w:val="16"/>
              </w:rPr>
            </w:pPr>
            <w:r>
              <w:rPr>
                <w:rFonts w:ascii="arial" w:hAnsi="arial"/>
                <w:sz w:val="16"/>
              </w:rPr>
              <w:t xml:space="preserve">A voluntary termination not for cause would constitute a retirement for each of Messrs. Fairbank, LaPrade, and Yajnik, as each of these NEOs was eligible for retirement as of December 31,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(8)</w:t>
            </w:r>
          </w:p>
        </w:tc>
        <w:tc>
          <w:tcPr>
            <w:tcW w:w="9950" w:type="dxa"/>
            <w:tcBorders/>
            <w:vAlign w:val="center"/>
          </w:tcPr>
          <w:p>
            <w:pPr>
              <w:pStyle w:val="TableContents"/>
              <w:bidi w:val="0"/>
              <w:spacing w:before="0" w:after="0"/>
              <w:jc w:val="both"/>
              <w:rPr>
                <w:rFonts w:ascii="arial" w:hAnsi="arial"/>
                <w:sz w:val="16"/>
              </w:rPr>
            </w:pPr>
            <w:r>
              <w:rPr>
                <w:rFonts w:ascii="arial" w:hAnsi="arial"/>
                <w:sz w:val="16"/>
              </w:rPr>
              <w:t xml:space="preserve">Represents potential payments and benefits upon change of control for involuntary termination without cause or voluntary termination for good reason. “Acceleration and Continuation of Equity Awards” represents the value of equity where vesting is accelerated upon change of control, assuming, where applicable, that all performance metrics have been achieved at their target level.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(9)</w:t>
            </w:r>
          </w:p>
        </w:tc>
        <w:tc>
          <w:tcPr>
            <w:tcW w:w="9914" w:type="dxa"/>
            <w:tcBorders/>
            <w:vAlign w:val="center"/>
          </w:tcPr>
          <w:p>
            <w:pPr>
              <w:pStyle w:val="TableContents"/>
              <w:bidi w:val="0"/>
              <w:spacing w:before="0" w:after="0"/>
              <w:jc w:val="both"/>
              <w:rPr>
                <w:rFonts w:ascii="arial" w:hAnsi="arial"/>
                <w:sz w:val="16"/>
              </w:rPr>
            </w:pPr>
            <w:r>
              <w:rPr>
                <w:rFonts w:ascii="arial" w:hAnsi="arial"/>
                <w:sz w:val="16"/>
              </w:rPr>
              <w:t xml:space="preserve">Unvested equity awards will be treated in a similar manner to a termination of an NEO’s employment following a termination of employment due to death or disability. </w:t>
            </w:r>
          </w:p>
        </w:tc>
      </w:tr>
    </w:tbl>
    <w:p>
      <w:pPr>
        <w:pStyle w:val="TextBody"/>
        <w:bidi w:val="0"/>
        <w:spacing w:before="240" w:after="0"/>
        <w:jc w:val="both"/>
        <w:rPr>
          <w:rFonts w:ascii="arial" w:hAnsi="arial"/>
          <w:sz w:val="20"/>
        </w:rPr>
      </w:pPr>
      <w:r>
        <w:rPr>
          <w:rFonts w:ascii="arial" w:hAnsi="arial"/>
          <w:sz w:val="20"/>
        </w:rPr>
        <w:t xml:space="preserve">The table above is intended to reflect potential payments to NEOs across a range of potential separation scenarios, assuming the change of control or separation occurred on December 31, 2024. The amounts shown in the table do not include accrued salary and vacation pay as of the date of termination, and payments and benefits that are provided on a non-discriminatory basis to salaried associates generally upon termination of employment or retirement. The NEOs are also eligible to receive certain pension benefits and certain qualified and non-qualified deferred compensation amounts upon termination. These amounts are outlined in the “2024 Pension Benefits Table” on page 104 and the “2024 Non-Qualified Deferred Compensation Table” on page 105, respectively, and are not included in the table above.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111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390" w:type="dxa"/>
        <w:jc w:val="left"/>
        <w:tblInd w:w="0" w:type="dxa"/>
        <w:tblLayout w:type="fixed"/>
        <w:tblCellMar>
          <w:top w:w="0" w:type="dxa"/>
          <w:left w:w="0" w:type="dxa"/>
          <w:bottom w:w="0" w:type="dxa"/>
          <w:right w:w="0" w:type="dxa"/>
        </w:tblCellMar>
      </w:tblPr>
      <w:tblGrid>
        <w:gridCol w:w="5390"/>
      </w:tblGrid>
      <w:tr>
        <w:trPr/>
        <w:tc>
          <w:tcPr>
            <w:tcW w:w="5390"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center"/>
          </w:tcPr>
          <w:p>
            <w:pPr>
              <w:pStyle w:val="TableContents"/>
              <w:bidi w:val="0"/>
              <w:spacing w:before="0" w:after="283"/>
              <w:jc w:val="left"/>
              <w:rPr>
                <w:b/>
                <w:color w:val="003A5D"/>
              </w:rPr>
            </w:pPr>
            <w:r>
              <w:rPr>
                <w:b/>
                <w:color w:val="003A5D"/>
              </w:rPr>
              <w:t>Section VI - Named Executive Officer Compensation</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103" w:name="txa845790_45"/>
      <w:bookmarkEnd w:id="103"/>
      <w:r>
        <w:rPr>
          <w:rFonts w:ascii="arial" w:hAnsi="arial"/>
          <w:b/>
          <w:color w:val="003A5D"/>
          <w:sz w:val="32"/>
        </w:rPr>
        <w:t xml:space="preserve">Estimated Ratio of CEO Compensation to Median Employee Compensation </w:t>
      </w:r>
    </w:p>
    <w:p>
      <w:pPr>
        <w:pStyle w:val="TextBody"/>
        <w:bidi w:val="0"/>
        <w:spacing w:before="240" w:after="0"/>
        <w:jc w:val="both"/>
        <w:rPr>
          <w:rFonts w:ascii="arial" w:hAnsi="arial"/>
          <w:sz w:val="20"/>
        </w:rPr>
      </w:pPr>
      <w:r>
        <w:rPr>
          <w:rFonts w:ascii="arial" w:hAnsi="arial"/>
          <w:sz w:val="20"/>
        </w:rPr>
        <w:t xml:space="preserve">As required by Section 953(b) of the Dodd-Frank Act, and Item 402(u) of Regulation S-K, we are providing the following information about the ratio of the annual total compensation, calculated in accordance with the requirements of Item 402(c)(2)(x) of Regulation S-K (“Annual Total Compensation”) of our median employee and the Annual Total Compensation of our CEO, Richard D. Fairbank. </w:t>
      </w:r>
    </w:p>
    <w:p>
      <w:pPr>
        <w:pStyle w:val="TextBody"/>
        <w:bidi w:val="0"/>
        <w:spacing w:before="240" w:after="0"/>
        <w:jc w:val="both"/>
        <w:rPr>
          <w:rFonts w:ascii="arial" w:hAnsi="arial"/>
          <w:sz w:val="20"/>
        </w:rPr>
      </w:pPr>
      <w:r>
        <w:rPr>
          <w:rFonts w:ascii="arial" w:hAnsi="arial"/>
          <w:sz w:val="20"/>
        </w:rPr>
        <w:t xml:space="preserve">For 2024, our last completed fiscal year: </w:t>
      </w:r>
    </w:p>
    <w:p>
      <w:pPr>
        <w:pStyle w:val="TextBody"/>
        <w:bidi w:val="0"/>
        <w:spacing w:before="0" w:after="0"/>
        <w:jc w:val="left"/>
        <w:rPr/>
      </w:pPr>
      <w:r>
        <w:rPr/>
        <w:t> </w:t>
      </w:r>
    </w:p>
    <w:tbl>
      <w:tblPr>
        <w:tblW w:w="6535" w:type="dxa"/>
        <w:jc w:val="left"/>
        <w:tblInd w:w="0" w:type="dxa"/>
        <w:tblLayout w:type="fixed"/>
        <w:tblCellMar>
          <w:top w:w="0" w:type="dxa"/>
          <w:left w:w="0" w:type="dxa"/>
          <w:bottom w:w="0" w:type="dxa"/>
          <w:right w:w="0" w:type="dxa"/>
        </w:tblCellMar>
      </w:tblPr>
      <w:tblGrid>
        <w:gridCol w:w="75"/>
        <w:gridCol w:w="215"/>
        <w:gridCol w:w="60"/>
        <w:gridCol w:w="618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0"/>
              <w:jc w:val="both"/>
              <w:rPr>
                <w:rFonts w:ascii="arial" w:hAnsi="arial"/>
                <w:sz w:val="20"/>
              </w:rPr>
            </w:pPr>
            <w:r>
              <w:rPr>
                <w:rFonts w:ascii="arial" w:hAnsi="arial"/>
                <w:sz w:val="20"/>
              </w:rPr>
              <w:t xml:space="preserve">The Annual Total Compensation of our median employee was $97,398 </w:t>
            </w:r>
          </w:p>
        </w:tc>
      </w:tr>
    </w:tbl>
    <w:p>
      <w:pPr>
        <w:pStyle w:val="TextBody"/>
        <w:bidi w:val="0"/>
        <w:spacing w:before="0" w:after="0"/>
        <w:jc w:val="left"/>
        <w:rPr/>
      </w:pPr>
      <w:r>
        <w:rPr/>
        <w:t> </w:t>
      </w:r>
    </w:p>
    <w:tbl>
      <w:tblPr>
        <w:tblW w:w="6145" w:type="dxa"/>
        <w:jc w:val="left"/>
        <w:tblInd w:w="0" w:type="dxa"/>
        <w:tblLayout w:type="fixed"/>
        <w:tblCellMar>
          <w:top w:w="0" w:type="dxa"/>
          <w:left w:w="0" w:type="dxa"/>
          <w:bottom w:w="0" w:type="dxa"/>
          <w:right w:w="0" w:type="dxa"/>
        </w:tblCellMar>
      </w:tblPr>
      <w:tblGrid>
        <w:gridCol w:w="75"/>
        <w:gridCol w:w="215"/>
        <w:gridCol w:w="60"/>
        <w:gridCol w:w="579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both"/>
              <w:rPr>
                <w:rFonts w:ascii="arial" w:hAnsi="arial"/>
                <w:sz w:val="20"/>
              </w:rPr>
            </w:pPr>
            <w:r>
              <w:rPr>
                <w:rFonts w:ascii="arial" w:hAnsi="arial"/>
                <w:sz w:val="20"/>
              </w:rPr>
              <w:t xml:space="preserve">The Annual Total Compensation of Mr. Fairbank was $30,829,070 </w:t>
            </w:r>
          </w:p>
        </w:tc>
      </w:tr>
    </w:tbl>
    <w:p>
      <w:pPr>
        <w:pStyle w:val="TextBody"/>
        <w:bidi w:val="0"/>
        <w:spacing w:before="240" w:after="0"/>
        <w:jc w:val="both"/>
        <w:rPr>
          <w:rFonts w:ascii="arial" w:hAnsi="arial"/>
          <w:sz w:val="20"/>
        </w:rPr>
      </w:pPr>
      <w:r>
        <w:rPr>
          <w:rFonts w:ascii="arial" w:hAnsi="arial"/>
          <w:sz w:val="20"/>
        </w:rPr>
        <w:t xml:space="preserve">Accordingly, the ratio of Mr. Fairbank’s Annual Total Compensation to the median employee’s Annual Total Compensation was 317 to 1. This ratio is a reasonable estimate calculated in a manner consistent with Item 402(u) of Regulation S-K. </w:t>
      </w:r>
    </w:p>
    <w:p>
      <w:pPr>
        <w:pStyle w:val="TextBody"/>
        <w:bidi w:val="0"/>
        <w:spacing w:before="240" w:after="0"/>
        <w:jc w:val="both"/>
        <w:rPr>
          <w:rFonts w:ascii="arial" w:hAnsi="arial"/>
          <w:sz w:val="20"/>
        </w:rPr>
      </w:pPr>
      <w:r>
        <w:rPr>
          <w:rFonts w:ascii="arial" w:hAnsi="arial"/>
          <w:sz w:val="20"/>
        </w:rPr>
        <w:t xml:space="preserve">In determining our median employee for 2024, in accordance with SEC rules we have concluded that it would be appropriate to: (i) rely on the process we undertook in 2022 to identify the median employee (as described in our 2023 Proxy Statement), because we believe that since the 2022 determination, there has been no change in our employee population or employee compensation arrangements that would significantly impact our pay ratio; and (ii) substitute the median employee for 2023 with another similarly compensated employee for 2024. </w:t>
      </w:r>
    </w:p>
    <w:p>
      <w:pPr>
        <w:pStyle w:val="TextBody"/>
        <w:bidi w:val="0"/>
        <w:spacing w:before="240" w:after="0"/>
        <w:jc w:val="both"/>
        <w:rPr>
          <w:rFonts w:ascii="arial" w:hAnsi="arial"/>
          <w:sz w:val="20"/>
        </w:rPr>
      </w:pPr>
      <w:r>
        <w:rPr>
          <w:rFonts w:ascii="arial" w:hAnsi="arial"/>
          <w:sz w:val="20"/>
        </w:rPr>
        <w:t xml:space="preserve">We determined the 2022 median compensated employee of our global employee population of 54,555 as of October 1, 2022 (the “Determination Date”) by comparing a consistently applied compensation measure consisting of salary, wages (including overtime), bonuses, and commissions paid to our employees over the twelve-month period preceding the Determination Date (the “Estimated Compensation”). Based on the Estimated Compensation of each employee, we identified a cohort of 61 employees, consisting of the employee with the median Estimated Compensation value and the 30 employees above and 30 employees below that employee (the “Median Cohort”). We then removed ten employees from the Median Cohort who appeared to bear anomalous characteristics (such as participation in non-U.S. compensation programs, a hire date during the fiscal year, or separation prior to the end of the fiscal year) that could significantly distort the pay ratio calculation, and then identified the median employee from the remaining employees in the Median Cohort. </w:t>
      </w:r>
    </w:p>
    <w:p>
      <w:pPr>
        <w:pStyle w:val="TextBody"/>
        <w:bidi w:val="0"/>
        <w:spacing w:before="240" w:after="0"/>
        <w:jc w:val="both"/>
        <w:rPr>
          <w:rFonts w:ascii="arial" w:hAnsi="arial"/>
          <w:sz w:val="20"/>
        </w:rPr>
      </w:pPr>
      <w:r>
        <w:rPr>
          <w:rFonts w:ascii="arial" w:hAnsi="arial"/>
          <w:sz w:val="20"/>
        </w:rPr>
        <w:t xml:space="preserve">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 </w: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112 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0"/>
              <w:jc w:val="right"/>
              <w:rPr>
                <w:b/>
                <w:color w:val="003A5D"/>
                <w:spacing w:val="0"/>
              </w:rPr>
            </w:pPr>
            <w:r>
              <w:rPr>
                <w:b/>
                <w:color w:val="003A5D"/>
                <w:spacing w:val="0"/>
              </w:rPr>
              <w:t>EXECUTIVE COMPENSATION</w:t>
            </w:r>
          </w:p>
        </w:tc>
      </w:tr>
    </w:tbl>
    <w:p>
      <w:pPr>
        <w:pStyle w:val="TextBody"/>
        <w:bidi w:val="0"/>
        <w:spacing w:lineRule="atLeast" w:line="142" w:before="0" w:after="40"/>
        <w:jc w:val="left"/>
        <w:rPr>
          <w:bdr w:val="single" w:sz="2" w:space="1" w:color="003A5D"/>
        </w:rPr>
      </w:pPr>
      <w:r>
        <w:rPr>
          <w:bdr w:val="single" w:sz="2" w:space="1" w:color="003A5D"/>
        </w:rPr>
        <w:t> </w:t>
      </w:r>
    </w:p>
    <w:tbl>
      <w:tblPr>
        <w:tblW w:w="5390" w:type="dxa"/>
        <w:jc w:val="left"/>
        <w:tblInd w:w="0" w:type="dxa"/>
        <w:tblLayout w:type="fixed"/>
        <w:tblCellMar>
          <w:top w:w="0" w:type="dxa"/>
          <w:left w:w="0" w:type="dxa"/>
          <w:bottom w:w="0" w:type="dxa"/>
          <w:right w:w="0" w:type="dxa"/>
        </w:tblCellMar>
      </w:tblPr>
      <w:tblGrid>
        <w:gridCol w:w="5390"/>
      </w:tblGrid>
      <w:tr>
        <w:trPr/>
        <w:tc>
          <w:tcPr>
            <w:tcW w:w="5390"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center"/>
          </w:tcPr>
          <w:p>
            <w:pPr>
              <w:pStyle w:val="TableContents"/>
              <w:bidi w:val="0"/>
              <w:spacing w:before="0" w:after="0"/>
              <w:jc w:val="right"/>
              <w:rPr>
                <w:b/>
                <w:color w:val="003A5D"/>
                <w:spacing w:val="0"/>
              </w:rPr>
            </w:pPr>
            <w:r>
              <w:rPr>
                <w:b/>
                <w:color w:val="003A5D"/>
                <w:spacing w:val="0"/>
              </w:rPr>
              <w:t>Section VI - Named Executive Officer Compensation</w:t>
            </w:r>
          </w:p>
        </w:tc>
      </w:tr>
    </w:tbl>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003A5D"/>
          <w:spacing w:val="0"/>
          <w:sz w:val="32"/>
        </w:rPr>
      </w:pPr>
      <w:r>
        <w:rPr>
          <w:rFonts w:ascii="arial" w:hAnsi="arial"/>
          <w:b/>
          <w:color w:val="003A5D"/>
          <w:spacing w:val="0"/>
          <w:sz w:val="32"/>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arial" w:hAnsi="arial"/>
          <w:sz w:val="20"/>
        </w:rPr>
      </w:pPr>
      <w:r>
        <w:rPr>
          <w:rFonts w:ascii="arial" w:hAnsi="arial"/>
          <w:sz w:val="20"/>
        </w:rPr>
        <w:t xml:space="preserve">As required by Section 953(a) of the Dodd-Frank Act, we are providing the information below to illustrate the relationship between the </w:t>
      </w:r>
    </w:p>
    <w:p>
      <w:pPr>
        <w:pStyle w:val="TextBody"/>
        <w:bidi w:val="0"/>
        <w:spacing w:before="240" w:after="0"/>
        <w:jc w:val="both"/>
        <w:rPr>
          <w:rFonts w:ascii="arial" w:hAnsi="arial"/>
          <w:spacing w:val="0"/>
          <w:sz w:val="20"/>
        </w:rPr>
      </w:pPr>
      <w:r>
        <w:rPr>
          <w:rFonts w:ascii="arial" w:hAnsi="arial"/>
          <w:spacing w:val="0"/>
          <w:sz w:val="20"/>
        </w:rPr>
        <w:t>SEC-defined</w:t>
      </w:r>
    </w:p>
    <w:p>
      <w:pPr>
        <w:pStyle w:val="TextBody"/>
        <w:bidi w:val="0"/>
        <w:spacing w:before="240" w:after="0"/>
        <w:jc w:val="both"/>
        <w:rPr>
          <w:rFonts w:ascii="arial" w:hAnsi="arial"/>
          <w:sz w:val="20"/>
        </w:rPr>
      </w:pPr>
      <w:r>
        <w:rPr>
          <w:rFonts w:ascii="arial" w:hAnsi="arial"/>
          <w:sz w:val="20"/>
        </w:rPr>
        <w:t xml:space="preserve">compensation actually paid (“CAP”) and various measures used to gauge the Company’s financial performance in conformance with Item 402(v) of Regulation </w:t>
      </w:r>
    </w:p>
    <w:p>
      <w:pPr>
        <w:pStyle w:val="TextBody"/>
        <w:bidi w:val="0"/>
        <w:spacing w:before="240" w:after="0"/>
        <w:jc w:val="both"/>
        <w:rPr>
          <w:rFonts w:ascii="arial" w:hAnsi="arial"/>
          <w:spacing w:val="0"/>
          <w:sz w:val="20"/>
        </w:rPr>
      </w:pPr>
      <w:r>
        <w:rPr>
          <w:rFonts w:ascii="arial" w:hAnsi="arial"/>
          <w:spacing w:val="0"/>
          <w:sz w:val="20"/>
        </w:rPr>
        <w:t>S-K.</w:t>
      </w:r>
    </w:p>
    <w:p>
      <w:pPr>
        <w:pStyle w:val="TextBody"/>
        <w:bidi w:val="0"/>
        <w:spacing w:before="240" w:after="0"/>
        <w:jc w:val="both"/>
        <w:rPr>
          <w:rFonts w:ascii="arial" w:hAnsi="arial"/>
          <w:sz w:val="20"/>
        </w:rPr>
      </w:pPr>
      <w:r>
        <w:rPr>
          <w:rFonts w:ascii="arial" w:hAnsi="arial"/>
          <w:sz w:val="20"/>
        </w:rPr>
        <w:t xml:space="preserve">CAP is calculated in accordance with Item 402(v) of Regulation </w:t>
      </w:r>
    </w:p>
    <w:p>
      <w:pPr>
        <w:pStyle w:val="TextBody"/>
        <w:bidi w:val="0"/>
        <w:spacing w:before="240" w:after="0"/>
        <w:jc w:val="both"/>
        <w:rPr>
          <w:rFonts w:ascii="arial" w:hAnsi="arial"/>
          <w:spacing w:val="0"/>
          <w:sz w:val="20"/>
        </w:rPr>
      </w:pPr>
      <w:r>
        <w:rPr>
          <w:rFonts w:ascii="arial" w:hAnsi="arial"/>
          <w:spacing w:val="0"/>
          <w:sz w:val="20"/>
        </w:rPr>
        <w:t>S-K</w:t>
      </w:r>
    </w:p>
    <w:p>
      <w:pPr>
        <w:pStyle w:val="TextBody"/>
        <w:bidi w:val="0"/>
        <w:spacing w:before="240" w:after="0"/>
        <w:jc w:val="both"/>
        <w:rPr>
          <w:rFonts w:ascii="arial" w:hAnsi="arial"/>
          <w:sz w:val="20"/>
        </w:rPr>
      </w:pPr>
      <w:r>
        <w:rPr>
          <w:rFonts w:ascii="arial" w:hAnsi="arial"/>
          <w:sz w:val="20"/>
        </w:rPr>
        <w:t xml:space="preserve">and differs from compensation shown in the Summary Compensation Table on page 96 and CEO and other NEO performance year compensation tables shown on </w:t>
      </w:r>
    </w:p>
    <w:p>
      <w:pPr>
        <w:pStyle w:val="TextBody"/>
        <w:bidi w:val="0"/>
        <w:spacing w:before="240" w:after="0"/>
        <w:jc w:val="both"/>
        <w:rPr>
          <w:rFonts w:ascii="arial" w:hAnsi="arial"/>
          <w:sz w:val="20"/>
        </w:rPr>
      </w:pPr>
      <w:r>
        <w:rPr>
          <w:rFonts w:ascii="arial" w:hAnsi="arial"/>
          <w:sz w:val="20"/>
        </w:rPr>
        <w:t xml:space="preserve">pages </w:t>
      </w:r>
    </w:p>
    <w:p>
      <w:pPr>
        <w:pStyle w:val="TextBody"/>
        <w:bidi w:val="0"/>
        <w:spacing w:before="240" w:after="0"/>
        <w:jc w:val="both"/>
        <w:rPr>
          <w:rFonts w:ascii="arial" w:hAnsi="arial"/>
          <w:sz w:val="20"/>
        </w:rPr>
      </w:pPr>
      <w:r>
        <w:rPr>
          <w:rFonts w:ascii="arial" w:hAnsi="arial"/>
          <w:sz w:val="20"/>
        </w:rPr>
        <w:t xml:space="preserve">78 and 85, respectively. See below for a reconciliation of the total compensation shown in the Summary Compensation Table to CAP. The Committee does not utilize CAP as the basis for making compensation decisions. For further information concerning our compensation philosophy and how we align executive compensation with our performance, see the Compensation Discussion and Analysis section beginning on page 55.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b/>
          <w:color w:val="003A5D"/>
          <w:spacing w:val="0"/>
          <w:sz w:val="32"/>
        </w:rPr>
      </w:pPr>
      <w:r>
        <w:rPr>
          <w:rFonts w:ascii="arial" w:hAnsi="arial"/>
          <w:b/>
          <w:color w:val="003A5D"/>
          <w:spacing w:val="0"/>
          <w:sz w:val="32"/>
        </w:rPr>
        <w:t xml:space="preserve">Pay versus Performance Table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tbl>
      <w:tblPr>
        <w:tblW w:w="10271" w:type="dxa"/>
        <w:jc w:val="left"/>
        <w:tblInd w:w="0" w:type="dxa"/>
        <w:tblLayout w:type="fixed"/>
        <w:tblCellMar>
          <w:top w:w="0" w:type="dxa"/>
          <w:left w:w="0" w:type="dxa"/>
          <w:bottom w:w="0" w:type="dxa"/>
          <w:right w:w="0" w:type="dxa"/>
        </w:tblCellMar>
      </w:tblPr>
      <w:tblGrid>
        <w:gridCol w:w="1040"/>
        <w:gridCol w:w="23"/>
        <w:gridCol w:w="23"/>
        <w:gridCol w:w="60"/>
        <w:gridCol w:w="1220"/>
        <w:gridCol w:w="23"/>
        <w:gridCol w:w="23"/>
        <w:gridCol w:w="23"/>
        <w:gridCol w:w="60"/>
        <w:gridCol w:w="1220"/>
        <w:gridCol w:w="23"/>
        <w:gridCol w:w="23"/>
        <w:gridCol w:w="23"/>
        <w:gridCol w:w="60"/>
        <w:gridCol w:w="1220"/>
        <w:gridCol w:w="23"/>
        <w:gridCol w:w="23"/>
        <w:gridCol w:w="23"/>
        <w:gridCol w:w="60"/>
        <w:gridCol w:w="1220"/>
        <w:gridCol w:w="23"/>
        <w:gridCol w:w="23"/>
        <w:gridCol w:w="25"/>
        <w:gridCol w:w="66"/>
        <w:gridCol w:w="885"/>
        <w:gridCol w:w="25"/>
        <w:gridCol w:w="25"/>
        <w:gridCol w:w="25"/>
        <w:gridCol w:w="66"/>
        <w:gridCol w:w="885"/>
        <w:gridCol w:w="28"/>
        <w:gridCol w:w="23"/>
        <w:gridCol w:w="23"/>
        <w:gridCol w:w="60"/>
        <w:gridCol w:w="800"/>
        <w:gridCol w:w="23"/>
        <w:gridCol w:w="23"/>
        <w:gridCol w:w="23"/>
        <w:gridCol w:w="60"/>
        <w:gridCol w:w="709"/>
        <w:gridCol w:w="38"/>
      </w:tblGrid>
      <w:tr>
        <w:trPr/>
        <w:tc>
          <w:tcPr>
            <w:tcW w:w="10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040" w:type="dxa"/>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2053" w:type="dxa"/>
            <w:gridSpan w:val="10"/>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929" w:type="dxa"/>
            <w:gridSpan w:val="5"/>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853" w:type="dxa"/>
            <w:gridSpan w:val="5"/>
            <w:tcBorders/>
            <w:shd w:fill="003A5D" w:val="clear"/>
            <w:vAlign w:val="center"/>
          </w:tcPr>
          <w:p>
            <w:pPr>
              <w:pStyle w:val="TableContents"/>
              <w:bidi w:val="0"/>
              <w:spacing w:before="0" w:after="283"/>
              <w:jc w:val="left"/>
              <w:rPr>
                <w:sz w:val="4"/>
                <w:szCs w:val="4"/>
              </w:rPr>
            </w:pPr>
            <w:r>
              <w:rPr>
                <w:sz w:val="4"/>
                <w:szCs w:val="4"/>
              </w:rPr>
            </w:r>
          </w:p>
        </w:tc>
      </w:tr>
      <w:tr>
        <w:trPr/>
        <w:tc>
          <w:tcPr>
            <w:tcW w:w="1040" w:type="dxa"/>
            <w:vMerge w:val="restart"/>
            <w:tcBorders>
              <w:bottom w:val="single" w:sz="8" w:space="0" w:color="FFFFFF"/>
              <w:right w:val="single" w:sz="24" w:space="0" w:color="FFFFFF"/>
            </w:tcBorders>
            <w:shd w:fill="003A5D" w:val="clear"/>
            <w:tcMar>
              <w:bottom w:w="60" w:type="dxa"/>
              <w:right w:w="28"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Performance</w:t>
            </w:r>
          </w:p>
          <w:p>
            <w:pPr>
              <w:pStyle w:val="TableContents"/>
              <w:bidi w:val="0"/>
              <w:spacing w:before="0" w:after="0"/>
              <w:jc w:val="left"/>
              <w:rPr>
                <w:rFonts w:ascii="arial" w:hAnsi="arial"/>
                <w:b/>
                <w:color w:val="FFFFFF"/>
                <w:sz w:val="16"/>
              </w:rPr>
            </w:pPr>
            <w:r>
              <w:rPr>
                <w:rFonts w:ascii="arial" w:hAnsi="arial"/>
                <w:b/>
                <w:color w:val="FFFFFF"/>
                <w:sz w:val="16"/>
              </w:rPr>
              <w:t>Year</w:t>
            </w:r>
          </w:p>
          <w:p>
            <w:pPr>
              <w:pStyle w:val="TableContents"/>
              <w:bidi w:val="0"/>
              <w:spacing w:before="0" w:after="20"/>
              <w:jc w:val="left"/>
              <w:rPr/>
            </w:pPr>
            <w:r>
              <w:rPr/>
              <w:t> </w:t>
            </w:r>
          </w:p>
        </w:tc>
        <w:tc>
          <w:tcPr>
            <w:tcW w:w="23" w:type="dxa"/>
            <w:vMerge w:val="restart"/>
            <w:tcBorders>
              <w:bottom w:val="single" w:sz="8" w:space="0" w:color="FFFFFF"/>
            </w:tcBorders>
            <w:shd w:fill="003A5D" w:val="clear"/>
            <w:tcMar>
              <w:bottom w:w="28" w:type="dxa"/>
            </w:tcMar>
            <w:vAlign w:val="center"/>
          </w:tcPr>
          <w:p>
            <w:pPr>
              <w:pStyle w:val="TableContents"/>
              <w:bidi w:val="0"/>
              <w:spacing w:before="0" w:after="283"/>
              <w:jc w:val="left"/>
              <w:rPr>
                <w:sz w:val="4"/>
                <w:szCs w:val="4"/>
              </w:rPr>
            </w:pPr>
            <w:r>
              <w:rPr>
                <w:sz w:val="4"/>
                <w:szCs w:val="4"/>
              </w:rPr>
            </w:r>
          </w:p>
        </w:tc>
        <w:tc>
          <w:tcPr>
            <w:tcW w:w="1326" w:type="dxa"/>
            <w:gridSpan w:val="4"/>
            <w:vMerge w:val="restart"/>
            <w:tcBorders>
              <w:bottom w:val="single" w:sz="8" w:space="0" w:color="FFFFFF"/>
              <w:right w:val="single" w:sz="24" w:space="0" w:color="FFFFFF"/>
            </w:tcBorders>
            <w:shd w:fill="003A5D" w:val="clear"/>
            <w:tcMar>
              <w:bottom w:w="60" w:type="dxa"/>
              <w:right w:w="28"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Summary</w:t>
              <w:br/>
              <w:t>Compensation</w:t>
              <w:br/>
              <w:t>Table Total for</w:t>
              <w:br/>
              <w:t>Principal</w:t>
            </w:r>
          </w:p>
          <w:p>
            <w:pPr>
              <w:pStyle w:val="TableContents"/>
              <w:bidi w:val="0"/>
              <w:spacing w:before="0" w:after="0"/>
              <w:jc w:val="center"/>
              <w:rPr>
                <w:rFonts w:ascii="arial" w:hAnsi="arial"/>
                <w:b/>
                <w:color w:val="FFFFFF"/>
                <w:sz w:val="16"/>
              </w:rPr>
            </w:pPr>
            <w:r>
              <w:rPr>
                <w:rFonts w:ascii="arial" w:hAnsi="arial"/>
                <w:b/>
                <w:color w:val="FFFFFF"/>
                <w:sz w:val="16"/>
              </w:rPr>
              <w:t>Executive</w:t>
            </w:r>
          </w:p>
          <w:p>
            <w:pPr>
              <w:pStyle w:val="TableContents"/>
              <w:bidi w:val="0"/>
              <w:spacing w:before="0" w:after="0"/>
              <w:jc w:val="center"/>
              <w:rPr>
                <w:rFonts w:ascii="arial" w:hAnsi="arial"/>
                <w:b/>
                <w:color w:val="FFFFFF"/>
                <w:sz w:val="16"/>
              </w:rPr>
            </w:pPr>
            <w:r>
              <w:rPr>
                <w:rFonts w:ascii="arial" w:hAnsi="arial"/>
                <w:b/>
                <w:color w:val="FFFFFF"/>
                <w:sz w:val="16"/>
              </w:rPr>
              <w:t>Officer</w:t>
            </w:r>
          </w:p>
          <w:p>
            <w:pPr>
              <w:pStyle w:val="TableContents"/>
              <w:bidi w:val="0"/>
              <w:spacing w:before="0" w:after="0"/>
              <w:jc w:val="center"/>
              <w:rPr>
                <w:rFonts w:ascii="arial" w:hAnsi="arial"/>
                <w:b/>
                <w:color w:val="FFFFFF"/>
                <w:sz w:val="16"/>
              </w:rPr>
            </w:pPr>
            <w:r>
              <w:rPr>
                <w:rFonts w:ascii="arial" w:hAnsi="arial"/>
                <w:b/>
                <w:color w:val="FFFFFF"/>
                <w:sz w:val="16"/>
              </w:rPr>
              <w:t>(PEO)</w:t>
            </w:r>
          </w:p>
          <w:p>
            <w:pPr>
              <w:pStyle w:val="TableContents"/>
              <w:bidi w:val="0"/>
              <w:spacing w:before="0" w:after="0"/>
              <w:jc w:val="center"/>
              <w:rPr>
                <w:rFonts w:ascii="arial" w:hAnsi="arial"/>
                <w:b/>
                <w:color w:val="FFFFFF"/>
                <w:sz w:val="9"/>
              </w:rPr>
            </w:pPr>
            <w:r>
              <w:rPr>
                <w:rFonts w:ascii="arial" w:hAnsi="arial"/>
                <w:b/>
                <w:color w:val="FFFFFF"/>
                <w:sz w:val="9"/>
              </w:rPr>
              <w:t>(1)</w:t>
            </w:r>
          </w:p>
          <w:p>
            <w:pPr>
              <w:pStyle w:val="TableContents"/>
              <w:bidi w:val="0"/>
              <w:spacing w:before="0" w:after="20"/>
              <w:jc w:val="left"/>
              <w:rPr/>
            </w:pPr>
            <w:r>
              <w:rPr/>
              <w:t> </w:t>
            </w:r>
          </w:p>
        </w:tc>
        <w:tc>
          <w:tcPr>
            <w:tcW w:w="23" w:type="dxa"/>
            <w:vMerge w:val="restart"/>
            <w:tcBorders>
              <w:bottom w:val="single" w:sz="8" w:space="0" w:color="FFFFFF"/>
            </w:tcBorders>
            <w:shd w:fill="003A5D" w:val="clear"/>
            <w:tcMar>
              <w:bottom w:w="28" w:type="dxa"/>
            </w:tcMar>
            <w:vAlign w:val="center"/>
          </w:tcPr>
          <w:p>
            <w:pPr>
              <w:pStyle w:val="TableContents"/>
              <w:bidi w:val="0"/>
              <w:spacing w:before="0" w:after="283"/>
              <w:jc w:val="left"/>
              <w:rPr>
                <w:sz w:val="4"/>
                <w:szCs w:val="4"/>
              </w:rPr>
            </w:pPr>
            <w:r>
              <w:rPr>
                <w:sz w:val="4"/>
                <w:szCs w:val="4"/>
              </w:rPr>
            </w:r>
          </w:p>
        </w:tc>
        <w:tc>
          <w:tcPr>
            <w:tcW w:w="1326" w:type="dxa"/>
            <w:gridSpan w:val="4"/>
            <w:vMerge w:val="restart"/>
            <w:tcBorders>
              <w:bottom w:val="single" w:sz="8" w:space="0" w:color="FFFFFF"/>
              <w:right w:val="single" w:sz="24" w:space="0" w:color="FFFFFF"/>
            </w:tcBorders>
            <w:shd w:fill="003A5D" w:val="clear"/>
            <w:tcMar>
              <w:bottom w:w="60" w:type="dxa"/>
              <w:right w:w="28"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Compensation</w:t>
              <w:br/>
              <w:t>Actually Paid</w:t>
              <w:br/>
              <w:t>to PEO</w:t>
            </w:r>
          </w:p>
          <w:p>
            <w:pPr>
              <w:pStyle w:val="TableContents"/>
              <w:bidi w:val="0"/>
              <w:spacing w:before="0" w:after="0"/>
              <w:jc w:val="center"/>
              <w:rPr>
                <w:rFonts w:ascii="arial" w:hAnsi="arial"/>
                <w:b/>
                <w:color w:val="FFFFFF"/>
                <w:sz w:val="9"/>
              </w:rPr>
            </w:pPr>
            <w:r>
              <w:rPr>
                <w:rFonts w:ascii="arial" w:hAnsi="arial"/>
                <w:b/>
                <w:color w:val="FFFFFF"/>
                <w:sz w:val="9"/>
              </w:rPr>
              <w:t>(1)(2)</w:t>
            </w:r>
          </w:p>
          <w:p>
            <w:pPr>
              <w:pStyle w:val="TableContents"/>
              <w:bidi w:val="0"/>
              <w:spacing w:before="0" w:after="20"/>
              <w:jc w:val="left"/>
              <w:rPr/>
            </w:pPr>
            <w:r>
              <w:rPr/>
              <w:t> </w:t>
            </w:r>
          </w:p>
        </w:tc>
        <w:tc>
          <w:tcPr>
            <w:tcW w:w="23" w:type="dxa"/>
            <w:vMerge w:val="restart"/>
            <w:tcBorders>
              <w:bottom w:val="single" w:sz="8" w:space="0" w:color="FFFFFF"/>
            </w:tcBorders>
            <w:shd w:fill="003A5D" w:val="clear"/>
            <w:tcMar>
              <w:bottom w:w="28" w:type="dxa"/>
            </w:tcMar>
            <w:vAlign w:val="center"/>
          </w:tcPr>
          <w:p>
            <w:pPr>
              <w:pStyle w:val="TableContents"/>
              <w:bidi w:val="0"/>
              <w:spacing w:before="0" w:after="283"/>
              <w:jc w:val="left"/>
              <w:rPr>
                <w:sz w:val="4"/>
                <w:szCs w:val="4"/>
              </w:rPr>
            </w:pPr>
            <w:r>
              <w:rPr>
                <w:sz w:val="4"/>
                <w:szCs w:val="4"/>
              </w:rPr>
            </w:r>
          </w:p>
        </w:tc>
        <w:tc>
          <w:tcPr>
            <w:tcW w:w="1326" w:type="dxa"/>
            <w:gridSpan w:val="4"/>
            <w:vMerge w:val="restart"/>
            <w:tcBorders>
              <w:bottom w:val="single" w:sz="8" w:space="0" w:color="FFFFFF"/>
              <w:right w:val="single" w:sz="24" w:space="0" w:color="FFFFFF"/>
            </w:tcBorders>
            <w:shd w:fill="003A5D" w:val="clear"/>
            <w:tcMar>
              <w:bottom w:w="60" w:type="dxa"/>
              <w:right w:w="28"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Average</w:t>
            </w:r>
          </w:p>
          <w:p>
            <w:pPr>
              <w:pStyle w:val="TableContents"/>
              <w:bidi w:val="0"/>
              <w:spacing w:before="0" w:after="0"/>
              <w:jc w:val="center"/>
              <w:rPr>
                <w:rFonts w:ascii="arial" w:hAnsi="arial"/>
                <w:b/>
                <w:color w:val="FFFFFF"/>
                <w:sz w:val="16"/>
              </w:rPr>
            </w:pPr>
            <w:r>
              <w:rPr>
                <w:rFonts w:ascii="arial" w:hAnsi="arial"/>
                <w:b/>
                <w:color w:val="FFFFFF"/>
                <w:sz w:val="16"/>
              </w:rPr>
              <w:t>Summary</w:t>
            </w:r>
          </w:p>
          <w:p>
            <w:pPr>
              <w:pStyle w:val="TableContents"/>
              <w:bidi w:val="0"/>
              <w:spacing w:before="0" w:after="0"/>
              <w:jc w:val="center"/>
              <w:rPr>
                <w:rFonts w:ascii="arial" w:hAnsi="arial"/>
                <w:b/>
                <w:color w:val="FFFFFF"/>
                <w:sz w:val="16"/>
              </w:rPr>
            </w:pPr>
            <w:r>
              <w:rPr>
                <w:rFonts w:ascii="arial" w:hAnsi="arial"/>
                <w:b/>
                <w:color w:val="FFFFFF"/>
                <w:sz w:val="16"/>
              </w:rPr>
              <w:t>Compensation</w:t>
            </w:r>
          </w:p>
          <w:p>
            <w:pPr>
              <w:pStyle w:val="TableContents"/>
              <w:bidi w:val="0"/>
              <w:spacing w:before="0" w:after="0"/>
              <w:jc w:val="center"/>
              <w:rPr>
                <w:rFonts w:ascii="arial" w:hAnsi="arial"/>
                <w:b/>
                <w:color w:val="FFFFFF"/>
                <w:sz w:val="16"/>
              </w:rPr>
            </w:pPr>
            <w:r>
              <w:rPr>
                <w:rFonts w:ascii="arial" w:hAnsi="arial"/>
                <w:b/>
                <w:color w:val="FFFFFF"/>
                <w:sz w:val="16"/>
              </w:rPr>
              <w:t>Table Total</w:t>
            </w:r>
          </w:p>
          <w:p>
            <w:pPr>
              <w:pStyle w:val="TableContents"/>
              <w:bidi w:val="0"/>
              <w:spacing w:before="0" w:after="0"/>
              <w:jc w:val="center"/>
              <w:rPr>
                <w:rFonts w:ascii="arial" w:hAnsi="arial"/>
                <w:b/>
                <w:color w:val="FFFFFF"/>
                <w:sz w:val="16"/>
              </w:rPr>
            </w:pPr>
            <w:r>
              <w:rPr>
                <w:rFonts w:ascii="arial" w:hAnsi="arial"/>
                <w:b/>
                <w:color w:val="FFFFFF"/>
                <w:sz w:val="16"/>
              </w:rPr>
              <w:t xml:space="preserve">for </w:t>
            </w:r>
          </w:p>
          <w:p>
            <w:pPr>
              <w:pStyle w:val="TableContents"/>
              <w:bidi w:val="0"/>
              <w:spacing w:before="0" w:after="0"/>
              <w:jc w:val="center"/>
              <w:rPr>
                <w:rFonts w:ascii="arial" w:hAnsi="arial"/>
                <w:b/>
                <w:color w:val="FFFFFF"/>
                <w:sz w:val="16"/>
              </w:rPr>
            </w:pPr>
            <w:r>
              <w:rPr>
                <w:rFonts w:ascii="arial" w:hAnsi="arial"/>
                <w:b/>
                <w:color w:val="FFFFFF"/>
                <w:sz w:val="16"/>
              </w:rPr>
              <w:t>Non-PEO</w:t>
            </w:r>
          </w:p>
          <w:p>
            <w:pPr>
              <w:pStyle w:val="TableContents"/>
              <w:bidi w:val="0"/>
              <w:spacing w:before="0" w:after="0"/>
              <w:jc w:val="center"/>
              <w:rPr>
                <w:rFonts w:ascii="arial" w:hAnsi="arial"/>
                <w:b/>
                <w:color w:val="FFFFFF"/>
                <w:sz w:val="16"/>
              </w:rPr>
            </w:pPr>
            <w:r>
              <w:rPr>
                <w:rFonts w:ascii="arial" w:hAnsi="arial"/>
                <w:b/>
                <w:color w:val="FFFFFF"/>
                <w:sz w:val="16"/>
              </w:rPr>
              <w:t>Named</w:t>
            </w:r>
          </w:p>
          <w:p>
            <w:pPr>
              <w:pStyle w:val="TableContents"/>
              <w:bidi w:val="0"/>
              <w:spacing w:before="0" w:after="0"/>
              <w:jc w:val="center"/>
              <w:rPr>
                <w:rFonts w:ascii="arial" w:hAnsi="arial"/>
                <w:b/>
                <w:color w:val="FFFFFF"/>
                <w:sz w:val="16"/>
              </w:rPr>
            </w:pPr>
            <w:r>
              <w:rPr>
                <w:rFonts w:ascii="arial" w:hAnsi="arial"/>
                <w:b/>
                <w:color w:val="FFFFFF"/>
                <w:sz w:val="16"/>
              </w:rPr>
              <w:t>Executive</w:t>
            </w:r>
          </w:p>
          <w:p>
            <w:pPr>
              <w:pStyle w:val="TableContents"/>
              <w:bidi w:val="0"/>
              <w:spacing w:before="0" w:after="0"/>
              <w:jc w:val="center"/>
              <w:rPr>
                <w:rFonts w:ascii="arial" w:hAnsi="arial"/>
                <w:b/>
                <w:color w:val="FFFFFF"/>
                <w:sz w:val="16"/>
              </w:rPr>
            </w:pPr>
            <w:r>
              <w:rPr>
                <w:rFonts w:ascii="arial" w:hAnsi="arial"/>
                <w:b/>
                <w:color w:val="FFFFFF"/>
                <w:sz w:val="16"/>
              </w:rPr>
              <w:t>Officers</w:t>
            </w:r>
          </w:p>
          <w:p>
            <w:pPr>
              <w:pStyle w:val="TableContents"/>
              <w:bidi w:val="0"/>
              <w:spacing w:before="0" w:after="0"/>
              <w:jc w:val="center"/>
              <w:rPr>
                <w:rFonts w:ascii="arial" w:hAnsi="arial"/>
                <w:b/>
                <w:color w:val="FFFFFF"/>
                <w:sz w:val="9"/>
              </w:rPr>
            </w:pPr>
            <w:r>
              <w:rPr>
                <w:rFonts w:ascii="arial" w:hAnsi="arial"/>
                <w:b/>
                <w:color w:val="FFFFFF"/>
                <w:sz w:val="9"/>
              </w:rPr>
              <w:t>(1)</w:t>
            </w:r>
          </w:p>
          <w:p>
            <w:pPr>
              <w:pStyle w:val="TableContents"/>
              <w:bidi w:val="0"/>
              <w:spacing w:before="0" w:after="20"/>
              <w:jc w:val="left"/>
              <w:rPr/>
            </w:pPr>
            <w:r>
              <w:rPr/>
              <w:t> </w:t>
            </w:r>
          </w:p>
        </w:tc>
        <w:tc>
          <w:tcPr>
            <w:tcW w:w="23" w:type="dxa"/>
            <w:vMerge w:val="restart"/>
            <w:tcBorders>
              <w:bottom w:val="single" w:sz="8" w:space="0" w:color="FFFFFF"/>
            </w:tcBorders>
            <w:shd w:fill="003A5D" w:val="clear"/>
            <w:tcMar>
              <w:bottom w:w="28" w:type="dxa"/>
            </w:tcMar>
            <w:vAlign w:val="center"/>
          </w:tcPr>
          <w:p>
            <w:pPr>
              <w:pStyle w:val="TableContents"/>
              <w:bidi w:val="0"/>
              <w:spacing w:before="0" w:after="283"/>
              <w:jc w:val="left"/>
              <w:rPr>
                <w:sz w:val="4"/>
                <w:szCs w:val="4"/>
              </w:rPr>
            </w:pPr>
            <w:r>
              <w:rPr>
                <w:sz w:val="4"/>
                <w:szCs w:val="4"/>
              </w:rPr>
            </w:r>
          </w:p>
        </w:tc>
        <w:tc>
          <w:tcPr>
            <w:tcW w:w="1326" w:type="dxa"/>
            <w:gridSpan w:val="4"/>
            <w:vMerge w:val="restart"/>
            <w:tcBorders>
              <w:bottom w:val="single" w:sz="8" w:space="0" w:color="FFFFFF"/>
              <w:right w:val="single" w:sz="24" w:space="0" w:color="FFFFFF"/>
            </w:tcBorders>
            <w:shd w:fill="003A5D" w:val="clear"/>
            <w:tcMar>
              <w:bottom w:w="60" w:type="dxa"/>
              <w:right w:w="28"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Average</w:t>
            </w:r>
          </w:p>
          <w:p>
            <w:pPr>
              <w:pStyle w:val="TableContents"/>
              <w:bidi w:val="0"/>
              <w:spacing w:before="0" w:after="0"/>
              <w:jc w:val="center"/>
              <w:rPr>
                <w:rFonts w:ascii="arial" w:hAnsi="arial"/>
                <w:b/>
                <w:color w:val="FFFFFF"/>
                <w:sz w:val="16"/>
              </w:rPr>
            </w:pPr>
            <w:r>
              <w:rPr>
                <w:rFonts w:ascii="arial" w:hAnsi="arial"/>
                <w:b/>
                <w:color w:val="FFFFFF"/>
                <w:sz w:val="16"/>
              </w:rPr>
              <w:t>Compensation</w:t>
            </w:r>
          </w:p>
          <w:p>
            <w:pPr>
              <w:pStyle w:val="TableContents"/>
              <w:bidi w:val="0"/>
              <w:spacing w:before="0" w:after="0"/>
              <w:jc w:val="center"/>
              <w:rPr>
                <w:rFonts w:ascii="arial" w:hAnsi="arial"/>
                <w:b/>
                <w:color w:val="FFFFFF"/>
                <w:sz w:val="16"/>
              </w:rPr>
            </w:pPr>
            <w:r>
              <w:rPr>
                <w:rFonts w:ascii="arial" w:hAnsi="arial"/>
                <w:b/>
                <w:color w:val="FFFFFF"/>
                <w:sz w:val="16"/>
              </w:rPr>
              <w:t>Actually Paid</w:t>
            </w:r>
          </w:p>
          <w:p>
            <w:pPr>
              <w:pStyle w:val="TableContents"/>
              <w:bidi w:val="0"/>
              <w:spacing w:before="0" w:after="0"/>
              <w:jc w:val="center"/>
              <w:rPr>
                <w:rFonts w:ascii="arial" w:hAnsi="arial"/>
                <w:b/>
                <w:color w:val="FFFFFF"/>
                <w:sz w:val="16"/>
              </w:rPr>
            </w:pPr>
            <w:r>
              <w:rPr>
                <w:rFonts w:ascii="arial" w:hAnsi="arial"/>
                <w:b/>
                <w:color w:val="FFFFFF"/>
                <w:sz w:val="16"/>
              </w:rPr>
              <w:t xml:space="preserve">to </w:t>
            </w:r>
          </w:p>
          <w:p>
            <w:pPr>
              <w:pStyle w:val="TableContents"/>
              <w:bidi w:val="0"/>
              <w:spacing w:before="0" w:after="0"/>
              <w:jc w:val="center"/>
              <w:rPr>
                <w:rFonts w:ascii="arial" w:hAnsi="arial"/>
                <w:b/>
                <w:color w:val="FFFFFF"/>
                <w:sz w:val="16"/>
              </w:rPr>
            </w:pPr>
            <w:r>
              <w:rPr>
                <w:rFonts w:ascii="arial" w:hAnsi="arial"/>
                <w:b/>
                <w:color w:val="FFFFFF"/>
                <w:sz w:val="16"/>
              </w:rPr>
              <w:t>Non-PEO</w:t>
            </w:r>
          </w:p>
          <w:p>
            <w:pPr>
              <w:pStyle w:val="TableContents"/>
              <w:bidi w:val="0"/>
              <w:spacing w:before="0" w:after="0"/>
              <w:jc w:val="center"/>
              <w:rPr>
                <w:rFonts w:ascii="arial" w:hAnsi="arial"/>
                <w:b/>
                <w:color w:val="FFFFFF"/>
                <w:sz w:val="16"/>
              </w:rPr>
            </w:pPr>
            <w:r>
              <w:rPr>
                <w:rFonts w:ascii="arial" w:hAnsi="arial"/>
                <w:b/>
                <w:color w:val="FFFFFF"/>
                <w:sz w:val="16"/>
              </w:rPr>
              <w:t>Named</w:t>
            </w:r>
          </w:p>
          <w:p>
            <w:pPr>
              <w:pStyle w:val="TableContents"/>
              <w:bidi w:val="0"/>
              <w:spacing w:before="0" w:after="0"/>
              <w:jc w:val="center"/>
              <w:rPr>
                <w:rFonts w:ascii="arial" w:hAnsi="arial"/>
                <w:b/>
                <w:color w:val="FFFFFF"/>
                <w:sz w:val="16"/>
              </w:rPr>
            </w:pPr>
            <w:r>
              <w:rPr>
                <w:rFonts w:ascii="arial" w:hAnsi="arial"/>
                <w:b/>
                <w:color w:val="FFFFFF"/>
                <w:sz w:val="16"/>
              </w:rPr>
              <w:t>Executive</w:t>
            </w:r>
          </w:p>
          <w:p>
            <w:pPr>
              <w:pStyle w:val="TableContents"/>
              <w:bidi w:val="0"/>
              <w:spacing w:before="0" w:after="0"/>
              <w:jc w:val="center"/>
              <w:rPr>
                <w:rFonts w:ascii="arial" w:hAnsi="arial"/>
                <w:b/>
                <w:color w:val="FFFFFF"/>
                <w:sz w:val="16"/>
              </w:rPr>
            </w:pPr>
            <w:r>
              <w:rPr>
                <w:rFonts w:ascii="arial" w:hAnsi="arial"/>
                <w:b/>
                <w:color w:val="FFFFFF"/>
                <w:sz w:val="16"/>
              </w:rPr>
              <w:t>Officers</w:t>
            </w:r>
          </w:p>
          <w:p>
            <w:pPr>
              <w:pStyle w:val="TableContents"/>
              <w:bidi w:val="0"/>
              <w:spacing w:before="0" w:after="0"/>
              <w:jc w:val="center"/>
              <w:rPr>
                <w:rFonts w:ascii="arial" w:hAnsi="arial"/>
                <w:b/>
                <w:color w:val="FFFFFF"/>
                <w:sz w:val="9"/>
              </w:rPr>
            </w:pPr>
            <w:r>
              <w:rPr>
                <w:rFonts w:ascii="arial" w:hAnsi="arial"/>
                <w:b/>
                <w:color w:val="FFFFFF"/>
                <w:sz w:val="9"/>
              </w:rPr>
              <w:t>(1)(2)</w:t>
            </w:r>
          </w:p>
          <w:p>
            <w:pPr>
              <w:pStyle w:val="TableContents"/>
              <w:bidi w:val="0"/>
              <w:spacing w:before="0" w:after="20"/>
              <w:jc w:val="left"/>
              <w:rPr/>
            </w:pPr>
            <w:r>
              <w:rPr/>
              <w:t> </w:t>
            </w:r>
          </w:p>
        </w:tc>
        <w:tc>
          <w:tcPr>
            <w:tcW w:w="23" w:type="dxa"/>
            <w:tcBorders>
              <w:bottom w:val="single" w:sz="24" w:space="0" w:color="FFFFFF"/>
            </w:tcBorders>
            <w:shd w:fill="003A5D" w:val="clear"/>
            <w:tcMar>
              <w:bottom w:w="28" w:type="dxa"/>
            </w:tcMar>
            <w:vAlign w:val="center"/>
          </w:tcPr>
          <w:p>
            <w:pPr>
              <w:pStyle w:val="TableContents"/>
              <w:bidi w:val="0"/>
              <w:spacing w:before="0" w:after="283"/>
              <w:jc w:val="left"/>
              <w:rPr>
                <w:sz w:val="4"/>
                <w:szCs w:val="4"/>
              </w:rPr>
            </w:pPr>
            <w:r>
              <w:rPr>
                <w:sz w:val="4"/>
                <w:szCs w:val="4"/>
              </w:rPr>
            </w:r>
          </w:p>
        </w:tc>
        <w:tc>
          <w:tcPr>
            <w:tcW w:w="2030" w:type="dxa"/>
            <w:gridSpan w:val="9"/>
            <w:tcBorders>
              <w:bottom w:val="single" w:sz="24" w:space="0" w:color="FFFFFF"/>
              <w:right w:val="single" w:sz="24" w:space="0" w:color="FFFFFF"/>
            </w:tcBorders>
            <w:shd w:fill="003A5D" w:val="clear"/>
            <w:tcMar>
              <w:bottom w:w="60" w:type="dxa"/>
              <w:right w:w="28" w:type="dxa"/>
            </w:tcMar>
            <w:vAlign w:val="center"/>
          </w:tcPr>
          <w:p>
            <w:pPr>
              <w:pStyle w:val="TableContents"/>
              <w:bidi w:val="0"/>
              <w:spacing w:before="0" w:after="0"/>
              <w:jc w:val="center"/>
              <w:rPr>
                <w:color w:val="FFFFFF"/>
              </w:rPr>
            </w:pPr>
            <w:r>
              <w:rPr>
                <w:color w:val="FFFFFF"/>
              </w:rPr>
              <w:t xml:space="preserve">  </w:t>
            </w:r>
          </w:p>
          <w:p>
            <w:pPr>
              <w:pStyle w:val="TableContents"/>
              <w:bidi w:val="0"/>
              <w:spacing w:before="0" w:after="0"/>
              <w:jc w:val="center"/>
              <w:rPr>
                <w:rFonts w:ascii="arial" w:hAnsi="arial"/>
                <w:b/>
                <w:color w:val="FFFFFF"/>
                <w:sz w:val="16"/>
              </w:rPr>
            </w:pPr>
            <w:r>
              <w:rPr>
                <w:rFonts w:ascii="arial" w:hAnsi="arial"/>
                <w:b/>
                <w:color w:val="FFFFFF"/>
                <w:sz w:val="16"/>
              </w:rPr>
              <w:t>Value of Initial Fixed $100</w:t>
              <w:br/>
              <w:t>Invested Based on:</w:t>
            </w:r>
          </w:p>
          <w:p>
            <w:pPr>
              <w:pStyle w:val="TableContents"/>
              <w:bidi w:val="0"/>
              <w:spacing w:before="0" w:after="0"/>
              <w:jc w:val="left"/>
              <w:rPr/>
            </w:pPr>
            <w:r>
              <w:rPr/>
              <w:t> </w:t>
            </w:r>
          </w:p>
          <w:p>
            <w:pPr>
              <w:pStyle w:val="TableContents"/>
              <w:bidi w:val="0"/>
              <w:spacing w:before="0" w:after="20"/>
              <w:jc w:val="left"/>
              <w:rPr/>
            </w:pPr>
            <w:r>
              <w:rPr/>
              <w:t> </w:t>
            </w:r>
          </w:p>
        </w:tc>
        <w:tc>
          <w:tcPr>
            <w:tcW w:w="23" w:type="dxa"/>
            <w:vMerge w:val="restart"/>
            <w:tcBorders>
              <w:bottom w:val="single" w:sz="8" w:space="0" w:color="FFFFFF"/>
            </w:tcBorders>
            <w:shd w:fill="003A5D" w:val="clear"/>
            <w:tcMar>
              <w:bottom w:w="28" w:type="dxa"/>
            </w:tcMar>
            <w:vAlign w:val="center"/>
          </w:tcPr>
          <w:p>
            <w:pPr>
              <w:pStyle w:val="TableContents"/>
              <w:bidi w:val="0"/>
              <w:spacing w:before="0" w:after="283"/>
              <w:jc w:val="left"/>
              <w:rPr>
                <w:sz w:val="4"/>
                <w:szCs w:val="4"/>
              </w:rPr>
            </w:pPr>
            <w:r>
              <w:rPr>
                <w:sz w:val="4"/>
                <w:szCs w:val="4"/>
              </w:rPr>
            </w:r>
          </w:p>
        </w:tc>
        <w:tc>
          <w:tcPr>
            <w:tcW w:w="906" w:type="dxa"/>
            <w:gridSpan w:val="4"/>
            <w:vMerge w:val="restart"/>
            <w:tcBorders>
              <w:bottom w:val="single" w:sz="8" w:space="0" w:color="FFFFFF"/>
              <w:right w:val="single" w:sz="24" w:space="0" w:color="FFFFFF"/>
            </w:tcBorders>
            <w:shd w:fill="003A5D" w:val="clear"/>
            <w:tcMar>
              <w:bottom w:w="60" w:type="dxa"/>
              <w:right w:w="28"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Net</w:t>
              <w:br/>
              <w:t>Income</w:t>
              <w:br/>
              <w:t>($M)</w:t>
            </w:r>
          </w:p>
          <w:p>
            <w:pPr>
              <w:pStyle w:val="TableContents"/>
              <w:bidi w:val="0"/>
              <w:spacing w:before="0" w:after="20"/>
              <w:jc w:val="left"/>
              <w:rPr/>
            </w:pPr>
            <w:r>
              <w:rPr/>
              <w:t> </w:t>
            </w:r>
          </w:p>
        </w:tc>
        <w:tc>
          <w:tcPr>
            <w:tcW w:w="23" w:type="dxa"/>
            <w:vMerge w:val="restart"/>
            <w:tcBorders>
              <w:bottom w:val="single" w:sz="8" w:space="0" w:color="FFFFFF"/>
            </w:tcBorders>
            <w:shd w:fill="003A5D" w:val="clear"/>
            <w:tcMar>
              <w:bottom w:w="28" w:type="dxa"/>
            </w:tcMar>
            <w:vAlign w:val="center"/>
          </w:tcPr>
          <w:p>
            <w:pPr>
              <w:pStyle w:val="TableContents"/>
              <w:bidi w:val="0"/>
              <w:spacing w:before="0" w:after="283"/>
              <w:jc w:val="left"/>
              <w:rPr>
                <w:sz w:val="4"/>
                <w:szCs w:val="4"/>
              </w:rPr>
            </w:pPr>
            <w:r>
              <w:rPr>
                <w:sz w:val="4"/>
                <w:szCs w:val="4"/>
              </w:rPr>
            </w:r>
          </w:p>
        </w:tc>
        <w:tc>
          <w:tcPr>
            <w:tcW w:w="830" w:type="dxa"/>
            <w:gridSpan w:val="4"/>
            <w:vMerge w:val="restart"/>
            <w:tcBorders>
              <w:bottom w:val="single" w:sz="8" w:space="0" w:color="FFFFFF"/>
            </w:tcBorders>
            <w:shd w:fill="003A5D" w:val="clear"/>
            <w:tcMar>
              <w:bottom w:w="6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Common</w:t>
            </w:r>
          </w:p>
          <w:p>
            <w:pPr>
              <w:pStyle w:val="TableContents"/>
              <w:bidi w:val="0"/>
              <w:spacing w:before="0" w:after="0"/>
              <w:jc w:val="center"/>
              <w:rPr>
                <w:rFonts w:ascii="arial" w:hAnsi="arial"/>
                <w:b/>
                <w:color w:val="FFFFFF"/>
                <w:sz w:val="16"/>
              </w:rPr>
            </w:pPr>
            <w:r>
              <w:rPr>
                <w:rFonts w:ascii="arial" w:hAnsi="arial"/>
                <w:b/>
                <w:color w:val="FFFFFF"/>
                <w:sz w:val="16"/>
              </w:rPr>
              <w:t>Dividends</w:t>
            </w:r>
          </w:p>
          <w:p>
            <w:pPr>
              <w:pStyle w:val="TableContents"/>
              <w:bidi w:val="0"/>
              <w:spacing w:before="0" w:after="0"/>
              <w:jc w:val="center"/>
              <w:rPr>
                <w:rFonts w:ascii="arial" w:hAnsi="arial"/>
                <w:b/>
                <w:color w:val="FFFFFF"/>
                <w:sz w:val="16"/>
              </w:rPr>
            </w:pPr>
            <w:r>
              <w:rPr>
                <w:rFonts w:ascii="arial" w:hAnsi="arial"/>
                <w:b/>
                <w:color w:val="FFFFFF"/>
                <w:sz w:val="16"/>
              </w:rPr>
              <w:t>+ Growth</w:t>
            </w:r>
          </w:p>
          <w:p>
            <w:pPr>
              <w:pStyle w:val="TableContents"/>
              <w:bidi w:val="0"/>
              <w:spacing w:before="0" w:after="0"/>
              <w:jc w:val="center"/>
              <w:rPr>
                <w:rFonts w:ascii="arial" w:hAnsi="arial"/>
                <w:b/>
                <w:color w:val="FFFFFF"/>
                <w:sz w:val="16"/>
              </w:rPr>
            </w:pPr>
            <w:r>
              <w:rPr>
                <w:rFonts w:ascii="arial" w:hAnsi="arial"/>
                <w:b/>
                <w:color w:val="FFFFFF"/>
                <w:sz w:val="16"/>
              </w:rPr>
              <w:t>of</w:t>
              <w:br/>
              <w:t>Tangible</w:t>
              <w:br/>
              <w:t>Book</w:t>
            </w:r>
          </w:p>
          <w:p>
            <w:pPr>
              <w:pStyle w:val="TableContents"/>
              <w:bidi w:val="0"/>
              <w:spacing w:before="0" w:after="0"/>
              <w:jc w:val="center"/>
              <w:rPr>
                <w:rFonts w:ascii="arial" w:hAnsi="arial"/>
                <w:b/>
                <w:color w:val="FFFFFF"/>
                <w:sz w:val="16"/>
              </w:rPr>
            </w:pPr>
            <w:r>
              <w:rPr>
                <w:rFonts w:ascii="arial" w:hAnsi="arial"/>
                <w:b/>
                <w:color w:val="FFFFFF"/>
                <w:sz w:val="16"/>
              </w:rPr>
              <w:t>Value Per</w:t>
            </w:r>
          </w:p>
          <w:p>
            <w:pPr>
              <w:pStyle w:val="TableContents"/>
              <w:bidi w:val="0"/>
              <w:spacing w:before="0" w:after="0"/>
              <w:jc w:val="center"/>
              <w:rPr>
                <w:rFonts w:ascii="arial" w:hAnsi="arial"/>
                <w:b/>
                <w:color w:val="FFFFFF"/>
                <w:sz w:val="16"/>
              </w:rPr>
            </w:pPr>
            <w:r>
              <w:rPr>
                <w:rFonts w:ascii="arial" w:hAnsi="arial"/>
                <w:b/>
                <w:color w:val="FFFFFF"/>
                <w:sz w:val="16"/>
              </w:rPr>
              <w:t>Common</w:t>
            </w:r>
          </w:p>
          <w:p>
            <w:pPr>
              <w:pStyle w:val="TableContents"/>
              <w:bidi w:val="0"/>
              <w:spacing w:before="0" w:after="0"/>
              <w:jc w:val="center"/>
              <w:rPr>
                <w:rFonts w:ascii="arial" w:hAnsi="arial"/>
                <w:b/>
                <w:color w:val="FFFFFF"/>
                <w:sz w:val="16"/>
              </w:rPr>
            </w:pPr>
            <w:r>
              <w:rPr>
                <w:rFonts w:ascii="arial" w:hAnsi="arial"/>
                <w:b/>
                <w:color w:val="FFFFFF"/>
                <w:sz w:val="16"/>
              </w:rPr>
              <w:t>Share</w:t>
            </w:r>
          </w:p>
          <w:p>
            <w:pPr>
              <w:pStyle w:val="TableContents"/>
              <w:bidi w:val="0"/>
              <w:spacing w:before="0" w:after="0"/>
              <w:jc w:val="center"/>
              <w:rPr>
                <w:rFonts w:ascii="arial" w:hAnsi="arial"/>
                <w:b/>
                <w:color w:val="FFFFFF"/>
                <w:sz w:val="9"/>
              </w:rPr>
            </w:pPr>
            <w:r>
              <w:rPr>
                <w:rFonts w:ascii="arial" w:hAnsi="arial"/>
                <w:b/>
                <w:color w:val="FFFFFF"/>
                <w:sz w:val="9"/>
              </w:rPr>
              <w:t>(4)</w:t>
            </w:r>
          </w:p>
          <w:p>
            <w:pPr>
              <w:pStyle w:val="TableContents"/>
              <w:bidi w:val="0"/>
              <w:spacing w:before="0" w:after="20"/>
              <w:jc w:val="left"/>
              <w:rPr/>
            </w:pPr>
            <w:r>
              <w:rPr/>
              <w:t> </w:t>
            </w:r>
          </w:p>
        </w:tc>
      </w:tr>
      <w:tr>
        <w:trPr/>
        <w:tc>
          <w:tcPr>
            <w:tcW w:w="1040" w:type="dxa"/>
            <w:vMerge w:val="continue"/>
            <w:tcBorders>
              <w:bottom w:val="single" w:sz="8" w:space="0" w:color="FFFFFF"/>
              <w:right w:val="single" w:sz="24" w:space="0" w:color="FFFFFF"/>
            </w:tcBorders>
            <w:shd w:fill="003A5D" w:val="clear"/>
            <w:tcMar>
              <w:bottom w:w="60" w:type="dxa"/>
              <w:right w:w="28" w:type="dxa"/>
            </w:tcMar>
            <w:vAlign w:val="center"/>
          </w:tcPr>
          <w:p>
            <w:pPr>
              <w:pStyle w:val="Normal"/>
              <w:bidi w:val="0"/>
              <w:jc w:val="left"/>
              <w:rPr/>
            </w:pPr>
            <w:r>
              <w:rPr/>
            </w:r>
          </w:p>
        </w:tc>
        <w:tc>
          <w:tcPr>
            <w:tcW w:w="23" w:type="dxa"/>
            <w:vMerge w:val="continue"/>
            <w:tcBorders>
              <w:bottom w:val="single" w:sz="8" w:space="0" w:color="FFFFFF"/>
            </w:tcBorders>
            <w:shd w:fill="003A5D" w:val="clear"/>
            <w:tcMar>
              <w:bottom w:w="28" w:type="dxa"/>
            </w:tcMar>
            <w:vAlign w:val="center"/>
          </w:tcPr>
          <w:p>
            <w:pPr>
              <w:pStyle w:val="Normal"/>
              <w:bidi w:val="0"/>
              <w:jc w:val="left"/>
              <w:rPr/>
            </w:pPr>
            <w:r>
              <w:rPr/>
            </w:r>
          </w:p>
        </w:tc>
        <w:tc>
          <w:tcPr>
            <w:tcW w:w="1326" w:type="dxa"/>
            <w:gridSpan w:val="4"/>
            <w:vMerge w:val="continue"/>
            <w:tcBorders>
              <w:bottom w:val="single" w:sz="8" w:space="0" w:color="FFFFFF"/>
              <w:right w:val="single" w:sz="24" w:space="0" w:color="FFFFFF"/>
            </w:tcBorders>
            <w:shd w:fill="003A5D" w:val="clear"/>
            <w:tcMar>
              <w:bottom w:w="60" w:type="dxa"/>
              <w:right w:w="28" w:type="dxa"/>
            </w:tcMar>
            <w:vAlign w:val="center"/>
          </w:tcPr>
          <w:p>
            <w:pPr>
              <w:pStyle w:val="Normal"/>
              <w:bidi w:val="0"/>
              <w:jc w:val="left"/>
              <w:rPr/>
            </w:pPr>
            <w:r>
              <w:rPr/>
            </w:r>
          </w:p>
        </w:tc>
        <w:tc>
          <w:tcPr>
            <w:tcW w:w="23" w:type="dxa"/>
            <w:vMerge w:val="continue"/>
            <w:tcBorders>
              <w:bottom w:val="single" w:sz="8" w:space="0" w:color="FFFFFF"/>
              <w:right w:val="single" w:sz="24" w:space="0" w:color="FFFFFF"/>
            </w:tcBorders>
            <w:shd w:fill="003A5D" w:val="clear"/>
            <w:tcMar>
              <w:bottom w:w="60" w:type="dxa"/>
              <w:right w:w="28" w:type="dxa"/>
            </w:tcMar>
            <w:vAlign w:val="center"/>
          </w:tcPr>
          <w:p>
            <w:pPr>
              <w:pStyle w:val="Normal"/>
              <w:bidi w:val="0"/>
              <w:jc w:val="left"/>
              <w:rPr/>
            </w:pPr>
            <w:r>
              <w:rPr/>
            </w:r>
          </w:p>
        </w:tc>
        <w:tc>
          <w:tcPr>
            <w:tcW w:w="1326" w:type="dxa"/>
            <w:gridSpan w:val="4"/>
            <w:vMerge w:val="continue"/>
            <w:tcBorders>
              <w:bottom w:val="single" w:sz="8" w:space="0" w:color="FFFFFF"/>
            </w:tcBorders>
            <w:shd w:fill="003A5D" w:val="clear"/>
            <w:tcMar>
              <w:bottom w:w="28" w:type="dxa"/>
            </w:tcMar>
            <w:vAlign w:val="center"/>
          </w:tcPr>
          <w:p>
            <w:pPr>
              <w:pStyle w:val="Normal"/>
              <w:bidi w:val="0"/>
              <w:jc w:val="left"/>
              <w:rPr/>
            </w:pPr>
            <w:r>
              <w:rPr/>
            </w:r>
          </w:p>
        </w:tc>
        <w:tc>
          <w:tcPr>
            <w:tcW w:w="23" w:type="dxa"/>
            <w:vMerge w:val="continue"/>
            <w:tcBorders>
              <w:bottom w:val="single" w:sz="8" w:space="0" w:color="FFFFFF"/>
            </w:tcBorders>
            <w:shd w:fill="003A5D" w:val="clear"/>
            <w:tcMar>
              <w:bottom w:w="28" w:type="dxa"/>
            </w:tcMar>
            <w:vAlign w:val="center"/>
          </w:tcPr>
          <w:p>
            <w:pPr>
              <w:pStyle w:val="Normal"/>
              <w:bidi w:val="0"/>
              <w:jc w:val="left"/>
              <w:rPr/>
            </w:pPr>
            <w:r>
              <w:rPr/>
            </w:r>
          </w:p>
        </w:tc>
        <w:tc>
          <w:tcPr>
            <w:tcW w:w="1326" w:type="dxa"/>
            <w:gridSpan w:val="4"/>
            <w:vMerge w:val="continue"/>
            <w:tcBorders>
              <w:bottom w:val="single" w:sz="8" w:space="0" w:color="FFFFFF"/>
              <w:right w:val="single" w:sz="24" w:space="0" w:color="FFFFFF"/>
            </w:tcBorders>
            <w:shd w:fill="003A5D" w:val="clear"/>
            <w:tcMar>
              <w:bottom w:w="60" w:type="dxa"/>
              <w:right w:w="28" w:type="dxa"/>
            </w:tcMar>
            <w:vAlign w:val="center"/>
          </w:tcPr>
          <w:p>
            <w:pPr>
              <w:pStyle w:val="Normal"/>
              <w:bidi w:val="0"/>
              <w:jc w:val="left"/>
              <w:rPr/>
            </w:pPr>
            <w:r>
              <w:rPr/>
            </w:r>
          </w:p>
        </w:tc>
        <w:tc>
          <w:tcPr>
            <w:tcW w:w="23" w:type="dxa"/>
            <w:vMerge w:val="continue"/>
            <w:tcBorders>
              <w:bottom w:val="single" w:sz="8" w:space="0" w:color="FFFFFF"/>
            </w:tcBorders>
            <w:shd w:fill="003A5D" w:val="clear"/>
            <w:tcMar>
              <w:bottom w:w="28" w:type="dxa"/>
            </w:tcMar>
            <w:vAlign w:val="center"/>
          </w:tcPr>
          <w:p>
            <w:pPr>
              <w:pStyle w:val="Normal"/>
              <w:bidi w:val="0"/>
              <w:jc w:val="left"/>
              <w:rPr/>
            </w:pPr>
            <w:r>
              <w:rPr/>
            </w:r>
          </w:p>
        </w:tc>
        <w:tc>
          <w:tcPr>
            <w:tcW w:w="1326" w:type="dxa"/>
            <w:gridSpan w:val="4"/>
            <w:vMerge w:val="continue"/>
            <w:tcBorders>
              <w:bottom w:val="single" w:sz="8" w:space="0" w:color="FFFFFF"/>
              <w:right w:val="single" w:sz="24" w:space="0" w:color="FFFFFF"/>
            </w:tcBorders>
            <w:shd w:fill="003A5D" w:val="clear"/>
            <w:tcMar>
              <w:bottom w:w="60" w:type="dxa"/>
              <w:right w:w="28" w:type="dxa"/>
            </w:tcMar>
            <w:vAlign w:val="center"/>
          </w:tcPr>
          <w:p>
            <w:pPr>
              <w:pStyle w:val="Normal"/>
              <w:bidi w:val="0"/>
              <w:jc w:val="left"/>
              <w:rPr/>
            </w:pPr>
            <w:r>
              <w:rPr/>
            </w:r>
          </w:p>
        </w:tc>
        <w:tc>
          <w:tcPr>
            <w:tcW w:w="23" w:type="dxa"/>
            <w:tcBorders>
              <w:bottom w:val="single" w:sz="8" w:space="0" w:color="FFFFFF"/>
            </w:tcBorders>
            <w:shd w:fill="003A5D" w:val="clear"/>
            <w:tcMar>
              <w:bottom w:w="28" w:type="dxa"/>
            </w:tcMar>
            <w:vAlign w:val="center"/>
          </w:tcPr>
          <w:p>
            <w:pPr>
              <w:pStyle w:val="TableContents"/>
              <w:bidi w:val="0"/>
              <w:spacing w:before="0" w:after="283"/>
              <w:jc w:val="left"/>
              <w:rPr>
                <w:sz w:val="4"/>
                <w:szCs w:val="4"/>
              </w:rPr>
            </w:pPr>
            <w:r>
              <w:rPr>
                <w:sz w:val="4"/>
                <w:szCs w:val="4"/>
              </w:rPr>
            </w:r>
          </w:p>
        </w:tc>
        <w:tc>
          <w:tcPr>
            <w:tcW w:w="1001" w:type="dxa"/>
            <w:gridSpan w:val="4"/>
            <w:tcBorders>
              <w:bottom w:val="single" w:sz="8" w:space="0" w:color="FFFFFF"/>
              <w:right w:val="single" w:sz="24" w:space="0" w:color="FFFFFF"/>
            </w:tcBorders>
            <w:shd w:fill="003A5D" w:val="clear"/>
            <w:tcMar>
              <w:bottom w:w="60" w:type="dxa"/>
              <w:right w:w="28" w:type="dxa"/>
            </w:tcM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Total</w:t>
            </w:r>
          </w:p>
          <w:p>
            <w:pPr>
              <w:pStyle w:val="TableContents"/>
              <w:bidi w:val="0"/>
              <w:spacing w:before="0" w:after="0"/>
              <w:jc w:val="center"/>
              <w:rPr>
                <w:rFonts w:ascii="arial" w:hAnsi="arial"/>
                <w:b/>
                <w:color w:val="FFFFFF"/>
                <w:spacing w:val="0"/>
                <w:sz w:val="16"/>
              </w:rPr>
            </w:pPr>
            <w:r>
              <w:rPr>
                <w:rFonts w:ascii="arial" w:hAnsi="arial"/>
                <w:b/>
                <w:color w:val="FFFFFF"/>
                <w:spacing w:val="0"/>
                <w:sz w:val="16"/>
              </w:rPr>
              <w:t>Shareholder</w:t>
              <w:br/>
              <w:t>Return</w:t>
            </w:r>
          </w:p>
          <w:p>
            <w:pPr>
              <w:pStyle w:val="TableContents"/>
              <w:bidi w:val="0"/>
              <w:spacing w:before="0" w:after="20"/>
              <w:jc w:val="left"/>
              <w:rPr/>
            </w:pPr>
            <w:r>
              <w:rPr/>
              <w:t> </w:t>
            </w:r>
          </w:p>
        </w:tc>
        <w:tc>
          <w:tcPr>
            <w:tcW w:w="25" w:type="dxa"/>
            <w:tcBorders>
              <w:bottom w:val="single" w:sz="8" w:space="0" w:color="FFFFFF"/>
            </w:tcBorders>
            <w:shd w:fill="003A5D" w:val="clear"/>
            <w:tcMar>
              <w:bottom w:w="28" w:type="dxa"/>
            </w:tcMar>
            <w:vAlign w:val="center"/>
          </w:tcPr>
          <w:p>
            <w:pPr>
              <w:pStyle w:val="TableContents"/>
              <w:bidi w:val="0"/>
              <w:spacing w:before="0" w:after="283"/>
              <w:jc w:val="left"/>
              <w:rPr>
                <w:sz w:val="4"/>
                <w:szCs w:val="4"/>
              </w:rPr>
            </w:pPr>
            <w:r>
              <w:rPr>
                <w:sz w:val="4"/>
                <w:szCs w:val="4"/>
              </w:rPr>
            </w:r>
          </w:p>
        </w:tc>
        <w:tc>
          <w:tcPr>
            <w:tcW w:w="1004" w:type="dxa"/>
            <w:gridSpan w:val="4"/>
            <w:tcBorders>
              <w:bottom w:val="single" w:sz="8" w:space="0" w:color="FFFFFF"/>
              <w:right w:val="single" w:sz="24" w:space="0" w:color="FFFFFF"/>
            </w:tcBorders>
            <w:shd w:fill="003A5D" w:val="clear"/>
            <w:tcMar>
              <w:bottom w:w="60" w:type="dxa"/>
              <w:right w:w="28" w:type="dxa"/>
            </w:tcM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Peer Group</w:t>
              <w:br/>
              <w:t>Total</w:t>
              <w:br/>
              <w:t>Shareholder</w:t>
              <w:br/>
              <w:t>Return</w:t>
            </w:r>
          </w:p>
          <w:p>
            <w:pPr>
              <w:pStyle w:val="TableContents"/>
              <w:bidi w:val="0"/>
              <w:spacing w:before="0" w:after="0"/>
              <w:jc w:val="center"/>
              <w:rPr>
                <w:rFonts w:ascii="arial" w:hAnsi="arial"/>
                <w:b/>
                <w:color w:val="FFFFFF"/>
                <w:spacing w:val="0"/>
                <w:sz w:val="9"/>
              </w:rPr>
            </w:pPr>
            <w:r>
              <w:rPr>
                <w:rFonts w:ascii="arial" w:hAnsi="arial"/>
                <w:b/>
                <w:color w:val="FFFFFF"/>
                <w:spacing w:val="0"/>
                <w:sz w:val="9"/>
              </w:rPr>
              <w:t>(3)</w:t>
            </w:r>
          </w:p>
          <w:p>
            <w:pPr>
              <w:pStyle w:val="TableContents"/>
              <w:bidi w:val="0"/>
              <w:spacing w:before="0" w:after="20"/>
              <w:jc w:val="left"/>
              <w:rPr/>
            </w:pPr>
            <w:r>
              <w:rPr/>
              <w:t> </w:t>
            </w:r>
          </w:p>
        </w:tc>
        <w:tc>
          <w:tcPr>
            <w:tcW w:w="23" w:type="dxa"/>
            <w:vMerge w:val="continue"/>
            <w:tcBorders>
              <w:bottom w:val="single" w:sz="8" w:space="0" w:color="FFFFFF"/>
            </w:tcBorders>
            <w:shd w:fill="003A5D" w:val="clear"/>
            <w:tcMar>
              <w:bottom w:w="28" w:type="dxa"/>
            </w:tcMar>
            <w:vAlign w:val="center"/>
          </w:tcPr>
          <w:p>
            <w:pPr>
              <w:pStyle w:val="Normal"/>
              <w:bidi w:val="0"/>
              <w:jc w:val="left"/>
              <w:rPr/>
            </w:pPr>
            <w:r>
              <w:rPr/>
            </w:r>
          </w:p>
        </w:tc>
        <w:tc>
          <w:tcPr>
            <w:tcW w:w="906" w:type="dxa"/>
            <w:gridSpan w:val="4"/>
            <w:vMerge w:val="continue"/>
            <w:tcBorders>
              <w:bottom w:val="single" w:sz="8" w:space="0" w:color="FFFFFF"/>
              <w:right w:val="single" w:sz="24" w:space="0" w:color="FFFFFF"/>
            </w:tcBorders>
            <w:shd w:fill="003A5D" w:val="clear"/>
            <w:tcMar>
              <w:bottom w:w="60" w:type="dxa"/>
              <w:right w:w="28" w:type="dxa"/>
            </w:tcMar>
            <w:vAlign w:val="center"/>
          </w:tcPr>
          <w:p>
            <w:pPr>
              <w:pStyle w:val="Normal"/>
              <w:bidi w:val="0"/>
              <w:jc w:val="left"/>
              <w:rPr/>
            </w:pPr>
            <w:r>
              <w:rPr/>
            </w:r>
          </w:p>
        </w:tc>
        <w:tc>
          <w:tcPr>
            <w:tcW w:w="23" w:type="dxa"/>
            <w:vMerge w:val="continue"/>
            <w:tcBorders>
              <w:bottom w:val="single" w:sz="8" w:space="0" w:color="FFFFFF"/>
            </w:tcBorders>
            <w:shd w:fill="003A5D" w:val="clear"/>
            <w:tcMar>
              <w:bottom w:w="28" w:type="dxa"/>
            </w:tcMar>
            <w:vAlign w:val="center"/>
          </w:tcPr>
          <w:p>
            <w:pPr>
              <w:pStyle w:val="Normal"/>
              <w:bidi w:val="0"/>
              <w:jc w:val="left"/>
              <w:rPr/>
            </w:pPr>
            <w:r>
              <w:rPr/>
            </w:r>
          </w:p>
        </w:tc>
        <w:tc>
          <w:tcPr>
            <w:tcW w:w="830" w:type="dxa"/>
            <w:gridSpan w:val="4"/>
            <w:vMerge w:val="continue"/>
            <w:tcBorders>
              <w:bottom w:val="single" w:sz="8" w:space="0" w:color="FFFFFF"/>
            </w:tcBorders>
            <w:shd w:fill="003A5D" w:val="clear"/>
            <w:tcMar>
              <w:bottom w:w="60" w:type="dxa"/>
            </w:tcMar>
            <w:vAlign w:val="center"/>
          </w:tcPr>
          <w:p>
            <w:pPr>
              <w:pStyle w:val="Normal"/>
              <w:bidi w:val="0"/>
              <w:jc w:val="left"/>
              <w:rPr/>
            </w:pPr>
            <w:r>
              <w:rPr/>
            </w:r>
          </w:p>
        </w:tc>
      </w:tr>
      <w:tr>
        <w:trPr/>
        <w:tc>
          <w:tcPr>
            <w:tcW w:w="1040" w:type="dxa"/>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024"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029"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929"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853" w:type="dxa"/>
            <w:gridSpan w:val="5"/>
            <w:tcBorders/>
            <w:shd w:fill="E5EBEE" w:val="clear"/>
            <w:vAlign w:val="center"/>
          </w:tcPr>
          <w:p>
            <w:pPr>
              <w:pStyle w:val="TableContents"/>
              <w:bidi w:val="0"/>
              <w:spacing w:before="0" w:after="283"/>
              <w:jc w:val="left"/>
              <w:rPr>
                <w:sz w:val="4"/>
                <w:szCs w:val="4"/>
              </w:rPr>
            </w:pPr>
            <w:r>
              <w:rPr>
                <w:sz w:val="4"/>
                <w:szCs w:val="4"/>
              </w:rPr>
            </w:r>
          </w:p>
        </w:tc>
      </w:tr>
      <w:tr>
        <w:trPr/>
        <w:tc>
          <w:tcPr>
            <w:tcW w:w="104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rFonts w:ascii="arial" w:hAnsi="arial"/>
                <w:sz w:val="16"/>
              </w:rPr>
            </w:pPr>
            <w:r>
              <w:rPr>
                <w:rFonts w:ascii="arial" w:hAnsi="arial"/>
                <w:sz w:val="16"/>
              </w:rPr>
              <w:t>2024</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$30,829,070</w:t>
            </w:r>
          </w:p>
        </w:tc>
        <w:tc>
          <w:tcPr>
            <w:tcW w:w="2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$56,390,154</w:t>
            </w:r>
          </w:p>
        </w:tc>
        <w:tc>
          <w:tcPr>
            <w:tcW w:w="2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$7,434,305</w:t>
            </w:r>
          </w:p>
        </w:tc>
        <w:tc>
          <w:tcPr>
            <w:tcW w:w="2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$10,043,898</w:t>
            </w:r>
          </w:p>
        </w:tc>
        <w:tc>
          <w:tcPr>
            <w:tcW w:w="2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885" w:type="dxa"/>
            <w:tcBorders>
              <w:bottom w:val="single" w:sz="8" w:space="0" w:color="003A5D"/>
            </w:tcBorders>
            <w:shd w:fill="E5EBEE" w:val="clear"/>
            <w:tcMar>
              <w:bottom w:w="60" w:type="dxa"/>
            </w:tcMar>
            <w:vAlign w:val="center"/>
          </w:tcPr>
          <w:p>
            <w:pPr>
              <w:pStyle w:val="TableContents"/>
              <w:bidi w:val="0"/>
              <w:spacing w:before="0" w:after="283"/>
              <w:jc w:val="center"/>
              <w:rPr/>
            </w:pPr>
            <w:r>
              <w:rPr/>
              <w:t>$189.44</w:t>
            </w:r>
          </w:p>
        </w:tc>
        <w:tc>
          <w:tcPr>
            <w:tcW w:w="2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5"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885" w:type="dxa"/>
            <w:tcBorders>
              <w:bottom w:val="single" w:sz="8" w:space="0" w:color="003A5D"/>
            </w:tcBorders>
            <w:shd w:fill="E5EBEE" w:val="clear"/>
            <w:tcMar>
              <w:bottom w:w="60" w:type="dxa"/>
            </w:tcMar>
            <w:vAlign w:val="center"/>
          </w:tcPr>
          <w:p>
            <w:pPr>
              <w:pStyle w:val="TableContents"/>
              <w:bidi w:val="0"/>
              <w:spacing w:before="0" w:after="283"/>
              <w:jc w:val="center"/>
              <w:rPr/>
            </w:pPr>
            <w:r>
              <w:rPr/>
              <w:t>$173.90</w:t>
            </w:r>
          </w:p>
        </w:tc>
        <w:tc>
          <w:tcPr>
            <w:tcW w:w="28"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8" w:space="0" w:color="003A5D"/>
            </w:tcBorders>
            <w:shd w:fill="E5EBEE" w:val="clear"/>
            <w:tcMar>
              <w:bottom w:w="60" w:type="dxa"/>
            </w:tcMar>
            <w:vAlign w:val="center"/>
          </w:tcPr>
          <w:p>
            <w:pPr>
              <w:pStyle w:val="TableContents"/>
              <w:bidi w:val="0"/>
              <w:spacing w:before="0" w:after="283"/>
              <w:jc w:val="center"/>
              <w:rPr/>
            </w:pPr>
            <w:r>
              <w:rPr/>
              <w:t>$4,750</w:t>
            </w:r>
          </w:p>
        </w:tc>
        <w:tc>
          <w:tcPr>
            <w:tcW w:w="2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709" w:type="dxa"/>
            <w:tcBorders>
              <w:bottom w:val="single" w:sz="8" w:space="0" w:color="003A5D"/>
            </w:tcBorders>
            <w:shd w:fill="E5EBEE" w:val="clear"/>
            <w:tcMar>
              <w:bottom w:w="60" w:type="dxa"/>
            </w:tcMar>
            <w:vAlign w:val="center"/>
          </w:tcPr>
          <w:p>
            <w:pPr>
              <w:pStyle w:val="TableContents"/>
              <w:bidi w:val="0"/>
              <w:spacing w:before="0" w:after="283"/>
              <w:jc w:val="center"/>
              <w:rPr/>
            </w:pPr>
            <w:r>
              <w:rPr/>
              <w:t>9.6%</w:t>
            </w:r>
          </w:p>
        </w:tc>
        <w:tc>
          <w:tcPr>
            <w:tcW w:w="38"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r>
      <w:tr>
        <w:trPr/>
        <w:tc>
          <w:tcPr>
            <w:tcW w:w="1040" w:type="dxa"/>
            <w:tcBorders>
              <w:right w:val="single" w:sz="24" w:space="0" w:color="FFFFFF"/>
            </w:tcBorders>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1024"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1029"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929"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853" w:type="dxa"/>
            <w:gridSpan w:val="5"/>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left"/>
              <w:rPr>
                <w:rFonts w:ascii="arial" w:hAnsi="arial"/>
                <w:sz w:val="16"/>
              </w:rPr>
            </w:pPr>
            <w:r>
              <w:rPr>
                <w:rFonts w:ascii="arial" w:hAnsi="arial"/>
                <w:sz w:val="16"/>
              </w:rPr>
              <w:t>2023</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tcMar>
              <w:bottom w:w="60" w:type="dxa"/>
            </w:tcMar>
            <w:vAlign w:val="center"/>
          </w:tcPr>
          <w:p>
            <w:pPr>
              <w:pStyle w:val="TableContents"/>
              <w:bidi w:val="0"/>
              <w:spacing w:before="0" w:after="283"/>
              <w:jc w:val="center"/>
              <w:rPr/>
            </w:pPr>
            <w:r>
              <w:rPr/>
              <w:t>$28,589,573</w:t>
            </w:r>
          </w:p>
        </w:tc>
        <w:tc>
          <w:tcPr>
            <w:tcW w:w="23"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tcMar>
              <w:bottom w:w="60" w:type="dxa"/>
            </w:tcMar>
            <w:vAlign w:val="center"/>
          </w:tcPr>
          <w:p>
            <w:pPr>
              <w:pStyle w:val="TableContents"/>
              <w:bidi w:val="0"/>
              <w:spacing w:before="0" w:after="283"/>
              <w:jc w:val="center"/>
              <w:rPr/>
            </w:pPr>
            <w:r>
              <w:rPr/>
              <w:t>$56,015,379</w:t>
            </w:r>
          </w:p>
        </w:tc>
        <w:tc>
          <w:tcPr>
            <w:tcW w:w="23"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tcMar>
              <w:bottom w:w="60" w:type="dxa"/>
            </w:tcMar>
            <w:vAlign w:val="center"/>
          </w:tcPr>
          <w:p>
            <w:pPr>
              <w:pStyle w:val="TableContents"/>
              <w:bidi w:val="0"/>
              <w:spacing w:before="0" w:after="283"/>
              <w:jc w:val="center"/>
              <w:rPr/>
            </w:pPr>
            <w:r>
              <w:rPr/>
              <w:t>$7,171,356</w:t>
            </w:r>
          </w:p>
        </w:tc>
        <w:tc>
          <w:tcPr>
            <w:tcW w:w="23"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tcMar>
              <w:bottom w:w="60" w:type="dxa"/>
            </w:tcMar>
            <w:vAlign w:val="center"/>
          </w:tcPr>
          <w:p>
            <w:pPr>
              <w:pStyle w:val="TableContents"/>
              <w:bidi w:val="0"/>
              <w:spacing w:before="0" w:after="283"/>
              <w:jc w:val="center"/>
              <w:rPr/>
            </w:pPr>
            <w:r>
              <w:rPr/>
              <w:t>$9,620,815</w:t>
            </w:r>
          </w:p>
        </w:tc>
        <w:tc>
          <w:tcPr>
            <w:tcW w:w="23"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8" w:space="0" w:color="003A5D"/>
            </w:tcBorders>
            <w:tcMar>
              <w:bottom w:w="60" w:type="dxa"/>
            </w:tcMar>
            <w:vAlign w:val="center"/>
          </w:tcPr>
          <w:p>
            <w:pPr>
              <w:pStyle w:val="TableContents"/>
              <w:bidi w:val="0"/>
              <w:spacing w:before="0" w:after="283"/>
              <w:jc w:val="left"/>
              <w:rPr/>
            </w:pPr>
            <w:r>
              <w:rPr/>
              <w:t> </w:t>
            </w:r>
          </w:p>
        </w:tc>
        <w:tc>
          <w:tcPr>
            <w:tcW w:w="885" w:type="dxa"/>
            <w:tcBorders>
              <w:bottom w:val="single" w:sz="8" w:space="0" w:color="003A5D"/>
            </w:tcBorders>
            <w:tcMar>
              <w:bottom w:w="60" w:type="dxa"/>
            </w:tcMar>
            <w:vAlign w:val="center"/>
          </w:tcPr>
          <w:p>
            <w:pPr>
              <w:pStyle w:val="TableContents"/>
              <w:bidi w:val="0"/>
              <w:spacing w:before="0" w:after="283"/>
              <w:jc w:val="center"/>
              <w:rPr/>
            </w:pPr>
            <w:r>
              <w:rPr/>
              <w:t>$137.03</w:t>
            </w:r>
          </w:p>
        </w:tc>
        <w:tc>
          <w:tcPr>
            <w:tcW w:w="25"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5"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8" w:space="0" w:color="003A5D"/>
            </w:tcBorders>
            <w:tcMar>
              <w:bottom w:w="60" w:type="dxa"/>
            </w:tcMar>
            <w:vAlign w:val="center"/>
          </w:tcPr>
          <w:p>
            <w:pPr>
              <w:pStyle w:val="TableContents"/>
              <w:bidi w:val="0"/>
              <w:spacing w:before="0" w:after="283"/>
              <w:jc w:val="left"/>
              <w:rPr/>
            </w:pPr>
            <w:r>
              <w:rPr/>
              <w:t> </w:t>
            </w:r>
          </w:p>
        </w:tc>
        <w:tc>
          <w:tcPr>
            <w:tcW w:w="885" w:type="dxa"/>
            <w:tcBorders>
              <w:bottom w:val="single" w:sz="8" w:space="0" w:color="003A5D"/>
            </w:tcBorders>
            <w:tcMar>
              <w:bottom w:w="60" w:type="dxa"/>
            </w:tcMar>
            <w:vAlign w:val="center"/>
          </w:tcPr>
          <w:p>
            <w:pPr>
              <w:pStyle w:val="TableContents"/>
              <w:bidi w:val="0"/>
              <w:spacing w:before="0" w:after="283"/>
              <w:jc w:val="center"/>
              <w:rPr/>
            </w:pPr>
            <w:r>
              <w:rPr/>
              <w:t>$133.20</w:t>
            </w:r>
          </w:p>
        </w:tc>
        <w:tc>
          <w:tcPr>
            <w:tcW w:w="28"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800" w:type="dxa"/>
            <w:tcBorders>
              <w:bottom w:val="single" w:sz="8" w:space="0" w:color="003A5D"/>
            </w:tcBorders>
            <w:tcMar>
              <w:bottom w:w="60" w:type="dxa"/>
            </w:tcMar>
            <w:vAlign w:val="center"/>
          </w:tcPr>
          <w:p>
            <w:pPr>
              <w:pStyle w:val="TableContents"/>
              <w:bidi w:val="0"/>
              <w:spacing w:before="0" w:after="283"/>
              <w:jc w:val="center"/>
              <w:rPr/>
            </w:pPr>
            <w:r>
              <w:rPr/>
              <w:t>$4,887</w:t>
            </w:r>
          </w:p>
        </w:tc>
        <w:tc>
          <w:tcPr>
            <w:tcW w:w="23"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709" w:type="dxa"/>
            <w:tcBorders>
              <w:bottom w:val="single" w:sz="8" w:space="0" w:color="003A5D"/>
            </w:tcBorders>
            <w:tcMar>
              <w:bottom w:w="60" w:type="dxa"/>
            </w:tcMar>
            <w:vAlign w:val="center"/>
          </w:tcPr>
          <w:p>
            <w:pPr>
              <w:pStyle w:val="TableContents"/>
              <w:bidi w:val="0"/>
              <w:spacing w:before="0" w:after="283"/>
              <w:jc w:val="center"/>
              <w:rPr/>
            </w:pPr>
            <w:r>
              <w:rPr/>
              <w:t>18.7%</w:t>
            </w:r>
          </w:p>
        </w:tc>
        <w:tc>
          <w:tcPr>
            <w:tcW w:w="38"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r>
      <w:tr>
        <w:trPr/>
        <w:tc>
          <w:tcPr>
            <w:tcW w:w="1040" w:type="dxa"/>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024"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029"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929"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853" w:type="dxa"/>
            <w:gridSpan w:val="5"/>
            <w:tcBorders/>
            <w:shd w:fill="E5EBEE" w:val="clear"/>
            <w:vAlign w:val="center"/>
          </w:tcPr>
          <w:p>
            <w:pPr>
              <w:pStyle w:val="TableContents"/>
              <w:bidi w:val="0"/>
              <w:spacing w:before="0" w:after="283"/>
              <w:jc w:val="left"/>
              <w:rPr>
                <w:sz w:val="4"/>
                <w:szCs w:val="4"/>
              </w:rPr>
            </w:pPr>
            <w:r>
              <w:rPr>
                <w:sz w:val="4"/>
                <w:szCs w:val="4"/>
              </w:rPr>
            </w:r>
          </w:p>
        </w:tc>
      </w:tr>
      <w:tr>
        <w:trPr/>
        <w:tc>
          <w:tcPr>
            <w:tcW w:w="104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rFonts w:ascii="arial" w:hAnsi="arial"/>
                <w:sz w:val="16"/>
              </w:rPr>
            </w:pPr>
            <w:r>
              <w:rPr>
                <w:rFonts w:ascii="arial" w:hAnsi="arial"/>
                <w:sz w:val="16"/>
              </w:rPr>
              <w:t>2022</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$27,605,311</w:t>
            </w:r>
          </w:p>
        </w:tc>
        <w:tc>
          <w:tcPr>
            <w:tcW w:w="2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$(758,823)</w:t>
            </w:r>
          </w:p>
        </w:tc>
        <w:tc>
          <w:tcPr>
            <w:tcW w:w="2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$11,374,302</w:t>
            </w:r>
          </w:p>
        </w:tc>
        <w:tc>
          <w:tcPr>
            <w:tcW w:w="2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$7,425,259</w:t>
            </w:r>
          </w:p>
        </w:tc>
        <w:tc>
          <w:tcPr>
            <w:tcW w:w="2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885" w:type="dxa"/>
            <w:tcBorders>
              <w:bottom w:val="single" w:sz="8" w:space="0" w:color="003A5D"/>
            </w:tcBorders>
            <w:shd w:fill="E5EBEE" w:val="clear"/>
            <w:tcMar>
              <w:bottom w:w="60" w:type="dxa"/>
            </w:tcMar>
            <w:vAlign w:val="center"/>
          </w:tcPr>
          <w:p>
            <w:pPr>
              <w:pStyle w:val="TableContents"/>
              <w:bidi w:val="0"/>
              <w:spacing w:before="0" w:after="283"/>
              <w:jc w:val="center"/>
              <w:rPr/>
            </w:pPr>
            <w:r>
              <w:rPr/>
              <w:t>$94.95</w:t>
            </w:r>
          </w:p>
        </w:tc>
        <w:tc>
          <w:tcPr>
            <w:tcW w:w="2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5"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885" w:type="dxa"/>
            <w:tcBorders>
              <w:bottom w:val="single" w:sz="8" w:space="0" w:color="003A5D"/>
            </w:tcBorders>
            <w:shd w:fill="E5EBEE" w:val="clear"/>
            <w:tcMar>
              <w:bottom w:w="60" w:type="dxa"/>
            </w:tcMar>
            <w:vAlign w:val="center"/>
          </w:tcPr>
          <w:p>
            <w:pPr>
              <w:pStyle w:val="TableContents"/>
              <w:bidi w:val="0"/>
              <w:spacing w:before="0" w:after="283"/>
              <w:jc w:val="center"/>
              <w:rPr/>
            </w:pPr>
            <w:r>
              <w:rPr/>
              <w:t>$118.77</w:t>
            </w:r>
          </w:p>
        </w:tc>
        <w:tc>
          <w:tcPr>
            <w:tcW w:w="28"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8" w:space="0" w:color="003A5D"/>
            </w:tcBorders>
            <w:shd w:fill="E5EBEE" w:val="clear"/>
            <w:tcMar>
              <w:bottom w:w="60" w:type="dxa"/>
            </w:tcMar>
            <w:vAlign w:val="center"/>
          </w:tcPr>
          <w:p>
            <w:pPr>
              <w:pStyle w:val="TableContents"/>
              <w:bidi w:val="0"/>
              <w:spacing w:before="0" w:after="283"/>
              <w:jc w:val="center"/>
              <w:rPr/>
            </w:pPr>
            <w:r>
              <w:rPr/>
              <w:t>$7,360</w:t>
            </w:r>
          </w:p>
        </w:tc>
        <w:tc>
          <w:tcPr>
            <w:tcW w:w="2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709" w:type="dxa"/>
            <w:tcBorders>
              <w:bottom w:val="single" w:sz="8" w:space="0" w:color="003A5D"/>
            </w:tcBorders>
            <w:shd w:fill="E5EBEE" w:val="clear"/>
            <w:tcMar>
              <w:bottom w:w="60" w:type="dxa"/>
            </w:tcMar>
            <w:vAlign w:val="center"/>
          </w:tcPr>
          <w:p>
            <w:pPr>
              <w:pStyle w:val="TableContents"/>
              <w:bidi w:val="0"/>
              <w:spacing w:before="0" w:after="283"/>
              <w:jc w:val="center"/>
              <w:rPr/>
            </w:pPr>
            <w:r>
              <w:rPr/>
              <w:t>(11.3)%</w:t>
            </w:r>
          </w:p>
        </w:tc>
        <w:tc>
          <w:tcPr>
            <w:tcW w:w="38"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r>
      <w:tr>
        <w:trPr/>
        <w:tc>
          <w:tcPr>
            <w:tcW w:w="1040" w:type="dxa"/>
            <w:tcBorders>
              <w:right w:val="single" w:sz="24" w:space="0" w:color="FFFFFF"/>
            </w:tcBorders>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1024"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1029"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929"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853" w:type="dxa"/>
            <w:gridSpan w:val="5"/>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left"/>
              <w:rPr>
                <w:rFonts w:ascii="arial" w:hAnsi="arial"/>
                <w:sz w:val="16"/>
              </w:rPr>
            </w:pPr>
            <w:r>
              <w:rPr>
                <w:rFonts w:ascii="arial" w:hAnsi="arial"/>
                <w:sz w:val="16"/>
              </w:rPr>
              <w:t>2021</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tcMar>
              <w:bottom w:w="60" w:type="dxa"/>
            </w:tcMar>
            <w:vAlign w:val="center"/>
          </w:tcPr>
          <w:p>
            <w:pPr>
              <w:pStyle w:val="TableContents"/>
              <w:bidi w:val="0"/>
              <w:spacing w:before="0" w:after="283"/>
              <w:jc w:val="center"/>
              <w:rPr/>
            </w:pPr>
            <w:r>
              <w:rPr/>
              <w:t>$20,457,553</w:t>
            </w:r>
          </w:p>
        </w:tc>
        <w:tc>
          <w:tcPr>
            <w:tcW w:w="23"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tcMar>
              <w:bottom w:w="60" w:type="dxa"/>
            </w:tcMar>
            <w:vAlign w:val="center"/>
          </w:tcPr>
          <w:p>
            <w:pPr>
              <w:pStyle w:val="TableContents"/>
              <w:bidi w:val="0"/>
              <w:spacing w:before="0" w:after="283"/>
              <w:jc w:val="center"/>
              <w:rPr/>
            </w:pPr>
            <w:r>
              <w:rPr/>
              <w:t>$44,692,866</w:t>
            </w:r>
          </w:p>
        </w:tc>
        <w:tc>
          <w:tcPr>
            <w:tcW w:w="23"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tcMar>
              <w:bottom w:w="60" w:type="dxa"/>
            </w:tcMar>
            <w:vAlign w:val="center"/>
          </w:tcPr>
          <w:p>
            <w:pPr>
              <w:pStyle w:val="TableContents"/>
              <w:bidi w:val="0"/>
              <w:spacing w:before="0" w:after="283"/>
              <w:jc w:val="center"/>
              <w:rPr/>
            </w:pPr>
            <w:r>
              <w:rPr/>
              <w:t>$5,404,513</w:t>
            </w:r>
          </w:p>
        </w:tc>
        <w:tc>
          <w:tcPr>
            <w:tcW w:w="23"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tcMar>
              <w:bottom w:w="60" w:type="dxa"/>
            </w:tcMar>
            <w:vAlign w:val="center"/>
          </w:tcPr>
          <w:p>
            <w:pPr>
              <w:pStyle w:val="TableContents"/>
              <w:bidi w:val="0"/>
              <w:spacing w:before="0" w:after="283"/>
              <w:jc w:val="center"/>
              <w:rPr/>
            </w:pPr>
            <w:r>
              <w:rPr/>
              <w:t>$7,652,216</w:t>
            </w:r>
          </w:p>
        </w:tc>
        <w:tc>
          <w:tcPr>
            <w:tcW w:w="23"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8" w:space="0" w:color="003A5D"/>
            </w:tcBorders>
            <w:tcMar>
              <w:bottom w:w="60" w:type="dxa"/>
            </w:tcMar>
            <w:vAlign w:val="center"/>
          </w:tcPr>
          <w:p>
            <w:pPr>
              <w:pStyle w:val="TableContents"/>
              <w:bidi w:val="0"/>
              <w:spacing w:before="0" w:after="283"/>
              <w:jc w:val="left"/>
              <w:rPr/>
            </w:pPr>
            <w:r>
              <w:rPr/>
              <w:t> </w:t>
            </w:r>
          </w:p>
        </w:tc>
        <w:tc>
          <w:tcPr>
            <w:tcW w:w="885" w:type="dxa"/>
            <w:tcBorders>
              <w:bottom w:val="single" w:sz="8" w:space="0" w:color="003A5D"/>
            </w:tcBorders>
            <w:tcMar>
              <w:bottom w:w="60" w:type="dxa"/>
            </w:tcMar>
            <w:vAlign w:val="center"/>
          </w:tcPr>
          <w:p>
            <w:pPr>
              <w:pStyle w:val="TableContents"/>
              <w:bidi w:val="0"/>
              <w:spacing w:before="0" w:after="283"/>
              <w:jc w:val="center"/>
              <w:rPr/>
            </w:pPr>
            <w:r>
              <w:rPr/>
              <w:t>$145.28</w:t>
            </w:r>
          </w:p>
        </w:tc>
        <w:tc>
          <w:tcPr>
            <w:tcW w:w="25"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5"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8" w:space="0" w:color="003A5D"/>
            </w:tcBorders>
            <w:tcMar>
              <w:bottom w:w="60" w:type="dxa"/>
            </w:tcMar>
            <w:vAlign w:val="center"/>
          </w:tcPr>
          <w:p>
            <w:pPr>
              <w:pStyle w:val="TableContents"/>
              <w:bidi w:val="0"/>
              <w:spacing w:before="0" w:after="283"/>
              <w:jc w:val="left"/>
              <w:rPr/>
            </w:pPr>
            <w:r>
              <w:rPr/>
              <w:t> </w:t>
            </w:r>
          </w:p>
        </w:tc>
        <w:tc>
          <w:tcPr>
            <w:tcW w:w="885" w:type="dxa"/>
            <w:tcBorders>
              <w:bottom w:val="single" w:sz="8" w:space="0" w:color="003A5D"/>
            </w:tcBorders>
            <w:tcMar>
              <w:bottom w:w="60" w:type="dxa"/>
            </w:tcMar>
            <w:vAlign w:val="center"/>
          </w:tcPr>
          <w:p>
            <w:pPr>
              <w:pStyle w:val="TableContents"/>
              <w:bidi w:val="0"/>
              <w:spacing w:before="0" w:after="283"/>
              <w:jc w:val="center"/>
              <w:rPr/>
            </w:pPr>
            <w:r>
              <w:rPr/>
              <w:t>$132.75</w:t>
            </w:r>
          </w:p>
        </w:tc>
        <w:tc>
          <w:tcPr>
            <w:tcW w:w="28"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800" w:type="dxa"/>
            <w:tcBorders>
              <w:bottom w:val="single" w:sz="8" w:space="0" w:color="003A5D"/>
            </w:tcBorders>
            <w:tcMar>
              <w:bottom w:w="60" w:type="dxa"/>
            </w:tcMar>
            <w:vAlign w:val="center"/>
          </w:tcPr>
          <w:p>
            <w:pPr>
              <w:pStyle w:val="TableContents"/>
              <w:bidi w:val="0"/>
              <w:spacing w:before="0" w:after="283"/>
              <w:jc w:val="center"/>
              <w:rPr/>
            </w:pPr>
            <w:r>
              <w:rPr/>
              <w:t>$12,390</w:t>
            </w:r>
          </w:p>
        </w:tc>
        <w:tc>
          <w:tcPr>
            <w:tcW w:w="23"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709" w:type="dxa"/>
            <w:tcBorders>
              <w:bottom w:val="single" w:sz="8" w:space="0" w:color="003A5D"/>
            </w:tcBorders>
            <w:tcMar>
              <w:bottom w:w="60" w:type="dxa"/>
            </w:tcMar>
            <w:vAlign w:val="center"/>
          </w:tcPr>
          <w:p>
            <w:pPr>
              <w:pStyle w:val="TableContents"/>
              <w:bidi w:val="0"/>
              <w:spacing w:before="0" w:after="283"/>
              <w:jc w:val="center"/>
              <w:rPr/>
            </w:pPr>
            <w:r>
              <w:rPr/>
              <w:t>15.8%</w:t>
            </w:r>
          </w:p>
        </w:tc>
        <w:tc>
          <w:tcPr>
            <w:tcW w:w="38"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r>
      <w:tr>
        <w:trPr/>
        <w:tc>
          <w:tcPr>
            <w:tcW w:w="1040" w:type="dxa"/>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024"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029"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929"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853" w:type="dxa"/>
            <w:gridSpan w:val="5"/>
            <w:tcBorders/>
            <w:shd w:fill="E5EBEE" w:val="clear"/>
            <w:vAlign w:val="center"/>
          </w:tcPr>
          <w:p>
            <w:pPr>
              <w:pStyle w:val="TableContents"/>
              <w:bidi w:val="0"/>
              <w:spacing w:before="0" w:after="283"/>
              <w:jc w:val="left"/>
              <w:rPr>
                <w:sz w:val="4"/>
                <w:szCs w:val="4"/>
              </w:rPr>
            </w:pPr>
            <w:r>
              <w:rPr>
                <w:sz w:val="4"/>
                <w:szCs w:val="4"/>
              </w:rPr>
            </w:r>
          </w:p>
        </w:tc>
      </w:tr>
      <w:tr>
        <w:trPr/>
        <w:tc>
          <w:tcPr>
            <w:tcW w:w="104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rFonts w:ascii="arial" w:hAnsi="arial"/>
                <w:sz w:val="16"/>
              </w:rPr>
            </w:pPr>
            <w:r>
              <w:rPr>
                <w:rFonts w:ascii="arial" w:hAnsi="arial"/>
                <w:sz w:val="16"/>
              </w:rPr>
              <w:t>2020</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$20,119,971</w:t>
            </w:r>
          </w:p>
        </w:tc>
        <w:tc>
          <w:tcPr>
            <w:tcW w:w="2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$13,578,561</w:t>
            </w:r>
          </w:p>
        </w:tc>
        <w:tc>
          <w:tcPr>
            <w:tcW w:w="2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$5,578,452</w:t>
            </w:r>
          </w:p>
        </w:tc>
        <w:tc>
          <w:tcPr>
            <w:tcW w:w="2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$4,068,566</w:t>
            </w:r>
          </w:p>
        </w:tc>
        <w:tc>
          <w:tcPr>
            <w:tcW w:w="2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885" w:type="dxa"/>
            <w:tcBorders>
              <w:bottom w:val="single" w:sz="8" w:space="0" w:color="003A5D"/>
            </w:tcBorders>
            <w:shd w:fill="E5EBEE" w:val="clear"/>
            <w:tcMar>
              <w:bottom w:w="60" w:type="dxa"/>
            </w:tcMar>
            <w:vAlign w:val="center"/>
          </w:tcPr>
          <w:p>
            <w:pPr>
              <w:pStyle w:val="TableContents"/>
              <w:bidi w:val="0"/>
              <w:spacing w:before="0" w:after="283"/>
              <w:jc w:val="center"/>
              <w:rPr/>
            </w:pPr>
            <w:r>
              <w:rPr/>
              <w:t>$97.32</w:t>
            </w:r>
          </w:p>
        </w:tc>
        <w:tc>
          <w:tcPr>
            <w:tcW w:w="2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5"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6"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885" w:type="dxa"/>
            <w:tcBorders>
              <w:bottom w:val="single" w:sz="8" w:space="0" w:color="003A5D"/>
            </w:tcBorders>
            <w:shd w:fill="E5EBEE" w:val="clear"/>
            <w:tcMar>
              <w:bottom w:w="60" w:type="dxa"/>
            </w:tcMar>
            <w:vAlign w:val="center"/>
          </w:tcPr>
          <w:p>
            <w:pPr>
              <w:pStyle w:val="TableContents"/>
              <w:bidi w:val="0"/>
              <w:spacing w:before="0" w:after="283"/>
              <w:jc w:val="center"/>
              <w:rPr/>
            </w:pPr>
            <w:r>
              <w:rPr/>
              <w:t>$98.31</w:t>
            </w:r>
          </w:p>
        </w:tc>
        <w:tc>
          <w:tcPr>
            <w:tcW w:w="28"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8" w:space="0" w:color="003A5D"/>
            </w:tcBorders>
            <w:shd w:fill="E5EBEE" w:val="clear"/>
            <w:tcMar>
              <w:bottom w:w="60" w:type="dxa"/>
            </w:tcMar>
            <w:vAlign w:val="center"/>
          </w:tcPr>
          <w:p>
            <w:pPr>
              <w:pStyle w:val="TableContents"/>
              <w:bidi w:val="0"/>
              <w:spacing w:before="0" w:after="283"/>
              <w:jc w:val="center"/>
              <w:rPr/>
            </w:pPr>
            <w:r>
              <w:rPr/>
              <w:t>$2,714</w:t>
            </w:r>
          </w:p>
        </w:tc>
        <w:tc>
          <w:tcPr>
            <w:tcW w:w="2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709" w:type="dxa"/>
            <w:tcBorders>
              <w:bottom w:val="single" w:sz="8" w:space="0" w:color="003A5D"/>
            </w:tcBorders>
            <w:shd w:fill="E5EBEE" w:val="clear"/>
            <w:tcMar>
              <w:bottom w:w="60" w:type="dxa"/>
            </w:tcMar>
            <w:vAlign w:val="center"/>
          </w:tcPr>
          <w:p>
            <w:pPr>
              <w:pStyle w:val="TableContents"/>
              <w:bidi w:val="0"/>
              <w:spacing w:before="0" w:after="283"/>
              <w:jc w:val="center"/>
              <w:rPr/>
            </w:pPr>
            <w:r>
              <w:rPr/>
              <w:t>6.7%</w:t>
            </w:r>
          </w:p>
        </w:tc>
        <w:tc>
          <w:tcPr>
            <w:tcW w:w="38"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(1)</w:t>
            </w:r>
          </w:p>
        </w:tc>
        <w:tc>
          <w:tcPr>
            <w:tcW w:w="9923" w:type="dxa"/>
            <w:tcBorders/>
            <w:vAlign w:val="center"/>
          </w:tcPr>
          <w:p>
            <w:pPr>
              <w:pStyle w:val="TableContents"/>
              <w:bidi w:val="0"/>
              <w:spacing w:before="0" w:after="0"/>
              <w:jc w:val="both"/>
              <w:rPr>
                <w:rFonts w:ascii="arial" w:hAnsi="arial"/>
                <w:sz w:val="16"/>
              </w:rPr>
            </w:pPr>
            <w:r>
              <w:rPr>
                <w:rFonts w:ascii="arial" w:hAnsi="arial"/>
                <w:sz w:val="16"/>
              </w:rPr>
              <w:t xml:space="preserve">Mr. Fairbank is represented as the principal executive officer (“PEO”) for each of the years shown. For performance year 2024, Messrs. Young, LaPrade, and Cooper are represented as the </w:t>
            </w:r>
          </w:p>
          <w:p>
            <w:pPr>
              <w:pStyle w:val="TableContents"/>
              <w:bidi w:val="0"/>
              <w:spacing w:before="0" w:after="0"/>
              <w:jc w:val="both"/>
              <w:rPr>
                <w:rFonts w:ascii="arial" w:hAnsi="arial"/>
                <w:spacing w:val="0"/>
                <w:sz w:val="16"/>
              </w:rPr>
            </w:pPr>
            <w:r>
              <w:rPr>
                <w:rFonts w:ascii="arial" w:hAnsi="arial"/>
                <w:spacing w:val="0"/>
                <w:sz w:val="16"/>
              </w:rPr>
              <w:t>non-PEO</w:t>
            </w:r>
          </w:p>
          <w:p>
            <w:pPr>
              <w:pStyle w:val="TableContents"/>
              <w:bidi w:val="0"/>
              <w:spacing w:before="0" w:after="0"/>
              <w:jc w:val="both"/>
              <w:rPr>
                <w:rFonts w:ascii="arial" w:hAnsi="arial"/>
                <w:sz w:val="16"/>
              </w:rPr>
            </w:pPr>
            <w:r>
              <w:rPr>
                <w:rFonts w:ascii="arial" w:hAnsi="arial"/>
                <w:sz w:val="16"/>
              </w:rPr>
              <w:t xml:space="preserve">named executive officers </w:t>
            </w:r>
          </w:p>
          <w:p>
            <w:pPr>
              <w:pStyle w:val="TableContents"/>
              <w:bidi w:val="0"/>
              <w:spacing w:before="0" w:after="0"/>
              <w:jc w:val="both"/>
              <w:rPr>
                <w:rFonts w:ascii="arial" w:hAnsi="arial"/>
                <w:spacing w:val="0"/>
                <w:sz w:val="16"/>
              </w:rPr>
            </w:pPr>
            <w:r>
              <w:rPr>
                <w:rFonts w:ascii="arial" w:hAnsi="arial"/>
                <w:spacing w:val="0"/>
                <w:sz w:val="16"/>
              </w:rPr>
              <w:t>(“Non-PEO</w:t>
            </w:r>
          </w:p>
          <w:p>
            <w:pPr>
              <w:pStyle w:val="TableContents"/>
              <w:bidi w:val="0"/>
              <w:spacing w:before="0" w:after="0"/>
              <w:jc w:val="both"/>
              <w:rPr>
                <w:rFonts w:ascii="arial" w:hAnsi="arial"/>
                <w:sz w:val="16"/>
              </w:rPr>
            </w:pPr>
            <w:r>
              <w:rPr>
                <w:rFonts w:ascii="arial" w:hAnsi="arial"/>
                <w:sz w:val="16"/>
              </w:rPr>
              <w:t xml:space="preserve">NEOs”). For performance year 2023, Messrs. Young, LaPrade, Yajnik, and Robert M. Alexander are represented as the </w:t>
            </w:r>
          </w:p>
          <w:p>
            <w:pPr>
              <w:pStyle w:val="TableContents"/>
              <w:bidi w:val="0"/>
              <w:spacing w:before="0" w:after="0"/>
              <w:jc w:val="both"/>
              <w:rPr>
                <w:rFonts w:ascii="arial" w:hAnsi="arial"/>
                <w:spacing w:val="0"/>
                <w:sz w:val="16"/>
              </w:rPr>
            </w:pPr>
            <w:r>
              <w:rPr>
                <w:rFonts w:ascii="arial" w:hAnsi="arial"/>
                <w:spacing w:val="0"/>
                <w:sz w:val="16"/>
              </w:rPr>
              <w:t>Non-PEO</w:t>
            </w:r>
          </w:p>
          <w:p>
            <w:pPr>
              <w:pStyle w:val="TableContents"/>
              <w:bidi w:val="0"/>
              <w:spacing w:before="0" w:after="0"/>
              <w:jc w:val="both"/>
              <w:rPr>
                <w:rFonts w:ascii="arial" w:hAnsi="arial"/>
                <w:sz w:val="16"/>
              </w:rPr>
            </w:pPr>
            <w:r>
              <w:rPr>
                <w:rFonts w:ascii="arial" w:hAnsi="arial"/>
                <w:sz w:val="16"/>
              </w:rPr>
              <w:t xml:space="preserve">NEOs. For performance year 2022, Messrs. Young, Neal A. Blinde, LaPrade, and Yajnik are represented as the </w:t>
            </w:r>
          </w:p>
          <w:p>
            <w:pPr>
              <w:pStyle w:val="TableContents"/>
              <w:bidi w:val="0"/>
              <w:spacing w:before="0" w:after="0"/>
              <w:jc w:val="both"/>
              <w:rPr>
                <w:rFonts w:ascii="arial" w:hAnsi="arial"/>
                <w:spacing w:val="0"/>
                <w:sz w:val="16"/>
              </w:rPr>
            </w:pPr>
            <w:r>
              <w:rPr>
                <w:rFonts w:ascii="arial" w:hAnsi="arial"/>
                <w:spacing w:val="0"/>
                <w:sz w:val="16"/>
              </w:rPr>
              <w:t>Non-PEO</w:t>
            </w:r>
          </w:p>
          <w:p>
            <w:pPr>
              <w:pStyle w:val="TableContents"/>
              <w:bidi w:val="0"/>
              <w:spacing w:before="0" w:after="0"/>
              <w:jc w:val="both"/>
              <w:rPr>
                <w:rFonts w:ascii="arial" w:hAnsi="arial"/>
                <w:sz w:val="16"/>
              </w:rPr>
            </w:pPr>
            <w:r>
              <w:rPr>
                <w:rFonts w:ascii="arial" w:hAnsi="arial"/>
                <w:sz w:val="16"/>
              </w:rPr>
              <w:t xml:space="preserve">NEOs. For performance year 2021, Messrs. Young, R. Scott Blackley, LaPrade, Michael J. Wassmer, and Yajnik are represented as the </w:t>
            </w:r>
          </w:p>
          <w:p>
            <w:pPr>
              <w:pStyle w:val="TableContents"/>
              <w:bidi w:val="0"/>
              <w:spacing w:before="0" w:after="0"/>
              <w:jc w:val="both"/>
              <w:rPr>
                <w:rFonts w:ascii="arial" w:hAnsi="arial"/>
                <w:spacing w:val="0"/>
                <w:sz w:val="16"/>
              </w:rPr>
            </w:pPr>
            <w:r>
              <w:rPr>
                <w:rFonts w:ascii="arial" w:hAnsi="arial"/>
                <w:spacing w:val="0"/>
                <w:sz w:val="16"/>
              </w:rPr>
              <w:t>Non-PEO</w:t>
            </w:r>
          </w:p>
          <w:p>
            <w:pPr>
              <w:pStyle w:val="TableContents"/>
              <w:bidi w:val="0"/>
              <w:spacing w:before="0" w:after="0"/>
              <w:jc w:val="both"/>
              <w:rPr>
                <w:rFonts w:ascii="arial" w:hAnsi="arial"/>
                <w:sz w:val="16"/>
              </w:rPr>
            </w:pPr>
            <w:r>
              <w:rPr>
                <w:rFonts w:ascii="arial" w:hAnsi="arial"/>
                <w:sz w:val="16"/>
              </w:rPr>
              <w:t xml:space="preserve">NEOs. For performance year 2020, Messrs. Blackley, LaPrade, Wassmer, and Yajnik are represented as the </w:t>
            </w:r>
          </w:p>
          <w:p>
            <w:pPr>
              <w:pStyle w:val="TableContents"/>
              <w:bidi w:val="0"/>
              <w:spacing w:before="0" w:after="0"/>
              <w:jc w:val="both"/>
              <w:rPr>
                <w:rFonts w:ascii="arial" w:hAnsi="arial"/>
                <w:spacing w:val="0"/>
                <w:sz w:val="16"/>
              </w:rPr>
            </w:pPr>
            <w:r>
              <w:rPr>
                <w:rFonts w:ascii="arial" w:hAnsi="arial"/>
                <w:spacing w:val="0"/>
                <w:sz w:val="16"/>
              </w:rPr>
              <w:t>Non-PEO</w:t>
            </w:r>
          </w:p>
          <w:p>
            <w:pPr>
              <w:pStyle w:val="TableContents"/>
              <w:bidi w:val="0"/>
              <w:spacing w:before="0" w:after="0"/>
              <w:jc w:val="both"/>
              <w:rPr>
                <w:rFonts w:ascii="arial" w:hAnsi="arial"/>
                <w:sz w:val="16"/>
              </w:rPr>
            </w:pPr>
            <w:r>
              <w:rPr>
                <w:rFonts w:ascii="arial" w:hAnsi="arial"/>
                <w:sz w:val="16"/>
              </w:rPr>
              <w:t xml:space="preserve">NEOs.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(2)</w:t>
            </w:r>
          </w:p>
        </w:tc>
        <w:tc>
          <w:tcPr>
            <w:tcW w:w="9956" w:type="dxa"/>
            <w:tcBorders/>
            <w:vAlign w:val="center"/>
          </w:tcPr>
          <w:p>
            <w:pPr>
              <w:pStyle w:val="TableContents"/>
              <w:bidi w:val="0"/>
              <w:spacing w:before="0" w:after="0"/>
              <w:jc w:val="both"/>
              <w:rPr>
                <w:rFonts w:ascii="arial" w:hAnsi="arial"/>
                <w:sz w:val="16"/>
              </w:rPr>
            </w:pPr>
            <w:r>
              <w:rPr>
                <w:rFonts w:ascii="arial" w:hAnsi="arial"/>
                <w:sz w:val="16"/>
              </w:rPr>
              <w:t xml:space="preserve">The calculation of CAP requires that we make adjustments to amounts previously reported in the Summary Compensation Table for the five years presented. The SEC’s valuation and calculation methods for CAP differ from those required in the Summary Compensation Table. The table below summarizes compensation values presented in the Summary Compensation Table and the adjusted values required to reconcile these values to the CAP presented above. The amounts shown below for </w:t>
            </w:r>
          </w:p>
          <w:p>
            <w:pPr>
              <w:pStyle w:val="TableContents"/>
              <w:bidi w:val="0"/>
              <w:spacing w:before="0" w:after="0"/>
              <w:jc w:val="both"/>
              <w:rPr>
                <w:rFonts w:ascii="arial" w:hAnsi="arial"/>
                <w:spacing w:val="0"/>
                <w:sz w:val="16"/>
              </w:rPr>
            </w:pPr>
            <w:r>
              <w:rPr>
                <w:rFonts w:ascii="arial" w:hAnsi="arial"/>
                <w:spacing w:val="0"/>
                <w:sz w:val="16"/>
              </w:rPr>
              <w:t>Non-PEO</w:t>
            </w:r>
          </w:p>
          <w:p>
            <w:pPr>
              <w:pStyle w:val="TableContents"/>
              <w:bidi w:val="0"/>
              <w:spacing w:before="0" w:after="0"/>
              <w:jc w:val="both"/>
              <w:rPr>
                <w:rFonts w:ascii="arial" w:hAnsi="arial"/>
                <w:sz w:val="16"/>
              </w:rPr>
            </w:pPr>
            <w:r>
              <w:rPr>
                <w:rFonts w:ascii="arial" w:hAnsi="arial"/>
                <w:sz w:val="16"/>
              </w:rPr>
              <w:t xml:space="preserve">NEOs represents an average of all </w:t>
            </w:r>
          </w:p>
          <w:p>
            <w:pPr>
              <w:pStyle w:val="TableContents"/>
              <w:bidi w:val="0"/>
              <w:spacing w:before="0" w:after="0"/>
              <w:jc w:val="both"/>
              <w:rPr>
                <w:rFonts w:ascii="arial" w:hAnsi="arial"/>
                <w:spacing w:val="0"/>
                <w:sz w:val="16"/>
              </w:rPr>
            </w:pPr>
            <w:r>
              <w:rPr>
                <w:rFonts w:ascii="arial" w:hAnsi="arial"/>
                <w:spacing w:val="0"/>
                <w:sz w:val="16"/>
              </w:rPr>
              <w:t>Non-PEO</w:t>
            </w:r>
          </w:p>
          <w:p>
            <w:pPr>
              <w:pStyle w:val="TableContents"/>
              <w:bidi w:val="0"/>
              <w:spacing w:before="0" w:after="0"/>
              <w:jc w:val="both"/>
              <w:rPr>
                <w:rFonts w:ascii="arial" w:hAnsi="arial"/>
                <w:sz w:val="16"/>
              </w:rPr>
            </w:pPr>
            <w:r>
              <w:rPr>
                <w:rFonts w:ascii="arial" w:hAnsi="arial"/>
                <w:sz w:val="16"/>
              </w:rPr>
              <w:t xml:space="preserve">NEOs. CAP to the PEO and </w:t>
            </w:r>
          </w:p>
          <w:p>
            <w:pPr>
              <w:pStyle w:val="TableContents"/>
              <w:bidi w:val="0"/>
              <w:spacing w:before="0" w:after="0"/>
              <w:jc w:val="both"/>
              <w:rPr>
                <w:rFonts w:ascii="arial" w:hAnsi="arial"/>
                <w:spacing w:val="0"/>
                <w:sz w:val="16"/>
              </w:rPr>
            </w:pPr>
            <w:r>
              <w:rPr>
                <w:rFonts w:ascii="arial" w:hAnsi="arial"/>
                <w:spacing w:val="0"/>
                <w:sz w:val="16"/>
              </w:rPr>
              <w:t>Non-PEO</w:t>
            </w:r>
          </w:p>
          <w:p>
            <w:pPr>
              <w:pStyle w:val="TableContents"/>
              <w:bidi w:val="0"/>
              <w:spacing w:before="0" w:after="0"/>
              <w:jc w:val="both"/>
              <w:rPr>
                <w:rFonts w:ascii="arial" w:hAnsi="arial"/>
                <w:sz w:val="16"/>
              </w:rPr>
            </w:pPr>
            <w:r>
              <w:rPr>
                <w:rFonts w:ascii="arial" w:hAnsi="arial"/>
                <w:sz w:val="16"/>
              </w:rPr>
              <w:t xml:space="preserve">NEOs represents Summary Compensation Table total compensation adjusted by the following amounts: </w:t>
            </w:r>
          </w:p>
        </w:tc>
      </w:tr>
    </w:tbl>
    <w:p>
      <w:pPr>
        <w:pStyle w:val="TextBody"/>
        <w:bidi w:val="0"/>
        <w:spacing w:before="0" w:after="0"/>
        <w:jc w:val="left"/>
        <w:rPr/>
      </w:pPr>
      <w:r>
        <w:rPr/>
        <w:t> </w:t>
      </w:r>
    </w:p>
    <w:tbl>
      <w:tblPr>
        <w:tblW w:w="12770" w:type="dxa"/>
        <w:jc w:val="left"/>
        <w:tblInd w:w="0" w:type="dxa"/>
        <w:tblLayout w:type="fixed"/>
        <w:tblCellMar>
          <w:top w:w="0" w:type="dxa"/>
          <w:left w:w="0" w:type="dxa"/>
          <w:bottom w:w="0" w:type="dxa"/>
          <w:right w:w="0" w:type="dxa"/>
        </w:tblCellMar>
      </w:tblPr>
      <w:tblGrid>
        <w:gridCol w:w="890"/>
        <w:gridCol w:w="23"/>
        <w:gridCol w:w="25"/>
        <w:gridCol w:w="67"/>
        <w:gridCol w:w="1370"/>
        <w:gridCol w:w="28"/>
        <w:gridCol w:w="23"/>
        <w:gridCol w:w="25"/>
        <w:gridCol w:w="65"/>
        <w:gridCol w:w="954"/>
        <w:gridCol w:w="26"/>
        <w:gridCol w:w="23"/>
        <w:gridCol w:w="24"/>
        <w:gridCol w:w="63"/>
        <w:gridCol w:w="1377"/>
        <w:gridCol w:w="26"/>
        <w:gridCol w:w="23"/>
        <w:gridCol w:w="23"/>
        <w:gridCol w:w="60"/>
        <w:gridCol w:w="1220"/>
        <w:gridCol w:w="23"/>
        <w:gridCol w:w="23"/>
        <w:gridCol w:w="23"/>
        <w:gridCol w:w="60"/>
        <w:gridCol w:w="1220"/>
        <w:gridCol w:w="23"/>
        <w:gridCol w:w="23"/>
        <w:gridCol w:w="24"/>
        <w:gridCol w:w="62"/>
        <w:gridCol w:w="1153"/>
        <w:gridCol w:w="26"/>
        <w:gridCol w:w="23"/>
        <w:gridCol w:w="70"/>
        <w:gridCol w:w="182"/>
        <w:gridCol w:w="792"/>
        <w:gridCol w:w="71"/>
        <w:gridCol w:w="23"/>
        <w:gridCol w:w="23"/>
        <w:gridCol w:w="62"/>
        <w:gridCol w:w="1140"/>
        <w:gridCol w:w="25"/>
        <w:gridCol w:w="23"/>
        <w:gridCol w:w="23"/>
        <w:gridCol w:w="60"/>
        <w:gridCol w:w="1220"/>
        <w:gridCol w:w="38"/>
      </w:tblGrid>
      <w:tr>
        <w:trPr/>
        <w:tc>
          <w:tcPr>
            <w:tcW w:w="8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2770" w:type="dxa"/>
            <w:gridSpan w:val="46"/>
            <w:tcBorders>
              <w:right w:val="single" w:sz="32" w:space="0" w:color="FFFFFF"/>
            </w:tcBorders>
            <w:shd w:fill="003A5D" w:val="clear"/>
            <w:tcMar>
              <w:right w:w="28" w:type="dxa"/>
            </w:tcMar>
            <w:vAlign w:val="center"/>
          </w:tcPr>
          <w:p>
            <w:pPr>
              <w:pStyle w:val="TableContents"/>
              <w:bidi w:val="0"/>
              <w:spacing w:before="0" w:after="283"/>
              <w:jc w:val="left"/>
              <w:rPr/>
            </w:pPr>
            <w:r>
              <w:rPr/>
              <w:t> </w:t>
            </w:r>
          </w:p>
        </w:tc>
      </w:tr>
      <w:tr>
        <w:trPr/>
        <w:tc>
          <w:tcPr>
            <w:tcW w:w="12770" w:type="dxa"/>
            <w:gridSpan w:val="46"/>
            <w:tcBorders>
              <w:right w:val="single" w:sz="32" w:space="0" w:color="FFFFFF"/>
            </w:tcBorders>
            <w:shd w:fill="003A5D" w:val="clear"/>
            <w:tcMar>
              <w:right w:w="28" w:type="dxa"/>
            </w:tcMar>
            <w:vAlign w:val="center"/>
          </w:tcPr>
          <w:p>
            <w:pPr>
              <w:pStyle w:val="TableContents"/>
              <w:bidi w:val="0"/>
              <w:spacing w:before="0" w:after="0"/>
              <w:jc w:val="center"/>
              <w:rPr>
                <w:b/>
                <w:color w:val="FFFFFF"/>
                <w:spacing w:val="0"/>
              </w:rPr>
            </w:pPr>
            <w:r>
              <w:rPr>
                <w:b/>
                <w:color w:val="FFFFFF"/>
                <w:spacing w:val="0"/>
              </w:rPr>
              <w:t>Summary Compensation Table Total to CAP Reconciliation</w:t>
            </w:r>
          </w:p>
          <w:p>
            <w:pPr>
              <w:pStyle w:val="TableContents"/>
              <w:bidi w:val="0"/>
              <w:spacing w:before="0" w:after="0"/>
              <w:jc w:val="center"/>
              <w:rPr>
                <w:b/>
                <w:color w:val="FFFFFF"/>
                <w:spacing w:val="0"/>
                <w:sz w:val="8"/>
              </w:rPr>
            </w:pPr>
            <w:r>
              <w:rPr>
                <w:b/>
                <w:color w:val="FFFFFF"/>
                <w:spacing w:val="0"/>
                <w:sz w:val="8"/>
              </w:rPr>
              <w:t>(a)</w:t>
            </w:r>
          </w:p>
        </w:tc>
      </w:tr>
      <w:tr>
        <w:trPr/>
        <w:tc>
          <w:tcPr>
            <w:tcW w:w="890" w:type="dxa"/>
            <w:tcBorders>
              <w:top w:val="single" w:sz="24" w:space="0" w:color="FFFFFF"/>
              <w:right w:val="single" w:sz="24" w:space="0" w:color="FFFFFF"/>
            </w:tcBorders>
            <w:shd w:fill="003A5D" w:val="clear"/>
            <w:tcMar>
              <w:top w:w="28" w:type="dxa"/>
              <w:right w:w="28" w:type="dxa"/>
            </w:tcMar>
            <w:vAlign w:val="center"/>
          </w:tcPr>
          <w:p>
            <w:pPr>
              <w:pStyle w:val="TableContents"/>
              <w:bidi w:val="0"/>
              <w:spacing w:before="0" w:after="283"/>
              <w:jc w:val="left"/>
              <w:rPr/>
            </w:pPr>
            <w:r>
              <w:rPr/>
              <w:t> </w:t>
            </w:r>
          </w:p>
        </w:tc>
        <w:tc>
          <w:tcPr>
            <w:tcW w:w="1513" w:type="dxa"/>
            <w:gridSpan w:val="5"/>
            <w:tcBorders>
              <w:top w:val="single" w:sz="24" w:space="0" w:color="FFFFFF"/>
              <w:right w:val="single" w:sz="24" w:space="0" w:color="FFFFFF"/>
            </w:tcBorders>
            <w:shd w:fill="003A5D" w:val="clear"/>
            <w:tcMar>
              <w:top w:w="28" w:type="dxa"/>
              <w:right w:w="28" w:type="dxa"/>
            </w:tcMar>
            <w:vAlign w:val="center"/>
          </w:tcPr>
          <w:p>
            <w:pPr>
              <w:pStyle w:val="TableContents"/>
              <w:bidi w:val="0"/>
              <w:spacing w:before="0" w:after="283"/>
              <w:jc w:val="left"/>
              <w:rPr/>
            </w:pPr>
            <w:r>
              <w:rPr/>
              <w:t> </w:t>
            </w:r>
          </w:p>
        </w:tc>
        <w:tc>
          <w:tcPr>
            <w:tcW w:w="1093" w:type="dxa"/>
            <w:gridSpan w:val="5"/>
            <w:tcBorders>
              <w:top w:val="single" w:sz="24" w:space="0" w:color="FFFFFF"/>
              <w:right w:val="single" w:sz="24" w:space="0" w:color="FFFFFF"/>
            </w:tcBorders>
            <w:shd w:fill="003A5D" w:val="clear"/>
            <w:tcMar>
              <w:top w:w="28" w:type="dxa"/>
              <w:right w:w="28" w:type="dxa"/>
            </w:tcMar>
            <w:vAlign w:val="center"/>
          </w:tcPr>
          <w:p>
            <w:pPr>
              <w:pStyle w:val="TableContents"/>
              <w:bidi w:val="0"/>
              <w:spacing w:before="0" w:after="283"/>
              <w:jc w:val="left"/>
              <w:rPr/>
            </w:pPr>
            <w:r>
              <w:rPr/>
              <w:t> </w:t>
            </w:r>
          </w:p>
        </w:tc>
        <w:tc>
          <w:tcPr>
            <w:tcW w:w="1513" w:type="dxa"/>
            <w:gridSpan w:val="5"/>
            <w:tcBorders>
              <w:top w:val="single" w:sz="24" w:space="0" w:color="FFFFFF"/>
              <w:right w:val="single" w:sz="24" w:space="0" w:color="FFFFFF"/>
            </w:tcBorders>
            <w:shd w:fill="003A5D" w:val="clear"/>
            <w:tcMar>
              <w:top w:w="28" w:type="dxa"/>
              <w:right w:w="28" w:type="dxa"/>
            </w:tcMar>
            <w:vAlign w:val="center"/>
          </w:tcPr>
          <w:p>
            <w:pPr>
              <w:pStyle w:val="TableContents"/>
              <w:bidi w:val="0"/>
              <w:spacing w:before="0" w:after="283"/>
              <w:jc w:val="left"/>
              <w:rPr/>
            </w:pPr>
            <w:r>
              <w:rPr/>
              <w:t> </w:t>
            </w:r>
          </w:p>
        </w:tc>
        <w:tc>
          <w:tcPr>
            <w:tcW w:w="1349" w:type="dxa"/>
            <w:gridSpan w:val="5"/>
            <w:tcBorders>
              <w:top w:val="single" w:sz="24" w:space="0" w:color="FFFFFF"/>
              <w:right w:val="single" w:sz="24" w:space="0" w:color="FFFFFF"/>
            </w:tcBorders>
            <w:shd w:fill="003A5D" w:val="clear"/>
            <w:tcMar>
              <w:top w:w="28" w:type="dxa"/>
              <w:right w:w="28" w:type="dxa"/>
            </w:tcMar>
            <w:vAlign w:val="center"/>
          </w:tcPr>
          <w:p>
            <w:pPr>
              <w:pStyle w:val="TableContents"/>
              <w:bidi w:val="0"/>
              <w:spacing w:before="0" w:after="283"/>
              <w:jc w:val="left"/>
              <w:rPr/>
            </w:pPr>
            <w:r>
              <w:rPr/>
              <w:t> </w:t>
            </w:r>
          </w:p>
        </w:tc>
        <w:tc>
          <w:tcPr>
            <w:tcW w:w="1349" w:type="dxa"/>
            <w:gridSpan w:val="5"/>
            <w:tcBorders>
              <w:top w:val="single" w:sz="24" w:space="0" w:color="FFFFFF"/>
              <w:right w:val="single" w:sz="24" w:space="0" w:color="FFFFFF"/>
            </w:tcBorders>
            <w:shd w:fill="003A5D" w:val="clear"/>
            <w:tcMar>
              <w:top w:w="28" w:type="dxa"/>
              <w:right w:w="28" w:type="dxa"/>
            </w:tcMar>
            <w:vAlign w:val="center"/>
          </w:tcPr>
          <w:p>
            <w:pPr>
              <w:pStyle w:val="TableContents"/>
              <w:bidi w:val="0"/>
              <w:spacing w:before="0" w:after="283"/>
              <w:jc w:val="left"/>
              <w:rPr/>
            </w:pPr>
            <w:r>
              <w:rPr/>
              <w:t> </w:t>
            </w:r>
          </w:p>
        </w:tc>
        <w:tc>
          <w:tcPr>
            <w:tcW w:w="1288" w:type="dxa"/>
            <w:gridSpan w:val="5"/>
            <w:tcBorders>
              <w:top w:val="single" w:sz="24" w:space="0" w:color="FFFFFF"/>
              <w:right w:val="single" w:sz="24" w:space="0" w:color="FFFFFF"/>
            </w:tcBorders>
            <w:shd w:fill="003A5D" w:val="clear"/>
            <w:tcMar>
              <w:top w:w="28" w:type="dxa"/>
              <w:right w:w="28" w:type="dxa"/>
            </w:tcMar>
            <w:vAlign w:val="center"/>
          </w:tcPr>
          <w:p>
            <w:pPr>
              <w:pStyle w:val="TableContents"/>
              <w:bidi w:val="0"/>
              <w:spacing w:before="0" w:after="283"/>
              <w:jc w:val="left"/>
              <w:rPr/>
            </w:pPr>
            <w:r>
              <w:rPr/>
              <w:t> </w:t>
            </w:r>
          </w:p>
        </w:tc>
        <w:tc>
          <w:tcPr>
            <w:tcW w:w="1138" w:type="dxa"/>
            <w:gridSpan w:val="5"/>
            <w:tcBorders>
              <w:top w:val="single" w:sz="24" w:space="0" w:color="FFFFFF"/>
              <w:right w:val="single" w:sz="24" w:space="0" w:color="FFFFFF"/>
            </w:tcBorders>
            <w:shd w:fill="003A5D" w:val="clear"/>
            <w:tcMar>
              <w:top w:w="28" w:type="dxa"/>
              <w:right w:w="28" w:type="dxa"/>
            </w:tcMar>
            <w:vAlign w:val="center"/>
          </w:tcPr>
          <w:p>
            <w:pPr>
              <w:pStyle w:val="TableContents"/>
              <w:bidi w:val="0"/>
              <w:spacing w:before="0" w:after="283"/>
              <w:jc w:val="left"/>
              <w:rPr/>
            </w:pPr>
            <w:r>
              <w:rPr/>
              <w:t> </w:t>
            </w:r>
          </w:p>
        </w:tc>
        <w:tc>
          <w:tcPr>
            <w:tcW w:w="1273" w:type="dxa"/>
            <w:gridSpan w:val="5"/>
            <w:tcBorders>
              <w:top w:val="single" w:sz="24" w:space="0" w:color="FFFFFF"/>
              <w:right w:val="single" w:sz="24" w:space="0" w:color="FFFFFF"/>
            </w:tcBorders>
            <w:shd w:fill="003A5D" w:val="clear"/>
            <w:tcMar>
              <w:top w:w="28" w:type="dxa"/>
              <w:right w:w="28" w:type="dxa"/>
            </w:tcMar>
            <w:vAlign w:val="center"/>
          </w:tcPr>
          <w:p>
            <w:pPr>
              <w:pStyle w:val="TableContents"/>
              <w:bidi w:val="0"/>
              <w:spacing w:before="0" w:after="283"/>
              <w:jc w:val="left"/>
              <w:rPr/>
            </w:pPr>
            <w:r>
              <w:rPr/>
              <w:t> </w:t>
            </w:r>
          </w:p>
        </w:tc>
        <w:tc>
          <w:tcPr>
            <w:tcW w:w="1364" w:type="dxa"/>
            <w:gridSpan w:val="5"/>
            <w:tcBorders>
              <w:top w:val="single" w:sz="24" w:space="0" w:color="FFFFFF"/>
            </w:tcBorders>
            <w:shd w:fill="003A5D" w:val="clear"/>
            <w:tcMar>
              <w:top w:w="28" w:type="dxa"/>
            </w:tcMar>
            <w:vAlign w:val="center"/>
          </w:tcPr>
          <w:p>
            <w:pPr>
              <w:pStyle w:val="TableContents"/>
              <w:bidi w:val="0"/>
              <w:spacing w:before="0" w:after="283"/>
              <w:jc w:val="left"/>
              <w:rPr/>
            </w:pPr>
            <w:r>
              <w:rPr/>
              <w:t> </w:t>
            </w:r>
          </w:p>
        </w:tc>
      </w:tr>
      <w:tr>
        <w:trPr/>
        <w:tc>
          <w:tcPr>
            <w:tcW w:w="890" w:type="dxa"/>
            <w:tcBorders>
              <w:bottom w:val="single" w:sz="8" w:space="0" w:color="FFFFFF"/>
              <w:right w:val="single" w:sz="24" w:space="0" w:color="FFFFFF"/>
            </w:tcBorders>
            <w:shd w:fill="003A5D" w:val="clear"/>
            <w:tcMar>
              <w:bottom w:w="28" w:type="dxa"/>
              <w:right w:w="28" w:type="dxa"/>
            </w:tcMar>
            <w:vAlign w:val="center"/>
          </w:tcPr>
          <w:p>
            <w:pPr>
              <w:pStyle w:val="TableContents"/>
              <w:bidi w:val="0"/>
              <w:spacing w:before="0" w:after="283"/>
              <w:jc w:val="left"/>
              <w:rPr/>
            </w:pPr>
            <w:r>
              <w:rPr/>
              <w:t> </w:t>
            </w:r>
          </w:p>
        </w:tc>
        <w:tc>
          <w:tcPr>
            <w:tcW w:w="23" w:type="dxa"/>
            <w:tcBorders>
              <w:bottom w:val="single" w:sz="8" w:space="0" w:color="FFFFFF"/>
            </w:tcBorders>
            <w:shd w:fill="003A5D" w:val="clear"/>
            <w:tcMar>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right w:val="single" w:sz="24" w:space="0" w:color="FFFFFF"/>
            </w:tcBorders>
            <w:shd w:fill="003A5D" w:val="clear"/>
            <w:tcMar>
              <w:bottom w:w="60" w:type="dxa"/>
              <w:right w:w="28" w:type="dxa"/>
            </w:tcMar>
            <w:vAlign w:val="center"/>
          </w:tcPr>
          <w:p>
            <w:pPr>
              <w:pStyle w:val="TableContents"/>
              <w:bidi w:val="0"/>
              <w:spacing w:before="0" w:after="0"/>
              <w:jc w:val="center"/>
              <w:rPr>
                <w:b/>
                <w:color w:val="FFFFFF"/>
                <w:spacing w:val="0"/>
              </w:rPr>
            </w:pPr>
            <w:r>
              <w:rPr>
                <w:b/>
                <w:color w:val="FFFFFF"/>
                <w:spacing w:val="0"/>
              </w:rPr>
              <w:t>Summary</w:t>
              <w:br/>
              <w:t>Compensation</w:t>
              <w:br/>
              <w:t>Table Total</w:t>
            </w:r>
          </w:p>
          <w:p>
            <w:pPr>
              <w:pStyle w:val="TableContents"/>
              <w:bidi w:val="0"/>
              <w:spacing w:before="0" w:after="0"/>
              <w:jc w:val="center"/>
              <w:rPr>
                <w:b/>
                <w:color w:val="FFFFFF"/>
                <w:spacing w:val="0"/>
                <w:sz w:val="8"/>
              </w:rPr>
            </w:pPr>
            <w:r>
              <w:rPr>
                <w:b/>
                <w:color w:val="FFFFFF"/>
                <w:spacing w:val="0"/>
                <w:sz w:val="8"/>
              </w:rPr>
              <w:t>(b)</w:t>
            </w:r>
          </w:p>
        </w:tc>
        <w:tc>
          <w:tcPr>
            <w:tcW w:w="23" w:type="dxa"/>
            <w:tcBorders>
              <w:bottom w:val="single" w:sz="8" w:space="0" w:color="FFFFFF"/>
            </w:tcBorders>
            <w:shd w:fill="003A5D" w:val="clear"/>
            <w:tcMar>
              <w:bottom w:w="28" w:type="dxa"/>
            </w:tcMar>
            <w:vAlign w:val="center"/>
          </w:tcPr>
          <w:p>
            <w:pPr>
              <w:pStyle w:val="TableContents"/>
              <w:bidi w:val="0"/>
              <w:spacing w:before="0" w:after="283"/>
              <w:jc w:val="left"/>
              <w:rPr>
                <w:sz w:val="4"/>
                <w:szCs w:val="4"/>
              </w:rPr>
            </w:pPr>
            <w:r>
              <w:rPr>
                <w:sz w:val="4"/>
                <w:szCs w:val="4"/>
              </w:rPr>
            </w:r>
          </w:p>
        </w:tc>
        <w:tc>
          <w:tcPr>
            <w:tcW w:w="1070" w:type="dxa"/>
            <w:gridSpan w:val="4"/>
            <w:tcBorders>
              <w:bottom w:val="single" w:sz="8" w:space="0" w:color="FFFFFF"/>
              <w:right w:val="single" w:sz="24" w:space="0" w:color="FFFFFF"/>
            </w:tcBorders>
            <w:shd w:fill="003A5D" w:val="clear"/>
            <w:tcMar>
              <w:bottom w:w="60" w:type="dxa"/>
              <w:right w:w="28" w:type="dxa"/>
            </w:tcMar>
            <w:vAlign w:val="center"/>
          </w:tcPr>
          <w:p>
            <w:pPr>
              <w:pStyle w:val="TableContents"/>
              <w:bidi w:val="0"/>
              <w:spacing w:before="0" w:after="0"/>
              <w:jc w:val="center"/>
              <w:rPr>
                <w:b/>
                <w:color w:val="FFFFFF"/>
                <w:spacing w:val="0"/>
              </w:rPr>
            </w:pPr>
            <w:r>
              <w:rPr>
                <w:b/>
                <w:color w:val="FFFFFF"/>
                <w:spacing w:val="0"/>
              </w:rPr>
              <w:t>Change in</w:t>
              <w:br/>
              <w:t>Pension</w:t>
              <w:br/>
              <w:t>Value</w:t>
              <w:br/>
              <w:t>Deduction</w:t>
            </w:r>
          </w:p>
          <w:p>
            <w:pPr>
              <w:pStyle w:val="TableContents"/>
              <w:bidi w:val="0"/>
              <w:spacing w:before="0" w:after="0"/>
              <w:jc w:val="center"/>
              <w:rPr>
                <w:b/>
                <w:color w:val="FFFFFF"/>
                <w:spacing w:val="0"/>
                <w:sz w:val="8"/>
              </w:rPr>
            </w:pPr>
            <w:r>
              <w:rPr>
                <w:b/>
                <w:color w:val="FFFFFF"/>
                <w:spacing w:val="0"/>
                <w:sz w:val="8"/>
              </w:rPr>
              <w:t>(c)</w:t>
            </w:r>
          </w:p>
        </w:tc>
        <w:tc>
          <w:tcPr>
            <w:tcW w:w="23" w:type="dxa"/>
            <w:tcBorders>
              <w:bottom w:val="single" w:sz="8" w:space="0" w:color="FFFFFF"/>
            </w:tcBorders>
            <w:shd w:fill="003A5D" w:val="clear"/>
            <w:tcMar>
              <w:bottom w:w="28" w:type="dxa"/>
            </w:tcMar>
            <w:vAlign w:val="center"/>
          </w:tcPr>
          <w:p>
            <w:pPr>
              <w:pStyle w:val="TableContents"/>
              <w:bidi w:val="0"/>
              <w:spacing w:before="0" w:after="283"/>
              <w:jc w:val="left"/>
              <w:rPr>
                <w:sz w:val="4"/>
                <w:szCs w:val="4"/>
              </w:rPr>
            </w:pPr>
            <w:r>
              <w:rPr>
                <w:sz w:val="4"/>
                <w:szCs w:val="4"/>
              </w:rPr>
            </w:r>
          </w:p>
        </w:tc>
        <w:tc>
          <w:tcPr>
            <w:tcW w:w="1490" w:type="dxa"/>
            <w:gridSpan w:val="4"/>
            <w:tcBorders>
              <w:bottom w:val="single" w:sz="8" w:space="0" w:color="FFFFFF"/>
              <w:right w:val="single" w:sz="24" w:space="0" w:color="FFFFFF"/>
            </w:tcBorders>
            <w:shd w:fill="003A5D" w:val="clear"/>
            <w:tcMar>
              <w:bottom w:w="60" w:type="dxa"/>
              <w:right w:w="28" w:type="dxa"/>
            </w:tcMar>
            <w:vAlign w:val="center"/>
          </w:tcPr>
          <w:p>
            <w:pPr>
              <w:pStyle w:val="TableContents"/>
              <w:bidi w:val="0"/>
              <w:spacing w:before="0" w:after="0"/>
              <w:jc w:val="center"/>
              <w:rPr>
                <w:b/>
                <w:color w:val="FFFFFF"/>
                <w:spacing w:val="0"/>
              </w:rPr>
            </w:pPr>
            <w:r>
              <w:rPr>
                <w:b/>
                <w:color w:val="FFFFFF"/>
                <w:spacing w:val="0"/>
              </w:rPr>
              <w:t>Less Fair</w:t>
              <w:br/>
              <w:t>Value of</w:t>
              <w:br/>
              <w:t>Equity</w:t>
              <w:br/>
              <w:t>Awards</w:t>
              <w:br/>
              <w:t>Reported</w:t>
              <w:br/>
              <w:t>in the</w:t>
              <w:br/>
              <w:t>Summary</w:t>
              <w:br/>
              <w:t>Compensation</w:t>
              <w:br/>
              <w:t>Table in the</w:t>
              <w:br/>
              <w:t>Covered Year</w:t>
            </w:r>
          </w:p>
        </w:tc>
        <w:tc>
          <w:tcPr>
            <w:tcW w:w="23" w:type="dxa"/>
            <w:tcBorders>
              <w:bottom w:val="single" w:sz="8" w:space="0" w:color="FFFFFF"/>
            </w:tcBorders>
            <w:shd w:fill="003A5D" w:val="clear"/>
            <w:tcMar>
              <w:bottom w:w="28" w:type="dxa"/>
            </w:tcMar>
            <w:vAlign w:val="center"/>
          </w:tcPr>
          <w:p>
            <w:pPr>
              <w:pStyle w:val="TableContents"/>
              <w:bidi w:val="0"/>
              <w:spacing w:before="0" w:after="283"/>
              <w:jc w:val="left"/>
              <w:rPr>
                <w:sz w:val="4"/>
                <w:szCs w:val="4"/>
              </w:rPr>
            </w:pPr>
            <w:r>
              <w:rPr>
                <w:sz w:val="4"/>
                <w:szCs w:val="4"/>
              </w:rPr>
            </w:r>
          </w:p>
        </w:tc>
        <w:tc>
          <w:tcPr>
            <w:tcW w:w="1326" w:type="dxa"/>
            <w:gridSpan w:val="4"/>
            <w:tcBorders>
              <w:bottom w:val="single" w:sz="8" w:space="0" w:color="FFFFFF"/>
              <w:right w:val="single" w:sz="24" w:space="0" w:color="FFFFFF"/>
            </w:tcBorders>
            <w:shd w:fill="003A5D" w:val="clear"/>
            <w:tcMar>
              <w:bottom w:w="60" w:type="dxa"/>
              <w:right w:w="28" w:type="dxa"/>
            </w:tcMar>
            <w:vAlign w:val="center"/>
          </w:tcPr>
          <w:p>
            <w:pPr>
              <w:pStyle w:val="TableContents"/>
              <w:bidi w:val="0"/>
              <w:spacing w:before="0" w:after="0"/>
              <w:jc w:val="center"/>
              <w:rPr>
                <w:b/>
                <w:color w:val="FFFFFF"/>
                <w:spacing w:val="0"/>
              </w:rPr>
            </w:pPr>
            <w:r>
              <w:rPr>
                <w:b/>
                <w:color w:val="FFFFFF"/>
                <w:spacing w:val="0"/>
              </w:rPr>
              <w:t>Plus Fair</w:t>
              <w:br/>
              <w:t>Value of</w:t>
              <w:br/>
              <w:t>Covered</w:t>
              <w:br/>
              <w:t>Year Equity</w:t>
              <w:br/>
              <w:t>Awards</w:t>
              <w:br/>
              <w:t>at Fiscal</w:t>
            </w:r>
          </w:p>
          <w:p>
            <w:pPr>
              <w:pStyle w:val="TableContents"/>
              <w:bidi w:val="0"/>
              <w:spacing w:before="0" w:after="0"/>
              <w:jc w:val="center"/>
              <w:rPr>
                <w:b/>
                <w:color w:val="FFFFFF"/>
                <w:spacing w:val="0"/>
              </w:rPr>
            </w:pPr>
            <w:r>
              <w:rPr>
                <w:b/>
                <w:color w:val="FFFFFF"/>
                <w:spacing w:val="0"/>
              </w:rPr>
              <w:t>Year-End</w:t>
            </w:r>
          </w:p>
        </w:tc>
        <w:tc>
          <w:tcPr>
            <w:tcW w:w="23" w:type="dxa"/>
            <w:tcBorders>
              <w:bottom w:val="single" w:sz="8" w:space="0" w:color="FFFFFF"/>
            </w:tcBorders>
            <w:shd w:fill="003A5D" w:val="clear"/>
            <w:tcMar>
              <w:bottom w:w="28" w:type="dxa"/>
            </w:tcMar>
            <w:vAlign w:val="center"/>
          </w:tcPr>
          <w:p>
            <w:pPr>
              <w:pStyle w:val="TableContents"/>
              <w:bidi w:val="0"/>
              <w:spacing w:before="0" w:after="283"/>
              <w:jc w:val="left"/>
              <w:rPr>
                <w:sz w:val="4"/>
                <w:szCs w:val="4"/>
              </w:rPr>
            </w:pPr>
            <w:r>
              <w:rPr>
                <w:sz w:val="4"/>
                <w:szCs w:val="4"/>
              </w:rPr>
            </w:r>
          </w:p>
        </w:tc>
        <w:tc>
          <w:tcPr>
            <w:tcW w:w="1326" w:type="dxa"/>
            <w:gridSpan w:val="4"/>
            <w:tcBorders>
              <w:bottom w:val="single" w:sz="8" w:space="0" w:color="FFFFFF"/>
              <w:right w:val="single" w:sz="24" w:space="0" w:color="FFFFFF"/>
            </w:tcBorders>
            <w:shd w:fill="003A5D" w:val="clear"/>
            <w:tcMar>
              <w:bottom w:w="60" w:type="dxa"/>
              <w:right w:w="28" w:type="dxa"/>
            </w:tcMar>
            <w:vAlign w:val="center"/>
          </w:tcPr>
          <w:p>
            <w:pPr>
              <w:pStyle w:val="TableContents"/>
              <w:bidi w:val="0"/>
              <w:spacing w:before="0" w:after="0"/>
              <w:jc w:val="center"/>
              <w:rPr>
                <w:b/>
                <w:color w:val="FFFFFF"/>
                <w:spacing w:val="0"/>
              </w:rPr>
            </w:pPr>
            <w:r>
              <w:rPr>
                <w:b/>
                <w:color w:val="FFFFFF"/>
                <w:spacing w:val="0"/>
              </w:rPr>
              <w:t>Change in</w:t>
              <w:br/>
              <w:t>Fair Value</w:t>
              <w:br/>
              <w:t>of Prior</w:t>
              <w:br/>
              <w:t>Years’</w:t>
              <w:br/>
              <w:t>Equity</w:t>
              <w:br/>
              <w:t>Awards</w:t>
              <w:br/>
              <w:t>Unvested</w:t>
              <w:br/>
              <w:t>at Fiscal</w:t>
            </w:r>
          </w:p>
          <w:p>
            <w:pPr>
              <w:pStyle w:val="TableContents"/>
              <w:bidi w:val="0"/>
              <w:spacing w:before="0" w:after="0"/>
              <w:jc w:val="center"/>
              <w:rPr>
                <w:b/>
                <w:color w:val="FFFFFF"/>
                <w:spacing w:val="0"/>
              </w:rPr>
            </w:pPr>
            <w:r>
              <w:rPr>
                <w:b/>
                <w:color w:val="FFFFFF"/>
                <w:spacing w:val="0"/>
              </w:rPr>
              <w:t>Year-End</w:t>
            </w:r>
          </w:p>
        </w:tc>
        <w:tc>
          <w:tcPr>
            <w:tcW w:w="23" w:type="dxa"/>
            <w:tcBorders>
              <w:bottom w:val="single" w:sz="8" w:space="0" w:color="FFFFFF"/>
            </w:tcBorders>
            <w:shd w:fill="003A5D" w:val="clear"/>
            <w:tcMar>
              <w:bottom w:w="28" w:type="dxa"/>
            </w:tcMar>
            <w:vAlign w:val="center"/>
          </w:tcPr>
          <w:p>
            <w:pPr>
              <w:pStyle w:val="TableContents"/>
              <w:bidi w:val="0"/>
              <w:spacing w:before="0" w:after="283"/>
              <w:jc w:val="left"/>
              <w:rPr>
                <w:sz w:val="4"/>
                <w:szCs w:val="4"/>
              </w:rPr>
            </w:pPr>
            <w:r>
              <w:rPr>
                <w:sz w:val="4"/>
                <w:szCs w:val="4"/>
              </w:rPr>
            </w:r>
          </w:p>
        </w:tc>
        <w:tc>
          <w:tcPr>
            <w:tcW w:w="1265" w:type="dxa"/>
            <w:gridSpan w:val="4"/>
            <w:tcBorders>
              <w:bottom w:val="single" w:sz="8" w:space="0" w:color="FFFFFF"/>
              <w:right w:val="single" w:sz="24" w:space="0" w:color="FFFFFF"/>
            </w:tcBorders>
            <w:shd w:fill="003A5D" w:val="clear"/>
            <w:tcMar>
              <w:bottom w:w="60" w:type="dxa"/>
              <w:right w:w="28" w:type="dxa"/>
            </w:tcMar>
            <w:vAlign w:val="center"/>
          </w:tcPr>
          <w:p>
            <w:pPr>
              <w:pStyle w:val="TableContents"/>
              <w:bidi w:val="0"/>
              <w:spacing w:before="0" w:after="0"/>
              <w:jc w:val="center"/>
              <w:rPr>
                <w:b/>
                <w:color w:val="FFFFFF"/>
                <w:spacing w:val="0"/>
              </w:rPr>
            </w:pPr>
            <w:r>
              <w:rPr>
                <w:b/>
                <w:color w:val="FFFFFF"/>
                <w:spacing w:val="0"/>
              </w:rPr>
              <w:t>Change in</w:t>
              <w:br/>
              <w:t>Fair Value</w:t>
              <w:br/>
              <w:t>of Prior</w:t>
              <w:br/>
              <w:t>Years’</w:t>
              <w:br/>
              <w:t>Equity</w:t>
              <w:br/>
              <w:t>Awards</w:t>
              <w:br/>
              <w:t>Vested in</w:t>
              <w:br/>
              <w:t>the Covered</w:t>
              <w:br/>
              <w:t>Year</w:t>
            </w:r>
          </w:p>
        </w:tc>
        <w:tc>
          <w:tcPr>
            <w:tcW w:w="23" w:type="dxa"/>
            <w:tcBorders>
              <w:bottom w:val="single" w:sz="8" w:space="0" w:color="FFFFFF"/>
            </w:tcBorders>
            <w:shd w:fill="003A5D" w:val="clear"/>
            <w:tcMar>
              <w:bottom w:w="28" w:type="dxa"/>
            </w:tcMar>
            <w:vAlign w:val="center"/>
          </w:tcPr>
          <w:p>
            <w:pPr>
              <w:pStyle w:val="TableContents"/>
              <w:bidi w:val="0"/>
              <w:spacing w:before="0" w:after="283"/>
              <w:jc w:val="left"/>
              <w:rPr>
                <w:sz w:val="4"/>
                <w:szCs w:val="4"/>
              </w:rPr>
            </w:pPr>
            <w:r>
              <w:rPr>
                <w:sz w:val="4"/>
                <w:szCs w:val="4"/>
              </w:rPr>
            </w:r>
          </w:p>
        </w:tc>
        <w:tc>
          <w:tcPr>
            <w:tcW w:w="1115" w:type="dxa"/>
            <w:gridSpan w:val="4"/>
            <w:tcBorders>
              <w:bottom w:val="single" w:sz="8" w:space="0" w:color="FFFFFF"/>
              <w:right w:val="single" w:sz="24" w:space="0" w:color="FFFFFF"/>
            </w:tcBorders>
            <w:shd w:fill="003A5D" w:val="clear"/>
            <w:tcMar>
              <w:bottom w:w="60" w:type="dxa"/>
              <w:right w:w="28" w:type="dxa"/>
            </w:tcMar>
            <w:vAlign w:val="center"/>
          </w:tcPr>
          <w:p>
            <w:pPr>
              <w:pStyle w:val="TableContents"/>
              <w:bidi w:val="0"/>
              <w:spacing w:before="0" w:after="0"/>
              <w:jc w:val="center"/>
              <w:rPr>
                <w:b/>
                <w:color w:val="FFFFFF"/>
                <w:spacing w:val="0"/>
              </w:rPr>
            </w:pPr>
            <w:r>
              <w:rPr>
                <w:b/>
                <w:color w:val="FFFFFF"/>
                <w:spacing w:val="0"/>
              </w:rPr>
              <w:t>Less</w:t>
              <w:br/>
              <w:t>Fair Value</w:t>
              <w:br/>
              <w:t>of Prior</w:t>
              <w:br/>
              <w:t>Year</w:t>
              <w:br/>
              <w:t>Awards</w:t>
              <w:br/>
              <w:t>Forfeited</w:t>
              <w:br/>
              <w:t>in the</w:t>
              <w:br/>
              <w:t>Covered</w:t>
              <w:br/>
              <w:t>Year</w:t>
            </w:r>
          </w:p>
          <w:p>
            <w:pPr>
              <w:pStyle w:val="TableContents"/>
              <w:bidi w:val="0"/>
              <w:spacing w:before="0" w:after="0"/>
              <w:jc w:val="center"/>
              <w:rPr>
                <w:b/>
                <w:color w:val="FFFFFF"/>
                <w:spacing w:val="0"/>
                <w:sz w:val="8"/>
              </w:rPr>
            </w:pPr>
            <w:r>
              <w:rPr>
                <w:b/>
                <w:color w:val="FFFFFF"/>
                <w:spacing w:val="0"/>
                <w:sz w:val="8"/>
              </w:rPr>
              <w:t>(d)</w:t>
            </w:r>
          </w:p>
        </w:tc>
        <w:tc>
          <w:tcPr>
            <w:tcW w:w="23" w:type="dxa"/>
            <w:tcBorders>
              <w:bottom w:val="single" w:sz="8" w:space="0" w:color="FFFFFF"/>
            </w:tcBorders>
            <w:shd w:fill="003A5D" w:val="clear"/>
            <w:tcMar>
              <w:bottom w:w="28" w:type="dxa"/>
            </w:tcMar>
            <w:vAlign w:val="center"/>
          </w:tcPr>
          <w:p>
            <w:pPr>
              <w:pStyle w:val="TableContents"/>
              <w:bidi w:val="0"/>
              <w:spacing w:before="0" w:after="283"/>
              <w:jc w:val="left"/>
              <w:rPr>
                <w:sz w:val="4"/>
                <w:szCs w:val="4"/>
              </w:rPr>
            </w:pPr>
            <w:r>
              <w:rPr>
                <w:sz w:val="4"/>
                <w:szCs w:val="4"/>
              </w:rPr>
            </w:r>
          </w:p>
        </w:tc>
        <w:tc>
          <w:tcPr>
            <w:tcW w:w="1250" w:type="dxa"/>
            <w:gridSpan w:val="4"/>
            <w:tcBorders>
              <w:bottom w:val="single" w:sz="8" w:space="0" w:color="FFFFFF"/>
              <w:right w:val="single" w:sz="24" w:space="0" w:color="FFFFFF"/>
            </w:tcBorders>
            <w:shd w:fill="003A5D" w:val="clear"/>
            <w:tcMar>
              <w:bottom w:w="60" w:type="dxa"/>
              <w:right w:w="28" w:type="dxa"/>
            </w:tcMar>
            <w:vAlign w:val="center"/>
          </w:tcPr>
          <w:p>
            <w:pPr>
              <w:pStyle w:val="TableContents"/>
              <w:bidi w:val="0"/>
              <w:spacing w:before="0" w:after="0"/>
              <w:jc w:val="center"/>
              <w:rPr>
                <w:b/>
                <w:color w:val="FFFFFF"/>
                <w:spacing w:val="0"/>
              </w:rPr>
            </w:pPr>
            <w:r>
              <w:rPr>
                <w:b/>
                <w:color w:val="FFFFFF"/>
                <w:spacing w:val="0"/>
              </w:rPr>
              <w:t>Plus Fair</w:t>
              <w:br/>
              <w:t>Value of</w:t>
              <w:br/>
              <w:t>Incremental</w:t>
              <w:br/>
              <w:t>Dividends</w:t>
              <w:br/>
              <w:t>or</w:t>
              <w:br/>
              <w:t>Earnings</w:t>
              <w:br/>
              <w:t>on Stock</w:t>
              <w:br/>
              <w:t>Awards</w:t>
            </w:r>
          </w:p>
        </w:tc>
        <w:tc>
          <w:tcPr>
            <w:tcW w:w="23" w:type="dxa"/>
            <w:tcBorders>
              <w:bottom w:val="single" w:sz="8" w:space="0" w:color="FFFFFF"/>
            </w:tcBorders>
            <w:shd w:fill="003A5D" w:val="clear"/>
            <w:tcMar>
              <w:bottom w:w="28" w:type="dxa"/>
            </w:tcMar>
            <w:vAlign w:val="center"/>
          </w:tcPr>
          <w:p>
            <w:pPr>
              <w:pStyle w:val="TableContents"/>
              <w:bidi w:val="0"/>
              <w:spacing w:before="0" w:after="283"/>
              <w:jc w:val="left"/>
              <w:rPr>
                <w:sz w:val="4"/>
                <w:szCs w:val="4"/>
              </w:rPr>
            </w:pPr>
            <w:r>
              <w:rPr>
                <w:sz w:val="4"/>
                <w:szCs w:val="4"/>
              </w:rPr>
            </w:r>
          </w:p>
        </w:tc>
        <w:tc>
          <w:tcPr>
            <w:tcW w:w="1341" w:type="dxa"/>
            <w:gridSpan w:val="4"/>
            <w:tcBorders>
              <w:bottom w:val="single" w:sz="8" w:space="0" w:color="FFFFFF"/>
            </w:tcBorders>
            <w:shd w:fill="003A5D" w:val="clear"/>
            <w:tcMar>
              <w:bottom w:w="60" w:type="dxa"/>
            </w:tcMar>
            <w:vAlign w:val="center"/>
          </w:tcPr>
          <w:p>
            <w:pPr>
              <w:pStyle w:val="TableContents"/>
              <w:bidi w:val="0"/>
              <w:spacing w:before="0" w:after="0"/>
              <w:jc w:val="center"/>
              <w:rPr>
                <w:b/>
                <w:color w:val="FFFFFF"/>
                <w:spacing w:val="0"/>
              </w:rPr>
            </w:pPr>
            <w:r>
              <w:rPr>
                <w:b/>
                <w:color w:val="FFFFFF"/>
                <w:spacing w:val="0"/>
              </w:rPr>
              <w:t>CAP</w:t>
            </w:r>
          </w:p>
          <w:p>
            <w:pPr>
              <w:pStyle w:val="TableContents"/>
              <w:bidi w:val="0"/>
              <w:spacing w:before="0" w:after="0"/>
              <w:jc w:val="center"/>
              <w:rPr>
                <w:b/>
                <w:color w:val="FFFFFF"/>
                <w:spacing w:val="0"/>
                <w:sz w:val="8"/>
              </w:rPr>
            </w:pPr>
            <w:r>
              <w:rPr>
                <w:b/>
                <w:color w:val="FFFFFF"/>
                <w:spacing w:val="0"/>
                <w:sz w:val="8"/>
              </w:rPr>
              <w:t>(e)</w:t>
            </w:r>
          </w:p>
        </w:tc>
      </w:tr>
      <w:tr>
        <w:trPr/>
        <w:tc>
          <w:tcPr>
            <w:tcW w:w="890" w:type="dxa"/>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513"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093"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513"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288"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138"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273"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364" w:type="dxa"/>
            <w:gridSpan w:val="5"/>
            <w:tcBorders/>
            <w:shd w:fill="E5EBEE" w:val="clear"/>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rFonts w:ascii="arial" w:hAnsi="arial"/>
                <w:sz w:val="16"/>
              </w:rPr>
            </w:pPr>
            <w:r>
              <w:rPr>
                <w:rFonts w:ascii="arial" w:hAnsi="arial"/>
                <w:sz w:val="16"/>
              </w:rPr>
              <w:t>PEO 2024</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370" w:type="dxa"/>
            <w:tcBorders>
              <w:bottom w:val="single" w:sz="8" w:space="0" w:color="003A5D"/>
            </w:tcBorders>
            <w:shd w:fill="E5EBEE" w:val="clear"/>
            <w:tcMar>
              <w:bottom w:w="60" w:type="dxa"/>
            </w:tcMar>
            <w:vAlign w:val="center"/>
          </w:tcPr>
          <w:p>
            <w:pPr>
              <w:pStyle w:val="TableContents"/>
              <w:bidi w:val="0"/>
              <w:spacing w:before="0" w:after="283"/>
              <w:jc w:val="center"/>
              <w:rPr/>
            </w:pPr>
            <w:r>
              <w:rPr/>
              <w:t>$30,829,070</w:t>
            </w:r>
          </w:p>
        </w:tc>
        <w:tc>
          <w:tcPr>
            <w:tcW w:w="28"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954" w:type="dxa"/>
            <w:tcBorders>
              <w:bottom w:val="single" w:sz="8" w:space="0" w:color="003A5D"/>
            </w:tcBorders>
            <w:shd w:fill="E5EBEE" w:val="clear"/>
            <w:tcMar>
              <w:bottom w:w="60" w:type="dxa"/>
            </w:tcMar>
            <w:vAlign w:val="center"/>
          </w:tcPr>
          <w:p>
            <w:pPr>
              <w:pStyle w:val="TableContents"/>
              <w:bidi w:val="0"/>
              <w:spacing w:before="0" w:after="283"/>
              <w:jc w:val="center"/>
              <w:rPr/>
            </w:pPr>
            <w:r>
              <w:rPr/>
              <w:t>$(12,143)</w:t>
            </w:r>
          </w:p>
        </w:tc>
        <w:tc>
          <w:tcPr>
            <w:tcW w:w="26"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377" w:type="dxa"/>
            <w:tcBorders>
              <w:bottom w:val="single" w:sz="8" w:space="0" w:color="003A5D"/>
            </w:tcBorders>
            <w:shd w:fill="E5EBEE" w:val="clear"/>
            <w:tcMar>
              <w:bottom w:w="60" w:type="dxa"/>
            </w:tcMar>
            <w:vAlign w:val="center"/>
          </w:tcPr>
          <w:p>
            <w:pPr>
              <w:pStyle w:val="TableContents"/>
              <w:bidi w:val="0"/>
              <w:spacing w:before="0" w:after="283"/>
              <w:jc w:val="center"/>
              <w:rPr/>
            </w:pPr>
            <w:r>
              <w:rPr/>
              <w:t>$(25,206,709)</w:t>
            </w:r>
          </w:p>
        </w:tc>
        <w:tc>
          <w:tcPr>
            <w:tcW w:w="26"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$32,092,806</w:t>
            </w:r>
          </w:p>
        </w:tc>
        <w:tc>
          <w:tcPr>
            <w:tcW w:w="2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$14,835,622</w:t>
            </w:r>
          </w:p>
        </w:tc>
        <w:tc>
          <w:tcPr>
            <w:tcW w:w="2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153" w:type="dxa"/>
            <w:tcBorders>
              <w:bottom w:val="single" w:sz="8" w:space="0" w:color="003A5D"/>
            </w:tcBorders>
            <w:shd w:fill="E5EBEE" w:val="clear"/>
            <w:tcMar>
              <w:bottom w:w="60" w:type="dxa"/>
            </w:tcMar>
            <w:vAlign w:val="center"/>
          </w:tcPr>
          <w:p>
            <w:pPr>
              <w:pStyle w:val="TableContents"/>
              <w:bidi w:val="0"/>
              <w:spacing w:before="0" w:after="283"/>
              <w:jc w:val="center"/>
              <w:rPr/>
            </w:pPr>
            <w:r>
              <w:rPr/>
              <w:t>$2,715,253</w:t>
            </w:r>
          </w:p>
        </w:tc>
        <w:tc>
          <w:tcPr>
            <w:tcW w:w="26"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82"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792"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71"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140" w:type="dxa"/>
            <w:tcBorders>
              <w:bottom w:val="single" w:sz="8" w:space="0" w:color="003A5D"/>
            </w:tcBorders>
            <w:shd w:fill="E5EBEE" w:val="clear"/>
            <w:tcMar>
              <w:bottom w:w="60" w:type="dxa"/>
            </w:tcMar>
            <w:vAlign w:val="center"/>
          </w:tcPr>
          <w:p>
            <w:pPr>
              <w:pStyle w:val="TableContents"/>
              <w:bidi w:val="0"/>
              <w:spacing w:before="0" w:after="283"/>
              <w:jc w:val="center"/>
              <w:rPr/>
            </w:pPr>
            <w:r>
              <w:rPr/>
              <w:t>$1,136,255</w:t>
            </w:r>
          </w:p>
        </w:tc>
        <w:tc>
          <w:tcPr>
            <w:tcW w:w="2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shd w:fill="E5EBEE" w:val="clear"/>
            <w:tcMar>
              <w:bottom w:w="60" w:type="dxa"/>
            </w:tcMar>
            <w:vAlign w:val="center"/>
          </w:tcPr>
          <w:p>
            <w:pPr>
              <w:pStyle w:val="TableContents"/>
              <w:bidi w:val="0"/>
              <w:spacing w:before="0" w:after="283"/>
              <w:jc w:val="center"/>
              <w:rPr/>
            </w:pPr>
            <w:r>
              <w:rPr/>
              <w:t>$56,390,154</w:t>
            </w:r>
          </w:p>
        </w:tc>
        <w:tc>
          <w:tcPr>
            <w:tcW w:w="38"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r>
      <w:tr>
        <w:trPr/>
        <w:tc>
          <w:tcPr>
            <w:tcW w:w="890" w:type="dxa"/>
            <w:tcBorders>
              <w:right w:val="single" w:sz="24" w:space="0" w:color="FFFFFF"/>
            </w:tcBorders>
            <w:tcMar>
              <w:right w:w="28" w:type="dxa"/>
            </w:tcMar>
            <w:vAlign w:val="center"/>
          </w:tcPr>
          <w:p>
            <w:pPr>
              <w:pStyle w:val="TableContents"/>
              <w:bidi w:val="0"/>
              <w:spacing w:before="0" w:after="283"/>
              <w:jc w:val="left"/>
              <w:rPr/>
            </w:pPr>
            <w:r>
              <w:rPr/>
              <w:t> </w:t>
            </w:r>
          </w:p>
        </w:tc>
        <w:tc>
          <w:tcPr>
            <w:tcW w:w="1513"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1093"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1513"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1349"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1288"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1138"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1273"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1364" w:type="dxa"/>
            <w:gridSpan w:val="5"/>
            <w:tcBorders>
              <w:left w:val="single" w:sz="24" w:space="0" w:color="FFFFFF"/>
              <w:right w:val="single" w:sz="24" w:space="0" w:color="FFFFFF"/>
            </w:tcBorders>
            <w:tcMar>
              <w:left w:w="28" w:type="dxa"/>
              <w:right w:w="28" w:type="dxa"/>
            </w:tcMar>
            <w:vAlign w:val="center"/>
          </w:tcPr>
          <w:p>
            <w:pPr>
              <w:pStyle w:val="TableContents"/>
              <w:bidi w:val="0"/>
              <w:spacing w:before="0" w:after="283"/>
              <w:jc w:val="left"/>
              <w:rPr/>
            </w:pPr>
            <w:r>
              <w:rPr/>
              <w:t> </w:t>
            </w:r>
          </w:p>
        </w:tc>
      </w:tr>
      <w:tr>
        <w:trPr/>
        <w:tc>
          <w:tcPr>
            <w:tcW w:w="890"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left"/>
              <w:rPr>
                <w:rFonts w:ascii="arial" w:hAnsi="arial"/>
                <w:spacing w:val="0"/>
                <w:sz w:val="16"/>
              </w:rPr>
            </w:pPr>
            <w:r>
              <w:rPr>
                <w:rFonts w:ascii="arial" w:hAnsi="arial"/>
                <w:spacing w:val="0"/>
                <w:sz w:val="16"/>
              </w:rPr>
              <w:t>Non-PEO</w:t>
            </w:r>
          </w:p>
          <w:p>
            <w:pPr>
              <w:pStyle w:val="TableContents"/>
              <w:bidi w:val="0"/>
              <w:spacing w:before="0" w:after="20"/>
              <w:jc w:val="left"/>
              <w:rPr>
                <w:rFonts w:ascii="arial" w:hAnsi="arial"/>
                <w:sz w:val="16"/>
              </w:rPr>
            </w:pPr>
            <w:r>
              <w:rPr>
                <w:rFonts w:ascii="arial" w:hAnsi="arial"/>
                <w:sz w:val="16"/>
              </w:rPr>
              <w:t>NEOs 2024</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7" w:type="dxa"/>
            <w:tcBorders>
              <w:bottom w:val="single" w:sz="8" w:space="0" w:color="003A5D"/>
            </w:tcBorders>
            <w:tcMar>
              <w:bottom w:w="60" w:type="dxa"/>
            </w:tcMar>
            <w:vAlign w:val="center"/>
          </w:tcPr>
          <w:p>
            <w:pPr>
              <w:pStyle w:val="TableContents"/>
              <w:bidi w:val="0"/>
              <w:spacing w:before="0" w:after="283"/>
              <w:jc w:val="left"/>
              <w:rPr/>
            </w:pPr>
            <w:r>
              <w:rPr/>
              <w:t> </w:t>
            </w:r>
          </w:p>
        </w:tc>
        <w:tc>
          <w:tcPr>
            <w:tcW w:w="1370" w:type="dxa"/>
            <w:tcBorders>
              <w:bottom w:val="single" w:sz="8" w:space="0" w:color="003A5D"/>
            </w:tcBorders>
            <w:tcMar>
              <w:bottom w:w="60" w:type="dxa"/>
            </w:tcMar>
            <w:vAlign w:val="center"/>
          </w:tcPr>
          <w:p>
            <w:pPr>
              <w:pStyle w:val="TableContents"/>
              <w:bidi w:val="0"/>
              <w:spacing w:before="0" w:after="283"/>
              <w:jc w:val="center"/>
              <w:rPr/>
            </w:pPr>
            <w:r>
              <w:rPr/>
              <w:t>$7,434,305</w:t>
            </w:r>
          </w:p>
        </w:tc>
        <w:tc>
          <w:tcPr>
            <w:tcW w:w="28"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5"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5" w:type="dxa"/>
            <w:tcBorders>
              <w:bottom w:val="single" w:sz="8" w:space="0" w:color="003A5D"/>
            </w:tcBorders>
            <w:tcMar>
              <w:bottom w:w="60" w:type="dxa"/>
            </w:tcMar>
            <w:vAlign w:val="center"/>
          </w:tcPr>
          <w:p>
            <w:pPr>
              <w:pStyle w:val="TableContents"/>
              <w:bidi w:val="0"/>
              <w:spacing w:before="0" w:after="283"/>
              <w:jc w:val="left"/>
              <w:rPr/>
            </w:pPr>
            <w:r>
              <w:rPr/>
              <w:t> </w:t>
            </w:r>
          </w:p>
        </w:tc>
        <w:tc>
          <w:tcPr>
            <w:tcW w:w="954" w:type="dxa"/>
            <w:tcBorders>
              <w:bottom w:val="single" w:sz="8" w:space="0" w:color="003A5D"/>
            </w:tcBorders>
            <w:tcMar>
              <w:bottom w:w="60" w:type="dxa"/>
            </w:tcMar>
            <w:vAlign w:val="center"/>
          </w:tcPr>
          <w:p>
            <w:pPr>
              <w:pStyle w:val="TableContents"/>
              <w:bidi w:val="0"/>
              <w:spacing w:before="0" w:after="283"/>
              <w:jc w:val="center"/>
              <w:rPr/>
            </w:pPr>
            <w:r>
              <w:rPr/>
              <w:t>$—</w:t>
            </w:r>
          </w:p>
        </w:tc>
        <w:tc>
          <w:tcPr>
            <w:tcW w:w="26"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8" w:space="0" w:color="003A5D"/>
            </w:tcBorders>
            <w:tcMar>
              <w:bottom w:w="60" w:type="dxa"/>
            </w:tcMar>
            <w:vAlign w:val="center"/>
          </w:tcPr>
          <w:p>
            <w:pPr>
              <w:pStyle w:val="TableContents"/>
              <w:bidi w:val="0"/>
              <w:spacing w:before="0" w:after="283"/>
              <w:jc w:val="left"/>
              <w:rPr/>
            </w:pPr>
            <w:r>
              <w:rPr/>
              <w:t> </w:t>
            </w:r>
          </w:p>
        </w:tc>
        <w:tc>
          <w:tcPr>
            <w:tcW w:w="1377" w:type="dxa"/>
            <w:tcBorders>
              <w:bottom w:val="single" w:sz="8" w:space="0" w:color="003A5D"/>
            </w:tcBorders>
            <w:tcMar>
              <w:bottom w:w="60" w:type="dxa"/>
            </w:tcMar>
            <w:vAlign w:val="center"/>
          </w:tcPr>
          <w:p>
            <w:pPr>
              <w:pStyle w:val="TableContents"/>
              <w:bidi w:val="0"/>
              <w:spacing w:before="0" w:after="283"/>
              <w:jc w:val="center"/>
              <w:rPr/>
            </w:pPr>
            <w:r>
              <w:rPr/>
              <w:t>$(3,443,874)</w:t>
            </w:r>
          </w:p>
        </w:tc>
        <w:tc>
          <w:tcPr>
            <w:tcW w:w="26"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tcMar>
              <w:bottom w:w="60" w:type="dxa"/>
            </w:tcMar>
            <w:vAlign w:val="center"/>
          </w:tcPr>
          <w:p>
            <w:pPr>
              <w:pStyle w:val="TableContents"/>
              <w:bidi w:val="0"/>
              <w:spacing w:before="0" w:after="283"/>
              <w:jc w:val="center"/>
              <w:rPr/>
            </w:pPr>
            <w:r>
              <w:rPr/>
              <w:t>$4,415,292</w:t>
            </w:r>
          </w:p>
        </w:tc>
        <w:tc>
          <w:tcPr>
            <w:tcW w:w="23"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tcMar>
              <w:bottom w:w="60" w:type="dxa"/>
            </w:tcMar>
            <w:vAlign w:val="center"/>
          </w:tcPr>
          <w:p>
            <w:pPr>
              <w:pStyle w:val="TableContents"/>
              <w:bidi w:val="0"/>
              <w:spacing w:before="0" w:after="283"/>
              <w:jc w:val="center"/>
              <w:rPr/>
            </w:pPr>
            <w:r>
              <w:rPr/>
              <w:t>$1,181,753</w:t>
            </w:r>
          </w:p>
        </w:tc>
        <w:tc>
          <w:tcPr>
            <w:tcW w:w="23"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4"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8" w:space="0" w:color="003A5D"/>
            </w:tcBorders>
            <w:tcMar>
              <w:bottom w:w="60" w:type="dxa"/>
            </w:tcMar>
            <w:vAlign w:val="center"/>
          </w:tcPr>
          <w:p>
            <w:pPr>
              <w:pStyle w:val="TableContents"/>
              <w:bidi w:val="0"/>
              <w:spacing w:before="0" w:after="283"/>
              <w:jc w:val="left"/>
              <w:rPr/>
            </w:pPr>
            <w:r>
              <w:rPr/>
              <w:t> </w:t>
            </w:r>
          </w:p>
        </w:tc>
        <w:tc>
          <w:tcPr>
            <w:tcW w:w="1153" w:type="dxa"/>
            <w:tcBorders>
              <w:bottom w:val="single" w:sz="8" w:space="0" w:color="003A5D"/>
            </w:tcBorders>
            <w:tcMar>
              <w:bottom w:w="60" w:type="dxa"/>
            </w:tcMar>
            <w:vAlign w:val="center"/>
          </w:tcPr>
          <w:p>
            <w:pPr>
              <w:pStyle w:val="TableContents"/>
              <w:bidi w:val="0"/>
              <w:spacing w:before="0" w:after="283"/>
              <w:jc w:val="center"/>
              <w:rPr/>
            </w:pPr>
            <w:r>
              <w:rPr/>
              <w:t>$346,736</w:t>
            </w:r>
          </w:p>
        </w:tc>
        <w:tc>
          <w:tcPr>
            <w:tcW w:w="26"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82" w:type="dxa"/>
            <w:tcBorders>
              <w:bottom w:val="single" w:sz="8" w:space="0" w:color="003A5D"/>
            </w:tcBorders>
            <w:tcMar>
              <w:bottom w:w="60" w:type="dxa"/>
            </w:tcMar>
            <w:vAlign w:val="center"/>
          </w:tcPr>
          <w:p>
            <w:pPr>
              <w:pStyle w:val="TableContents"/>
              <w:bidi w:val="0"/>
              <w:spacing w:before="0" w:after="283"/>
              <w:jc w:val="left"/>
              <w:rPr/>
            </w:pPr>
            <w:r>
              <w:rPr/>
              <w:t> </w:t>
            </w:r>
          </w:p>
        </w:tc>
        <w:tc>
          <w:tcPr>
            <w:tcW w:w="792" w:type="dxa"/>
            <w:tcBorders>
              <w:bottom w:val="single" w:sz="8" w:space="0" w:color="003A5D"/>
            </w:tcBorders>
            <w:tcMar>
              <w:bottom w:w="60" w:type="dxa"/>
            </w:tcMar>
            <w:vAlign w:val="center"/>
          </w:tcPr>
          <w:p>
            <w:pPr>
              <w:pStyle w:val="TableContents"/>
              <w:bidi w:val="0"/>
              <w:spacing w:before="0" w:after="283"/>
              <w:jc w:val="center"/>
              <w:rPr/>
            </w:pPr>
            <w:r>
              <w:rPr/>
              <w:t>$—</w:t>
            </w:r>
          </w:p>
        </w:tc>
        <w:tc>
          <w:tcPr>
            <w:tcW w:w="71"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8" w:space="0" w:color="003A5D"/>
            </w:tcBorders>
            <w:tcMar>
              <w:bottom w:w="60" w:type="dxa"/>
            </w:tcMar>
            <w:vAlign w:val="center"/>
          </w:tcPr>
          <w:p>
            <w:pPr>
              <w:pStyle w:val="TableContents"/>
              <w:bidi w:val="0"/>
              <w:spacing w:before="0" w:after="283"/>
              <w:jc w:val="left"/>
              <w:rPr/>
            </w:pPr>
            <w:r>
              <w:rPr/>
              <w:t> </w:t>
            </w:r>
          </w:p>
        </w:tc>
        <w:tc>
          <w:tcPr>
            <w:tcW w:w="1140" w:type="dxa"/>
            <w:tcBorders>
              <w:bottom w:val="single" w:sz="8" w:space="0" w:color="003A5D"/>
            </w:tcBorders>
            <w:tcMar>
              <w:bottom w:w="60" w:type="dxa"/>
            </w:tcMar>
            <w:vAlign w:val="center"/>
          </w:tcPr>
          <w:p>
            <w:pPr>
              <w:pStyle w:val="TableContents"/>
              <w:bidi w:val="0"/>
              <w:spacing w:before="0" w:after="283"/>
              <w:jc w:val="center"/>
              <w:rPr/>
            </w:pPr>
            <w:r>
              <w:rPr/>
              <w:t>$109,686</w:t>
            </w:r>
          </w:p>
        </w:tc>
        <w:tc>
          <w:tcPr>
            <w:tcW w:w="25"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1220" w:type="dxa"/>
            <w:tcBorders>
              <w:bottom w:val="single" w:sz="8" w:space="0" w:color="003A5D"/>
            </w:tcBorders>
            <w:tcMar>
              <w:bottom w:w="60" w:type="dxa"/>
            </w:tcMar>
            <w:vAlign w:val="center"/>
          </w:tcPr>
          <w:p>
            <w:pPr>
              <w:pStyle w:val="TableContents"/>
              <w:bidi w:val="0"/>
              <w:spacing w:before="0" w:after="283"/>
              <w:jc w:val="center"/>
              <w:rPr/>
            </w:pPr>
            <w:r>
              <w:rPr/>
              <w:t>$10,043,898</w:t>
            </w:r>
          </w:p>
        </w:tc>
        <w:tc>
          <w:tcPr>
            <w:tcW w:w="38" w:type="dxa"/>
            <w:tcBorders>
              <w:bottom w:val="single" w:sz="8" w:space="0" w:color="003A5D"/>
              <w:right w:val="single" w:sz="24" w:space="0" w:color="FFFFFF"/>
            </w:tcBorders>
            <w:tcMar>
              <w:bottom w:w="60" w:type="dxa"/>
              <w:right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285" w:type="dxa"/>
        <w:jc w:val="left"/>
        <w:tblInd w:w="0" w:type="dxa"/>
        <w:tblLayout w:type="fixed"/>
        <w:tblCellMar>
          <w:top w:w="0" w:type="dxa"/>
          <w:left w:w="0" w:type="dxa"/>
          <w:bottom w:w="0" w:type="dxa"/>
          <w:right w:w="0" w:type="dxa"/>
        </w:tblCellMar>
      </w:tblPr>
      <w:tblGrid>
        <w:gridCol w:w="3395"/>
        <w:gridCol w:w="60"/>
        <w:gridCol w:w="2255"/>
        <w:gridCol w:w="60"/>
        <w:gridCol w:w="51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pacing w:val="0"/>
                <w:sz w:val="17"/>
              </w:rPr>
            </w:pPr>
            <w:r>
              <w:rPr>
                <w:rFonts w:ascii="arial" w:hAnsi="arial"/>
                <w:color w:val="003A5D"/>
                <w:spacing w:val="0"/>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spacing w:val="0"/>
              </w:rPr>
            </w:pPr>
            <w:r>
              <w:rPr>
                <w:color w:val="003A5D"/>
                <w:spacing w:val="0"/>
              </w:rPr>
              <w:t> </w:t>
            </w:r>
            <w:r>
              <w:rPr>
                <w:rFonts w:ascii="arial" w:hAnsi="arial"/>
                <w:b/>
                <w:color w:val="003A5D"/>
                <w:spacing w:val="0"/>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center"/>
              <w:rPr>
                <w:spacing w:val="0"/>
              </w:rPr>
            </w:pPr>
            <w:r>
              <w:rPr>
                <w:spacing w:val="0"/>
              </w:rPr>
              <w:t> </w:t>
            </w:r>
            <w:r>
              <w:rPr>
                <w:b/>
                <w:spacing w:val="0"/>
              </w:rPr>
              <w:t>113</w:t>
            </w:r>
          </w:p>
          <w:p>
            <w:pPr>
              <w:pStyle w:val="TableContents"/>
              <w:bidi w:val="0"/>
              <w:spacing w:before="0" w:after="20"/>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0"/>
              <w:jc w:val="left"/>
              <w:rPr>
                <w:b/>
                <w:color w:val="003A5D"/>
                <w:spacing w:val="0"/>
              </w:rPr>
            </w:pPr>
            <w:r>
              <w:rPr>
                <w:b/>
                <w:color w:val="003A5D"/>
                <w:spacing w:val="0"/>
              </w:rPr>
              <w:t>EXECUTIVE COMPENSATION</w:t>
            </w:r>
          </w:p>
        </w:tc>
      </w:tr>
    </w:tbl>
    <w:p>
      <w:pPr>
        <w:pStyle w:val="TextBody"/>
        <w:bidi w:val="0"/>
        <w:spacing w:lineRule="atLeast" w:line="142" w:before="0" w:after="40"/>
        <w:jc w:val="left"/>
        <w:rPr>
          <w:bdr w:val="single" w:sz="2" w:space="1" w:color="003A5D"/>
        </w:rPr>
      </w:pPr>
      <w:r>
        <w:rPr>
          <w:bdr w:val="single" w:sz="2" w:space="1" w:color="003A5D"/>
        </w:rPr>
        <w:t> </w:t>
      </w:r>
    </w:p>
    <w:tbl>
      <w:tblPr>
        <w:tblW w:w="5390" w:type="dxa"/>
        <w:jc w:val="left"/>
        <w:tblInd w:w="0" w:type="dxa"/>
        <w:tblLayout w:type="fixed"/>
        <w:tblCellMar>
          <w:top w:w="0" w:type="dxa"/>
          <w:left w:w="0" w:type="dxa"/>
          <w:bottom w:w="0" w:type="dxa"/>
          <w:right w:w="0" w:type="dxa"/>
        </w:tblCellMar>
      </w:tblPr>
      <w:tblGrid>
        <w:gridCol w:w="5390"/>
      </w:tblGrid>
      <w:tr>
        <w:trPr/>
        <w:tc>
          <w:tcPr>
            <w:tcW w:w="5390"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center"/>
          </w:tcPr>
          <w:p>
            <w:pPr>
              <w:pStyle w:val="TableContents"/>
              <w:bidi w:val="0"/>
              <w:spacing w:before="0" w:after="0"/>
              <w:jc w:val="left"/>
              <w:rPr>
                <w:b/>
                <w:color w:val="003A5D"/>
                <w:spacing w:val="0"/>
              </w:rPr>
            </w:pPr>
            <w:r>
              <w:rPr>
                <w:b/>
                <w:color w:val="003A5D"/>
                <w:spacing w:val="0"/>
              </w:rPr>
              <w:t>Section VI - Named Executive Officer Compensation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(a)</w:t>
            </w:r>
          </w:p>
        </w:tc>
        <w:tc>
          <w:tcPr>
            <w:tcW w:w="9897" w:type="dxa"/>
            <w:tcBorders/>
            <w:vAlign w:val="center"/>
          </w:tcPr>
          <w:p>
            <w:pPr>
              <w:pStyle w:val="TableContents"/>
              <w:bidi w:val="0"/>
              <w:spacing w:before="0" w:after="0"/>
              <w:jc w:val="both"/>
              <w:rPr>
                <w:rFonts w:ascii="arial" w:hAnsi="arial"/>
                <w:sz w:val="16"/>
              </w:rPr>
            </w:pPr>
            <w:r>
              <w:rPr>
                <w:rFonts w:ascii="arial" w:hAnsi="arial"/>
                <w:sz w:val="16"/>
              </w:rPr>
              <w:t xml:space="preserve">Fair values are calculated in accordance with FASB ASC Topic 718 as of the end of the fiscal year, other than awards that vest in the covered year, which are valued as of the applicable vesting dates. There were no awards granted in each of the covered years that vested in the same year. </w:t>
            </w:r>
          </w:p>
        </w:tc>
      </w:tr>
    </w:tbl>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75"/>
        <w:gridCol w:w="290"/>
        <w:gridCol w:w="755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7550" w:type="dxa"/>
            <w:tcBorders/>
            <w:vAlign w:val="center"/>
          </w:tcPr>
          <w:p>
            <w:pPr>
              <w:pStyle w:val="TableContents"/>
              <w:bidi w:val="0"/>
              <w:spacing w:before="0" w:after="0"/>
              <w:jc w:val="both"/>
              <w:rPr>
                <w:rFonts w:ascii="arial" w:hAnsi="arial"/>
                <w:sz w:val="16"/>
              </w:rPr>
            </w:pPr>
            <w:r>
              <w:rPr>
                <w:rFonts w:ascii="arial" w:hAnsi="arial"/>
                <w:sz w:val="16"/>
              </w:rPr>
              <w:t xml:space="preserve">Reflects the total compensation amount reported in the Summary Compensation Table the year shown.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(c)</w:t>
            </w:r>
          </w:p>
        </w:tc>
        <w:tc>
          <w:tcPr>
            <w:tcW w:w="9892" w:type="dxa"/>
            <w:tcBorders/>
            <w:vAlign w:val="center"/>
          </w:tcPr>
          <w:p>
            <w:pPr>
              <w:pStyle w:val="TableContents"/>
              <w:bidi w:val="0"/>
              <w:spacing w:before="0" w:after="0"/>
              <w:jc w:val="both"/>
              <w:rPr>
                <w:rFonts w:ascii="arial" w:hAnsi="arial"/>
                <w:sz w:val="16"/>
              </w:rPr>
            </w:pPr>
            <w:r>
              <w:rPr>
                <w:rFonts w:ascii="arial" w:hAnsi="arial"/>
                <w:sz w:val="16"/>
              </w:rPr>
              <w:t xml:space="preserve">Reflects the aggregate change in pension value for all defined benefit plans. There are no service costs or prior service costs associated with pension benefits since the Cash Balance Pension Plan and the Excess Cash Balance Pension Plan are frozen.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290"/>
        <w:gridCol w:w="576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5765" w:type="dxa"/>
            <w:tcBorders/>
            <w:vAlign w:val="center"/>
          </w:tcPr>
          <w:p>
            <w:pPr>
              <w:pStyle w:val="TableContents"/>
              <w:bidi w:val="0"/>
              <w:spacing w:before="0" w:after="0"/>
              <w:jc w:val="both"/>
              <w:rPr>
                <w:rFonts w:ascii="arial" w:hAnsi="arial"/>
                <w:sz w:val="16"/>
              </w:rPr>
            </w:pPr>
            <w:r>
              <w:rPr>
                <w:rFonts w:ascii="arial" w:hAnsi="arial"/>
                <w:sz w:val="16"/>
              </w:rPr>
              <w:t xml:space="preserve">Reflects awards that failed to meet vesting conditions during the covered year. </w:t>
            </w:r>
          </w:p>
        </w:tc>
      </w:tr>
    </w:tbl>
    <w:p>
      <w:pPr>
        <w:pStyle w:val="TextBody"/>
        <w:bidi w:val="0"/>
        <w:spacing w:before="0" w:after="0"/>
        <w:jc w:val="left"/>
        <w:rPr/>
      </w:pPr>
      <w:r>
        <w:rPr/>
        <w:t> </w:t>
      </w:r>
    </w:p>
    <w:tbl>
      <w:tblPr>
        <w:tblW w:w="4900" w:type="dxa"/>
        <w:jc w:val="left"/>
        <w:tblInd w:w="0" w:type="dxa"/>
        <w:tblLayout w:type="fixed"/>
        <w:tblCellMar>
          <w:top w:w="0" w:type="dxa"/>
          <w:left w:w="0" w:type="dxa"/>
          <w:bottom w:w="0" w:type="dxa"/>
          <w:right w:w="0" w:type="dxa"/>
        </w:tblCellMar>
      </w:tblPr>
      <w:tblGrid>
        <w:gridCol w:w="75"/>
        <w:gridCol w:w="275"/>
        <w:gridCol w:w="455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(e)</w:t>
            </w:r>
          </w:p>
        </w:tc>
        <w:tc>
          <w:tcPr>
            <w:tcW w:w="4550" w:type="dxa"/>
            <w:tcBorders/>
            <w:vAlign w:val="center"/>
          </w:tcPr>
          <w:p>
            <w:pPr>
              <w:pStyle w:val="TableContents"/>
              <w:bidi w:val="0"/>
              <w:spacing w:before="0" w:after="0"/>
              <w:jc w:val="both"/>
              <w:rPr>
                <w:rFonts w:ascii="arial" w:hAnsi="arial"/>
                <w:sz w:val="16"/>
              </w:rPr>
            </w:pPr>
            <w:r>
              <w:rPr>
                <w:rFonts w:ascii="arial" w:hAnsi="arial"/>
                <w:sz w:val="16"/>
              </w:rPr>
              <w:t xml:space="preserve">Reflects the actual CAP for the PEO and average CAP for the </w:t>
            </w:r>
          </w:p>
          <w:p>
            <w:pPr>
              <w:pStyle w:val="TableContents"/>
              <w:bidi w:val="0"/>
              <w:spacing w:before="0" w:after="0"/>
              <w:jc w:val="both"/>
              <w:rPr>
                <w:rFonts w:ascii="arial" w:hAnsi="arial"/>
                <w:spacing w:val="0"/>
                <w:sz w:val="16"/>
              </w:rPr>
            </w:pPr>
            <w:r>
              <w:rPr>
                <w:rFonts w:ascii="arial" w:hAnsi="arial"/>
                <w:spacing w:val="0"/>
                <w:sz w:val="16"/>
              </w:rPr>
              <w:t>Non-PEO</w:t>
            </w:r>
          </w:p>
          <w:p>
            <w:pPr>
              <w:pStyle w:val="TableContents"/>
              <w:bidi w:val="0"/>
              <w:spacing w:before="0" w:after="0"/>
              <w:jc w:val="both"/>
              <w:rPr>
                <w:rFonts w:ascii="arial" w:hAnsi="arial"/>
                <w:sz w:val="16"/>
              </w:rPr>
            </w:pPr>
            <w:r>
              <w:rPr>
                <w:rFonts w:ascii="arial" w:hAnsi="arial"/>
                <w:sz w:val="16"/>
              </w:rPr>
              <w:t xml:space="preserve">NEOs.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0"/>
              <w:jc w:val="both"/>
              <w:rPr>
                <w:rFonts w:ascii="arial" w:hAnsi="arial"/>
                <w:sz w:val="16"/>
              </w:rPr>
            </w:pPr>
            <w:r>
              <w:rPr>
                <w:rFonts w:ascii="arial" w:hAnsi="arial"/>
                <w:sz w:val="16"/>
              </w:rPr>
              <w:t xml:space="preserve">TSR is cumulative for the measurement periods beginning on December 31, 2019, and ending on the last fiscal day in 2024, 2023, 2022, 2021, and 2020, respectively, calculated in accordance with Item 201(e) of Regulation </w:t>
            </w:r>
          </w:p>
          <w:p>
            <w:pPr>
              <w:pStyle w:val="TableContents"/>
              <w:bidi w:val="0"/>
              <w:spacing w:before="0" w:after="0"/>
              <w:jc w:val="both"/>
              <w:rPr>
                <w:rFonts w:ascii="arial" w:hAnsi="arial"/>
                <w:spacing w:val="0"/>
                <w:sz w:val="16"/>
              </w:rPr>
            </w:pPr>
            <w:r>
              <w:rPr>
                <w:rFonts w:ascii="arial" w:hAnsi="arial"/>
                <w:spacing w:val="0"/>
                <w:sz w:val="16"/>
              </w:rPr>
              <w:t>S-K.</w:t>
            </w:r>
          </w:p>
          <w:p>
            <w:pPr>
              <w:pStyle w:val="TableContents"/>
              <w:bidi w:val="0"/>
              <w:spacing w:before="0" w:after="0"/>
              <w:jc w:val="both"/>
              <w:rPr/>
            </w:pPr>
            <w:r>
              <w:rPr/>
              <w:t>“</w:t>
            </w:r>
            <w:r>
              <w:rPr>
                <w:rFonts w:ascii="arial" w:hAnsi="arial"/>
                <w:sz w:val="16"/>
              </w:rPr>
              <w:t xml:space="preserve">Peer Group” represents the S&amp;P Financial Index for each year disclosed in the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(4)</w:t>
            </w:r>
          </w:p>
        </w:tc>
        <w:tc>
          <w:tcPr>
            <w:tcW w:w="9944" w:type="dxa"/>
            <w:tcBorders/>
            <w:vAlign w:val="center"/>
          </w:tcPr>
          <w:p>
            <w:pPr>
              <w:pStyle w:val="TableContents"/>
              <w:bidi w:val="0"/>
              <w:spacing w:before="0" w:after="0"/>
              <w:jc w:val="both"/>
              <w:rPr>
                <w:rFonts w:ascii="arial" w:hAnsi="arial"/>
                <w:sz w:val="16"/>
              </w:rPr>
            </w:pPr>
            <w:r>
              <w:rPr>
                <w:rFonts w:ascii="arial" w:hAnsi="arial"/>
                <w:sz w:val="16"/>
              </w:rPr>
              <w:t xml:space="preserve">D+TBV is a </w:t>
            </w:r>
          </w:p>
          <w:p>
            <w:pPr>
              <w:pStyle w:val="TableContents"/>
              <w:bidi w:val="0"/>
              <w:spacing w:before="0" w:after="0"/>
              <w:jc w:val="both"/>
              <w:rPr>
                <w:rFonts w:ascii="arial" w:hAnsi="arial"/>
                <w:spacing w:val="0"/>
                <w:sz w:val="16"/>
              </w:rPr>
            </w:pPr>
            <w:r>
              <w:rPr>
                <w:rFonts w:ascii="arial" w:hAnsi="arial"/>
                <w:spacing w:val="0"/>
                <w:sz w:val="16"/>
              </w:rPr>
              <w:t>non-GAAP</w:t>
            </w:r>
          </w:p>
          <w:p>
            <w:pPr>
              <w:pStyle w:val="TableContents"/>
              <w:bidi w:val="0"/>
              <w:spacing w:before="0" w:after="0"/>
              <w:jc w:val="both"/>
              <w:rPr>
                <w:rFonts w:ascii="arial" w:hAnsi="arial"/>
                <w:sz w:val="16"/>
              </w:rPr>
            </w:pPr>
            <w:r>
              <w:rPr>
                <w:rFonts w:ascii="arial" w:hAnsi="arial"/>
                <w:sz w:val="16"/>
              </w:rPr>
              <w:t xml:space="preserve">metric. D+TBV is calculated as the ratio, expressed as a percentage, of (i) the Company’s tangible book value per share at the end of each year, plus total common dividends per share paid during such year, to (ii) the Company’s tangible book value per share at the beginning of each corresponding year. </w:t>
            </w:r>
          </w:p>
        </w:tc>
      </w:tr>
    </w:tbl>
    <w:p>
      <w:pPr>
        <w:pStyle w:val="TextBody"/>
        <w:bidi w:val="0"/>
        <w:spacing w:before="240" w:after="0"/>
        <w:jc w:val="left"/>
        <w:rPr>
          <w:rFonts w:ascii="arial" w:hAnsi="arial"/>
          <w:b/>
          <w:i/>
          <w:color w:val="003A5D"/>
          <w:spacing w:val="0"/>
          <w:sz w:val="24"/>
        </w:rPr>
      </w:pPr>
      <w:r>
        <w:rPr>
          <w:rFonts w:ascii="arial" w:hAnsi="arial"/>
          <w:b/>
          <w:i/>
          <w:color w:val="003A5D"/>
          <w:spacing w:val="0"/>
          <w:sz w:val="24"/>
        </w:rPr>
        <w:t xml:space="preserve">CAP versus Company TSR </w:t>
      </w:r>
    </w:p>
    <w:p>
      <w:pPr>
        <w:pStyle w:val="TextBody"/>
        <w:bidi w:val="0"/>
        <w:spacing w:before="240" w:after="0"/>
        <w:jc w:val="both"/>
        <w:rPr>
          <w:rFonts w:ascii="arial" w:hAnsi="arial"/>
          <w:sz w:val="20"/>
        </w:rPr>
      </w:pPr>
      <w:r>
        <w:rPr>
          <w:rFonts w:ascii="arial" w:hAnsi="arial"/>
          <w:sz w:val="20"/>
        </w:rPr>
        <w:t xml:space="preserve">As shown in the chart above, the PEO and other NEO’s CAP amounts are aligned with the Company’s TSR. This alignment is due to the Company’s executive compensation program being composed of primarily equity, with 50% of PEO and approximately 84% of all </w:t>
      </w:r>
    </w:p>
    <w:p>
      <w:pPr>
        <w:pStyle w:val="TextBody"/>
        <w:bidi w:val="0"/>
        <w:spacing w:before="240" w:after="0"/>
        <w:jc w:val="both"/>
        <w:rPr>
          <w:rFonts w:ascii="arial" w:hAnsi="arial"/>
          <w:spacing w:val="0"/>
          <w:sz w:val="20"/>
        </w:rPr>
      </w:pPr>
      <w:r>
        <w:rPr>
          <w:rFonts w:ascii="arial" w:hAnsi="arial"/>
          <w:spacing w:val="0"/>
          <w:sz w:val="20"/>
        </w:rPr>
        <w:t>Non-PEO</w:t>
      </w:r>
    </w:p>
    <w:p>
      <w:pPr>
        <w:pStyle w:val="TextBody"/>
        <w:bidi w:val="0"/>
        <w:spacing w:before="240" w:after="0"/>
        <w:jc w:val="both"/>
        <w:rPr>
          <w:rFonts w:ascii="arial" w:hAnsi="arial"/>
          <w:sz w:val="20"/>
        </w:rPr>
      </w:pPr>
      <w:r>
        <w:rPr>
          <w:rFonts w:ascii="arial" w:hAnsi="arial"/>
          <w:sz w:val="20"/>
        </w:rPr>
        <w:t xml:space="preserve">NEO’s total compensation for the 2024 performance year being comprised of equity-based compensation, similar to prior years. In addition, a portion of PEO compensation is directly linked to the Company’s TSR and vests entirely on the Company’s TSR performance relative to the Performance Share Peers over a three-year period. </w:t>
      </w:r>
    </w:p>
    <w:p>
      <w:pPr>
        <w:pStyle w:val="TextBody"/>
        <w:bidi w:val="0"/>
        <w:spacing w:before="240" w:after="0"/>
        <w:jc w:val="left"/>
        <w:rPr>
          <w:rFonts w:ascii="arial" w:hAnsi="arial"/>
          <w:b/>
          <w:i/>
          <w:color w:val="003A5D"/>
          <w:spacing w:val="0"/>
          <w:sz w:val="24"/>
        </w:rPr>
      </w:pPr>
      <w:r>
        <w:rPr>
          <w:rFonts w:ascii="arial" w:hAnsi="arial"/>
          <w:b/>
          <w:i/>
          <w:color w:val="003A5D"/>
          <w:spacing w:val="0"/>
          <w:sz w:val="24"/>
        </w:rPr>
        <w:t xml:space="preserve">CAP versus Net Income </w:t>
      </w:r>
    </w:p>
    <w:p>
      <w:pPr>
        <w:pStyle w:val="TextBody"/>
        <w:bidi w:val="0"/>
        <w:spacing w:before="240" w:after="0"/>
        <w:jc w:val="both"/>
        <w:rPr>
          <w:rFonts w:ascii="arial" w:hAnsi="arial"/>
          <w:sz w:val="20"/>
        </w:rPr>
      </w:pPr>
      <w:r>
        <w:rPr>
          <w:rFonts w:ascii="arial" w:hAnsi="arial"/>
          <w:sz w:val="20"/>
        </w:rPr>
        <w:t xml:space="preserve">As shown in the chart above, the Company’s net income has varied over the measurement period. While net income has increased and decreased directionally with PEO and other NEO CAP for certain years in the performance period, the changes are not proportionally correlated with CAP. This is due in large part to the large portion of PEO and other NEO compensation that is equity-based compensation as well as the significant volatility of GAAP net income that resulted from the pandemic and post-pandemic periods of economic volatility that were covered by a portion of the measurement period. In addition, while net income is one of several factors used to assess Company performance, the Company does not use net income as a primary metric to determine compensation levels or incentive plan payout. </w:t>
      </w:r>
    </w:p>
    <w:p>
      <w:pPr>
        <w:pStyle w:val="TextBody"/>
        <w:bidi w:val="0"/>
        <w:spacing w:before="240" w:after="0"/>
        <w:jc w:val="left"/>
        <w:rPr>
          <w:rFonts w:ascii="arial" w:hAnsi="arial"/>
          <w:b/>
          <w:i/>
          <w:color w:val="003A5D"/>
          <w:spacing w:val="0"/>
          <w:sz w:val="24"/>
        </w:rPr>
      </w:pPr>
      <w:r>
        <w:rPr>
          <w:rFonts w:ascii="arial" w:hAnsi="arial"/>
          <w:b/>
          <w:i/>
          <w:color w:val="003A5D"/>
          <w:spacing w:val="0"/>
          <w:sz w:val="24"/>
        </w:rPr>
        <w:t xml:space="preserve">CAP versus D+TBV </w:t>
      </w:r>
    </w:p>
    <w:p>
      <w:pPr>
        <w:pStyle w:val="TextBody"/>
        <w:bidi w:val="0"/>
        <w:spacing w:before="240" w:after="0"/>
        <w:jc w:val="both"/>
        <w:rPr>
          <w:rFonts w:ascii="arial" w:hAnsi="arial"/>
          <w:sz w:val="20"/>
        </w:rPr>
      </w:pPr>
      <w:r>
        <w:rPr>
          <w:rFonts w:ascii="arial" w:hAnsi="arial"/>
          <w:sz w:val="20"/>
        </w:rPr>
        <w:t xml:space="preserve">As shown in the chart above, the PEO and other NEO’s CAP amounts are aligned with the Company selected measure of D+TBV. This alignment is partially due to a large portion of PEO and other NEO compensation being comprised of Financial Performance Shares (as described on page 79). For the 2024 performance year, 54% of PEO total compensation and an average of 27% of other NEO total compensation was granted in the form of Financial Performance Shares, similar to prior years. For Financial Performance Shares taken into consideration in the calculation of CAP, </w:t>
      </w:r>
    </w:p>
    <w:p>
      <w:pPr>
        <w:pStyle w:val="TextBody"/>
        <w:bidi w:val="0"/>
        <w:spacing w:before="240" w:after="0"/>
        <w:jc w:val="both"/>
        <w:rPr>
          <w:rFonts w:ascii="arial" w:hAnsi="arial"/>
          <w:spacing w:val="0"/>
          <w:sz w:val="20"/>
        </w:rPr>
      </w:pPr>
      <w:r>
        <w:rPr>
          <w:rFonts w:ascii="arial" w:hAnsi="arial"/>
          <w:spacing w:val="0"/>
          <w:sz w:val="20"/>
        </w:rPr>
        <w:t>two-thirds</w:t>
      </w:r>
    </w:p>
    <w:p>
      <w:pPr>
        <w:pStyle w:val="TextBody"/>
        <w:bidi w:val="0"/>
        <w:spacing w:before="240" w:after="0"/>
        <w:jc w:val="both"/>
        <w:rPr>
          <w:rFonts w:ascii="arial" w:hAnsi="arial"/>
          <w:sz w:val="20"/>
        </w:rPr>
      </w:pPr>
      <w:r>
        <w:rPr>
          <w:rFonts w:ascii="arial" w:hAnsi="arial"/>
          <w:sz w:val="20"/>
        </w:rPr>
        <w:t xml:space="preserve">of the payout of each Financial Performance Share upon vesting is based on D+TBV for the years covered in the chart above. </w:t>
      </w:r>
    </w:p>
    <w:p>
      <w:pPr>
        <w:pStyle w:val="TextBody"/>
        <w:bidi w:val="0"/>
        <w:spacing w:before="240" w:after="0"/>
        <w:jc w:val="left"/>
        <w:rPr>
          <w:rFonts w:ascii="arial" w:hAnsi="arial"/>
          <w:b/>
          <w:i/>
          <w:color w:val="003A5D"/>
          <w:spacing w:val="0"/>
          <w:sz w:val="24"/>
        </w:rPr>
      </w:pPr>
      <w:r>
        <w:rPr>
          <w:rFonts w:ascii="arial" w:hAnsi="arial"/>
          <w:b/>
          <w:i/>
          <w:color w:val="003A5D"/>
          <w:spacing w:val="0"/>
          <w:sz w:val="24"/>
        </w:rPr>
        <w:t xml:space="preserve">Company TSR versus Peer Group TSR </w:t>
      </w:r>
    </w:p>
    <w:p>
      <w:pPr>
        <w:pStyle w:val="TextBody"/>
        <w:bidi w:val="0"/>
        <w:spacing w:before="240" w:after="0"/>
        <w:jc w:val="both"/>
        <w:rPr>
          <w:rFonts w:ascii="arial" w:hAnsi="arial"/>
          <w:sz w:val="20"/>
        </w:rPr>
      </w:pPr>
      <w:r>
        <w:rPr>
          <w:rFonts w:ascii="arial" w:hAnsi="arial"/>
          <w:sz w:val="20"/>
        </w:rPr>
        <w:t xml:space="preserve">As shown in the chart above, the TSR peer group is based on the S&amp;P Financial Index, which reflects the Company’s industry sector. The Company’s cumulative TSR was above that of the S&amp;P Financial Index during the period covered by the table above. The financial services industry faced challenges and volatility over the measured period including a pandemic-driven economic downturn, substantial changes in interest rates, regional bank failures and the resulting bank funding stress. Strong liquidity, the stability of Capital One’s insured deposit base, the strength of our credit performance relative to peers, and investor confidence in our results and our future buoyed our stock price and balance sheet strength. </w:t>
      </w:r>
    </w:p>
    <w:p>
      <w:pPr>
        <w:pStyle w:val="TextBody"/>
        <w:bidi w:val="0"/>
        <w:spacing w:before="0" w:after="0"/>
        <w:jc w:val="left"/>
        <w:rPr/>
      </w:pPr>
      <w:r>
        <w:rPr/>
        <w:t> </w:t>
      </w:r>
    </w:p>
    <w:tbl>
      <w:tblPr>
        <w:tblW w:w="6301" w:type="dxa"/>
        <w:jc w:val="left"/>
        <w:tblInd w:w="0" w:type="dxa"/>
        <w:tblLayout w:type="fixed"/>
        <w:tblCellMar>
          <w:top w:w="0" w:type="dxa"/>
          <w:left w:w="0" w:type="dxa"/>
          <w:bottom w:w="0" w:type="dxa"/>
          <w:right w:w="0" w:type="dxa"/>
        </w:tblCellMar>
      </w:tblPr>
      <w:tblGrid>
        <w:gridCol w:w="455"/>
        <w:gridCol w:w="60"/>
        <w:gridCol w:w="23"/>
        <w:gridCol w:w="60"/>
        <w:gridCol w:w="23"/>
        <w:gridCol w:w="60"/>
        <w:gridCol w:w="3380"/>
        <w:gridCol w:w="60"/>
        <w:gridCol w:w="2180"/>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center"/>
              <w:rPr>
                <w:b/>
                <w:spacing w:val="0"/>
                <w:sz w:val="20"/>
              </w:rPr>
            </w:pPr>
            <w:r>
              <w:rPr>
                <w:b/>
                <w:spacing w:val="0"/>
                <w:sz w:val="20"/>
              </w:rPr>
              <w:t>114 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pacing w:val="0"/>
                <w:sz w:val="17"/>
              </w:rPr>
            </w:pPr>
            <w:r>
              <w:rPr>
                <w:rFonts w:ascii="arial" w:hAnsi="arial"/>
                <w:color w:val="003A5D"/>
                <w:spacing w:val="0"/>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spacing w:val="0"/>
              </w:rPr>
            </w:pPr>
            <w:r>
              <w:rPr>
                <w:color w:val="003A5D"/>
                <w:spacing w:val="0"/>
              </w:rPr>
              <w:t> </w:t>
            </w:r>
            <w:r>
              <w:rPr>
                <w:rFonts w:ascii="arial" w:hAnsi="arial"/>
                <w:b/>
                <w:color w:val="003A5D"/>
                <w:spacing w:val="0"/>
                <w:sz w:val="17"/>
              </w:rPr>
              <w:t>2025 PROXY STATEMENT</w:t>
            </w:r>
          </w:p>
          <w:p>
            <w:pPr>
              <w:pStyle w:val="TableContents"/>
              <w:bidi w:val="0"/>
              <w:spacing w:before="0" w:after="20"/>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0"/>
              <w:jc w:val="right"/>
              <w:rPr>
                <w:b/>
                <w:color w:val="003A5D"/>
                <w:spacing w:val="0"/>
              </w:rPr>
            </w:pPr>
            <w:r>
              <w:rPr>
                <w:b/>
                <w:color w:val="003A5D"/>
                <w:spacing w:val="0"/>
              </w:rPr>
              <w:t>EXECUTIVE COMPENSATION</w:t>
            </w:r>
          </w:p>
        </w:tc>
      </w:tr>
    </w:tbl>
    <w:p>
      <w:pPr>
        <w:pStyle w:val="TextBody"/>
        <w:bidi w:val="0"/>
        <w:spacing w:lineRule="atLeast" w:line="142" w:before="0" w:after="40"/>
        <w:jc w:val="left"/>
        <w:rPr>
          <w:bdr w:val="single" w:sz="2" w:space="1" w:color="003A5D"/>
        </w:rPr>
      </w:pPr>
      <w:r>
        <w:rPr>
          <w:bdr w:val="single" w:sz="2" w:space="1" w:color="003A5D"/>
        </w:rPr>
        <w:t> </w:t>
      </w:r>
    </w:p>
    <w:tbl>
      <w:tblPr>
        <w:tblW w:w="5390" w:type="dxa"/>
        <w:jc w:val="left"/>
        <w:tblInd w:w="0" w:type="dxa"/>
        <w:tblLayout w:type="fixed"/>
        <w:tblCellMar>
          <w:top w:w="0" w:type="dxa"/>
          <w:left w:w="0" w:type="dxa"/>
          <w:bottom w:w="0" w:type="dxa"/>
          <w:right w:w="0" w:type="dxa"/>
        </w:tblCellMar>
      </w:tblPr>
      <w:tblGrid>
        <w:gridCol w:w="5390"/>
      </w:tblGrid>
      <w:tr>
        <w:trPr/>
        <w:tc>
          <w:tcPr>
            <w:tcW w:w="5390"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center"/>
          </w:tcPr>
          <w:p>
            <w:pPr>
              <w:pStyle w:val="TableContents"/>
              <w:bidi w:val="0"/>
              <w:spacing w:before="0" w:after="0"/>
              <w:jc w:val="right"/>
              <w:rPr>
                <w:b/>
                <w:color w:val="003A5D"/>
                <w:spacing w:val="0"/>
              </w:rPr>
            </w:pPr>
            <w:r>
              <w:rPr>
                <w:b/>
                <w:color w:val="003A5D"/>
                <w:spacing w:val="0"/>
              </w:rPr>
              <w:t>Section VI - Named Executive Officer Compensation</w:t>
            </w:r>
          </w:p>
        </w:tc>
      </w:tr>
    </w:tbl>
    <w:p>
      <w:pPr>
        <w:pStyle w:val="TextBody"/>
        <w:bidi w:val="0"/>
        <w:spacing w:before="0" w:after="0"/>
        <w:jc w:val="left"/>
        <w:rPr/>
      </w:pPr>
      <w:r>
        <w:rPr/>
        <w:t> </w:t>
      </w:r>
    </w:p>
    <w:p>
      <w:pPr>
        <w:pStyle w:val="TextBody"/>
        <w:bidi w:val="0"/>
        <w:spacing w:before="0" w:after="0"/>
        <w:jc w:val="left"/>
        <w:rPr>
          <w:rFonts w:ascii="arial" w:hAnsi="arial"/>
          <w:b/>
          <w:i/>
          <w:color w:val="003A5D"/>
          <w:spacing w:val="0"/>
          <w:sz w:val="24"/>
        </w:rPr>
      </w:pPr>
      <w:r>
        <w:rPr>
          <w:rFonts w:ascii="arial" w:hAnsi="arial"/>
          <w:b/>
          <w:i/>
          <w:color w:val="003A5D"/>
          <w:spacing w:val="0"/>
          <w:sz w:val="24"/>
        </w:rPr>
        <w:t xml:space="preserve">Company Selected Measures </w:t>
      </w:r>
    </w:p>
    <w:p>
      <w:pPr>
        <w:pStyle w:val="TextBody"/>
        <w:bidi w:val="0"/>
        <w:spacing w:before="240" w:after="0"/>
        <w:jc w:val="both"/>
        <w:rPr>
          <w:rFonts w:ascii="arial" w:hAnsi="arial"/>
          <w:sz w:val="20"/>
        </w:rPr>
      </w:pPr>
      <w:r>
        <w:rPr>
          <w:rFonts w:ascii="arial" w:hAnsi="arial"/>
          <w:sz w:val="20"/>
        </w:rPr>
        <w:t xml:space="preserve">When determining the compensation paid to our NEOs, the Committee and the Independent Directors consider the Company’s performance against four categories of quantitative and qualitative performance factors related to: financial and operating performance, governance and risk management, strategic performance, and winning with our customers and associates. See “Company Performance Assessment” beginning on page 74 for a description of the Company’s 2024 performance, based on the Company Performance Factors. In accordance with the Item 402(v) of Regulation </w:t>
      </w:r>
    </w:p>
    <w:p>
      <w:pPr>
        <w:pStyle w:val="TextBody"/>
        <w:bidi w:val="0"/>
        <w:spacing w:before="240" w:after="0"/>
        <w:jc w:val="both"/>
        <w:rPr>
          <w:rFonts w:ascii="arial" w:hAnsi="arial"/>
          <w:spacing w:val="0"/>
          <w:sz w:val="20"/>
        </w:rPr>
      </w:pPr>
      <w:r>
        <w:rPr>
          <w:rFonts w:ascii="arial" w:hAnsi="arial"/>
          <w:spacing w:val="0"/>
          <w:sz w:val="20"/>
        </w:rPr>
        <w:t>S-K,</w:t>
      </w:r>
    </w:p>
    <w:p>
      <w:pPr>
        <w:pStyle w:val="TextBody"/>
        <w:bidi w:val="0"/>
        <w:spacing w:before="240" w:after="0"/>
        <w:jc w:val="both"/>
        <w:rPr>
          <w:rFonts w:ascii="arial" w:hAnsi="arial"/>
          <w:sz w:val="20"/>
        </w:rPr>
      </w:pPr>
      <w:r>
        <w:rPr>
          <w:rFonts w:ascii="arial" w:hAnsi="arial"/>
          <w:sz w:val="20"/>
        </w:rPr>
        <w:t xml:space="preserve">the following are the financial performance measures that the Company has determined to represent the most important financial performance measures used to link CAP (for both the PEO and the </w:t>
      </w:r>
    </w:p>
    <w:p>
      <w:pPr>
        <w:pStyle w:val="TextBody"/>
        <w:bidi w:val="0"/>
        <w:spacing w:before="240" w:after="0"/>
        <w:jc w:val="both"/>
        <w:rPr>
          <w:rFonts w:ascii="arial" w:hAnsi="arial"/>
          <w:spacing w:val="0"/>
          <w:sz w:val="20"/>
        </w:rPr>
      </w:pPr>
      <w:r>
        <w:rPr>
          <w:rFonts w:ascii="arial" w:hAnsi="arial"/>
          <w:spacing w:val="0"/>
          <w:sz w:val="20"/>
        </w:rPr>
        <w:t>non-PEO</w:t>
      </w:r>
    </w:p>
    <w:p>
      <w:pPr>
        <w:pStyle w:val="TextBody"/>
        <w:bidi w:val="0"/>
        <w:spacing w:before="240" w:after="0"/>
        <w:jc w:val="both"/>
        <w:rPr>
          <w:rFonts w:ascii="arial" w:hAnsi="arial"/>
          <w:sz w:val="20"/>
        </w:rPr>
      </w:pPr>
      <w:r>
        <w:rPr>
          <w:rFonts w:ascii="arial" w:hAnsi="arial"/>
          <w:sz w:val="20"/>
        </w:rPr>
        <w:t xml:space="preserve">NEOs) for the most recent fiscal year to Company performance: </w:t>
      </w:r>
    </w:p>
    <w:p>
      <w:pPr>
        <w:pStyle w:val="TextBody"/>
        <w:bidi w:val="0"/>
        <w:spacing w:before="240" w:after="0"/>
        <w:jc w:val="left"/>
        <w:rPr>
          <w:rFonts w:ascii="arial" w:hAnsi="arial"/>
          <w:b/>
          <w:color w:val="003A5D"/>
          <w:spacing w:val="0"/>
          <w:sz w:val="20"/>
        </w:rPr>
      </w:pPr>
      <w:r>
        <w:rPr>
          <w:rFonts w:ascii="arial" w:hAnsi="arial"/>
          <w:b/>
          <w:color w:val="003A5D"/>
          <w:spacing w:val="0"/>
          <w:sz w:val="20"/>
        </w:rPr>
        <w:t xml:space="preserve">D+TBV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color w:val="003A5D"/>
                <w:spacing w:val="0"/>
              </w:rPr>
            </w:pPr>
            <w:r>
              <w:rPr>
                <w:color w:val="003A5D"/>
                <w:spacing w:val="0"/>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D+TBV rewards strong operational results, balanced stewardship of capital, and long-term stockholder value creation by measuring the value distributed to stockholders (common dividends per share) and the growth of company value created for common stockholders (tangible book value per common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color w:val="003A5D"/>
                <w:spacing w:val="0"/>
              </w:rPr>
            </w:pPr>
            <w:r>
              <w:rPr>
                <w:color w:val="003A5D"/>
                <w:spacing w:val="0"/>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D+TBV is calculated as the average of the ratios, expressed as a percentage, of (i) the Company’s tangible book value per common share at the end of each year within the performance period, plus total common dividends per share paid during such year, to (ii) the Company’s tangible book value per common share at the beginning of each corresponding year within the performance period. </w:t>
            </w:r>
          </w:p>
        </w:tc>
      </w:tr>
    </w:tbl>
    <w:p>
      <w:pPr>
        <w:pStyle w:val="TextBody"/>
        <w:bidi w:val="0"/>
        <w:spacing w:before="240" w:after="0"/>
        <w:jc w:val="left"/>
        <w:rPr>
          <w:rFonts w:ascii="arial" w:hAnsi="arial"/>
          <w:b/>
          <w:color w:val="003A5D"/>
          <w:spacing w:val="0"/>
          <w:sz w:val="20"/>
        </w:rPr>
      </w:pPr>
      <w:r>
        <w:rPr>
          <w:rFonts w:ascii="arial" w:hAnsi="arial"/>
          <w:b/>
          <w:color w:val="003A5D"/>
          <w:spacing w:val="0"/>
          <w:sz w:val="20"/>
        </w:rPr>
        <w:t xml:space="preserve">Adjusted ROTCE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color w:val="003A5D"/>
                <w:spacing w:val="0"/>
              </w:rPr>
            </w:pPr>
            <w:r>
              <w:rPr>
                <w:color w:val="003A5D"/>
                <w:spacing w:val="0"/>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Adjusted ROTCE rewards balanced capital management and stewardship while capturing current and historical business performance and profitability as compared to the size of our stockholders’ investment in the Company. ROTCE is broadly used in banking as a key performance indicator and component in peer executive compensation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color w:val="003A5D"/>
                <w:spacing w:val="0"/>
              </w:rPr>
            </w:pPr>
            <w:r>
              <w:rPr>
                <w:color w:val="003A5D"/>
                <w:spacing w:val="0"/>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Adjusted ROTCE is calculated as the ratio, expressed as a percentage, of (i) the Company’s net income available to common stockholders, excluding, on a </w:t>
            </w:r>
          </w:p>
          <w:p>
            <w:pPr>
              <w:pStyle w:val="TableContents"/>
              <w:bidi w:val="0"/>
              <w:spacing w:before="0" w:after="0"/>
              <w:jc w:val="both"/>
              <w:rPr>
                <w:rFonts w:ascii="arial" w:hAnsi="arial"/>
                <w:spacing w:val="0"/>
                <w:sz w:val="20"/>
              </w:rPr>
            </w:pPr>
            <w:r>
              <w:rPr>
                <w:rFonts w:ascii="arial" w:hAnsi="arial"/>
                <w:spacing w:val="0"/>
                <w:sz w:val="20"/>
              </w:rPr>
              <w:t>tax-adjusted</w:t>
            </w:r>
          </w:p>
          <w:p>
            <w:pPr>
              <w:pStyle w:val="TableContents"/>
              <w:bidi w:val="0"/>
              <w:spacing w:before="0" w:after="0"/>
              <w:jc w:val="both"/>
              <w:rPr>
                <w:rFonts w:ascii="arial" w:hAnsi="arial"/>
                <w:sz w:val="20"/>
              </w:rPr>
            </w:pPr>
            <w:r>
              <w:rPr>
                <w:rFonts w:ascii="arial" w:hAnsi="arial"/>
                <w:sz w:val="20"/>
              </w:rPr>
              <w:t xml:space="preserve">basis, the impact of impairment, amortization and </w:t>
            </w:r>
          </w:p>
          <w:p>
            <w:pPr>
              <w:pStyle w:val="TableContents"/>
              <w:bidi w:val="0"/>
              <w:spacing w:before="0" w:after="0"/>
              <w:jc w:val="both"/>
              <w:rPr>
                <w:rFonts w:ascii="arial" w:hAnsi="arial"/>
                <w:spacing w:val="0"/>
                <w:sz w:val="20"/>
              </w:rPr>
            </w:pPr>
            <w:r>
              <w:rPr>
                <w:rFonts w:ascii="arial" w:hAnsi="arial"/>
                <w:spacing w:val="0"/>
                <w:sz w:val="20"/>
              </w:rPr>
              <w:t>re-measurement</w:t>
            </w:r>
          </w:p>
          <w:p>
            <w:pPr>
              <w:pStyle w:val="TableContents"/>
              <w:bidi w:val="0"/>
              <w:spacing w:before="0" w:after="0"/>
              <w:jc w:val="both"/>
              <w:rPr>
                <w:rFonts w:ascii="arial" w:hAnsi="arial"/>
                <w:sz w:val="20"/>
              </w:rPr>
            </w:pPr>
            <w:r>
              <w:rPr>
                <w:rFonts w:ascii="arial" w:hAnsi="arial"/>
                <w:sz w:val="20"/>
              </w:rPr>
              <w:t xml:space="preserve">of intangible assets, to (ii) the Company’s average tangible common equity. </w:t>
            </w:r>
          </w:p>
        </w:tc>
      </w:tr>
    </w:tbl>
    <w:p>
      <w:pPr>
        <w:pStyle w:val="TextBody"/>
        <w:bidi w:val="0"/>
        <w:spacing w:before="240" w:after="0"/>
        <w:jc w:val="left"/>
        <w:rPr>
          <w:rFonts w:ascii="arial" w:hAnsi="arial"/>
          <w:b/>
          <w:color w:val="003A5D"/>
          <w:spacing w:val="0"/>
          <w:sz w:val="20"/>
        </w:rPr>
      </w:pPr>
      <w:r>
        <w:rPr>
          <w:rFonts w:ascii="arial" w:hAnsi="arial"/>
          <w:b/>
          <w:color w:val="003A5D"/>
          <w:spacing w:val="0"/>
          <w:sz w:val="20"/>
        </w:rPr>
        <w:t xml:space="preserve">Net Revenue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color w:val="003A5D"/>
                <w:spacing w:val="0"/>
              </w:rPr>
            </w:pPr>
            <w:r>
              <w:rPr>
                <w:color w:val="003A5D"/>
                <w:spacing w:val="0"/>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Net revenue, and the growth of net revenue, reflects the Company’s ability to grow new customer relationships, deepen existing relationships, and expand into new businesses and areas of focus and market opportunity. Net revenue serves as the key driver for long-term earnings power and requires delivery of compelling products and experiences as well as a sustainable, through-cycle pricing strategy and business model. </w:t>
            </w:r>
          </w:p>
        </w:tc>
      </w:tr>
    </w:tbl>
    <w:p>
      <w:pPr>
        <w:pStyle w:val="TextBody"/>
        <w:bidi w:val="0"/>
        <w:spacing w:before="240" w:after="0"/>
        <w:jc w:val="both"/>
        <w:rPr>
          <w:rFonts w:ascii="arial" w:hAnsi="arial"/>
          <w:sz w:val="20"/>
        </w:rPr>
      </w:pPr>
      <w:r>
        <w:rPr>
          <w:rFonts w:ascii="arial" w:hAnsi="arial"/>
          <w:sz w:val="20"/>
        </w:rPr>
        <w:t xml:space="preserve">The Committee and the Independent Directors believe these three financial metrics provide a measure of Company performance that balances creation of stockholder value, returns generated on stockholders’ investment in the Company, and long-term financial sustainability. Each of the metrics is considered in the award and/or payout of compensation awarded to our NEOs under the executive compensation program for each of the performance years shown in the tables above. </w:t>
      </w:r>
    </w:p>
    <w:p>
      <w:pPr>
        <w:pStyle w:val="TextBody"/>
        <w:bidi w:val="0"/>
        <w:spacing w:before="240" w:after="0"/>
        <w:jc w:val="both"/>
        <w:rPr>
          <w:rFonts w:ascii="arial" w:hAnsi="arial"/>
          <w:sz w:val="20"/>
        </w:rPr>
      </w:pPr>
      <w:r>
        <w:rPr>
          <w:rFonts w:ascii="arial" w:hAnsi="arial"/>
          <w:sz w:val="20"/>
        </w:rPr>
        <w:t xml:space="preserve">D+TBV and Adjusted ROTCE are both earnings and profit-driven measures that have shown to be strong indicators of long-term stockholder value. These two metrics, in combination, are used to determine the amount paid to our NEOs upon the vesting of the Financial Performance Shares, which represented 54% of 2024 performance year compensation awarded to our CEO and approximately 27% of the performance year compensation awarded to our </w:t>
      </w:r>
    </w:p>
    <w:p>
      <w:pPr>
        <w:pStyle w:val="TextBody"/>
        <w:bidi w:val="0"/>
        <w:spacing w:before="0" w:after="0"/>
        <w:jc w:val="left"/>
        <w:rPr/>
      </w:pPr>
      <w:r>
        <w:rPr/>
        <w:t> </w:t>
      </w:r>
    </w:p>
    <w:tbl>
      <w:tblPr>
        <w:tblW w:w="6285" w:type="dxa"/>
        <w:jc w:val="left"/>
        <w:tblInd w:w="0" w:type="dxa"/>
        <w:tblLayout w:type="fixed"/>
        <w:tblCellMar>
          <w:top w:w="0" w:type="dxa"/>
          <w:left w:w="0" w:type="dxa"/>
          <w:bottom w:w="0" w:type="dxa"/>
          <w:right w:w="0" w:type="dxa"/>
        </w:tblCellMar>
      </w:tblPr>
      <w:tblGrid>
        <w:gridCol w:w="3395"/>
        <w:gridCol w:w="60"/>
        <w:gridCol w:w="2255"/>
        <w:gridCol w:w="60"/>
        <w:gridCol w:w="51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pacing w:val="0"/>
                <w:sz w:val="17"/>
              </w:rPr>
            </w:pPr>
            <w:r>
              <w:rPr>
                <w:rFonts w:ascii="arial" w:hAnsi="arial"/>
                <w:color w:val="003A5D"/>
                <w:spacing w:val="0"/>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spacing w:val="0"/>
              </w:rPr>
            </w:pPr>
            <w:r>
              <w:rPr>
                <w:color w:val="003A5D"/>
                <w:spacing w:val="0"/>
              </w:rPr>
              <w:t> </w:t>
            </w:r>
            <w:r>
              <w:rPr>
                <w:rFonts w:ascii="arial" w:hAnsi="arial"/>
                <w:b/>
                <w:color w:val="003A5D"/>
                <w:spacing w:val="0"/>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center"/>
              <w:rPr>
                <w:spacing w:val="0"/>
              </w:rPr>
            </w:pPr>
            <w:r>
              <w:rPr>
                <w:spacing w:val="0"/>
              </w:rPr>
              <w:t> </w:t>
            </w:r>
            <w:r>
              <w:rPr>
                <w:b/>
                <w:spacing w:val="0"/>
              </w:rPr>
              <w:t>115</w:t>
            </w:r>
          </w:p>
          <w:p>
            <w:pPr>
              <w:pStyle w:val="TableContents"/>
              <w:bidi w:val="0"/>
              <w:spacing w:before="0" w:after="20"/>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0"/>
              <w:jc w:val="left"/>
              <w:rPr>
                <w:b/>
                <w:color w:val="003A5D"/>
                <w:spacing w:val="0"/>
              </w:rPr>
            </w:pPr>
            <w:r>
              <w:rPr>
                <w:b/>
                <w:color w:val="003A5D"/>
                <w:spacing w:val="0"/>
              </w:rPr>
              <w:t>EXECUTIVE COMPENSATION</w:t>
            </w:r>
          </w:p>
        </w:tc>
      </w:tr>
    </w:tbl>
    <w:p>
      <w:pPr>
        <w:pStyle w:val="TextBody"/>
        <w:bidi w:val="0"/>
        <w:spacing w:lineRule="atLeast" w:line="142" w:before="0" w:after="40"/>
        <w:jc w:val="left"/>
        <w:rPr>
          <w:bdr w:val="single" w:sz="2" w:space="1" w:color="003A5D"/>
        </w:rPr>
      </w:pPr>
      <w:r>
        <w:rPr>
          <w:bdr w:val="single" w:sz="2" w:space="1" w:color="003A5D"/>
        </w:rPr>
        <w:t> </w:t>
      </w:r>
    </w:p>
    <w:tbl>
      <w:tblPr>
        <w:tblW w:w="5390" w:type="dxa"/>
        <w:jc w:val="left"/>
        <w:tblInd w:w="0" w:type="dxa"/>
        <w:tblLayout w:type="fixed"/>
        <w:tblCellMar>
          <w:top w:w="0" w:type="dxa"/>
          <w:left w:w="0" w:type="dxa"/>
          <w:bottom w:w="0" w:type="dxa"/>
          <w:right w:w="0" w:type="dxa"/>
        </w:tblCellMar>
      </w:tblPr>
      <w:tblGrid>
        <w:gridCol w:w="5390"/>
      </w:tblGrid>
      <w:tr>
        <w:trPr/>
        <w:tc>
          <w:tcPr>
            <w:tcW w:w="5390" w:type="dxa"/>
            <w:tcBorders/>
            <w:vAlign w:val="center"/>
          </w:tcPr>
          <w:p>
            <w:pPr>
              <w:pStyle w:val="TableContents"/>
              <w:bidi w:val="0"/>
              <w:spacing w:before="0" w:after="283"/>
              <w:jc w:val="left"/>
              <w:rPr>
                <w:sz w:val="4"/>
                <w:szCs w:val="4"/>
              </w:rPr>
            </w:pPr>
            <w:r>
              <w:rPr>
                <w:sz w:val="4"/>
                <w:szCs w:val="4"/>
              </w:rPr>
            </w:r>
          </w:p>
        </w:tc>
      </w:tr>
      <w:tr>
        <w:trPr/>
        <w:tc>
          <w:tcPr>
            <w:tcW w:w="5390" w:type="dxa"/>
            <w:tcBorders/>
            <w:vAlign w:val="center"/>
          </w:tcPr>
          <w:p>
            <w:pPr>
              <w:pStyle w:val="TableContents"/>
              <w:bidi w:val="0"/>
              <w:spacing w:before="0" w:after="0"/>
              <w:jc w:val="left"/>
              <w:rPr>
                <w:b/>
                <w:color w:val="003A5D"/>
                <w:spacing w:val="0"/>
              </w:rPr>
            </w:pPr>
            <w:r>
              <w:rPr>
                <w:b/>
                <w:color w:val="003A5D"/>
                <w:spacing w:val="0"/>
              </w:rPr>
              <w:t>Section VI - Named Executive Officer Compensation</w:t>
            </w:r>
          </w:p>
        </w:tc>
      </w:tr>
    </w:tbl>
    <w:p>
      <w:pPr>
        <w:pStyle w:val="TextBody"/>
        <w:bidi w:val="0"/>
        <w:spacing w:before="0" w:after="0"/>
        <w:jc w:val="left"/>
        <w:rPr/>
      </w:pPr>
      <w:r>
        <w:rPr/>
        <w:t> </w:t>
      </w:r>
    </w:p>
    <w:p>
      <w:pPr>
        <w:pStyle w:val="TextBody"/>
        <w:bidi w:val="0"/>
        <w:spacing w:before="0" w:after="0"/>
        <w:jc w:val="both"/>
        <w:rPr>
          <w:rFonts w:ascii="arial" w:hAnsi="arial"/>
          <w:spacing w:val="0"/>
          <w:sz w:val="20"/>
        </w:rPr>
      </w:pPr>
      <w:r>
        <w:rPr>
          <w:rFonts w:ascii="arial" w:hAnsi="arial"/>
          <w:spacing w:val="0"/>
          <w:sz w:val="20"/>
        </w:rPr>
        <w:t>non-CEO</w:t>
      </w:r>
    </w:p>
    <w:p>
      <w:pPr>
        <w:pStyle w:val="TextBody"/>
        <w:bidi w:val="0"/>
        <w:spacing w:before="0" w:after="0"/>
        <w:jc w:val="both"/>
        <w:rPr>
          <w:rFonts w:ascii="arial" w:hAnsi="arial"/>
          <w:sz w:val="20"/>
        </w:rPr>
      </w:pPr>
      <w:r>
        <w:rPr>
          <w:rFonts w:ascii="arial" w:hAnsi="arial"/>
          <w:sz w:val="20"/>
        </w:rPr>
        <w:t xml:space="preserve">NEOs for the 2024 performance year. For additional information on the composition of the Financial Performance Shares see “Performance Share Awards” beginning on page 69.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both"/>
        <w:rPr>
          <w:rFonts w:ascii="arial" w:hAnsi="arial"/>
          <w:sz w:val="20"/>
        </w:rPr>
      </w:pPr>
      <w:r>
        <w:rPr>
          <w:rFonts w:ascii="arial" w:hAnsi="arial"/>
          <w:sz w:val="20"/>
        </w:rPr>
        <w:t xml:space="preserve">Earnings and profit-driven measures, such as D+TBV and Adjusted ROTCE can be affected by the pace and level of long-term investment in areas like talent, technology, and marketing as well as short-term or cyclical factors such as credit costs. As such, the Committee and the Independent Directors believe that net revenue and the growth of net revenue are important complements to earnings-driven measures and important indicators of Capital One’s financial strength, growth trajectory, and long-term sustainability.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p>
      <w:pPr>
        <w:pStyle w:val="TextBody"/>
        <w:bidi w:val="0"/>
        <w:spacing w:before="0" w:after="0"/>
        <w:jc w:val="left"/>
        <w:rPr/>
      </w:pPr>
      <w:r>
        <w:rPr/>
        <w:t> </w:t>
      </w:r>
    </w:p>
    <w:tbl>
      <w:tblPr>
        <w:tblW w:w="6301" w:type="dxa"/>
        <w:jc w:val="left"/>
        <w:tblInd w:w="0" w:type="dxa"/>
        <w:tblLayout w:type="fixed"/>
        <w:tblCellMar>
          <w:top w:w="0" w:type="dxa"/>
          <w:left w:w="0" w:type="dxa"/>
          <w:bottom w:w="0" w:type="dxa"/>
          <w:right w:w="0" w:type="dxa"/>
        </w:tblCellMar>
      </w:tblPr>
      <w:tblGrid>
        <w:gridCol w:w="455"/>
        <w:gridCol w:w="60"/>
        <w:gridCol w:w="23"/>
        <w:gridCol w:w="60"/>
        <w:gridCol w:w="23"/>
        <w:gridCol w:w="60"/>
        <w:gridCol w:w="3380"/>
        <w:gridCol w:w="60"/>
        <w:gridCol w:w="2180"/>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center"/>
              <w:rPr>
                <w:b/>
                <w:spacing w:val="0"/>
                <w:sz w:val="20"/>
              </w:rPr>
            </w:pPr>
            <w:r>
              <w:rPr>
                <w:b/>
                <w:spacing w:val="0"/>
                <w:sz w:val="20"/>
              </w:rPr>
              <w:t>116 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pacing w:val="0"/>
                <w:sz w:val="17"/>
              </w:rPr>
            </w:pPr>
            <w:r>
              <w:rPr>
                <w:rFonts w:ascii="arial" w:hAnsi="arial"/>
                <w:color w:val="003A5D"/>
                <w:spacing w:val="0"/>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spacing w:val="0"/>
              </w:rPr>
            </w:pPr>
            <w:r>
              <w:rPr>
                <w:color w:val="003A5D"/>
                <w:spacing w:val="0"/>
              </w:rPr>
              <w:t> </w:t>
            </w:r>
            <w:r>
              <w:rPr>
                <w:rFonts w:ascii="arial" w:hAnsi="arial"/>
                <w:b/>
                <w:color w:val="003A5D"/>
                <w:spacing w:val="0"/>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righ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104" w:name="txa845790_48"/>
      <w:bookmarkEnd w:id="104"/>
      <w:r>
        <w:rPr>
          <w:rFonts w:ascii="arial" w:hAnsi="arial"/>
          <w:b/>
          <w:sz w:val="36"/>
        </w:rPr>
        <w:t xml:space="preserve">Section VII - Equity Compensation Plans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left"/>
        <w:rPr/>
      </w:pPr>
      <w:r>
        <w:rPr/>
        <w:t> </w:t>
      </w:r>
    </w:p>
    <w:p>
      <w:pPr>
        <w:pStyle w:val="TextBody"/>
        <w:bidi w:val="0"/>
        <w:spacing w:before="120" w:after="0"/>
        <w:jc w:val="left"/>
        <w:rPr>
          <w:rFonts w:ascii="arial" w:hAnsi="arial"/>
          <w:b/>
          <w:color w:val="003A5D"/>
          <w:sz w:val="32"/>
        </w:rPr>
      </w:pPr>
      <w:bookmarkStart w:id="105" w:name="txa845790_49"/>
      <w:bookmarkEnd w:id="105"/>
      <w:r>
        <w:rPr>
          <w:rFonts w:ascii="arial" w:hAnsi="arial"/>
          <w:b/>
          <w:color w:val="003A5D"/>
          <w:sz w:val="32"/>
        </w:rPr>
        <w:t xml:space="preserve">Equity Compensation Plan Information </w:t>
      </w:r>
    </w:p>
    <w:p>
      <w:pPr>
        <w:pStyle w:val="TextBody"/>
        <w:bidi w:val="0"/>
        <w:spacing w:before="240" w:after="0"/>
        <w:jc w:val="both"/>
        <w:rPr>
          <w:rFonts w:ascii="arial" w:hAnsi="arial"/>
          <w:sz w:val="20"/>
        </w:rPr>
      </w:pPr>
      <w:r>
        <w:rPr>
          <w:rFonts w:ascii="arial" w:hAnsi="arial"/>
          <w:sz w:val="20"/>
        </w:rPr>
        <w:t xml:space="preserve">The following table provides information as of December 31, 2024, with respect to our equity compensation plans under which shares of Capital One common stock are authorized to be issued. </w:t>
      </w:r>
    </w:p>
    <w:p>
      <w:pPr>
        <w:pStyle w:val="TextBody"/>
        <w:bidi w:val="0"/>
        <w:spacing w:before="0" w:after="0"/>
        <w:jc w:val="left"/>
        <w:rPr/>
      </w:pPr>
      <w:r>
        <w:rPr/>
        <w:t> </w:t>
      </w:r>
    </w:p>
    <w:tbl>
      <w:tblPr>
        <w:tblW w:w="8870" w:type="dxa"/>
        <w:jc w:val="left"/>
        <w:tblInd w:w="0" w:type="dxa"/>
        <w:tblLayout w:type="fixed"/>
        <w:tblCellMar>
          <w:top w:w="0" w:type="dxa"/>
          <w:left w:w="0" w:type="dxa"/>
          <w:bottom w:w="0" w:type="dxa"/>
          <w:right w:w="0" w:type="dxa"/>
        </w:tblCellMar>
      </w:tblPr>
      <w:tblGrid>
        <w:gridCol w:w="3530"/>
        <w:gridCol w:w="60"/>
        <w:gridCol w:w="1685"/>
        <w:gridCol w:w="60"/>
        <w:gridCol w:w="1865"/>
        <w:gridCol w:w="60"/>
        <w:gridCol w:w="1610"/>
      </w:tblGrid>
      <w:tr>
        <w:trPr/>
        <w:tc>
          <w:tcPr>
            <w:tcW w:w="3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r>
      <w:tr>
        <w:trPr/>
        <w:tc>
          <w:tcPr>
            <w:tcW w:w="3530" w:type="dxa"/>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745" w:type="dxa"/>
            <w:gridSpan w:val="2"/>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925" w:type="dxa"/>
            <w:gridSpan w:val="2"/>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670"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3530" w:type="dxa"/>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60" w:type="dxa"/>
            <w:tcBorders>
              <w:bottom w:val="single" w:sz="24" w:space="0" w:color="FFFFFF"/>
            </w:tcBorders>
            <w:shd w:fill="003A5D" w:val="clear"/>
            <w:tcMar>
              <w:bottom w:w="28" w:type="dxa"/>
            </w:tcMar>
            <w:vAlign w:val="center"/>
          </w:tcPr>
          <w:p>
            <w:pPr>
              <w:pStyle w:val="TableContents"/>
              <w:bidi w:val="0"/>
              <w:spacing w:before="0" w:after="283"/>
              <w:jc w:val="left"/>
              <w:rPr/>
            </w:pPr>
            <w:r>
              <w:rPr/>
              <w:t> </w:t>
            </w:r>
          </w:p>
        </w:tc>
        <w:tc>
          <w:tcPr>
            <w:tcW w:w="1685" w:type="dxa"/>
            <w:tcBorders>
              <w:bottom w:val="single" w:sz="24" w:space="0" w:color="FFFFFF"/>
              <w:right w:val="single" w:sz="24" w:space="0" w:color="FFFFFF"/>
            </w:tcBorders>
            <w:shd w:fill="003A5D" w:val="clear"/>
            <w:tcMar>
              <w:bottom w:w="60" w:type="dxa"/>
              <w:right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Number of </w:t>
            </w:r>
          </w:p>
          <w:p>
            <w:pPr>
              <w:pStyle w:val="TableContents"/>
              <w:bidi w:val="0"/>
              <w:spacing w:before="0" w:after="0"/>
              <w:jc w:val="center"/>
              <w:rPr>
                <w:rFonts w:ascii="arial" w:hAnsi="arial"/>
                <w:b/>
                <w:color w:val="FFFFFF"/>
                <w:sz w:val="18"/>
              </w:rPr>
            </w:pPr>
            <w:r>
              <w:rPr>
                <w:rFonts w:ascii="arial" w:hAnsi="arial"/>
                <w:b/>
                <w:color w:val="FFFFFF"/>
                <w:sz w:val="18"/>
              </w:rPr>
              <w:t>securities to be </w:t>
            </w:r>
          </w:p>
          <w:p>
            <w:pPr>
              <w:pStyle w:val="TableContents"/>
              <w:bidi w:val="0"/>
              <w:spacing w:before="0" w:after="0"/>
              <w:jc w:val="center"/>
              <w:rPr>
                <w:rFonts w:ascii="arial" w:hAnsi="arial"/>
                <w:b/>
                <w:color w:val="FFFFFF"/>
                <w:sz w:val="18"/>
              </w:rPr>
            </w:pPr>
            <w:r>
              <w:rPr>
                <w:rFonts w:ascii="arial" w:hAnsi="arial"/>
                <w:b/>
                <w:color w:val="FFFFFF"/>
                <w:sz w:val="18"/>
              </w:rPr>
              <w:t>issued upon </w:t>
            </w:r>
          </w:p>
          <w:p>
            <w:pPr>
              <w:pStyle w:val="TableContents"/>
              <w:bidi w:val="0"/>
              <w:spacing w:before="0" w:after="0"/>
              <w:jc w:val="center"/>
              <w:rPr>
                <w:rFonts w:ascii="arial" w:hAnsi="arial"/>
                <w:b/>
                <w:color w:val="FFFFFF"/>
                <w:sz w:val="18"/>
              </w:rPr>
            </w:pPr>
            <w:r>
              <w:rPr>
                <w:rFonts w:ascii="arial" w:hAnsi="arial"/>
                <w:b/>
                <w:color w:val="FFFFFF"/>
                <w:sz w:val="18"/>
              </w:rPr>
              <w:t>exercise </w:t>
              <w:br/>
              <w:t>of outstanding </w:t>
            </w:r>
          </w:p>
          <w:p>
            <w:pPr>
              <w:pStyle w:val="TableContents"/>
              <w:bidi w:val="0"/>
              <w:spacing w:before="0" w:after="20"/>
              <w:jc w:val="center"/>
              <w:rPr>
                <w:rFonts w:ascii="arial" w:hAnsi="arial"/>
                <w:b/>
                <w:color w:val="FFFFFF"/>
                <w:sz w:val="18"/>
              </w:rPr>
            </w:pPr>
            <w:r>
              <w:rPr>
                <w:rFonts w:ascii="arial" w:hAnsi="arial"/>
                <w:b/>
                <w:color w:val="FFFFFF"/>
                <w:sz w:val="18"/>
              </w:rPr>
              <w:t>options, warrants </w:t>
              <w:br/>
              <w:t>and rights </w:t>
            </w:r>
          </w:p>
        </w:tc>
        <w:tc>
          <w:tcPr>
            <w:tcW w:w="60" w:type="dxa"/>
            <w:tcBorders>
              <w:bottom w:val="single" w:sz="24" w:space="0" w:color="FFFFFF"/>
            </w:tcBorders>
            <w:shd w:fill="003A5D" w:val="clear"/>
            <w:tcMar>
              <w:bottom w:w="28" w:type="dxa"/>
            </w:tcMar>
            <w:vAlign w:val="center"/>
          </w:tcPr>
          <w:p>
            <w:pPr>
              <w:pStyle w:val="TableContents"/>
              <w:bidi w:val="0"/>
              <w:spacing w:before="0" w:after="283"/>
              <w:jc w:val="left"/>
              <w:rPr/>
            </w:pPr>
            <w:r>
              <w:rPr/>
              <w:t> </w:t>
            </w:r>
          </w:p>
        </w:tc>
        <w:tc>
          <w:tcPr>
            <w:tcW w:w="1865" w:type="dxa"/>
            <w:tcBorders>
              <w:bottom w:val="single" w:sz="24" w:space="0" w:color="FFFFFF"/>
              <w:right w:val="single" w:sz="24" w:space="0" w:color="FFFFFF"/>
            </w:tcBorders>
            <w:shd w:fill="003A5D" w:val="clear"/>
            <w:tcMar>
              <w:bottom w:w="60" w:type="dxa"/>
              <w:right w:w="28" w:type="dxa"/>
            </w:tcMar>
            <w:vAlign w:val="center"/>
          </w:tcPr>
          <w:p>
            <w:pPr>
              <w:pStyle w:val="TableContents"/>
              <w:bidi w:val="0"/>
              <w:spacing w:before="0" w:after="20"/>
              <w:jc w:val="center"/>
              <w:rPr>
                <w:rFonts w:ascii="arial" w:hAnsi="arial"/>
                <w:b/>
                <w:color w:val="FFFFFF"/>
                <w:sz w:val="18"/>
              </w:rPr>
            </w:pPr>
            <w:r>
              <w:rPr>
                <w:rFonts w:ascii="arial" w:hAnsi="arial"/>
                <w:b/>
                <w:color w:val="FFFFFF"/>
                <w:sz w:val="18"/>
              </w:rPr>
              <w:t>Weighted-average </w:t>
              <w:br/>
              <w:t>exercise price of </w:t>
              <w:br/>
              <w:t>outstanding </w:t>
              <w:br/>
              <w:t>options, </w:t>
              <w:br/>
              <w:t>warrants and rights </w:t>
            </w:r>
          </w:p>
        </w:tc>
        <w:tc>
          <w:tcPr>
            <w:tcW w:w="60" w:type="dxa"/>
            <w:tcBorders>
              <w:bottom w:val="single" w:sz="24" w:space="0" w:color="FFFFFF"/>
            </w:tcBorders>
            <w:shd w:fill="003A5D" w:val="clear"/>
            <w:tcMar>
              <w:bottom w:w="28" w:type="dxa"/>
            </w:tcMar>
            <w:vAlign w:val="center"/>
          </w:tcPr>
          <w:p>
            <w:pPr>
              <w:pStyle w:val="TableContents"/>
              <w:bidi w:val="0"/>
              <w:spacing w:before="0" w:after="283"/>
              <w:jc w:val="left"/>
              <w:rPr/>
            </w:pPr>
            <w:r>
              <w:rPr/>
              <w:t> </w:t>
            </w:r>
          </w:p>
        </w:tc>
        <w:tc>
          <w:tcPr>
            <w:tcW w:w="1610" w:type="dxa"/>
            <w:tcBorders>
              <w:bottom w:val="single" w:sz="24" w:space="0" w:color="FFFFFF"/>
            </w:tcBorders>
            <w:shd w:fill="003A5D" w:val="clear"/>
            <w:tcMar>
              <w:bottom w:w="60"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Number of </w:t>
              <w:br/>
              <w:t>securities </w:t>
            </w:r>
          </w:p>
          <w:p>
            <w:pPr>
              <w:pStyle w:val="TableContents"/>
              <w:bidi w:val="0"/>
              <w:spacing w:before="0" w:after="0"/>
              <w:jc w:val="center"/>
              <w:rPr>
                <w:rFonts w:ascii="arial" w:hAnsi="arial"/>
                <w:b/>
                <w:color w:val="FFFFFF"/>
                <w:sz w:val="18"/>
              </w:rPr>
            </w:pPr>
            <w:r>
              <w:rPr>
                <w:rFonts w:ascii="arial" w:hAnsi="arial"/>
                <w:b/>
                <w:color w:val="FFFFFF"/>
                <w:sz w:val="18"/>
              </w:rPr>
              <w:t>remaining </w:t>
            </w:r>
          </w:p>
          <w:p>
            <w:pPr>
              <w:pStyle w:val="TableContents"/>
              <w:bidi w:val="0"/>
              <w:spacing w:before="0" w:after="0"/>
              <w:jc w:val="center"/>
              <w:rPr>
                <w:rFonts w:ascii="arial" w:hAnsi="arial"/>
                <w:b/>
                <w:color w:val="FFFFFF"/>
                <w:sz w:val="18"/>
              </w:rPr>
            </w:pPr>
            <w:r>
              <w:rPr>
                <w:rFonts w:ascii="arial" w:hAnsi="arial"/>
                <w:b/>
                <w:color w:val="FFFFFF"/>
                <w:sz w:val="18"/>
              </w:rPr>
              <w:t>available for </w:t>
            </w:r>
          </w:p>
          <w:p>
            <w:pPr>
              <w:pStyle w:val="TableContents"/>
              <w:bidi w:val="0"/>
              <w:spacing w:before="0" w:after="0"/>
              <w:jc w:val="center"/>
              <w:rPr>
                <w:rFonts w:ascii="arial" w:hAnsi="arial"/>
                <w:b/>
                <w:color w:val="FFFFFF"/>
                <w:sz w:val="18"/>
              </w:rPr>
            </w:pPr>
            <w:r>
              <w:rPr>
                <w:rFonts w:ascii="arial" w:hAnsi="arial"/>
                <w:b/>
                <w:color w:val="FFFFFF"/>
                <w:sz w:val="18"/>
              </w:rPr>
              <w:t>future issuance </w:t>
            </w:r>
          </w:p>
          <w:p>
            <w:pPr>
              <w:pStyle w:val="TableContents"/>
              <w:bidi w:val="0"/>
              <w:spacing w:before="0" w:after="0"/>
              <w:jc w:val="center"/>
              <w:rPr>
                <w:rFonts w:ascii="arial" w:hAnsi="arial"/>
                <w:b/>
                <w:color w:val="FFFFFF"/>
                <w:sz w:val="18"/>
              </w:rPr>
            </w:pPr>
            <w:r>
              <w:rPr>
                <w:rFonts w:ascii="arial" w:hAnsi="arial"/>
                <w:b/>
                <w:color w:val="FFFFFF"/>
                <w:sz w:val="18"/>
              </w:rPr>
              <w:t>under equity </w:t>
              <w:br/>
              <w:t>compensation </w:t>
              <w:br/>
              <w:t>plans (excluding </w:t>
              <w:br/>
              <w:t>securities </w:t>
            </w:r>
          </w:p>
          <w:p>
            <w:pPr>
              <w:pStyle w:val="TableContents"/>
              <w:bidi w:val="0"/>
              <w:spacing w:before="0" w:after="0"/>
              <w:jc w:val="center"/>
              <w:rPr>
                <w:rFonts w:ascii="arial" w:hAnsi="arial"/>
                <w:b/>
                <w:color w:val="FFFFFF"/>
                <w:sz w:val="18"/>
              </w:rPr>
            </w:pPr>
            <w:r>
              <w:rPr>
                <w:rFonts w:ascii="arial" w:hAnsi="arial"/>
                <w:b/>
                <w:color w:val="FFFFFF"/>
                <w:sz w:val="18"/>
              </w:rPr>
              <w:t>reflected in </w:t>
            </w:r>
          </w:p>
          <w:p>
            <w:pPr>
              <w:pStyle w:val="TableContents"/>
              <w:bidi w:val="0"/>
              <w:spacing w:before="0" w:after="20"/>
              <w:jc w:val="center"/>
              <w:rPr>
                <w:rFonts w:ascii="arial" w:hAnsi="arial"/>
                <w:b/>
                <w:color w:val="FFFFFF"/>
                <w:sz w:val="18"/>
              </w:rPr>
            </w:pPr>
            <w:r>
              <w:rPr>
                <w:rFonts w:ascii="arial" w:hAnsi="arial"/>
                <w:b/>
                <w:color w:val="FFFFFF"/>
                <w:sz w:val="18"/>
              </w:rPr>
              <w:t>column (a)) </w:t>
            </w:r>
          </w:p>
        </w:tc>
      </w:tr>
      <w:tr>
        <w:trPr/>
        <w:tc>
          <w:tcPr>
            <w:tcW w:w="3530" w:type="dxa"/>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745" w:type="dxa"/>
            <w:gridSpan w:val="2"/>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925" w:type="dxa"/>
            <w:gridSpan w:val="2"/>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670"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3530" w:type="dxa"/>
            <w:tcBorders>
              <w:right w:val="single" w:sz="24" w:space="0" w:color="FFFFFF"/>
            </w:tcBorders>
            <w:shd w:fill="003A5D" w:val="clear"/>
            <w:tcMar>
              <w:right w:w="28" w:type="dxa"/>
            </w:tcMar>
            <w:vAlign w:val="center"/>
          </w:tcPr>
          <w:p>
            <w:pPr>
              <w:pStyle w:val="TableContents"/>
              <w:bidi w:val="0"/>
              <w:spacing w:before="0" w:after="283"/>
              <w:jc w:val="left"/>
              <w:rPr>
                <w:b/>
                <w:color w:val="FFFFFF"/>
              </w:rPr>
            </w:pPr>
            <w:r>
              <w:rPr>
                <w:b/>
                <w:color w:val="FFFFFF"/>
              </w:rPr>
              <w:t>Plan Category</w:t>
            </w:r>
          </w:p>
        </w:tc>
        <w:tc>
          <w:tcPr>
            <w:tcW w:w="60" w:type="dxa"/>
            <w:tcBorders/>
            <w:shd w:fill="003A5D" w:val="clear"/>
            <w:vAlign w:val="center"/>
          </w:tcPr>
          <w:p>
            <w:pPr>
              <w:pStyle w:val="TableContents"/>
              <w:bidi w:val="0"/>
              <w:spacing w:before="0" w:after="283"/>
              <w:jc w:val="left"/>
              <w:rPr/>
            </w:pPr>
            <w:r>
              <w:rPr/>
              <w:t> </w:t>
            </w:r>
          </w:p>
        </w:tc>
        <w:tc>
          <w:tcPr>
            <w:tcW w:w="1685" w:type="dxa"/>
            <w:tcBorders>
              <w:right w:val="single" w:sz="24"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(a) </w:t>
            </w:r>
          </w:p>
        </w:tc>
        <w:tc>
          <w:tcPr>
            <w:tcW w:w="60" w:type="dxa"/>
            <w:tcBorders/>
            <w:shd w:fill="003A5D" w:val="clear"/>
            <w:vAlign w:val="center"/>
          </w:tcPr>
          <w:p>
            <w:pPr>
              <w:pStyle w:val="TableContents"/>
              <w:bidi w:val="0"/>
              <w:spacing w:before="0" w:after="283"/>
              <w:jc w:val="left"/>
              <w:rPr/>
            </w:pPr>
            <w:r>
              <w:rPr/>
              <w:t> </w:t>
            </w:r>
          </w:p>
        </w:tc>
        <w:tc>
          <w:tcPr>
            <w:tcW w:w="1865" w:type="dxa"/>
            <w:tcBorders>
              <w:right w:val="single" w:sz="24"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(b) </w:t>
            </w:r>
          </w:p>
        </w:tc>
        <w:tc>
          <w:tcPr>
            <w:tcW w:w="60" w:type="dxa"/>
            <w:tcBorders/>
            <w:shd w:fill="003A5D" w:val="clear"/>
            <w:vAlign w:val="center"/>
          </w:tcPr>
          <w:p>
            <w:pPr>
              <w:pStyle w:val="TableContents"/>
              <w:bidi w:val="0"/>
              <w:spacing w:before="0" w:after="283"/>
              <w:jc w:val="left"/>
              <w:rPr/>
            </w:pPr>
            <w:r>
              <w:rPr/>
              <w:t> </w:t>
            </w:r>
          </w:p>
        </w:tc>
        <w:tc>
          <w:tcPr>
            <w:tcW w:w="1610" w:type="dxa"/>
            <w:tcBorders/>
            <w:shd w:fill="003A5D" w:val="clear"/>
            <w:vAlign w:val="center"/>
          </w:tcPr>
          <w:p>
            <w:pPr>
              <w:pStyle w:val="TableContents"/>
              <w:bidi w:val="0"/>
              <w:spacing w:before="0" w:after="283"/>
              <w:jc w:val="center"/>
              <w:rPr>
                <w:b/>
                <w:color w:val="FFFFFF"/>
              </w:rPr>
            </w:pPr>
            <w:r>
              <w:rPr>
                <w:b/>
                <w:color w:val="FFFFFF"/>
              </w:rPr>
              <w:t>(c) </w:t>
            </w:r>
          </w:p>
        </w:tc>
      </w:tr>
      <w:tr>
        <w:trPr/>
        <w:tc>
          <w:tcPr>
            <w:tcW w:w="3530" w:type="dxa"/>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745"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925"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670"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r>
      <w:tr>
        <w:trPr/>
        <w:tc>
          <w:tcPr>
            <w:tcW w:w="353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pPr>
            <w:r>
              <w:rPr/>
              <w:t>Equity compensation plans approved</w:t>
              <w:br/>
              <w:t>by security holders(1)</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68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9,494,408(2)</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86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$74.34 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610" w:type="dxa"/>
            <w:tcBorders>
              <w:bottom w:val="single" w:sz="8" w:space="0" w:color="003A5D"/>
            </w:tcBorders>
            <w:shd w:fill="E5EBEE" w:val="clear"/>
            <w:tcMar>
              <w:bottom w:w="60" w:type="dxa"/>
            </w:tcMar>
            <w:vAlign w:val="center"/>
          </w:tcPr>
          <w:p>
            <w:pPr>
              <w:pStyle w:val="TableContents"/>
              <w:bidi w:val="0"/>
              <w:spacing w:before="0" w:after="283"/>
              <w:jc w:val="center"/>
              <w:rPr/>
            </w:pPr>
            <w:r>
              <w:rPr/>
              <w:t>40,200,656(3)</w:t>
            </w:r>
          </w:p>
        </w:tc>
      </w:tr>
      <w:tr>
        <w:trPr/>
        <w:tc>
          <w:tcPr>
            <w:tcW w:w="3530" w:type="dxa"/>
            <w:tcBorders>
              <w:right w:val="single" w:sz="24" w:space="0" w:color="FFFFFF"/>
            </w:tcBorders>
            <w:tcMar>
              <w:right w:w="28" w:type="dxa"/>
            </w:tcMar>
            <w:vAlign w:val="center"/>
          </w:tcPr>
          <w:p>
            <w:pPr>
              <w:pStyle w:val="TableContents"/>
              <w:bidi w:val="0"/>
              <w:spacing w:before="0" w:after="283"/>
              <w:jc w:val="left"/>
              <w:rPr/>
            </w:pPr>
            <w:r>
              <w:rPr/>
              <w:t> </w:t>
            </w:r>
          </w:p>
        </w:tc>
        <w:tc>
          <w:tcPr>
            <w:tcW w:w="174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92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left"/>
              <w:rPr>
                <w:sz w:val="4"/>
                <w:szCs w:val="4"/>
              </w:rPr>
            </w:pPr>
            <w:r>
              <w:rPr>
                <w:sz w:val="4"/>
                <w:szCs w:val="4"/>
              </w:rPr>
            </w:r>
          </w:p>
        </w:tc>
      </w:tr>
      <w:tr>
        <w:trPr/>
        <w:tc>
          <w:tcPr>
            <w:tcW w:w="3530"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pPr>
            <w:r>
              <w:rPr/>
              <w:t>Equity compensation plans not</w:t>
              <w:br/>
              <w:t>approved by security holders</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685"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20,744(4)</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865"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610" w:type="dxa"/>
            <w:tcBorders>
              <w:bottom w:val="single" w:sz="8" w:space="0" w:color="003A5D"/>
            </w:tcBorders>
            <w:tcMar>
              <w:bottom w:w="60" w:type="dxa"/>
            </w:tcMar>
            <w:vAlign w:val="center"/>
          </w:tcPr>
          <w:p>
            <w:pPr>
              <w:pStyle w:val="TableContents"/>
              <w:bidi w:val="0"/>
              <w:spacing w:before="0" w:after="283"/>
              <w:jc w:val="center"/>
              <w:rPr/>
            </w:pPr>
            <w:r>
              <w:rPr/>
              <w:t>—</w:t>
            </w:r>
            <w:r>
              <w:rPr/>
              <w:t>(5)</w:t>
            </w:r>
          </w:p>
        </w:tc>
      </w:tr>
      <w:tr>
        <w:trPr/>
        <w:tc>
          <w:tcPr>
            <w:tcW w:w="3530" w:type="dxa"/>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745"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925"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670"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353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pPr>
            <w:r>
              <w:rPr/>
              <w:t>Total</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68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9,515,152</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86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$74.34 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610" w:type="dxa"/>
            <w:tcBorders>
              <w:bottom w:val="single" w:sz="8" w:space="0" w:color="003A5D"/>
            </w:tcBorders>
            <w:shd w:fill="E5EBEE" w:val="clear"/>
            <w:tcMar>
              <w:bottom w:w="60" w:type="dxa"/>
            </w:tcMar>
            <w:vAlign w:val="center"/>
          </w:tcPr>
          <w:p>
            <w:pPr>
              <w:pStyle w:val="TableContents"/>
              <w:bidi w:val="0"/>
              <w:spacing w:before="0" w:after="283"/>
              <w:jc w:val="center"/>
              <w:rPr/>
            </w:pPr>
            <w:r>
              <w:rPr/>
              <w:t>40,200,656(3)</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(1)</w:t>
            </w:r>
          </w:p>
        </w:tc>
        <w:tc>
          <w:tcPr>
            <w:tcW w:w="9915" w:type="dxa"/>
            <w:tcBorders/>
            <w:vAlign w:val="center"/>
          </w:tcPr>
          <w:p>
            <w:pPr>
              <w:pStyle w:val="TableContents"/>
              <w:bidi w:val="0"/>
              <w:spacing w:before="0" w:after="0"/>
              <w:jc w:val="both"/>
              <w:rPr>
                <w:rFonts w:ascii="arial" w:hAnsi="arial"/>
                <w:sz w:val="16"/>
              </w:rPr>
            </w:pPr>
            <w:r>
              <w:rPr>
                <w:rFonts w:ascii="arial" w:hAnsi="arial"/>
                <w:sz w:val="16"/>
              </w:rPr>
              <w:t xml:space="preserve">The following plans have been approved by our stockholders and are currently in effect: the 2004 Stock Incentive Plan and the 2002 Associate Stock Purchase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both"/>
              <w:rPr>
                <w:rFonts w:ascii="arial" w:hAnsi="arial"/>
                <w:sz w:val="16"/>
              </w:rPr>
            </w:pPr>
            <w:r>
              <w:rPr>
                <w:rFonts w:ascii="arial" w:hAnsi="arial"/>
                <w:sz w:val="16"/>
              </w:rPr>
              <w:t xml:space="preserve">Excludes purchase rights accruing under the 2002 Associate Stock Purchase Plan. Includes 1,589,060 shares that represent the maximum number of shares issuable pursuant to outstanding performance share awards under the 2004 Stock Incentive Plan and 7,677,266 shares subject to outstanding RSUs, including outstanding RSUs that are subject to performance-based vesting provisions, under the 2004 Stock Incentive Plan. Excludes RSUs that will be settled in cash under the 2004 Stock Incentive Plan. Also excludes dividend equivalents accrued with respect to performance shares which are paid in shares at the time the underlying performance shares are issued, and only with respect to the number of performance shares that vest.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0"/>
              <w:jc w:val="both"/>
              <w:rPr>
                <w:rFonts w:ascii="arial" w:hAnsi="arial"/>
                <w:sz w:val="16"/>
              </w:rPr>
            </w:pPr>
            <w:r>
              <w:rPr>
                <w:rFonts w:ascii="arial" w:hAnsi="arial"/>
                <w:sz w:val="16"/>
              </w:rPr>
              <w:t xml:space="preserve">Represents 18,715,823, shares available for future issuance under the 2004 Stock Incentive Plan; and 21,484,833 shares available for future issuance under the 2002 Associate Stock Purchase Plan as shares purchased voluntarily by Capital One associates through regular payroll deductions and a Company match. </w:t>
            </w:r>
          </w:p>
        </w:tc>
      </w:tr>
    </w:tbl>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305"/>
        <w:gridCol w:w="7160"/>
      </w:tblGrid>
      <w:tr>
        <w:trPr/>
        <w:tc>
          <w:tcPr>
            <w:tcW w:w="305" w:type="dxa"/>
            <w:tcBorders/>
            <w:vAlign w:val="center"/>
          </w:tcPr>
          <w:p>
            <w:pPr>
              <w:pStyle w:val="TableContents"/>
              <w:bidi w:val="0"/>
              <w:spacing w:before="0" w:after="283"/>
              <w:jc w:val="left"/>
              <w:rPr/>
            </w:pPr>
            <w:r>
              <w:rPr/>
              <w:t>(4)</w:t>
            </w:r>
          </w:p>
        </w:tc>
        <w:tc>
          <w:tcPr>
            <w:tcW w:w="7160" w:type="dxa"/>
            <w:tcBorders/>
            <w:vAlign w:val="center"/>
          </w:tcPr>
          <w:p>
            <w:pPr>
              <w:pStyle w:val="TableContents"/>
              <w:bidi w:val="0"/>
              <w:spacing w:before="0" w:after="0"/>
              <w:jc w:val="both"/>
              <w:rPr>
                <w:rFonts w:ascii="arial" w:hAnsi="arial"/>
                <w:sz w:val="16"/>
              </w:rPr>
            </w:pPr>
            <w:r>
              <w:rPr>
                <w:rFonts w:ascii="arial" w:hAnsi="arial"/>
                <w:sz w:val="16"/>
              </w:rPr>
              <w:t xml:space="preserve">Represents outstanding RSUs under the 1999 Directors Plan, which was terminated in April 2009. </w:t>
            </w:r>
          </w:p>
        </w:tc>
      </w:tr>
    </w:tbl>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305"/>
        <w:gridCol w:w="8870"/>
      </w:tblGrid>
      <w:tr>
        <w:trPr/>
        <w:tc>
          <w:tcPr>
            <w:tcW w:w="305" w:type="dxa"/>
            <w:tcBorders/>
            <w:vAlign w:val="center"/>
          </w:tcPr>
          <w:p>
            <w:pPr>
              <w:pStyle w:val="TableContents"/>
              <w:bidi w:val="0"/>
              <w:spacing w:before="0" w:after="283"/>
              <w:jc w:val="left"/>
              <w:rPr/>
            </w:pPr>
            <w:r>
              <w:rPr/>
              <w:t>(5)</w:t>
            </w:r>
          </w:p>
        </w:tc>
        <w:tc>
          <w:tcPr>
            <w:tcW w:w="8870" w:type="dxa"/>
            <w:tcBorders/>
            <w:vAlign w:val="center"/>
          </w:tcPr>
          <w:p>
            <w:pPr>
              <w:pStyle w:val="TableContents"/>
              <w:bidi w:val="0"/>
              <w:spacing w:before="0" w:after="0"/>
              <w:jc w:val="both"/>
              <w:rPr>
                <w:rFonts w:ascii="arial" w:hAnsi="arial"/>
                <w:sz w:val="16"/>
              </w:rPr>
            </w:pPr>
            <w:r>
              <w:rPr>
                <w:rFonts w:ascii="arial" w:hAnsi="arial"/>
                <w:sz w:val="16"/>
              </w:rPr>
              <w:t xml:space="preserve">There are no shares available for future issuance under the equity compensation plans not approved by security holders. </w:t>
            </w:r>
          </w:p>
        </w:tc>
      </w:tr>
    </w:tbl>
    <w:p>
      <w:pPr>
        <w:pStyle w:val="TextBody"/>
        <w:bidi w:val="0"/>
        <w:spacing w:before="240" w:after="0"/>
        <w:jc w:val="left"/>
        <w:rPr>
          <w:rFonts w:ascii="arial" w:hAnsi="arial"/>
          <w:b/>
          <w:color w:val="003A5D"/>
          <w:sz w:val="32"/>
        </w:rPr>
      </w:pPr>
      <w:bookmarkStart w:id="106" w:name="txa845790_50"/>
      <w:bookmarkEnd w:id="106"/>
      <w:r>
        <w:rPr>
          <w:rFonts w:ascii="arial" w:hAnsi="arial"/>
          <w:b/>
          <w:color w:val="003A5D"/>
          <w:sz w:val="32"/>
        </w:rPr>
        <w:t xml:space="preserve">1999 Directors Plan </w:t>
      </w:r>
    </w:p>
    <w:p>
      <w:pPr>
        <w:pStyle w:val="TextBody"/>
        <w:bidi w:val="0"/>
        <w:spacing w:before="240" w:after="0"/>
        <w:jc w:val="both"/>
        <w:rPr>
          <w:rFonts w:ascii="arial" w:hAnsi="arial"/>
          <w:sz w:val="20"/>
        </w:rPr>
      </w:pPr>
      <w:r>
        <w:rPr>
          <w:rFonts w:ascii="arial" w:hAnsi="arial"/>
          <w:sz w:val="20"/>
        </w:rPr>
        <w:t xml:space="preserve">The 1999 Directors Plan was adopted by the Board on April 29, 1999, and terminated on April 28, 2009, although certain grants remain outstanding that were awarded under the plan. The plan authorized a maximum of 825,000 shares of Capital One common stock for the grant of non-qualified stock options, restricted stock, and RSUs to members of the Board who were not otherwise employed by Capital One or any subsidiary of Capital One at the time an award was granted. The plan is administered by the Board, which retains the right to cancel any awards outstanding under the plan in exchange for a cash payment equal to any such award’s value as of the cancellation date. No shares are available for issuance under this plan other than shares subject to outstanding equity awards under the plan, which are solely in the form of RSUs.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117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lef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107" w:name="txa845790_51"/>
      <w:bookmarkEnd w:id="107"/>
      <w:r>
        <w:rPr>
          <w:rFonts w:ascii="arial" w:hAnsi="arial"/>
          <w:b/>
          <w:sz w:val="36"/>
        </w:rPr>
        <w:t xml:space="preserve">Section VIII - Security Ownership </w:t>
      </w:r>
    </w:p>
    <w:p>
      <w:pPr>
        <w:pStyle w:val="TextBody"/>
        <w:pBdr>
          <w:bottom w:val="single" w:sz="8" w:space="1" w:color="000000"/>
        </w:pBdr>
        <w:bidi w:val="0"/>
        <w:spacing w:lineRule="atLeast" w:line="142" w:before="0" w:after="40"/>
        <w:jc w:val="left"/>
        <w:rPr/>
      </w:pPr>
      <w:r>
        <w:rPr/>
        <w:t> </w:t>
      </w:r>
    </w:p>
    <w:p>
      <w:pPr>
        <w:pStyle w:val="TextBody"/>
        <w:bidi w:val="0"/>
        <w:spacing w:before="120" w:after="0"/>
        <w:jc w:val="left"/>
        <w:rPr>
          <w:rFonts w:ascii="arial" w:hAnsi="arial"/>
          <w:b/>
          <w:color w:val="003A5D"/>
          <w:sz w:val="32"/>
        </w:rPr>
      </w:pPr>
      <w:bookmarkStart w:id="108" w:name="txa845790_52"/>
      <w:bookmarkEnd w:id="108"/>
      <w:r>
        <w:rPr>
          <w:rFonts w:ascii="arial" w:hAnsi="arial"/>
          <w:b/>
          <w:color w:val="003A5D"/>
          <w:sz w:val="32"/>
        </w:rPr>
        <w:t xml:space="preserve">Security Ownership of Certain Beneficial Owners </w:t>
      </w:r>
    </w:p>
    <w:p>
      <w:pPr>
        <w:pStyle w:val="TextBody"/>
        <w:bidi w:val="0"/>
        <w:spacing w:before="240" w:after="0"/>
        <w:jc w:val="both"/>
        <w:rPr>
          <w:rFonts w:ascii="arial" w:hAnsi="arial"/>
          <w:sz w:val="20"/>
        </w:rPr>
      </w:pPr>
      <w:r>
        <w:rPr>
          <w:rFonts w:ascii="arial" w:hAnsi="arial"/>
          <w:sz w:val="20"/>
        </w:rPr>
        <w:t xml:space="preserve">Based on Schedule 13D and 13G filings submitted to the SEC, Capital One is aware of the following beneficial owners of more than 5% of Capital One’s outstanding common stock. All percentage calculations are based on the number of shares of common stock issued and outstanding on December 31, 2024, which was 381,230,343. </w:t>
      </w:r>
    </w:p>
    <w:p>
      <w:pPr>
        <w:pStyle w:val="TextBody"/>
        <w:bidi w:val="0"/>
        <w:spacing w:before="0" w:after="0"/>
        <w:jc w:val="left"/>
        <w:rPr/>
      </w:pPr>
      <w:r>
        <w:rPr/>
        <w:t> </w:t>
      </w:r>
    </w:p>
    <w:tbl>
      <w:tblPr>
        <w:tblW w:w="6197" w:type="dxa"/>
        <w:jc w:val="left"/>
        <w:tblInd w:w="0" w:type="dxa"/>
        <w:tblLayout w:type="fixed"/>
        <w:tblCellMar>
          <w:top w:w="0" w:type="dxa"/>
          <w:left w:w="0" w:type="dxa"/>
          <w:bottom w:w="0" w:type="dxa"/>
          <w:right w:w="0" w:type="dxa"/>
        </w:tblCellMar>
      </w:tblPr>
      <w:tblGrid>
        <w:gridCol w:w="2060"/>
        <w:gridCol w:w="23"/>
        <w:gridCol w:w="23"/>
        <w:gridCol w:w="60"/>
        <w:gridCol w:w="2135"/>
        <w:gridCol w:w="60"/>
        <w:gridCol w:w="23"/>
        <w:gridCol w:w="23"/>
        <w:gridCol w:w="60"/>
        <w:gridCol w:w="1655"/>
        <w:gridCol w:w="75"/>
      </w:tblGrid>
      <w:tr>
        <w:trPr/>
        <w:tc>
          <w:tcPr>
            <w:tcW w:w="20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60" w:type="dxa"/>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2301" w:type="dxa"/>
            <w:gridSpan w:val="5"/>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836" w:type="dxa"/>
            <w:gridSpan w:val="5"/>
            <w:tcBorders/>
            <w:shd w:fill="003A5D" w:val="clear"/>
            <w:vAlign w:val="center"/>
          </w:tcPr>
          <w:p>
            <w:pPr>
              <w:pStyle w:val="TableContents"/>
              <w:bidi w:val="0"/>
              <w:spacing w:before="0" w:after="283"/>
              <w:jc w:val="left"/>
              <w:rPr>
                <w:sz w:val="4"/>
                <w:szCs w:val="4"/>
              </w:rPr>
            </w:pPr>
            <w:r>
              <w:rPr>
                <w:sz w:val="4"/>
                <w:szCs w:val="4"/>
              </w:rPr>
            </w:r>
          </w:p>
        </w:tc>
      </w:tr>
      <w:tr>
        <w:trPr/>
        <w:tc>
          <w:tcPr>
            <w:tcW w:w="2060" w:type="dxa"/>
            <w:tcBorders>
              <w:right w:val="single" w:sz="24" w:space="0" w:color="FFFFFF"/>
            </w:tcBorders>
            <w:shd w:fill="003A5D" w:val="clear"/>
            <w:tcMar>
              <w:right w:w="28" w:type="dxa"/>
            </w:tcMar>
            <w:vAlign w:val="center"/>
          </w:tcPr>
          <w:p>
            <w:pPr>
              <w:pStyle w:val="TableContents"/>
              <w:bidi w:val="0"/>
              <w:spacing w:before="0" w:after="0"/>
              <w:jc w:val="left"/>
              <w:rPr>
                <w:rFonts w:ascii="arial" w:hAnsi="arial"/>
                <w:b/>
                <w:color w:val="FFFFFF"/>
                <w:sz w:val="18"/>
              </w:rPr>
            </w:pPr>
            <w:r>
              <w:rPr>
                <w:rFonts w:ascii="arial" w:hAnsi="arial"/>
                <w:b/>
                <w:color w:val="FFFFFF"/>
                <w:sz w:val="18"/>
              </w:rPr>
              <w:t>Name and Address</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60" w:type="dxa"/>
            <w:tcBorders/>
            <w:shd w:fill="003A5D" w:val="clear"/>
            <w:vAlign w:val="center"/>
          </w:tcPr>
          <w:p>
            <w:pPr>
              <w:pStyle w:val="TableContents"/>
              <w:bidi w:val="0"/>
              <w:spacing w:before="0" w:after="283"/>
              <w:jc w:val="left"/>
              <w:rPr>
                <w:color w:val="FFFFFF"/>
              </w:rPr>
            </w:pPr>
            <w:r>
              <w:rPr>
                <w:color w:val="FFFFFF"/>
              </w:rPr>
              <w:t> </w:t>
            </w:r>
          </w:p>
        </w:tc>
        <w:tc>
          <w:tcPr>
            <w:tcW w:w="2135" w:type="dxa"/>
            <w:tcBorders/>
            <w:shd w:fill="003A5D" w:val="clear"/>
            <w:vAlign w:val="center"/>
          </w:tcPr>
          <w:p>
            <w:pPr>
              <w:pStyle w:val="TableContents"/>
              <w:bidi w:val="0"/>
              <w:spacing w:before="0" w:after="283"/>
              <w:jc w:val="center"/>
              <w:rPr>
                <w:b/>
                <w:color w:val="FFFFFF"/>
              </w:rPr>
            </w:pPr>
            <w:r>
              <w:rPr>
                <w:b/>
                <w:color w:val="FFFFFF"/>
              </w:rPr>
              <w:t>Number of Shares of</w:t>
              <w:br/>
              <w:t>Common Stock</w:t>
              <w:br/>
              <w:t>Beneficially Owned</w:t>
            </w:r>
          </w:p>
        </w:tc>
        <w:tc>
          <w:tcPr>
            <w:tcW w:w="60" w:type="dxa"/>
            <w:tcBorders>
              <w:right w:val="single" w:sz="24" w:space="0" w:color="FFFFFF"/>
            </w:tcBorders>
            <w:shd w:fill="003A5D" w:val="clear"/>
            <w:tcMar>
              <w:right w:w="28" w:type="dxa"/>
            </w:tcMar>
            <w:vAlign w:val="center"/>
          </w:tcPr>
          <w:p>
            <w:pPr>
              <w:pStyle w:val="TableContents"/>
              <w:bidi w:val="0"/>
              <w:spacing w:before="0" w:after="283"/>
              <w:jc w:val="left"/>
              <w:rPr>
                <w:b/>
                <w:color w:val="FFFFFF"/>
              </w:rPr>
            </w:pPr>
            <w:r>
              <w:rPr>
                <w:b/>
                <w:color w:val="FFFFFF"/>
              </w:rPr>
              <w:br/>
              <w:b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60" w:type="dxa"/>
            <w:tcBorders/>
            <w:shd w:fill="003A5D" w:val="clear"/>
            <w:vAlign w:val="center"/>
          </w:tcPr>
          <w:p>
            <w:pPr>
              <w:pStyle w:val="TableContents"/>
              <w:bidi w:val="0"/>
              <w:spacing w:before="0" w:after="283"/>
              <w:jc w:val="left"/>
              <w:rPr>
                <w:color w:val="FFFFFF"/>
              </w:rPr>
            </w:pPr>
            <w:r>
              <w:rPr>
                <w:color w:val="FFFFFF"/>
              </w:rPr>
              <w:t> </w:t>
            </w:r>
          </w:p>
        </w:tc>
        <w:tc>
          <w:tcPr>
            <w:tcW w:w="1655" w:type="dxa"/>
            <w:tcBorders/>
            <w:shd w:fill="003A5D" w:val="clear"/>
            <w:vAlign w:val="center"/>
          </w:tcPr>
          <w:p>
            <w:pPr>
              <w:pStyle w:val="TableContents"/>
              <w:bidi w:val="0"/>
              <w:spacing w:before="0" w:after="283"/>
              <w:jc w:val="center"/>
              <w:rPr>
                <w:b/>
                <w:color w:val="FFFFFF"/>
              </w:rPr>
            </w:pPr>
            <w:r>
              <w:rPr>
                <w:b/>
                <w:color w:val="FFFFFF"/>
              </w:rPr>
              <w:t>Percent of Class</w:t>
            </w:r>
          </w:p>
        </w:tc>
        <w:tc>
          <w:tcPr>
            <w:tcW w:w="75" w:type="dxa"/>
            <w:tcBorders/>
            <w:shd w:fill="003A5D" w:val="clear"/>
            <w:vAlign w:val="center"/>
          </w:tcPr>
          <w:p>
            <w:pPr>
              <w:pStyle w:val="TableContents"/>
              <w:bidi w:val="0"/>
              <w:spacing w:before="0" w:after="283"/>
              <w:jc w:val="left"/>
              <w:rPr>
                <w:color w:val="FFFFFF"/>
              </w:rPr>
            </w:pPr>
            <w:r>
              <w:rPr>
                <w:color w:val="FFFFFF"/>
              </w:rPr>
              <w:t> </w:t>
            </w:r>
          </w:p>
        </w:tc>
      </w:tr>
      <w:tr>
        <w:trPr/>
        <w:tc>
          <w:tcPr>
            <w:tcW w:w="2060" w:type="dxa"/>
            <w:tcBorders>
              <w:top w:val="single" w:sz="8" w:space="0" w:color="FFFFFF"/>
              <w:bottom w:val="single" w:sz="8" w:space="0" w:color="003A5D"/>
              <w:right w:val="single" w:sz="24" w:space="0" w:color="FFFFFF"/>
            </w:tcBorders>
            <w:shd w:fill="E5EBEE" w:val="clear"/>
            <w:tcMar>
              <w:top w:w="28" w:type="dxa"/>
              <w:bottom w:w="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The Vanguard Group(1)</w:t>
            </w:r>
          </w:p>
          <w:p>
            <w:pPr>
              <w:pStyle w:val="TableContents"/>
              <w:bidi w:val="0"/>
              <w:spacing w:before="0" w:after="0"/>
              <w:jc w:val="left"/>
              <w:rPr>
                <w:rFonts w:ascii="arial" w:hAnsi="arial"/>
                <w:sz w:val="20"/>
              </w:rPr>
            </w:pPr>
            <w:r>
              <w:rPr>
                <w:rFonts w:ascii="arial" w:hAnsi="arial"/>
                <w:sz w:val="20"/>
              </w:rPr>
              <w:t>100 Vanguard Blvd.</w:t>
            </w:r>
          </w:p>
          <w:p>
            <w:pPr>
              <w:pStyle w:val="TableContents"/>
              <w:bidi w:val="0"/>
              <w:spacing w:before="0" w:after="20"/>
              <w:jc w:val="left"/>
              <w:rPr>
                <w:rFonts w:ascii="arial" w:hAnsi="arial"/>
                <w:sz w:val="20"/>
              </w:rPr>
            </w:pPr>
            <w:r>
              <w:rPr>
                <w:rFonts w:ascii="arial" w:hAnsi="arial"/>
                <w:sz w:val="20"/>
              </w:rPr>
              <w:t>Malvern, PA 19355</w:t>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bottom w:val="single" w:sz="8" w:space="0" w:color="003A5D"/>
            </w:tcBorders>
            <w:shd w:fill="E5EBEE" w:val="clear"/>
            <w:tcMar>
              <w:top w:w="28" w:type="dxa"/>
              <w:bottom w:w="6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135" w:type="dxa"/>
            <w:tcBorders>
              <w:top w:val="single" w:sz="8" w:space="0" w:color="FFFFFF"/>
              <w:bottom w:val="single" w:sz="8" w:space="0" w:color="003A5D"/>
            </w:tcBorders>
            <w:shd w:fill="E5EBEE" w:val="clear"/>
            <w:tcMar>
              <w:top w:w="28" w:type="dxa"/>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30,666,598</w:t>
            </w:r>
          </w:p>
        </w:tc>
        <w:tc>
          <w:tcPr>
            <w:tcW w:w="60" w:type="dxa"/>
            <w:tcBorders>
              <w:top w:val="single" w:sz="8" w:space="0" w:color="FFFFFF"/>
              <w:bottom w:val="single" w:sz="8" w:space="0" w:color="003A5D"/>
              <w:right w:val="single" w:sz="24" w:space="0" w:color="FFFFFF"/>
            </w:tcBorders>
            <w:shd w:fill="E5EBEE" w:val="clear"/>
            <w:tcMar>
              <w:top w:w="28" w:type="dxa"/>
              <w:bottom w:w="60" w:type="dxa"/>
              <w:right w:w="28" w:type="dxa"/>
            </w:tcMar>
            <w:vAlign w:val="center"/>
          </w:tcPr>
          <w:p>
            <w:pPr>
              <w:pStyle w:val="TableContents"/>
              <w:bidi w:val="0"/>
              <w:spacing w:before="0" w:after="0"/>
              <w:jc w:val="left"/>
              <w:rPr/>
            </w:pPr>
            <w:r>
              <w:rPr/>
              <w:t> </w:t>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60" w:type="dxa"/>
            <w:tcBorders>
              <w:top w:val="single" w:sz="8" w:space="0" w:color="FFFFFF"/>
              <w:bottom w:val="single" w:sz="8" w:space="0" w:color="003A5D"/>
            </w:tcBorders>
            <w:shd w:fill="E5EBEE" w:val="clear"/>
            <w:tcMar>
              <w:top w:w="28" w:type="dxa"/>
              <w:bottom w:w="6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655" w:type="dxa"/>
            <w:tcBorders>
              <w:top w:val="single" w:sz="8" w:space="0" w:color="FFFFFF"/>
              <w:bottom w:val="single" w:sz="8" w:space="0" w:color="003A5D"/>
            </w:tcBorders>
            <w:shd w:fill="E5EBEE" w:val="clear"/>
            <w:tcMar>
              <w:top w:w="28" w:type="dxa"/>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8.0%</w:t>
            </w:r>
          </w:p>
        </w:tc>
        <w:tc>
          <w:tcPr>
            <w:tcW w:w="75" w:type="dxa"/>
            <w:tcBorders>
              <w:top w:val="single" w:sz="8" w:space="0" w:color="FFFFFF"/>
              <w:bottom w:val="single" w:sz="8" w:space="0" w:color="003A5D"/>
            </w:tcBorders>
            <w:shd w:fill="E5EBEE" w:val="clear"/>
            <w:tcMar>
              <w:top w:w="28" w:type="dxa"/>
              <w:bottom w:w="60" w:type="dxa"/>
            </w:tcMar>
            <w:vAlign w:val="center"/>
          </w:tcPr>
          <w:p>
            <w:pPr>
              <w:pStyle w:val="TableContents"/>
              <w:bidi w:val="0"/>
              <w:spacing w:before="0" w:after="0"/>
              <w:jc w:val="left"/>
              <w:rPr/>
            </w:pPr>
            <w:r>
              <w:rPr/>
              <w:t> </w:t>
            </w:r>
          </w:p>
        </w:tc>
      </w:tr>
      <w:tr>
        <w:trPr/>
        <w:tc>
          <w:tcPr>
            <w:tcW w:w="2060" w:type="dxa"/>
            <w:tcBorders>
              <w:right w:val="single" w:sz="24" w:space="0" w:color="FFFFFF"/>
            </w:tcBorders>
            <w:tcMar>
              <w:right w:w="28" w:type="dxa"/>
            </w:tcMar>
            <w:vAlign w:val="center"/>
          </w:tcPr>
          <w:p>
            <w:pPr>
              <w:pStyle w:val="TableContents"/>
              <w:bidi w:val="0"/>
              <w:spacing w:before="0" w:after="283"/>
              <w:jc w:val="left"/>
              <w:rPr/>
            </w:pPr>
            <w:r>
              <w:rPr/>
              <w:t> </w:t>
            </w:r>
          </w:p>
        </w:tc>
        <w:tc>
          <w:tcPr>
            <w:tcW w:w="2301"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1836" w:type="dxa"/>
            <w:gridSpan w:val="5"/>
            <w:tcBorders/>
            <w:vAlign w:val="center"/>
          </w:tcPr>
          <w:p>
            <w:pPr>
              <w:pStyle w:val="TableContents"/>
              <w:bidi w:val="0"/>
              <w:spacing w:before="0" w:after="283"/>
              <w:jc w:val="left"/>
              <w:rPr>
                <w:sz w:val="4"/>
                <w:szCs w:val="4"/>
              </w:rPr>
            </w:pPr>
            <w:r>
              <w:rPr>
                <w:sz w:val="4"/>
                <w:szCs w:val="4"/>
              </w:rPr>
            </w:r>
          </w:p>
        </w:tc>
      </w:tr>
      <w:tr>
        <w:trPr/>
        <w:tc>
          <w:tcPr>
            <w:tcW w:w="2060"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BlackRock, Inc.(2)</w:t>
            </w:r>
          </w:p>
          <w:p>
            <w:pPr>
              <w:pStyle w:val="TableContents"/>
              <w:bidi w:val="0"/>
              <w:spacing w:before="0" w:after="0"/>
              <w:jc w:val="left"/>
              <w:rPr>
                <w:rFonts w:ascii="arial" w:hAnsi="arial"/>
                <w:sz w:val="20"/>
              </w:rPr>
            </w:pPr>
            <w:r>
              <w:rPr>
                <w:rFonts w:ascii="arial" w:hAnsi="arial"/>
                <w:sz w:val="20"/>
              </w:rPr>
              <w:t>55 East 52nd Street</w:t>
            </w:r>
          </w:p>
          <w:p>
            <w:pPr>
              <w:pStyle w:val="TableContents"/>
              <w:bidi w:val="0"/>
              <w:spacing w:before="0" w:after="20"/>
              <w:jc w:val="left"/>
              <w:rPr>
                <w:rFonts w:ascii="arial" w:hAnsi="arial"/>
                <w:sz w:val="20"/>
              </w:rPr>
            </w:pPr>
            <w:r>
              <w:rPr>
                <w:rFonts w:ascii="arial" w:hAnsi="arial"/>
                <w:sz w:val="20"/>
              </w:rPr>
              <w:t>New York, NY 10055</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2135" w:type="dxa"/>
            <w:tcBorders>
              <w:bottom w:val="single" w:sz="8" w:space="0" w:color="003A5D"/>
            </w:tcBorders>
            <w:tcMar>
              <w:bottom w:w="60" w:type="dxa"/>
            </w:tcMar>
            <w:vAlign w:val="center"/>
          </w:tcPr>
          <w:p>
            <w:pPr>
              <w:pStyle w:val="TableContents"/>
              <w:bidi w:val="0"/>
              <w:spacing w:before="0" w:after="283"/>
              <w:jc w:val="center"/>
              <w:rPr/>
            </w:pPr>
            <w:r>
              <w:rPr/>
              <w:t>24,741,893</w:t>
            </w:r>
          </w:p>
        </w:tc>
        <w:tc>
          <w:tcPr>
            <w:tcW w:w="60"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1655" w:type="dxa"/>
            <w:tcBorders>
              <w:bottom w:val="single" w:sz="8" w:space="0" w:color="003A5D"/>
            </w:tcBorders>
            <w:tcMar>
              <w:bottom w:w="60" w:type="dxa"/>
            </w:tcMar>
            <w:vAlign w:val="center"/>
          </w:tcPr>
          <w:p>
            <w:pPr>
              <w:pStyle w:val="TableContents"/>
              <w:bidi w:val="0"/>
              <w:spacing w:before="0" w:after="283"/>
              <w:jc w:val="center"/>
              <w:rPr/>
            </w:pPr>
            <w:r>
              <w:rPr/>
              <w:t>6.5%</w:t>
            </w:r>
          </w:p>
        </w:tc>
        <w:tc>
          <w:tcPr>
            <w:tcW w:w="75"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0"/>
              <w:jc w:val="both"/>
              <w:rPr>
                <w:rFonts w:ascii="arial" w:hAnsi="arial"/>
                <w:sz w:val="16"/>
              </w:rPr>
            </w:pPr>
            <w:r>
              <w:rPr>
                <w:rFonts w:ascii="arial" w:hAnsi="arial"/>
                <w:sz w:val="16"/>
              </w:rPr>
              <w:t xml:space="preserve">Based on a Schedule 13G/A (Amendment No. 9) filed on February 13, 2024. As of December 29, 2023, The Vanguard Group reported sole voting power with respect to no shares, shared voting power with respect to 501,360 shares, sole dispositive power over 29,033,786 shares and shared dispositive power over 1,632,812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0"/>
              <w:jc w:val="both"/>
              <w:rPr>
                <w:rFonts w:ascii="arial" w:hAnsi="arial"/>
                <w:sz w:val="16"/>
              </w:rPr>
            </w:pPr>
            <w:r>
              <w:rPr>
                <w:rFonts w:ascii="arial" w:hAnsi="arial"/>
                <w:sz w:val="16"/>
              </w:rPr>
              <w:t xml:space="preserve">Based on a Schedule 13G/A (Amendment No. 11) filed on January 29, 2024. As of December 31, 2023, BlackRock, Inc. reported sole voting power with respect to 22,004,562 shares and sole dispositive power over all shares beneficially owned. </w:t>
            </w:r>
          </w:p>
        </w:tc>
      </w:tr>
    </w:tbl>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118 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3515" w:type="dxa"/>
        <w:jc w:val="left"/>
        <w:tblInd w:w="0" w:type="dxa"/>
        <w:tblLayout w:type="fixed"/>
        <w:tblCellMar>
          <w:top w:w="0" w:type="dxa"/>
          <w:left w:w="0" w:type="dxa"/>
          <w:bottom w:w="0" w:type="dxa"/>
          <w:right w:w="0" w:type="dxa"/>
        </w:tblCellMar>
      </w:tblPr>
      <w:tblGrid>
        <w:gridCol w:w="3515"/>
      </w:tblGrid>
      <w:tr>
        <w:trPr/>
        <w:tc>
          <w:tcPr>
            <w:tcW w:w="3515" w:type="dxa"/>
            <w:tcBorders/>
            <w:vAlign w:val="center"/>
          </w:tcPr>
          <w:p>
            <w:pPr>
              <w:pStyle w:val="TableContents"/>
              <w:bidi w:val="0"/>
              <w:spacing w:before="0" w:after="283"/>
              <w:jc w:val="left"/>
              <w:rPr>
                <w:sz w:val="4"/>
                <w:szCs w:val="4"/>
              </w:rPr>
            </w:pPr>
            <w:r>
              <w:rPr>
                <w:sz w:val="4"/>
                <w:szCs w:val="4"/>
              </w:rPr>
            </w:r>
          </w:p>
        </w:tc>
      </w:tr>
      <w:tr>
        <w:trPr/>
        <w:tc>
          <w:tcPr>
            <w:tcW w:w="3515" w:type="dxa"/>
            <w:tcBorders/>
            <w:vAlign w:val="center"/>
          </w:tcPr>
          <w:p>
            <w:pPr>
              <w:pStyle w:val="TableContents"/>
              <w:bidi w:val="0"/>
              <w:spacing w:before="0" w:after="283"/>
              <w:jc w:val="right"/>
              <w:rPr>
                <w:b/>
                <w:color w:val="003A5D"/>
              </w:rPr>
            </w:pPr>
            <w:r>
              <w:rPr>
                <w:b/>
                <w:color w:val="003A5D"/>
              </w:rPr>
              <w:t>Section VIII - Security Ownership</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109" w:name="txa845790_53"/>
      <w:bookmarkEnd w:id="109"/>
      <w:r>
        <w:rPr>
          <w:rFonts w:ascii="arial" w:hAnsi="arial"/>
          <w:b/>
          <w:color w:val="003A5D"/>
          <w:sz w:val="32"/>
        </w:rPr>
        <w:t xml:space="preserve">Security Ownership of Directors and Named Executive Officers </w:t>
      </w:r>
    </w:p>
    <w:p>
      <w:pPr>
        <w:pStyle w:val="TextBody"/>
        <w:bidi w:val="0"/>
        <w:spacing w:before="240" w:after="0"/>
        <w:jc w:val="both"/>
        <w:rPr>
          <w:rFonts w:ascii="arial" w:hAnsi="arial"/>
          <w:sz w:val="20"/>
        </w:rPr>
      </w:pPr>
      <w:r>
        <w:rPr>
          <w:rFonts w:ascii="arial" w:hAnsi="arial"/>
          <w:sz w:val="20"/>
        </w:rPr>
        <w:t xml:space="preserve">The following table lists the beneficial ownership of Capital One common stock as of February 4, 2025, by our directors, the NEOs in this proxy statement, and all directors and executive officers as a group. All percentage calculations are based on the number of shares of common stock issued and outstanding on February 4, 2025, which was 381,479,456. </w:t>
      </w:r>
    </w:p>
    <w:p>
      <w:pPr>
        <w:pStyle w:val="TextBody"/>
        <w:bidi w:val="0"/>
        <w:spacing w:before="240" w:after="0"/>
        <w:jc w:val="both"/>
        <w:rPr>
          <w:rFonts w:ascii="arial" w:hAnsi="arial"/>
          <w:sz w:val="20"/>
        </w:rPr>
      </w:pPr>
      <w:r>
        <w:rPr>
          <w:rFonts w:ascii="arial" w:hAnsi="arial"/>
          <w:sz w:val="20"/>
        </w:rPr>
        <w:t xml:space="preserve">Except as otherwise indicated below, each director or executive officer had sole voting and dispositive power for the shares of common stock in the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33"/>
        <w:gridCol w:w="60"/>
        <w:gridCol w:w="980"/>
        <w:gridCol w:w="60"/>
        <w:gridCol w:w="890"/>
        <w:gridCol w:w="60"/>
        <w:gridCol w:w="1145"/>
        <w:gridCol w:w="60"/>
        <w:gridCol w:w="1055"/>
        <w:gridCol w:w="60"/>
        <w:gridCol w:w="846"/>
        <w:gridCol w:w="60"/>
        <w:gridCol w:w="996"/>
      </w:tblGrid>
      <w:tr>
        <w:trPr/>
        <w:tc>
          <w:tcPr>
            <w:tcW w:w="39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3933" w:type="dxa"/>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4310" w:type="dxa"/>
            <w:gridSpan w:val="8"/>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906" w:type="dxa"/>
            <w:gridSpan w:val="2"/>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056"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3933" w:type="dxa"/>
            <w:vMerge w:val="restart"/>
            <w:tcBorders>
              <w:right w:val="single" w:sz="24" w:space="0" w:color="FFFFFF"/>
            </w:tcBorders>
            <w:shd w:fill="003A5D" w:val="clear"/>
            <w:tcMar>
              <w:right w:w="28" w:type="dxa"/>
            </w:tcMar>
            <w:vAlign w:val="center"/>
          </w:tcPr>
          <w:p>
            <w:pPr>
              <w:pStyle w:val="TableContents"/>
              <w:bidi w:val="0"/>
              <w:spacing w:before="0" w:after="283"/>
              <w:jc w:val="left"/>
              <w:rPr>
                <w:b/>
                <w:color w:val="FFFFFF"/>
              </w:rPr>
            </w:pPr>
            <w:r>
              <w:rPr>
                <w:b/>
                <w:color w:val="FFFFFF"/>
              </w:rPr>
              <w:t>Name</w:t>
            </w:r>
          </w:p>
        </w:tc>
        <w:tc>
          <w:tcPr>
            <w:tcW w:w="60" w:type="dxa"/>
            <w:tcBorders>
              <w:bottom w:val="single" w:sz="24" w:space="0" w:color="FFFFFF"/>
            </w:tcBorders>
            <w:shd w:fill="003A5D" w:val="clear"/>
            <w:tcMar>
              <w:bottom w:w="28" w:type="dxa"/>
            </w:tcMar>
            <w:vAlign w:val="center"/>
          </w:tcPr>
          <w:p>
            <w:pPr>
              <w:pStyle w:val="TableContents"/>
              <w:bidi w:val="0"/>
              <w:spacing w:before="0" w:after="283"/>
              <w:jc w:val="left"/>
              <w:rPr/>
            </w:pPr>
            <w:r>
              <w:rPr/>
              <w:t> </w:t>
            </w:r>
          </w:p>
        </w:tc>
        <w:tc>
          <w:tcPr>
            <w:tcW w:w="4250" w:type="dxa"/>
            <w:gridSpan w:val="7"/>
            <w:tcBorders>
              <w:bottom w:val="single" w:sz="24" w:space="0" w:color="FFFFFF"/>
              <w:right w:val="single" w:sz="24" w:space="0" w:color="FFFFFF"/>
            </w:tcBorders>
            <w:shd w:fill="003A5D" w:val="clear"/>
            <w:tcMar>
              <w:bottom w:w="60" w:type="dxa"/>
              <w:right w:w="28" w:type="dxa"/>
            </w:tcMar>
            <w:vAlign w:val="center"/>
          </w:tcPr>
          <w:p>
            <w:pPr>
              <w:pStyle w:val="TableContents"/>
              <w:bidi w:val="0"/>
              <w:spacing w:before="0" w:after="20"/>
              <w:jc w:val="center"/>
              <w:rPr>
                <w:rFonts w:ascii="arial" w:hAnsi="arial"/>
                <w:b/>
                <w:color w:val="FFFFFF"/>
                <w:sz w:val="18"/>
              </w:rPr>
            </w:pPr>
            <w:r>
              <w:rPr>
                <w:rFonts w:ascii="arial" w:hAnsi="arial"/>
                <w:b/>
                <w:color w:val="FFFFFF"/>
                <w:sz w:val="18"/>
              </w:rPr>
              <w:t>Amount and Nature of Beneficial Ownership</w:t>
            </w:r>
          </w:p>
        </w:tc>
        <w:tc>
          <w:tcPr>
            <w:tcW w:w="60" w:type="dxa"/>
            <w:vMerge w:val="restart"/>
            <w:tcBorders/>
            <w:shd w:fill="003A5D" w:val="clear"/>
            <w:vAlign w:val="center"/>
          </w:tcPr>
          <w:p>
            <w:pPr>
              <w:pStyle w:val="TableContents"/>
              <w:bidi w:val="0"/>
              <w:spacing w:before="0" w:after="283"/>
              <w:jc w:val="left"/>
              <w:rPr/>
            </w:pPr>
            <w:r>
              <w:rPr/>
              <w:t> </w:t>
            </w:r>
          </w:p>
        </w:tc>
        <w:tc>
          <w:tcPr>
            <w:tcW w:w="846" w:type="dxa"/>
            <w:vMerge w:val="restart"/>
            <w:tcBorders>
              <w:right w:val="single" w:sz="24"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Stock-</w:t>
              <w:br/>
              <w:t>Settled</w:t>
              <w:br/>
              <w:t>RSUs(2)</w:t>
            </w:r>
          </w:p>
        </w:tc>
        <w:tc>
          <w:tcPr>
            <w:tcW w:w="60" w:type="dxa"/>
            <w:vMerge w:val="restart"/>
            <w:tcBorders/>
            <w:shd w:fill="003A5D" w:val="clear"/>
            <w:vAlign w:val="center"/>
          </w:tcPr>
          <w:p>
            <w:pPr>
              <w:pStyle w:val="TableContents"/>
              <w:bidi w:val="0"/>
              <w:spacing w:before="0" w:after="283"/>
              <w:jc w:val="left"/>
              <w:rPr/>
            </w:pPr>
            <w:r>
              <w:rPr/>
              <w:t> </w:t>
            </w:r>
          </w:p>
        </w:tc>
        <w:tc>
          <w:tcPr>
            <w:tcW w:w="996" w:type="dxa"/>
            <w:vMerge w:val="restart"/>
            <w:tcBorders/>
            <w:shd w:fill="003A5D" w:val="clear"/>
            <w:vAlign w:val="center"/>
          </w:tcPr>
          <w:p>
            <w:pPr>
              <w:pStyle w:val="TableContents"/>
              <w:bidi w:val="0"/>
              <w:spacing w:before="0" w:after="283"/>
              <w:jc w:val="center"/>
              <w:rPr>
                <w:b/>
                <w:color w:val="FFFFFF"/>
              </w:rPr>
            </w:pPr>
            <w:r>
              <w:rPr>
                <w:b/>
                <w:color w:val="FFFFFF"/>
              </w:rPr>
              <w:t>Total(3)</w:t>
            </w:r>
          </w:p>
        </w:tc>
      </w:tr>
      <w:tr>
        <w:trPr/>
        <w:tc>
          <w:tcPr>
            <w:tcW w:w="3933" w:type="dxa"/>
            <w:vMerge w:val="continue"/>
            <w:tcBorders>
              <w:right w:val="single" w:sz="24" w:space="0" w:color="FFFFFF"/>
            </w:tcBorders>
            <w:shd w:fill="003A5D" w:val="clear"/>
            <w:tcMar>
              <w:right w:w="28" w:type="dxa"/>
            </w:tcMar>
            <w:vAlign w:val="center"/>
          </w:tcPr>
          <w:p>
            <w:pPr>
              <w:pStyle w:val="Normal"/>
              <w:bidi w:val="0"/>
              <w:jc w:val="left"/>
              <w:rPr/>
            </w:pPr>
            <w:r>
              <w:rPr/>
            </w:r>
          </w:p>
        </w:tc>
        <w:tc>
          <w:tcPr>
            <w:tcW w:w="60" w:type="dxa"/>
            <w:tcBorders/>
            <w:shd w:fill="003A5D" w:val="clear"/>
            <w:vAlign w:val="center"/>
          </w:tcPr>
          <w:p>
            <w:pPr>
              <w:pStyle w:val="TableContents"/>
              <w:bidi w:val="0"/>
              <w:spacing w:before="0" w:after="283"/>
              <w:jc w:val="left"/>
              <w:rPr/>
            </w:pPr>
            <w:r>
              <w:rPr/>
              <w:t> </w:t>
            </w:r>
          </w:p>
        </w:tc>
        <w:tc>
          <w:tcPr>
            <w:tcW w:w="980" w:type="dxa"/>
            <w:tcBorders>
              <w:right w:val="single" w:sz="24"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Common</w:t>
              <w:br/>
              <w:t>Stock</w:t>
            </w:r>
          </w:p>
        </w:tc>
        <w:tc>
          <w:tcPr>
            <w:tcW w:w="60" w:type="dxa"/>
            <w:tcBorders/>
            <w:shd w:fill="003A5D" w:val="clear"/>
            <w:vAlign w:val="center"/>
          </w:tcPr>
          <w:p>
            <w:pPr>
              <w:pStyle w:val="TableContents"/>
              <w:bidi w:val="0"/>
              <w:spacing w:before="0" w:after="283"/>
              <w:jc w:val="left"/>
              <w:rPr/>
            </w:pPr>
            <w:r>
              <w:rPr/>
              <w:t> </w:t>
            </w:r>
          </w:p>
        </w:tc>
        <w:tc>
          <w:tcPr>
            <w:tcW w:w="890" w:type="dxa"/>
            <w:tcBorders>
              <w:right w:val="single" w:sz="24" w:space="0" w:color="FFFFFF"/>
            </w:tcBorders>
            <w:shd w:fill="003A5D" w:val="clear"/>
            <w:tcMar>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Stock that</w:t>
              <w:br/>
              <w:t>May Be</w:t>
              <w:br/>
              <w:t>Acquired</w:t>
              <w:br/>
              <w:t>within 60</w:t>
              <w:br/>
              <w:t>Days(1)</w:t>
            </w:r>
          </w:p>
        </w:tc>
        <w:tc>
          <w:tcPr>
            <w:tcW w:w="60" w:type="dxa"/>
            <w:tcBorders/>
            <w:shd w:fill="003A5D" w:val="clear"/>
            <w:vAlign w:val="center"/>
          </w:tcPr>
          <w:p>
            <w:pPr>
              <w:pStyle w:val="TableContents"/>
              <w:bidi w:val="0"/>
              <w:spacing w:before="0" w:after="283"/>
              <w:jc w:val="left"/>
              <w:rPr/>
            </w:pPr>
            <w:r>
              <w:rPr/>
              <w:t> </w:t>
            </w:r>
          </w:p>
        </w:tc>
        <w:tc>
          <w:tcPr>
            <w:tcW w:w="1145" w:type="dxa"/>
            <w:tcBorders>
              <w:right w:val="single" w:sz="24"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Total</w:t>
              <w:br/>
              <w:t>Beneficial</w:t>
              <w:br/>
              <w:t>Ownership</w:t>
            </w:r>
          </w:p>
        </w:tc>
        <w:tc>
          <w:tcPr>
            <w:tcW w:w="60" w:type="dxa"/>
            <w:tcBorders/>
            <w:shd w:fill="003A5D" w:val="clear"/>
            <w:vAlign w:val="center"/>
          </w:tcPr>
          <w:p>
            <w:pPr>
              <w:pStyle w:val="TableContents"/>
              <w:bidi w:val="0"/>
              <w:spacing w:before="0" w:after="283"/>
              <w:jc w:val="left"/>
              <w:rPr/>
            </w:pPr>
            <w:r>
              <w:rPr/>
              <w:t> </w:t>
            </w:r>
          </w:p>
        </w:tc>
        <w:tc>
          <w:tcPr>
            <w:tcW w:w="1055" w:type="dxa"/>
            <w:tcBorders>
              <w:right w:val="single" w:sz="24"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Percent of</w:t>
              <w:br/>
              <w:t>Class</w:t>
            </w:r>
          </w:p>
        </w:tc>
        <w:tc>
          <w:tcPr>
            <w:tcW w:w="60" w:type="dxa"/>
            <w:vMerge w:val="continue"/>
            <w:tcBorders/>
            <w:shd w:fill="003A5D" w:val="clear"/>
            <w:vAlign w:val="center"/>
          </w:tcPr>
          <w:p>
            <w:pPr>
              <w:pStyle w:val="Normal"/>
              <w:bidi w:val="0"/>
              <w:jc w:val="left"/>
              <w:rPr/>
            </w:pPr>
            <w:r>
              <w:rPr/>
            </w:r>
          </w:p>
        </w:tc>
        <w:tc>
          <w:tcPr>
            <w:tcW w:w="846" w:type="dxa"/>
            <w:vMerge w:val="continue"/>
            <w:tcBorders>
              <w:right w:val="single" w:sz="24" w:space="0" w:color="FFFFFF"/>
            </w:tcBorders>
            <w:shd w:fill="003A5D" w:val="clear"/>
            <w:tcMar>
              <w:right w:w="28" w:type="dxa"/>
            </w:tcMar>
            <w:vAlign w:val="center"/>
          </w:tcPr>
          <w:p>
            <w:pPr>
              <w:pStyle w:val="Normal"/>
              <w:bidi w:val="0"/>
              <w:jc w:val="left"/>
              <w:rPr/>
            </w:pPr>
            <w:r>
              <w:rPr/>
            </w:r>
          </w:p>
        </w:tc>
        <w:tc>
          <w:tcPr>
            <w:tcW w:w="60" w:type="dxa"/>
            <w:vMerge w:val="continue"/>
            <w:tcBorders/>
            <w:shd w:fill="003A5D" w:val="clear"/>
            <w:vAlign w:val="center"/>
          </w:tcPr>
          <w:p>
            <w:pPr>
              <w:pStyle w:val="Normal"/>
              <w:bidi w:val="0"/>
              <w:jc w:val="left"/>
              <w:rPr/>
            </w:pPr>
            <w:r>
              <w:rPr/>
            </w:r>
          </w:p>
        </w:tc>
        <w:tc>
          <w:tcPr>
            <w:tcW w:w="996" w:type="dxa"/>
            <w:vMerge w:val="continue"/>
            <w:tcBorders/>
            <w:shd w:fill="003A5D" w:val="clear"/>
            <w:vAlign w:val="center"/>
          </w:tcPr>
          <w:p>
            <w:pPr>
              <w:pStyle w:val="Normal"/>
              <w:bidi w:val="0"/>
              <w:jc w:val="left"/>
              <w:rPr/>
            </w:pPr>
            <w:r>
              <w:rPr/>
            </w:r>
          </w:p>
        </w:tc>
      </w:tr>
      <w:tr>
        <w:trPr/>
        <w:tc>
          <w:tcPr>
            <w:tcW w:w="3933" w:type="dxa"/>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040"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950"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205"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115"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906"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056"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r>
      <w:tr>
        <w:trPr/>
        <w:tc>
          <w:tcPr>
            <w:tcW w:w="393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Richard D. Fairbank</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98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3,771,550</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9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430,139</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4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4,201,689</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1.10%</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46"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996" w:type="dxa"/>
            <w:tcBorders>
              <w:bottom w:val="single" w:sz="8" w:space="0" w:color="003A5D"/>
            </w:tcBorders>
            <w:shd w:fill="E5EBEE" w:val="clear"/>
            <w:tcMar>
              <w:bottom w:w="60" w:type="dxa"/>
            </w:tcMar>
            <w:vAlign w:val="center"/>
          </w:tcPr>
          <w:p>
            <w:pPr>
              <w:pStyle w:val="TableContents"/>
              <w:bidi w:val="0"/>
              <w:spacing w:before="0" w:after="283"/>
              <w:jc w:val="center"/>
              <w:rPr/>
            </w:pPr>
            <w:r>
              <w:rPr/>
              <w:t>4,201,689</w:t>
            </w:r>
          </w:p>
        </w:tc>
      </w:tr>
      <w:tr>
        <w:trPr/>
        <w:tc>
          <w:tcPr>
            <w:tcW w:w="3933" w:type="dxa"/>
            <w:tcBorders>
              <w:right w:val="single" w:sz="24" w:space="0" w:color="FFFFFF"/>
            </w:tcBorders>
            <w:tcMar>
              <w:right w:w="28" w:type="dxa"/>
            </w:tcMar>
            <w:vAlign w:val="center"/>
          </w:tcPr>
          <w:p>
            <w:pPr>
              <w:pStyle w:val="TableContents"/>
              <w:bidi w:val="0"/>
              <w:spacing w:before="0" w:after="283"/>
              <w:jc w:val="left"/>
              <w:rPr/>
            </w:pPr>
            <w:r>
              <w:rPr/>
              <w:t> </w:t>
            </w:r>
          </w:p>
        </w:tc>
        <w:tc>
          <w:tcPr>
            <w:tcW w:w="1040"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950"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20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11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906"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056" w:type="dxa"/>
            <w:gridSpan w:val="2"/>
            <w:tcBorders/>
            <w:vAlign w:val="center"/>
          </w:tcPr>
          <w:p>
            <w:pPr>
              <w:pStyle w:val="TableContents"/>
              <w:bidi w:val="0"/>
              <w:spacing w:before="0" w:after="283"/>
              <w:jc w:val="left"/>
              <w:rPr>
                <w:sz w:val="4"/>
                <w:szCs w:val="4"/>
              </w:rPr>
            </w:pPr>
            <w:r>
              <w:rPr>
                <w:sz w:val="4"/>
                <w:szCs w:val="4"/>
              </w:rPr>
            </w:r>
          </w:p>
        </w:tc>
      </w:tr>
      <w:tr>
        <w:trPr/>
        <w:tc>
          <w:tcPr>
            <w:tcW w:w="3933"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Andrew M. Young</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980"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10,545</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90"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45"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10,545</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46"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25,053</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996" w:type="dxa"/>
            <w:tcBorders>
              <w:bottom w:val="single" w:sz="8" w:space="0" w:color="003A5D"/>
            </w:tcBorders>
            <w:tcMar>
              <w:bottom w:w="60" w:type="dxa"/>
            </w:tcMar>
            <w:vAlign w:val="center"/>
          </w:tcPr>
          <w:p>
            <w:pPr>
              <w:pStyle w:val="TableContents"/>
              <w:bidi w:val="0"/>
              <w:spacing w:before="0" w:after="283"/>
              <w:jc w:val="center"/>
              <w:rPr/>
            </w:pPr>
            <w:r>
              <w:rPr/>
              <w:t>35,598</w:t>
            </w:r>
          </w:p>
        </w:tc>
      </w:tr>
      <w:tr>
        <w:trPr/>
        <w:tc>
          <w:tcPr>
            <w:tcW w:w="3933" w:type="dxa"/>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040"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950"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205"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115"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906"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056"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r>
      <w:tr>
        <w:trPr/>
        <w:tc>
          <w:tcPr>
            <w:tcW w:w="393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Frank G. LaPrade, III</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98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18,646</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9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4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18,646</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46"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35,541</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996" w:type="dxa"/>
            <w:tcBorders>
              <w:bottom w:val="single" w:sz="8" w:space="0" w:color="003A5D"/>
            </w:tcBorders>
            <w:shd w:fill="E5EBEE" w:val="clear"/>
            <w:tcMar>
              <w:bottom w:w="60" w:type="dxa"/>
            </w:tcMar>
            <w:vAlign w:val="center"/>
          </w:tcPr>
          <w:p>
            <w:pPr>
              <w:pStyle w:val="TableContents"/>
              <w:bidi w:val="0"/>
              <w:spacing w:before="0" w:after="283"/>
              <w:jc w:val="center"/>
              <w:rPr/>
            </w:pPr>
            <w:r>
              <w:rPr/>
              <w:t>54,187</w:t>
            </w:r>
          </w:p>
        </w:tc>
      </w:tr>
      <w:tr>
        <w:trPr/>
        <w:tc>
          <w:tcPr>
            <w:tcW w:w="3933" w:type="dxa"/>
            <w:tcBorders>
              <w:right w:val="single" w:sz="24" w:space="0" w:color="FFFFFF"/>
            </w:tcBorders>
            <w:tcMar>
              <w:right w:w="28" w:type="dxa"/>
            </w:tcMar>
            <w:vAlign w:val="center"/>
          </w:tcPr>
          <w:p>
            <w:pPr>
              <w:pStyle w:val="TableContents"/>
              <w:bidi w:val="0"/>
              <w:spacing w:before="0" w:after="283"/>
              <w:jc w:val="left"/>
              <w:rPr/>
            </w:pPr>
            <w:r>
              <w:rPr/>
              <w:t> </w:t>
            </w:r>
          </w:p>
        </w:tc>
        <w:tc>
          <w:tcPr>
            <w:tcW w:w="1040"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950"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20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11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906"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056" w:type="dxa"/>
            <w:gridSpan w:val="2"/>
            <w:tcBorders/>
            <w:vAlign w:val="center"/>
          </w:tcPr>
          <w:p>
            <w:pPr>
              <w:pStyle w:val="TableContents"/>
              <w:bidi w:val="0"/>
              <w:spacing w:before="0" w:after="283"/>
              <w:jc w:val="left"/>
              <w:rPr>
                <w:sz w:val="4"/>
                <w:szCs w:val="4"/>
              </w:rPr>
            </w:pPr>
            <w:r>
              <w:rPr>
                <w:sz w:val="4"/>
                <w:szCs w:val="4"/>
              </w:rPr>
            </w:r>
          </w:p>
        </w:tc>
      </w:tr>
      <w:tr>
        <w:trPr/>
        <w:tc>
          <w:tcPr>
            <w:tcW w:w="3933"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Matthew W. Cooper</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980"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45,585</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90"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45"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45,585</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46"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29,145</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996" w:type="dxa"/>
            <w:tcBorders>
              <w:bottom w:val="single" w:sz="8" w:space="0" w:color="003A5D"/>
            </w:tcBorders>
            <w:tcMar>
              <w:bottom w:w="60" w:type="dxa"/>
            </w:tcMar>
            <w:vAlign w:val="center"/>
          </w:tcPr>
          <w:p>
            <w:pPr>
              <w:pStyle w:val="TableContents"/>
              <w:bidi w:val="0"/>
              <w:spacing w:before="0" w:after="283"/>
              <w:jc w:val="center"/>
              <w:rPr/>
            </w:pPr>
            <w:r>
              <w:rPr/>
              <w:t>74,730</w:t>
            </w:r>
          </w:p>
        </w:tc>
      </w:tr>
      <w:tr>
        <w:trPr/>
        <w:tc>
          <w:tcPr>
            <w:tcW w:w="3933" w:type="dxa"/>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040"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950"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205"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115"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906"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056"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r>
      <w:tr>
        <w:trPr/>
        <w:tc>
          <w:tcPr>
            <w:tcW w:w="393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Sanjiv Yajnik</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98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95,490</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9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4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95,490</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46"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32,038</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996" w:type="dxa"/>
            <w:tcBorders>
              <w:bottom w:val="single" w:sz="8" w:space="0" w:color="003A5D"/>
            </w:tcBorders>
            <w:shd w:fill="E5EBEE" w:val="clear"/>
            <w:tcMar>
              <w:bottom w:w="60" w:type="dxa"/>
            </w:tcMar>
            <w:vAlign w:val="center"/>
          </w:tcPr>
          <w:p>
            <w:pPr>
              <w:pStyle w:val="TableContents"/>
              <w:bidi w:val="0"/>
              <w:spacing w:before="0" w:after="283"/>
              <w:jc w:val="center"/>
              <w:rPr/>
            </w:pPr>
            <w:r>
              <w:rPr/>
              <w:t>127,528</w:t>
            </w:r>
          </w:p>
        </w:tc>
      </w:tr>
      <w:tr>
        <w:trPr/>
        <w:tc>
          <w:tcPr>
            <w:tcW w:w="3933" w:type="dxa"/>
            <w:tcBorders>
              <w:right w:val="single" w:sz="24" w:space="0" w:color="FFFFFF"/>
            </w:tcBorders>
            <w:tcMar>
              <w:right w:w="28" w:type="dxa"/>
            </w:tcMar>
            <w:vAlign w:val="center"/>
          </w:tcPr>
          <w:p>
            <w:pPr>
              <w:pStyle w:val="TableContents"/>
              <w:bidi w:val="0"/>
              <w:spacing w:before="0" w:after="283"/>
              <w:jc w:val="left"/>
              <w:rPr/>
            </w:pPr>
            <w:r>
              <w:rPr/>
              <w:t> </w:t>
            </w:r>
          </w:p>
        </w:tc>
        <w:tc>
          <w:tcPr>
            <w:tcW w:w="1040"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950"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20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11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906"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056" w:type="dxa"/>
            <w:gridSpan w:val="2"/>
            <w:tcBorders/>
            <w:vAlign w:val="center"/>
          </w:tcPr>
          <w:p>
            <w:pPr>
              <w:pStyle w:val="TableContents"/>
              <w:bidi w:val="0"/>
              <w:spacing w:before="0" w:after="283"/>
              <w:jc w:val="left"/>
              <w:rPr>
                <w:sz w:val="4"/>
                <w:szCs w:val="4"/>
              </w:rPr>
            </w:pPr>
            <w:r>
              <w:rPr>
                <w:sz w:val="4"/>
                <w:szCs w:val="4"/>
              </w:rPr>
            </w:r>
          </w:p>
        </w:tc>
      </w:tr>
      <w:tr>
        <w:trPr/>
        <w:tc>
          <w:tcPr>
            <w:tcW w:w="3933"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Ime Archibong</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980"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90"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7,377</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45"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7,377</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46"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996" w:type="dxa"/>
            <w:tcBorders>
              <w:bottom w:val="single" w:sz="8" w:space="0" w:color="003A5D"/>
            </w:tcBorders>
            <w:tcMar>
              <w:bottom w:w="60" w:type="dxa"/>
            </w:tcMar>
            <w:vAlign w:val="center"/>
          </w:tcPr>
          <w:p>
            <w:pPr>
              <w:pStyle w:val="TableContents"/>
              <w:bidi w:val="0"/>
              <w:spacing w:before="0" w:after="283"/>
              <w:jc w:val="center"/>
              <w:rPr/>
            </w:pPr>
            <w:r>
              <w:rPr/>
              <w:t>7,377</w:t>
            </w:r>
          </w:p>
        </w:tc>
      </w:tr>
      <w:tr>
        <w:trPr/>
        <w:tc>
          <w:tcPr>
            <w:tcW w:w="3933" w:type="dxa"/>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040"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950"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205"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115"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906"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056"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r>
      <w:tr>
        <w:trPr/>
        <w:tc>
          <w:tcPr>
            <w:tcW w:w="393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Christine Detrick</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98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9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6,369</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4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6,369</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46"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996" w:type="dxa"/>
            <w:tcBorders>
              <w:bottom w:val="single" w:sz="8" w:space="0" w:color="003A5D"/>
            </w:tcBorders>
            <w:shd w:fill="E5EBEE" w:val="clear"/>
            <w:tcMar>
              <w:bottom w:w="60" w:type="dxa"/>
            </w:tcMar>
            <w:vAlign w:val="center"/>
          </w:tcPr>
          <w:p>
            <w:pPr>
              <w:pStyle w:val="TableContents"/>
              <w:bidi w:val="0"/>
              <w:spacing w:before="0" w:after="283"/>
              <w:jc w:val="center"/>
              <w:rPr/>
            </w:pPr>
            <w:r>
              <w:rPr/>
              <w:t>6,369</w:t>
            </w:r>
          </w:p>
        </w:tc>
      </w:tr>
      <w:tr>
        <w:trPr/>
        <w:tc>
          <w:tcPr>
            <w:tcW w:w="3933" w:type="dxa"/>
            <w:tcBorders>
              <w:right w:val="single" w:sz="24" w:space="0" w:color="FFFFFF"/>
            </w:tcBorders>
            <w:tcMar>
              <w:right w:w="28" w:type="dxa"/>
            </w:tcMar>
            <w:vAlign w:val="center"/>
          </w:tcPr>
          <w:p>
            <w:pPr>
              <w:pStyle w:val="TableContents"/>
              <w:bidi w:val="0"/>
              <w:spacing w:before="0" w:after="283"/>
              <w:jc w:val="left"/>
              <w:rPr/>
            </w:pPr>
            <w:r>
              <w:rPr/>
              <w:t> </w:t>
            </w:r>
          </w:p>
        </w:tc>
        <w:tc>
          <w:tcPr>
            <w:tcW w:w="1040"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950"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20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11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906"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056" w:type="dxa"/>
            <w:gridSpan w:val="2"/>
            <w:tcBorders/>
            <w:vAlign w:val="center"/>
          </w:tcPr>
          <w:p>
            <w:pPr>
              <w:pStyle w:val="TableContents"/>
              <w:bidi w:val="0"/>
              <w:spacing w:before="0" w:after="283"/>
              <w:jc w:val="left"/>
              <w:rPr>
                <w:sz w:val="4"/>
                <w:szCs w:val="4"/>
              </w:rPr>
            </w:pPr>
            <w:r>
              <w:rPr>
                <w:sz w:val="4"/>
                <w:szCs w:val="4"/>
              </w:rPr>
            </w:r>
          </w:p>
        </w:tc>
      </w:tr>
      <w:tr>
        <w:trPr/>
        <w:tc>
          <w:tcPr>
            <w:tcW w:w="3933"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Ann Fritz Hackett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980"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650</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90"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55,988</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45"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56,638</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46"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996" w:type="dxa"/>
            <w:tcBorders>
              <w:bottom w:val="single" w:sz="8" w:space="0" w:color="003A5D"/>
            </w:tcBorders>
            <w:tcMar>
              <w:bottom w:w="60" w:type="dxa"/>
            </w:tcMar>
            <w:vAlign w:val="center"/>
          </w:tcPr>
          <w:p>
            <w:pPr>
              <w:pStyle w:val="TableContents"/>
              <w:bidi w:val="0"/>
              <w:spacing w:before="0" w:after="283"/>
              <w:jc w:val="center"/>
              <w:rPr/>
            </w:pPr>
            <w:r>
              <w:rPr/>
              <w:t>56,638</w:t>
            </w:r>
          </w:p>
        </w:tc>
      </w:tr>
      <w:tr>
        <w:trPr/>
        <w:tc>
          <w:tcPr>
            <w:tcW w:w="3933" w:type="dxa"/>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040"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950"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205"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115"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906"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056"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r>
      <w:tr>
        <w:trPr/>
        <w:tc>
          <w:tcPr>
            <w:tcW w:w="393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Suni P. Harford(4)</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98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9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1,779</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4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1,779</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46"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996" w:type="dxa"/>
            <w:tcBorders>
              <w:bottom w:val="single" w:sz="8" w:space="0" w:color="003A5D"/>
            </w:tcBorders>
            <w:shd w:fill="E5EBEE" w:val="clear"/>
            <w:tcMar>
              <w:bottom w:w="60" w:type="dxa"/>
            </w:tcMar>
            <w:vAlign w:val="center"/>
          </w:tcPr>
          <w:p>
            <w:pPr>
              <w:pStyle w:val="TableContents"/>
              <w:bidi w:val="0"/>
              <w:spacing w:before="0" w:after="283"/>
              <w:jc w:val="center"/>
              <w:rPr/>
            </w:pPr>
            <w:r>
              <w:rPr/>
              <w:t>1,779</w:t>
            </w:r>
          </w:p>
        </w:tc>
      </w:tr>
      <w:tr>
        <w:trPr/>
        <w:tc>
          <w:tcPr>
            <w:tcW w:w="3933" w:type="dxa"/>
            <w:tcBorders>
              <w:right w:val="single" w:sz="24" w:space="0" w:color="FFFFFF"/>
            </w:tcBorders>
            <w:tcMar>
              <w:right w:w="28" w:type="dxa"/>
            </w:tcMar>
            <w:vAlign w:val="center"/>
          </w:tcPr>
          <w:p>
            <w:pPr>
              <w:pStyle w:val="TableContents"/>
              <w:bidi w:val="0"/>
              <w:spacing w:before="0" w:after="283"/>
              <w:jc w:val="left"/>
              <w:rPr/>
            </w:pPr>
            <w:r>
              <w:rPr/>
              <w:t> </w:t>
            </w:r>
          </w:p>
        </w:tc>
        <w:tc>
          <w:tcPr>
            <w:tcW w:w="1040"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950"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20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11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906"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056" w:type="dxa"/>
            <w:gridSpan w:val="2"/>
            <w:tcBorders/>
            <w:vAlign w:val="center"/>
          </w:tcPr>
          <w:p>
            <w:pPr>
              <w:pStyle w:val="TableContents"/>
              <w:bidi w:val="0"/>
              <w:spacing w:before="0" w:after="283"/>
              <w:jc w:val="left"/>
              <w:rPr>
                <w:sz w:val="4"/>
                <w:szCs w:val="4"/>
              </w:rPr>
            </w:pPr>
            <w:r>
              <w:rPr>
                <w:sz w:val="4"/>
                <w:szCs w:val="4"/>
              </w:rPr>
            </w:r>
          </w:p>
        </w:tc>
      </w:tr>
      <w:tr>
        <w:trPr/>
        <w:tc>
          <w:tcPr>
            <w:tcW w:w="3933"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Peter Thomas Killalea</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980"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90"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18,778</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45"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18,778</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46"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996" w:type="dxa"/>
            <w:tcBorders>
              <w:bottom w:val="single" w:sz="8" w:space="0" w:color="003A5D"/>
            </w:tcBorders>
            <w:tcMar>
              <w:bottom w:w="60" w:type="dxa"/>
            </w:tcMar>
            <w:vAlign w:val="center"/>
          </w:tcPr>
          <w:p>
            <w:pPr>
              <w:pStyle w:val="TableContents"/>
              <w:bidi w:val="0"/>
              <w:spacing w:before="0" w:after="283"/>
              <w:jc w:val="center"/>
              <w:rPr/>
            </w:pPr>
            <w:r>
              <w:rPr/>
              <w:t>18,778</w:t>
            </w:r>
          </w:p>
        </w:tc>
      </w:tr>
      <w:tr>
        <w:trPr/>
        <w:tc>
          <w:tcPr>
            <w:tcW w:w="3933" w:type="dxa"/>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040"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950"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205"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115"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906"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056"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r>
      <w:tr>
        <w:trPr/>
        <w:tc>
          <w:tcPr>
            <w:tcW w:w="393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Eli Leenaars</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98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9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12,657</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4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12,657</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46"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996" w:type="dxa"/>
            <w:tcBorders>
              <w:bottom w:val="single" w:sz="8" w:space="0" w:color="003A5D"/>
            </w:tcBorders>
            <w:shd w:fill="E5EBEE" w:val="clear"/>
            <w:tcMar>
              <w:bottom w:w="60" w:type="dxa"/>
            </w:tcMar>
            <w:vAlign w:val="center"/>
          </w:tcPr>
          <w:p>
            <w:pPr>
              <w:pStyle w:val="TableContents"/>
              <w:bidi w:val="0"/>
              <w:spacing w:before="0" w:after="283"/>
              <w:jc w:val="center"/>
              <w:rPr/>
            </w:pPr>
            <w:r>
              <w:rPr/>
              <w:t>12,657</w:t>
            </w:r>
          </w:p>
        </w:tc>
      </w:tr>
      <w:tr>
        <w:trPr/>
        <w:tc>
          <w:tcPr>
            <w:tcW w:w="3933" w:type="dxa"/>
            <w:tcBorders>
              <w:right w:val="single" w:sz="24" w:space="0" w:color="FFFFFF"/>
            </w:tcBorders>
            <w:tcMar>
              <w:right w:w="28" w:type="dxa"/>
            </w:tcMar>
            <w:vAlign w:val="center"/>
          </w:tcPr>
          <w:p>
            <w:pPr>
              <w:pStyle w:val="TableContents"/>
              <w:bidi w:val="0"/>
              <w:spacing w:before="0" w:after="283"/>
              <w:jc w:val="left"/>
              <w:rPr/>
            </w:pPr>
            <w:r>
              <w:rPr/>
              <w:t> </w:t>
            </w:r>
          </w:p>
        </w:tc>
        <w:tc>
          <w:tcPr>
            <w:tcW w:w="1040"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950"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20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11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906"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056" w:type="dxa"/>
            <w:gridSpan w:val="2"/>
            <w:tcBorders/>
            <w:vAlign w:val="center"/>
          </w:tcPr>
          <w:p>
            <w:pPr>
              <w:pStyle w:val="TableContents"/>
              <w:bidi w:val="0"/>
              <w:spacing w:before="0" w:after="283"/>
              <w:jc w:val="left"/>
              <w:rPr>
                <w:sz w:val="4"/>
                <w:szCs w:val="4"/>
              </w:rPr>
            </w:pPr>
            <w:r>
              <w:rPr>
                <w:sz w:val="4"/>
                <w:szCs w:val="4"/>
              </w:rPr>
            </w:r>
          </w:p>
        </w:tc>
      </w:tr>
      <w:tr>
        <w:trPr/>
        <w:tc>
          <w:tcPr>
            <w:tcW w:w="3933"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François Locoh-Donou</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980"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90"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12,225</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45"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12,225</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46"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996" w:type="dxa"/>
            <w:tcBorders>
              <w:bottom w:val="single" w:sz="8" w:space="0" w:color="003A5D"/>
            </w:tcBorders>
            <w:tcMar>
              <w:bottom w:w="60" w:type="dxa"/>
            </w:tcMar>
            <w:vAlign w:val="center"/>
          </w:tcPr>
          <w:p>
            <w:pPr>
              <w:pStyle w:val="TableContents"/>
              <w:bidi w:val="0"/>
              <w:spacing w:before="0" w:after="283"/>
              <w:jc w:val="center"/>
              <w:rPr/>
            </w:pPr>
            <w:r>
              <w:rPr/>
              <w:t>12,225</w:t>
            </w:r>
          </w:p>
        </w:tc>
      </w:tr>
      <w:tr>
        <w:trPr/>
        <w:tc>
          <w:tcPr>
            <w:tcW w:w="3933" w:type="dxa"/>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040"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950"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205"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115"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906"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056"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r>
      <w:tr>
        <w:trPr/>
        <w:tc>
          <w:tcPr>
            <w:tcW w:w="393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Peter E. Raskind</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98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2,000</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9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29,819</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4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31,819</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46"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996" w:type="dxa"/>
            <w:tcBorders>
              <w:bottom w:val="single" w:sz="8" w:space="0" w:color="003A5D"/>
            </w:tcBorders>
            <w:shd w:fill="E5EBEE" w:val="clear"/>
            <w:tcMar>
              <w:bottom w:w="60" w:type="dxa"/>
            </w:tcMar>
            <w:vAlign w:val="center"/>
          </w:tcPr>
          <w:p>
            <w:pPr>
              <w:pStyle w:val="TableContents"/>
              <w:bidi w:val="0"/>
              <w:spacing w:before="0" w:after="283"/>
              <w:jc w:val="center"/>
              <w:rPr/>
            </w:pPr>
            <w:r>
              <w:rPr/>
              <w:t>31,819</w:t>
            </w:r>
          </w:p>
        </w:tc>
      </w:tr>
      <w:tr>
        <w:trPr/>
        <w:tc>
          <w:tcPr>
            <w:tcW w:w="3933" w:type="dxa"/>
            <w:tcBorders>
              <w:right w:val="single" w:sz="24" w:space="0" w:color="FFFFFF"/>
            </w:tcBorders>
            <w:tcMar>
              <w:right w:w="28" w:type="dxa"/>
            </w:tcMar>
            <w:vAlign w:val="center"/>
          </w:tcPr>
          <w:p>
            <w:pPr>
              <w:pStyle w:val="TableContents"/>
              <w:bidi w:val="0"/>
              <w:spacing w:before="0" w:after="283"/>
              <w:jc w:val="left"/>
              <w:rPr/>
            </w:pPr>
            <w:r>
              <w:rPr/>
              <w:t> </w:t>
            </w:r>
          </w:p>
        </w:tc>
        <w:tc>
          <w:tcPr>
            <w:tcW w:w="1040"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950"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20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11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906"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056" w:type="dxa"/>
            <w:gridSpan w:val="2"/>
            <w:tcBorders/>
            <w:vAlign w:val="center"/>
          </w:tcPr>
          <w:p>
            <w:pPr>
              <w:pStyle w:val="TableContents"/>
              <w:bidi w:val="0"/>
              <w:spacing w:before="0" w:after="283"/>
              <w:jc w:val="left"/>
              <w:rPr>
                <w:sz w:val="4"/>
                <w:szCs w:val="4"/>
              </w:rPr>
            </w:pPr>
            <w:r>
              <w:rPr>
                <w:sz w:val="4"/>
                <w:szCs w:val="4"/>
              </w:rPr>
            </w:r>
          </w:p>
        </w:tc>
      </w:tr>
      <w:tr>
        <w:trPr/>
        <w:tc>
          <w:tcPr>
            <w:tcW w:w="3933"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Eileen Serra</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980"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90"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10,267</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45"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10,267</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46"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996" w:type="dxa"/>
            <w:tcBorders>
              <w:bottom w:val="single" w:sz="8" w:space="0" w:color="003A5D"/>
            </w:tcBorders>
            <w:tcMar>
              <w:bottom w:w="60" w:type="dxa"/>
            </w:tcMar>
            <w:vAlign w:val="center"/>
          </w:tcPr>
          <w:p>
            <w:pPr>
              <w:pStyle w:val="TableContents"/>
              <w:bidi w:val="0"/>
              <w:spacing w:before="0" w:after="283"/>
              <w:jc w:val="center"/>
              <w:rPr/>
            </w:pPr>
            <w:r>
              <w:rPr/>
              <w:t>10,267</w:t>
            </w:r>
          </w:p>
        </w:tc>
      </w:tr>
      <w:tr>
        <w:trPr/>
        <w:tc>
          <w:tcPr>
            <w:tcW w:w="3933" w:type="dxa"/>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040"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950"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205"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115"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906"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056"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r>
      <w:tr>
        <w:trPr/>
        <w:tc>
          <w:tcPr>
            <w:tcW w:w="393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Mayo A. Shattuck III</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98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8,965</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9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55,988</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4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64,953</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46"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996" w:type="dxa"/>
            <w:tcBorders>
              <w:bottom w:val="single" w:sz="8" w:space="0" w:color="003A5D"/>
            </w:tcBorders>
            <w:shd w:fill="E5EBEE" w:val="clear"/>
            <w:tcMar>
              <w:bottom w:w="60" w:type="dxa"/>
            </w:tcMar>
            <w:vAlign w:val="center"/>
          </w:tcPr>
          <w:p>
            <w:pPr>
              <w:pStyle w:val="TableContents"/>
              <w:bidi w:val="0"/>
              <w:spacing w:before="0" w:after="283"/>
              <w:jc w:val="center"/>
              <w:rPr/>
            </w:pPr>
            <w:r>
              <w:rPr/>
              <w:t>64,953</w:t>
            </w:r>
          </w:p>
        </w:tc>
      </w:tr>
      <w:tr>
        <w:trPr/>
        <w:tc>
          <w:tcPr>
            <w:tcW w:w="3933" w:type="dxa"/>
            <w:tcBorders>
              <w:right w:val="single" w:sz="24" w:space="0" w:color="FFFFFF"/>
            </w:tcBorders>
            <w:tcMar>
              <w:right w:w="28" w:type="dxa"/>
            </w:tcMar>
            <w:vAlign w:val="center"/>
          </w:tcPr>
          <w:p>
            <w:pPr>
              <w:pStyle w:val="TableContents"/>
              <w:bidi w:val="0"/>
              <w:spacing w:before="0" w:after="283"/>
              <w:jc w:val="left"/>
              <w:rPr/>
            </w:pPr>
            <w:r>
              <w:rPr/>
              <w:t> </w:t>
            </w:r>
          </w:p>
        </w:tc>
        <w:tc>
          <w:tcPr>
            <w:tcW w:w="1040"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950"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20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11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906"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056" w:type="dxa"/>
            <w:gridSpan w:val="2"/>
            <w:tcBorders/>
            <w:vAlign w:val="center"/>
          </w:tcPr>
          <w:p>
            <w:pPr>
              <w:pStyle w:val="TableContents"/>
              <w:bidi w:val="0"/>
              <w:spacing w:before="0" w:after="283"/>
              <w:jc w:val="left"/>
              <w:rPr>
                <w:sz w:val="4"/>
                <w:szCs w:val="4"/>
              </w:rPr>
            </w:pPr>
            <w:r>
              <w:rPr>
                <w:sz w:val="4"/>
                <w:szCs w:val="4"/>
              </w:rPr>
            </w:r>
          </w:p>
        </w:tc>
      </w:tr>
      <w:tr>
        <w:trPr/>
        <w:tc>
          <w:tcPr>
            <w:tcW w:w="3933"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Craig Anthony Williams</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980"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243</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90"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7,377</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45"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7,620</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46"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996" w:type="dxa"/>
            <w:tcBorders>
              <w:bottom w:val="single" w:sz="8" w:space="0" w:color="003A5D"/>
            </w:tcBorders>
            <w:tcMar>
              <w:bottom w:w="60" w:type="dxa"/>
            </w:tcMar>
            <w:vAlign w:val="center"/>
          </w:tcPr>
          <w:p>
            <w:pPr>
              <w:pStyle w:val="TableContents"/>
              <w:bidi w:val="0"/>
              <w:spacing w:before="0" w:after="283"/>
              <w:jc w:val="center"/>
              <w:rPr/>
            </w:pPr>
            <w:r>
              <w:rPr/>
              <w:t>7,620</w:t>
            </w:r>
          </w:p>
        </w:tc>
      </w:tr>
      <w:tr>
        <w:trPr/>
        <w:tc>
          <w:tcPr>
            <w:tcW w:w="3933" w:type="dxa"/>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040"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950"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205"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115"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906"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056"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3933"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pPr>
            <w:r>
              <w:rPr/>
              <w:t>All directors and executive officers as a group (25 persons)</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98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4,160,492</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9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648,763</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4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4,809,255</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1.26%</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46"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331,290</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996" w:type="dxa"/>
            <w:tcBorders>
              <w:bottom w:val="single" w:sz="8" w:space="0" w:color="003A5D"/>
            </w:tcBorders>
            <w:shd w:fill="E5EBEE" w:val="clear"/>
            <w:tcMar>
              <w:bottom w:w="60" w:type="dxa"/>
            </w:tcMar>
            <w:vAlign w:val="center"/>
          </w:tcPr>
          <w:p>
            <w:pPr>
              <w:pStyle w:val="TableContents"/>
              <w:bidi w:val="0"/>
              <w:spacing w:before="0" w:after="283"/>
              <w:jc w:val="center"/>
              <w:rPr/>
            </w:pPr>
            <w:r>
              <w:rPr/>
              <w:t>5,140,545</w:t>
            </w:r>
          </w:p>
        </w:tc>
      </w:tr>
    </w:tbl>
    <w:p>
      <w:pPr>
        <w:pStyle w:val="TextBody"/>
        <w:pBdr>
          <w:bottom w:val="single" w:sz="2" w:space="1" w:color="000000"/>
        </w:pBdr>
        <w:bidi w:val="0"/>
        <w:spacing w:lineRule="atLeast" w:line="160" w:before="0" w:after="40"/>
        <w:jc w:val="left"/>
        <w:rPr/>
      </w:pPr>
      <w:r>
        <w:rPr/>
        <w:t> </w:t>
      </w:r>
    </w:p>
    <w:tbl>
      <w:tblPr>
        <w:tblW w:w="4480" w:type="dxa"/>
        <w:jc w:val="left"/>
        <w:tblInd w:w="0" w:type="dxa"/>
        <w:tblLayout w:type="fixed"/>
        <w:tblCellMar>
          <w:top w:w="0" w:type="dxa"/>
          <w:left w:w="0" w:type="dxa"/>
          <w:bottom w:w="0" w:type="dxa"/>
          <w:right w:w="0" w:type="dxa"/>
        </w:tblCellMar>
      </w:tblPr>
      <w:tblGrid>
        <w:gridCol w:w="155"/>
        <w:gridCol w:w="4325"/>
      </w:tblGrid>
      <w:tr>
        <w:trPr/>
        <w:tc>
          <w:tcPr>
            <w:tcW w:w="155"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0"/>
              <w:jc w:val="both"/>
              <w:rPr>
                <w:rFonts w:ascii="arial" w:hAnsi="arial"/>
                <w:sz w:val="16"/>
              </w:rPr>
            </w:pPr>
            <w:r>
              <w:rPr>
                <w:rFonts w:ascii="arial" w:hAnsi="arial"/>
                <w:sz w:val="16"/>
              </w:rPr>
              <w:t xml:space="preserve">Less than 1% of the outstanding shares of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both"/>
              <w:rPr>
                <w:rFonts w:ascii="arial" w:hAnsi="arial"/>
                <w:sz w:val="16"/>
              </w:rPr>
            </w:pPr>
            <w:r>
              <w:rPr>
                <w:rFonts w:ascii="arial" w:hAnsi="arial"/>
                <w:sz w:val="16"/>
              </w:rPr>
              <w:t xml:space="preserve">This amount includes shares underlying stock options that are exercisable within 60 days after February 4, 2025, and RSUs for which delivery of the shares of common stock underlying the stock units is deferred until the director’s service with the Board ends or, for Mr. Fairbank, his employment with the Company ends.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(2)</w:t>
            </w:r>
          </w:p>
        </w:tc>
        <w:tc>
          <w:tcPr>
            <w:tcW w:w="9922" w:type="dxa"/>
            <w:tcBorders/>
            <w:vAlign w:val="center"/>
          </w:tcPr>
          <w:p>
            <w:pPr>
              <w:pStyle w:val="TableContents"/>
              <w:bidi w:val="0"/>
              <w:spacing w:before="0" w:after="0"/>
              <w:jc w:val="both"/>
              <w:rPr>
                <w:rFonts w:ascii="arial" w:hAnsi="arial"/>
                <w:sz w:val="16"/>
              </w:rPr>
            </w:pPr>
            <w:r>
              <w:rPr>
                <w:rFonts w:ascii="arial" w:hAnsi="arial"/>
                <w:sz w:val="16"/>
              </w:rPr>
              <w:t xml:space="preserve">RSUs held by our officers, and which are settled in an equivalent number of shares of our common stock upon vesting. Represents unvested stock-settled RSUs as of February 4, 2025.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305"/>
        <w:gridCol w:w="8930"/>
      </w:tblGrid>
      <w:tr>
        <w:trPr/>
        <w:tc>
          <w:tcPr>
            <w:tcW w:w="305" w:type="dxa"/>
            <w:tcBorders/>
            <w:vAlign w:val="center"/>
          </w:tcPr>
          <w:p>
            <w:pPr>
              <w:pStyle w:val="TableContents"/>
              <w:bidi w:val="0"/>
              <w:spacing w:before="0" w:after="283"/>
              <w:jc w:val="left"/>
              <w:rPr/>
            </w:pPr>
            <w:r>
              <w:rPr/>
              <w:t>(3)</w:t>
            </w:r>
          </w:p>
        </w:tc>
        <w:tc>
          <w:tcPr>
            <w:tcW w:w="8930" w:type="dxa"/>
            <w:tcBorders/>
            <w:vAlign w:val="center"/>
          </w:tcPr>
          <w:p>
            <w:pPr>
              <w:pStyle w:val="TableContents"/>
              <w:bidi w:val="0"/>
              <w:spacing w:before="0" w:after="0"/>
              <w:jc w:val="both"/>
              <w:rPr>
                <w:rFonts w:ascii="arial" w:hAnsi="arial"/>
                <w:sz w:val="16"/>
              </w:rPr>
            </w:pPr>
            <w:r>
              <w:rPr>
                <w:rFonts w:ascii="arial" w:hAnsi="arial"/>
                <w:sz w:val="16"/>
              </w:rPr>
              <w:t xml:space="preserve">The amount includes the aggregate total of the “Total Beneficial Ownership” column and the “Stock-Settled RSUs” column. </w:t>
            </w:r>
          </w:p>
        </w:tc>
      </w:tr>
    </w:tbl>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119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3515" w:type="dxa"/>
        <w:jc w:val="left"/>
        <w:tblInd w:w="0" w:type="dxa"/>
        <w:tblLayout w:type="fixed"/>
        <w:tblCellMar>
          <w:top w:w="0" w:type="dxa"/>
          <w:left w:w="0" w:type="dxa"/>
          <w:bottom w:w="0" w:type="dxa"/>
          <w:right w:w="0" w:type="dxa"/>
        </w:tblCellMar>
      </w:tblPr>
      <w:tblGrid>
        <w:gridCol w:w="3515"/>
      </w:tblGrid>
      <w:tr>
        <w:trPr/>
        <w:tc>
          <w:tcPr>
            <w:tcW w:w="3515" w:type="dxa"/>
            <w:tcBorders/>
            <w:vAlign w:val="center"/>
          </w:tcPr>
          <w:p>
            <w:pPr>
              <w:pStyle w:val="TableContents"/>
              <w:bidi w:val="0"/>
              <w:spacing w:before="0" w:after="283"/>
              <w:jc w:val="left"/>
              <w:rPr>
                <w:sz w:val="4"/>
                <w:szCs w:val="4"/>
              </w:rPr>
            </w:pPr>
            <w:r>
              <w:rPr>
                <w:sz w:val="4"/>
                <w:szCs w:val="4"/>
              </w:rPr>
            </w:r>
          </w:p>
        </w:tc>
      </w:tr>
      <w:tr>
        <w:trPr/>
        <w:tc>
          <w:tcPr>
            <w:tcW w:w="3515" w:type="dxa"/>
            <w:tcBorders/>
            <w:vAlign w:val="center"/>
          </w:tcPr>
          <w:p>
            <w:pPr>
              <w:pStyle w:val="TableContents"/>
              <w:bidi w:val="0"/>
              <w:spacing w:before="0" w:after="283"/>
              <w:jc w:val="left"/>
              <w:rPr>
                <w:b/>
                <w:color w:val="003A5D"/>
              </w:rPr>
            </w:pPr>
            <w:r>
              <w:rPr>
                <w:b/>
                <w:color w:val="003A5D"/>
              </w:rPr>
              <w:t>Section VIII - Security Ownership</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Some of the shares shown in the preceding table are subject to deferred delivery or not held directly by the director or executive officer. Below is a table showing the number of shares subject to such restriction or not held directly by the director or executive officer. </w:t>
      </w:r>
    </w:p>
    <w:p>
      <w:pPr>
        <w:pStyle w:val="TextBody"/>
        <w:bidi w:val="0"/>
        <w:spacing w:before="0" w:after="0"/>
        <w:jc w:val="left"/>
        <w:rPr/>
      </w:pPr>
      <w:r>
        <w:rPr/>
        <w:t> </w:t>
      </w:r>
    </w:p>
    <w:tbl>
      <w:tblPr>
        <w:tblW w:w="9286" w:type="dxa"/>
        <w:jc w:val="left"/>
        <w:tblInd w:w="0" w:type="dxa"/>
        <w:tblLayout w:type="fixed"/>
        <w:tblCellMar>
          <w:top w:w="0" w:type="dxa"/>
          <w:left w:w="0" w:type="dxa"/>
          <w:bottom w:w="0" w:type="dxa"/>
          <w:right w:w="0" w:type="dxa"/>
        </w:tblCellMar>
      </w:tblPr>
      <w:tblGrid>
        <w:gridCol w:w="5165"/>
        <w:gridCol w:w="23"/>
        <w:gridCol w:w="42"/>
        <w:gridCol w:w="111"/>
        <w:gridCol w:w="1493"/>
        <w:gridCol w:w="114"/>
        <w:gridCol w:w="23"/>
        <w:gridCol w:w="63"/>
        <w:gridCol w:w="165"/>
        <w:gridCol w:w="1878"/>
        <w:gridCol w:w="209"/>
      </w:tblGrid>
      <w:tr>
        <w:trPr/>
        <w:tc>
          <w:tcPr>
            <w:tcW w:w="516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165" w:type="dxa"/>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783" w:type="dxa"/>
            <w:gridSpan w:val="5"/>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2338" w:type="dxa"/>
            <w:gridSpan w:val="5"/>
            <w:tcBorders/>
            <w:shd w:fill="003A5D" w:val="clear"/>
            <w:vAlign w:val="center"/>
          </w:tcPr>
          <w:p>
            <w:pPr>
              <w:pStyle w:val="TableContents"/>
              <w:bidi w:val="0"/>
              <w:spacing w:before="0" w:after="283"/>
              <w:jc w:val="left"/>
              <w:rPr>
                <w:sz w:val="4"/>
                <w:szCs w:val="4"/>
              </w:rPr>
            </w:pPr>
            <w:r>
              <w:rPr>
                <w:sz w:val="4"/>
                <w:szCs w:val="4"/>
              </w:rPr>
            </w:r>
          </w:p>
        </w:tc>
      </w:tr>
      <w:tr>
        <w:trPr/>
        <w:tc>
          <w:tcPr>
            <w:tcW w:w="5165" w:type="dxa"/>
            <w:tcBorders>
              <w:right w:val="single" w:sz="24" w:space="0" w:color="FFFFFF"/>
            </w:tcBorders>
            <w:shd w:fill="003A5D" w:val="clear"/>
            <w:tcMar>
              <w:right w:w="28" w:type="dxa"/>
            </w:tcMar>
            <w:vAlign w:val="center"/>
          </w:tcPr>
          <w:p>
            <w:pPr>
              <w:pStyle w:val="TableContents"/>
              <w:bidi w:val="0"/>
              <w:spacing w:before="0" w:after="283"/>
              <w:jc w:val="left"/>
              <w:rPr>
                <w:b/>
                <w:color w:val="FFFFFF"/>
              </w:rPr>
            </w:pPr>
            <w:r>
              <w:rPr>
                <w:b/>
                <w:color w:val="FFFFFF"/>
              </w:rPr>
              <w:t>Name</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760" w:type="dxa"/>
            <w:gridSpan w:val="4"/>
            <w:tcBorders>
              <w:right w:val="single" w:sz="24"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RSUs for Which</w:t>
              <w:br/>
              <w:t>Delivery of Stock</w:t>
              <w:br/>
              <w:t>Is Deferred</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2315" w:type="dxa"/>
            <w:gridSpan w:val="4"/>
            <w:tcBorders/>
            <w:shd w:fill="003A5D" w:val="clear"/>
            <w:vAlign w:val="center"/>
          </w:tcPr>
          <w:p>
            <w:pPr>
              <w:pStyle w:val="TableContents"/>
              <w:bidi w:val="0"/>
              <w:spacing w:before="0" w:after="283"/>
              <w:jc w:val="center"/>
              <w:rPr>
                <w:b/>
                <w:color w:val="FFFFFF"/>
              </w:rPr>
            </w:pPr>
            <w:r>
              <w:rPr>
                <w:b/>
                <w:color w:val="FFFFFF"/>
              </w:rPr>
              <w:t>Stock Held by, or</w:t>
              <w:br/>
              <w:t>Tenant in</w:t>
              <w:br/>
              <w:t>Common with, Family</w:t>
              <w:br/>
              <w:t>Member, Trust, or</w:t>
              <w:br/>
              <w:t>Partnership</w:t>
            </w:r>
          </w:p>
        </w:tc>
      </w:tr>
      <w:tr>
        <w:trPr/>
        <w:tc>
          <w:tcPr>
            <w:tcW w:w="5165" w:type="dxa"/>
            <w:tcBorders>
              <w:top w:val="single" w:sz="8" w:space="0" w:color="FFFFFF"/>
              <w:bottom w:val="single" w:sz="8" w:space="0" w:color="003A5D"/>
              <w:right w:val="single" w:sz="24" w:space="0" w:color="FFFFFF"/>
            </w:tcBorders>
            <w:shd w:fill="E5EBEE" w:val="clear"/>
            <w:tcMar>
              <w:top w:w="28" w:type="dxa"/>
              <w:bottom w:w="60"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Richard D. Fairbank</w:t>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42"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111" w:type="dxa"/>
            <w:tcBorders>
              <w:top w:val="single" w:sz="8" w:space="0" w:color="FFFFFF"/>
              <w:bottom w:val="single" w:sz="8" w:space="0" w:color="003A5D"/>
            </w:tcBorders>
            <w:shd w:fill="E5EBEE" w:val="clear"/>
            <w:tcMar>
              <w:top w:w="28" w:type="dxa"/>
              <w:bottom w:w="6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493" w:type="dxa"/>
            <w:tcBorders>
              <w:top w:val="single" w:sz="8" w:space="0" w:color="FFFFFF"/>
              <w:bottom w:val="single" w:sz="8" w:space="0" w:color="003A5D"/>
            </w:tcBorders>
            <w:shd w:fill="E5EBEE" w:val="clear"/>
            <w:tcMar>
              <w:top w:w="28" w:type="dxa"/>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241,680</w:t>
            </w:r>
          </w:p>
        </w:tc>
        <w:tc>
          <w:tcPr>
            <w:tcW w:w="114" w:type="dxa"/>
            <w:tcBorders>
              <w:top w:val="single" w:sz="8" w:space="0" w:color="FFFFFF"/>
              <w:bottom w:val="single" w:sz="8" w:space="0" w:color="003A5D"/>
              <w:right w:val="single" w:sz="24" w:space="0" w:color="FFFFFF"/>
            </w:tcBorders>
            <w:shd w:fill="E5EBEE" w:val="clear"/>
            <w:tcMar>
              <w:top w:w="28" w:type="dxa"/>
              <w:bottom w:w="60" w:type="dxa"/>
              <w:right w:w="28" w:type="dxa"/>
            </w:tcMar>
            <w:vAlign w:val="center"/>
          </w:tcPr>
          <w:p>
            <w:pPr>
              <w:pStyle w:val="TableContents"/>
              <w:bidi w:val="0"/>
              <w:spacing w:before="0" w:after="0"/>
              <w:jc w:val="left"/>
              <w:rPr/>
            </w:pPr>
            <w:r>
              <w:rPr/>
              <w:t> </w:t>
            </w:r>
          </w:p>
        </w:tc>
        <w:tc>
          <w:tcPr>
            <w:tcW w:w="2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63" w:type="dxa"/>
            <w:tcBorders>
              <w:top w:val="single" w:sz="8" w:space="0" w:color="FFFFFF"/>
              <w:bottom w:val="single" w:sz="8" w:space="0" w:color="003A5D"/>
            </w:tcBorders>
            <w:shd w:fill="E5EBEE" w:val="clear"/>
            <w:tcMar>
              <w:top w:w="28" w:type="dxa"/>
              <w:bottom w:w="28" w:type="dxa"/>
            </w:tcMar>
            <w:vAlign w:val="center"/>
          </w:tcPr>
          <w:p>
            <w:pPr>
              <w:pStyle w:val="TableContents"/>
              <w:bidi w:val="0"/>
              <w:spacing w:before="0" w:after="283"/>
              <w:jc w:val="left"/>
              <w:rPr>
                <w:sz w:val="4"/>
                <w:szCs w:val="4"/>
              </w:rPr>
            </w:pPr>
            <w:r>
              <w:rPr>
                <w:sz w:val="4"/>
                <w:szCs w:val="4"/>
              </w:rPr>
            </w:r>
          </w:p>
        </w:tc>
        <w:tc>
          <w:tcPr>
            <w:tcW w:w="165" w:type="dxa"/>
            <w:tcBorders>
              <w:top w:val="single" w:sz="8" w:space="0" w:color="FFFFFF"/>
              <w:bottom w:val="single" w:sz="8" w:space="0" w:color="003A5D"/>
            </w:tcBorders>
            <w:shd w:fill="E5EBEE" w:val="clear"/>
            <w:tcMar>
              <w:top w:w="28" w:type="dxa"/>
              <w:bottom w:w="6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878" w:type="dxa"/>
            <w:tcBorders>
              <w:top w:val="single" w:sz="8" w:space="0" w:color="FFFFFF"/>
              <w:bottom w:val="single" w:sz="8" w:space="0" w:color="003A5D"/>
            </w:tcBorders>
            <w:shd w:fill="E5EBEE" w:val="clear"/>
            <w:tcMar>
              <w:top w:w="28" w:type="dxa"/>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52,062</w:t>
            </w:r>
          </w:p>
        </w:tc>
        <w:tc>
          <w:tcPr>
            <w:tcW w:w="209" w:type="dxa"/>
            <w:tcBorders>
              <w:top w:val="single" w:sz="8" w:space="0" w:color="FFFFFF"/>
              <w:bottom w:val="single" w:sz="8" w:space="0" w:color="003A5D"/>
            </w:tcBorders>
            <w:shd w:fill="E5EBEE" w:val="clear"/>
            <w:tcMar>
              <w:top w:w="28" w:type="dxa"/>
              <w:bottom w:w="60" w:type="dxa"/>
            </w:tcMar>
            <w:vAlign w:val="center"/>
          </w:tcPr>
          <w:p>
            <w:pPr>
              <w:pStyle w:val="TableContents"/>
              <w:bidi w:val="0"/>
              <w:spacing w:before="0" w:after="0"/>
              <w:jc w:val="left"/>
              <w:rPr/>
            </w:pPr>
            <w:r>
              <w:rPr/>
              <w:t> </w:t>
            </w:r>
          </w:p>
        </w:tc>
      </w:tr>
      <w:tr>
        <w:trPr/>
        <w:tc>
          <w:tcPr>
            <w:tcW w:w="5165" w:type="dxa"/>
            <w:tcBorders>
              <w:right w:val="single" w:sz="24" w:space="0" w:color="FFFFFF"/>
            </w:tcBorders>
            <w:tcMar>
              <w:right w:w="28" w:type="dxa"/>
            </w:tcMar>
            <w:vAlign w:val="center"/>
          </w:tcPr>
          <w:p>
            <w:pPr>
              <w:pStyle w:val="TableContents"/>
              <w:bidi w:val="0"/>
              <w:spacing w:before="0" w:after="283"/>
              <w:jc w:val="left"/>
              <w:rPr/>
            </w:pPr>
            <w:r>
              <w:rPr/>
              <w:t> </w:t>
            </w:r>
          </w:p>
        </w:tc>
        <w:tc>
          <w:tcPr>
            <w:tcW w:w="1783"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2338" w:type="dxa"/>
            <w:gridSpan w:val="5"/>
            <w:tcBorders/>
            <w:vAlign w:val="center"/>
          </w:tcPr>
          <w:p>
            <w:pPr>
              <w:pStyle w:val="TableContents"/>
              <w:bidi w:val="0"/>
              <w:spacing w:before="0" w:after="283"/>
              <w:jc w:val="left"/>
              <w:rPr>
                <w:sz w:val="4"/>
                <w:szCs w:val="4"/>
              </w:rPr>
            </w:pPr>
            <w:r>
              <w:rPr>
                <w:sz w:val="4"/>
                <w:szCs w:val="4"/>
              </w:rPr>
            </w:r>
          </w:p>
        </w:tc>
      </w:tr>
      <w:tr>
        <w:trPr/>
        <w:tc>
          <w:tcPr>
            <w:tcW w:w="5165"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Andrew M. Young</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8" w:space="0" w:color="003A5D"/>
            </w:tcBorders>
            <w:tcMar>
              <w:bottom w:w="60" w:type="dxa"/>
            </w:tcMar>
            <w:vAlign w:val="center"/>
          </w:tcPr>
          <w:p>
            <w:pPr>
              <w:pStyle w:val="TableContents"/>
              <w:bidi w:val="0"/>
              <w:spacing w:before="0" w:after="283"/>
              <w:jc w:val="left"/>
              <w:rPr/>
            </w:pPr>
            <w:r>
              <w:rPr/>
              <w:t> </w:t>
            </w:r>
          </w:p>
        </w:tc>
        <w:tc>
          <w:tcPr>
            <w:tcW w:w="1493" w:type="dxa"/>
            <w:tcBorders>
              <w:bottom w:val="single" w:sz="8" w:space="0" w:color="003A5D"/>
            </w:tcBorders>
            <w:tcMar>
              <w:bottom w:w="60" w:type="dxa"/>
            </w:tcMar>
            <w:vAlign w:val="center"/>
          </w:tcPr>
          <w:p>
            <w:pPr>
              <w:pStyle w:val="TableContents"/>
              <w:bidi w:val="0"/>
              <w:spacing w:before="0" w:after="283"/>
              <w:jc w:val="center"/>
              <w:rPr/>
            </w:pPr>
            <w:r>
              <w:rPr/>
              <w:t>—</w:t>
            </w:r>
          </w:p>
        </w:tc>
        <w:tc>
          <w:tcPr>
            <w:tcW w:w="114"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65" w:type="dxa"/>
            <w:tcBorders>
              <w:bottom w:val="single" w:sz="8" w:space="0" w:color="003A5D"/>
            </w:tcBorders>
            <w:tcMar>
              <w:bottom w:w="60" w:type="dxa"/>
            </w:tcMar>
            <w:vAlign w:val="center"/>
          </w:tcPr>
          <w:p>
            <w:pPr>
              <w:pStyle w:val="TableContents"/>
              <w:bidi w:val="0"/>
              <w:spacing w:before="0" w:after="283"/>
              <w:jc w:val="left"/>
              <w:rPr/>
            </w:pPr>
            <w:r>
              <w:rPr/>
              <w:t> </w:t>
            </w:r>
          </w:p>
        </w:tc>
        <w:tc>
          <w:tcPr>
            <w:tcW w:w="1878" w:type="dxa"/>
            <w:tcBorders>
              <w:bottom w:val="single" w:sz="8" w:space="0" w:color="003A5D"/>
            </w:tcBorders>
            <w:tcMar>
              <w:bottom w:w="60" w:type="dxa"/>
            </w:tcMar>
            <w:vAlign w:val="center"/>
          </w:tcPr>
          <w:p>
            <w:pPr>
              <w:pStyle w:val="TableContents"/>
              <w:bidi w:val="0"/>
              <w:spacing w:before="0" w:after="283"/>
              <w:jc w:val="center"/>
              <w:rPr/>
            </w:pPr>
            <w:r>
              <w:rPr/>
              <w:t>59</w:t>
            </w:r>
          </w:p>
        </w:tc>
        <w:tc>
          <w:tcPr>
            <w:tcW w:w="209"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r>
      <w:tr>
        <w:trPr/>
        <w:tc>
          <w:tcPr>
            <w:tcW w:w="5165" w:type="dxa"/>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783"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2338" w:type="dxa"/>
            <w:gridSpan w:val="5"/>
            <w:tcBorders/>
            <w:shd w:fill="E5EBEE" w:val="clear"/>
            <w:vAlign w:val="center"/>
          </w:tcPr>
          <w:p>
            <w:pPr>
              <w:pStyle w:val="TableContents"/>
              <w:bidi w:val="0"/>
              <w:spacing w:before="0" w:after="283"/>
              <w:jc w:val="left"/>
              <w:rPr>
                <w:sz w:val="4"/>
                <w:szCs w:val="4"/>
              </w:rPr>
            </w:pPr>
            <w:r>
              <w:rPr>
                <w:sz w:val="4"/>
                <w:szCs w:val="4"/>
              </w:rPr>
            </w:r>
          </w:p>
        </w:tc>
      </w:tr>
      <w:tr>
        <w:trPr/>
        <w:tc>
          <w:tcPr>
            <w:tcW w:w="516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Frank G. LaPrade, III</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493"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114"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65"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878"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209"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r>
      <w:tr>
        <w:trPr/>
        <w:tc>
          <w:tcPr>
            <w:tcW w:w="5165" w:type="dxa"/>
            <w:tcBorders>
              <w:right w:val="single" w:sz="24" w:space="0" w:color="FFFFFF"/>
            </w:tcBorders>
            <w:tcMar>
              <w:right w:w="28" w:type="dxa"/>
            </w:tcMar>
            <w:vAlign w:val="center"/>
          </w:tcPr>
          <w:p>
            <w:pPr>
              <w:pStyle w:val="TableContents"/>
              <w:bidi w:val="0"/>
              <w:spacing w:before="0" w:after="283"/>
              <w:jc w:val="left"/>
              <w:rPr/>
            </w:pPr>
            <w:r>
              <w:rPr/>
              <w:t> </w:t>
            </w:r>
          </w:p>
        </w:tc>
        <w:tc>
          <w:tcPr>
            <w:tcW w:w="1783"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2338" w:type="dxa"/>
            <w:gridSpan w:val="5"/>
            <w:tcBorders/>
            <w:vAlign w:val="center"/>
          </w:tcPr>
          <w:p>
            <w:pPr>
              <w:pStyle w:val="TableContents"/>
              <w:bidi w:val="0"/>
              <w:spacing w:before="0" w:after="283"/>
              <w:jc w:val="left"/>
              <w:rPr>
                <w:sz w:val="4"/>
                <w:szCs w:val="4"/>
              </w:rPr>
            </w:pPr>
            <w:r>
              <w:rPr>
                <w:sz w:val="4"/>
                <w:szCs w:val="4"/>
              </w:rPr>
            </w:r>
          </w:p>
        </w:tc>
      </w:tr>
      <w:tr>
        <w:trPr/>
        <w:tc>
          <w:tcPr>
            <w:tcW w:w="5165"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Matthew W. Cooper</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8" w:space="0" w:color="003A5D"/>
            </w:tcBorders>
            <w:tcMar>
              <w:bottom w:w="60" w:type="dxa"/>
            </w:tcMar>
            <w:vAlign w:val="center"/>
          </w:tcPr>
          <w:p>
            <w:pPr>
              <w:pStyle w:val="TableContents"/>
              <w:bidi w:val="0"/>
              <w:spacing w:before="0" w:after="283"/>
              <w:jc w:val="left"/>
              <w:rPr/>
            </w:pPr>
            <w:r>
              <w:rPr/>
              <w:t> </w:t>
            </w:r>
          </w:p>
        </w:tc>
        <w:tc>
          <w:tcPr>
            <w:tcW w:w="1493" w:type="dxa"/>
            <w:tcBorders>
              <w:bottom w:val="single" w:sz="8" w:space="0" w:color="003A5D"/>
            </w:tcBorders>
            <w:tcMar>
              <w:bottom w:w="60" w:type="dxa"/>
            </w:tcMar>
            <w:vAlign w:val="center"/>
          </w:tcPr>
          <w:p>
            <w:pPr>
              <w:pStyle w:val="TableContents"/>
              <w:bidi w:val="0"/>
              <w:spacing w:before="0" w:after="283"/>
              <w:jc w:val="center"/>
              <w:rPr/>
            </w:pPr>
            <w:r>
              <w:rPr/>
              <w:t>—</w:t>
            </w:r>
          </w:p>
        </w:tc>
        <w:tc>
          <w:tcPr>
            <w:tcW w:w="114"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65" w:type="dxa"/>
            <w:tcBorders>
              <w:bottom w:val="single" w:sz="8" w:space="0" w:color="003A5D"/>
            </w:tcBorders>
            <w:tcMar>
              <w:bottom w:w="60" w:type="dxa"/>
            </w:tcMar>
            <w:vAlign w:val="center"/>
          </w:tcPr>
          <w:p>
            <w:pPr>
              <w:pStyle w:val="TableContents"/>
              <w:bidi w:val="0"/>
              <w:spacing w:before="0" w:after="283"/>
              <w:jc w:val="left"/>
              <w:rPr/>
            </w:pPr>
            <w:r>
              <w:rPr/>
              <w:t> </w:t>
            </w:r>
          </w:p>
        </w:tc>
        <w:tc>
          <w:tcPr>
            <w:tcW w:w="1878" w:type="dxa"/>
            <w:tcBorders>
              <w:bottom w:val="single" w:sz="8" w:space="0" w:color="003A5D"/>
            </w:tcBorders>
            <w:tcMar>
              <w:bottom w:w="60" w:type="dxa"/>
            </w:tcMar>
            <w:vAlign w:val="center"/>
          </w:tcPr>
          <w:p>
            <w:pPr>
              <w:pStyle w:val="TableContents"/>
              <w:bidi w:val="0"/>
              <w:spacing w:before="0" w:after="283"/>
              <w:jc w:val="center"/>
              <w:rPr/>
            </w:pPr>
            <w:r>
              <w:rPr/>
              <w:t>—</w:t>
            </w:r>
          </w:p>
        </w:tc>
        <w:tc>
          <w:tcPr>
            <w:tcW w:w="209"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r>
      <w:tr>
        <w:trPr/>
        <w:tc>
          <w:tcPr>
            <w:tcW w:w="5165" w:type="dxa"/>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783"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2338" w:type="dxa"/>
            <w:gridSpan w:val="5"/>
            <w:tcBorders/>
            <w:shd w:fill="E5EBEE" w:val="clear"/>
            <w:vAlign w:val="center"/>
          </w:tcPr>
          <w:p>
            <w:pPr>
              <w:pStyle w:val="TableContents"/>
              <w:bidi w:val="0"/>
              <w:spacing w:before="0" w:after="283"/>
              <w:jc w:val="left"/>
              <w:rPr>
                <w:sz w:val="4"/>
                <w:szCs w:val="4"/>
              </w:rPr>
            </w:pPr>
            <w:r>
              <w:rPr>
                <w:sz w:val="4"/>
                <w:szCs w:val="4"/>
              </w:rPr>
            </w:r>
          </w:p>
        </w:tc>
      </w:tr>
      <w:tr>
        <w:trPr/>
        <w:tc>
          <w:tcPr>
            <w:tcW w:w="516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Sanjiv Yajnik</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493"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114"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65"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878"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209"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r>
      <w:tr>
        <w:trPr/>
        <w:tc>
          <w:tcPr>
            <w:tcW w:w="5165" w:type="dxa"/>
            <w:tcBorders>
              <w:right w:val="single" w:sz="24" w:space="0" w:color="FFFFFF"/>
            </w:tcBorders>
            <w:tcMar>
              <w:right w:w="28" w:type="dxa"/>
            </w:tcMar>
            <w:vAlign w:val="center"/>
          </w:tcPr>
          <w:p>
            <w:pPr>
              <w:pStyle w:val="TableContents"/>
              <w:bidi w:val="0"/>
              <w:spacing w:before="0" w:after="283"/>
              <w:jc w:val="left"/>
              <w:rPr/>
            </w:pPr>
            <w:r>
              <w:rPr/>
              <w:t> </w:t>
            </w:r>
          </w:p>
        </w:tc>
        <w:tc>
          <w:tcPr>
            <w:tcW w:w="1783"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2338" w:type="dxa"/>
            <w:gridSpan w:val="5"/>
            <w:tcBorders/>
            <w:vAlign w:val="center"/>
          </w:tcPr>
          <w:p>
            <w:pPr>
              <w:pStyle w:val="TableContents"/>
              <w:bidi w:val="0"/>
              <w:spacing w:before="0" w:after="283"/>
              <w:jc w:val="left"/>
              <w:rPr>
                <w:sz w:val="4"/>
                <w:szCs w:val="4"/>
              </w:rPr>
            </w:pPr>
            <w:r>
              <w:rPr>
                <w:sz w:val="4"/>
                <w:szCs w:val="4"/>
              </w:rPr>
            </w:r>
          </w:p>
        </w:tc>
      </w:tr>
      <w:tr>
        <w:trPr/>
        <w:tc>
          <w:tcPr>
            <w:tcW w:w="5165"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Ime Archibong</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8" w:space="0" w:color="003A5D"/>
            </w:tcBorders>
            <w:tcMar>
              <w:bottom w:w="60" w:type="dxa"/>
            </w:tcMar>
            <w:vAlign w:val="center"/>
          </w:tcPr>
          <w:p>
            <w:pPr>
              <w:pStyle w:val="TableContents"/>
              <w:bidi w:val="0"/>
              <w:spacing w:before="0" w:after="283"/>
              <w:jc w:val="left"/>
              <w:rPr/>
            </w:pPr>
            <w:r>
              <w:rPr/>
              <w:t> </w:t>
            </w:r>
          </w:p>
        </w:tc>
        <w:tc>
          <w:tcPr>
            <w:tcW w:w="1493" w:type="dxa"/>
            <w:tcBorders>
              <w:bottom w:val="single" w:sz="8" w:space="0" w:color="003A5D"/>
            </w:tcBorders>
            <w:tcMar>
              <w:bottom w:w="60" w:type="dxa"/>
            </w:tcMar>
            <w:vAlign w:val="center"/>
          </w:tcPr>
          <w:p>
            <w:pPr>
              <w:pStyle w:val="TableContents"/>
              <w:bidi w:val="0"/>
              <w:spacing w:before="0" w:after="283"/>
              <w:jc w:val="center"/>
              <w:rPr/>
            </w:pPr>
            <w:r>
              <w:rPr/>
              <w:t>7,377</w:t>
            </w:r>
          </w:p>
        </w:tc>
        <w:tc>
          <w:tcPr>
            <w:tcW w:w="114"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65" w:type="dxa"/>
            <w:tcBorders>
              <w:bottom w:val="single" w:sz="8" w:space="0" w:color="003A5D"/>
            </w:tcBorders>
            <w:tcMar>
              <w:bottom w:w="60" w:type="dxa"/>
            </w:tcMar>
            <w:vAlign w:val="center"/>
          </w:tcPr>
          <w:p>
            <w:pPr>
              <w:pStyle w:val="TableContents"/>
              <w:bidi w:val="0"/>
              <w:spacing w:before="0" w:after="283"/>
              <w:jc w:val="left"/>
              <w:rPr/>
            </w:pPr>
            <w:r>
              <w:rPr/>
              <w:t> </w:t>
            </w:r>
          </w:p>
        </w:tc>
        <w:tc>
          <w:tcPr>
            <w:tcW w:w="1878" w:type="dxa"/>
            <w:tcBorders>
              <w:bottom w:val="single" w:sz="8" w:space="0" w:color="003A5D"/>
            </w:tcBorders>
            <w:tcMar>
              <w:bottom w:w="60" w:type="dxa"/>
            </w:tcMar>
            <w:vAlign w:val="center"/>
          </w:tcPr>
          <w:p>
            <w:pPr>
              <w:pStyle w:val="TableContents"/>
              <w:bidi w:val="0"/>
              <w:spacing w:before="0" w:after="283"/>
              <w:jc w:val="center"/>
              <w:rPr/>
            </w:pPr>
            <w:r>
              <w:rPr/>
              <w:t>—</w:t>
            </w:r>
          </w:p>
        </w:tc>
        <w:tc>
          <w:tcPr>
            <w:tcW w:w="209"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r>
      <w:tr>
        <w:trPr/>
        <w:tc>
          <w:tcPr>
            <w:tcW w:w="5165" w:type="dxa"/>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783"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2338" w:type="dxa"/>
            <w:gridSpan w:val="5"/>
            <w:tcBorders/>
            <w:shd w:fill="E5EBEE" w:val="clear"/>
            <w:vAlign w:val="center"/>
          </w:tcPr>
          <w:p>
            <w:pPr>
              <w:pStyle w:val="TableContents"/>
              <w:bidi w:val="0"/>
              <w:spacing w:before="0" w:after="283"/>
              <w:jc w:val="left"/>
              <w:rPr>
                <w:sz w:val="4"/>
                <w:szCs w:val="4"/>
              </w:rPr>
            </w:pPr>
            <w:r>
              <w:rPr>
                <w:sz w:val="4"/>
                <w:szCs w:val="4"/>
              </w:rPr>
            </w:r>
          </w:p>
        </w:tc>
      </w:tr>
      <w:tr>
        <w:trPr/>
        <w:tc>
          <w:tcPr>
            <w:tcW w:w="516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Christine Detrick</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493" w:type="dxa"/>
            <w:tcBorders>
              <w:bottom w:val="single" w:sz="8" w:space="0" w:color="003A5D"/>
            </w:tcBorders>
            <w:shd w:fill="E5EBEE" w:val="clear"/>
            <w:tcMar>
              <w:bottom w:w="60" w:type="dxa"/>
            </w:tcMar>
            <w:vAlign w:val="center"/>
          </w:tcPr>
          <w:p>
            <w:pPr>
              <w:pStyle w:val="TableContents"/>
              <w:bidi w:val="0"/>
              <w:spacing w:before="0" w:after="283"/>
              <w:jc w:val="center"/>
              <w:rPr/>
            </w:pPr>
            <w:r>
              <w:rPr/>
              <w:t>6,369</w:t>
            </w:r>
          </w:p>
        </w:tc>
        <w:tc>
          <w:tcPr>
            <w:tcW w:w="114"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65"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878"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209"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r>
      <w:tr>
        <w:trPr/>
        <w:tc>
          <w:tcPr>
            <w:tcW w:w="5165" w:type="dxa"/>
            <w:tcBorders>
              <w:right w:val="single" w:sz="24" w:space="0" w:color="FFFFFF"/>
            </w:tcBorders>
            <w:tcMar>
              <w:right w:w="28" w:type="dxa"/>
            </w:tcMar>
            <w:vAlign w:val="center"/>
          </w:tcPr>
          <w:p>
            <w:pPr>
              <w:pStyle w:val="TableContents"/>
              <w:bidi w:val="0"/>
              <w:spacing w:before="0" w:after="283"/>
              <w:jc w:val="left"/>
              <w:rPr/>
            </w:pPr>
            <w:r>
              <w:rPr/>
              <w:t> </w:t>
            </w:r>
          </w:p>
        </w:tc>
        <w:tc>
          <w:tcPr>
            <w:tcW w:w="1783"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2338" w:type="dxa"/>
            <w:gridSpan w:val="5"/>
            <w:tcBorders/>
            <w:vAlign w:val="center"/>
          </w:tcPr>
          <w:p>
            <w:pPr>
              <w:pStyle w:val="TableContents"/>
              <w:bidi w:val="0"/>
              <w:spacing w:before="0" w:after="283"/>
              <w:jc w:val="left"/>
              <w:rPr>
                <w:sz w:val="4"/>
                <w:szCs w:val="4"/>
              </w:rPr>
            </w:pPr>
            <w:r>
              <w:rPr>
                <w:sz w:val="4"/>
                <w:szCs w:val="4"/>
              </w:rPr>
            </w:r>
          </w:p>
        </w:tc>
      </w:tr>
      <w:tr>
        <w:trPr/>
        <w:tc>
          <w:tcPr>
            <w:tcW w:w="5165"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Ann Fritz Hackett</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8" w:space="0" w:color="003A5D"/>
            </w:tcBorders>
            <w:tcMar>
              <w:bottom w:w="60" w:type="dxa"/>
            </w:tcMar>
            <w:vAlign w:val="center"/>
          </w:tcPr>
          <w:p>
            <w:pPr>
              <w:pStyle w:val="TableContents"/>
              <w:bidi w:val="0"/>
              <w:spacing w:before="0" w:after="283"/>
              <w:jc w:val="left"/>
              <w:rPr/>
            </w:pPr>
            <w:r>
              <w:rPr/>
              <w:t> </w:t>
            </w:r>
          </w:p>
        </w:tc>
        <w:tc>
          <w:tcPr>
            <w:tcW w:w="1493" w:type="dxa"/>
            <w:tcBorders>
              <w:bottom w:val="single" w:sz="8" w:space="0" w:color="003A5D"/>
            </w:tcBorders>
            <w:tcMar>
              <w:bottom w:w="60" w:type="dxa"/>
            </w:tcMar>
            <w:vAlign w:val="center"/>
          </w:tcPr>
          <w:p>
            <w:pPr>
              <w:pStyle w:val="TableContents"/>
              <w:bidi w:val="0"/>
              <w:spacing w:before="0" w:after="283"/>
              <w:jc w:val="center"/>
              <w:rPr/>
            </w:pPr>
            <w:r>
              <w:rPr/>
              <w:t>55,988</w:t>
            </w:r>
          </w:p>
        </w:tc>
        <w:tc>
          <w:tcPr>
            <w:tcW w:w="114"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65" w:type="dxa"/>
            <w:tcBorders>
              <w:bottom w:val="single" w:sz="8" w:space="0" w:color="003A5D"/>
            </w:tcBorders>
            <w:tcMar>
              <w:bottom w:w="60" w:type="dxa"/>
            </w:tcMar>
            <w:vAlign w:val="center"/>
          </w:tcPr>
          <w:p>
            <w:pPr>
              <w:pStyle w:val="TableContents"/>
              <w:bidi w:val="0"/>
              <w:spacing w:before="0" w:after="283"/>
              <w:jc w:val="left"/>
              <w:rPr/>
            </w:pPr>
            <w:r>
              <w:rPr/>
              <w:t> </w:t>
            </w:r>
          </w:p>
        </w:tc>
        <w:tc>
          <w:tcPr>
            <w:tcW w:w="1878" w:type="dxa"/>
            <w:tcBorders>
              <w:bottom w:val="single" w:sz="8" w:space="0" w:color="003A5D"/>
            </w:tcBorders>
            <w:tcMar>
              <w:bottom w:w="60" w:type="dxa"/>
            </w:tcMar>
            <w:vAlign w:val="center"/>
          </w:tcPr>
          <w:p>
            <w:pPr>
              <w:pStyle w:val="TableContents"/>
              <w:bidi w:val="0"/>
              <w:spacing w:before="0" w:after="283"/>
              <w:jc w:val="center"/>
              <w:rPr/>
            </w:pPr>
            <w:r>
              <w:rPr/>
              <w:t>—</w:t>
            </w:r>
          </w:p>
        </w:tc>
        <w:tc>
          <w:tcPr>
            <w:tcW w:w="209"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r>
      <w:tr>
        <w:trPr/>
        <w:tc>
          <w:tcPr>
            <w:tcW w:w="5165" w:type="dxa"/>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783"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2338" w:type="dxa"/>
            <w:gridSpan w:val="5"/>
            <w:tcBorders/>
            <w:shd w:fill="E5EBEE" w:val="clear"/>
            <w:vAlign w:val="center"/>
          </w:tcPr>
          <w:p>
            <w:pPr>
              <w:pStyle w:val="TableContents"/>
              <w:bidi w:val="0"/>
              <w:spacing w:before="0" w:after="283"/>
              <w:jc w:val="left"/>
              <w:rPr>
                <w:sz w:val="4"/>
                <w:szCs w:val="4"/>
              </w:rPr>
            </w:pPr>
            <w:r>
              <w:rPr>
                <w:sz w:val="4"/>
                <w:szCs w:val="4"/>
              </w:rPr>
            </w:r>
          </w:p>
        </w:tc>
      </w:tr>
      <w:tr>
        <w:trPr/>
        <w:tc>
          <w:tcPr>
            <w:tcW w:w="516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Suni P. Harford</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493" w:type="dxa"/>
            <w:tcBorders>
              <w:bottom w:val="single" w:sz="8" w:space="0" w:color="003A5D"/>
            </w:tcBorders>
            <w:shd w:fill="E5EBEE" w:val="clear"/>
            <w:tcMar>
              <w:bottom w:w="60" w:type="dxa"/>
            </w:tcMar>
            <w:vAlign w:val="center"/>
          </w:tcPr>
          <w:p>
            <w:pPr>
              <w:pStyle w:val="TableContents"/>
              <w:bidi w:val="0"/>
              <w:spacing w:before="0" w:after="283"/>
              <w:jc w:val="center"/>
              <w:rPr/>
            </w:pPr>
            <w:r>
              <w:rPr/>
              <w:t>1,779</w:t>
            </w:r>
          </w:p>
        </w:tc>
        <w:tc>
          <w:tcPr>
            <w:tcW w:w="114"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65"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878"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209"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r>
      <w:tr>
        <w:trPr/>
        <w:tc>
          <w:tcPr>
            <w:tcW w:w="5165" w:type="dxa"/>
            <w:tcBorders>
              <w:right w:val="single" w:sz="24" w:space="0" w:color="FFFFFF"/>
            </w:tcBorders>
            <w:tcMar>
              <w:right w:w="28" w:type="dxa"/>
            </w:tcMar>
            <w:vAlign w:val="center"/>
          </w:tcPr>
          <w:p>
            <w:pPr>
              <w:pStyle w:val="TableContents"/>
              <w:bidi w:val="0"/>
              <w:spacing w:before="0" w:after="283"/>
              <w:jc w:val="left"/>
              <w:rPr/>
            </w:pPr>
            <w:r>
              <w:rPr/>
              <w:t> </w:t>
            </w:r>
          </w:p>
        </w:tc>
        <w:tc>
          <w:tcPr>
            <w:tcW w:w="1783"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2338" w:type="dxa"/>
            <w:gridSpan w:val="5"/>
            <w:tcBorders/>
            <w:vAlign w:val="center"/>
          </w:tcPr>
          <w:p>
            <w:pPr>
              <w:pStyle w:val="TableContents"/>
              <w:bidi w:val="0"/>
              <w:spacing w:before="0" w:after="283"/>
              <w:jc w:val="left"/>
              <w:rPr>
                <w:sz w:val="4"/>
                <w:szCs w:val="4"/>
              </w:rPr>
            </w:pPr>
            <w:r>
              <w:rPr>
                <w:sz w:val="4"/>
                <w:szCs w:val="4"/>
              </w:rPr>
            </w:r>
          </w:p>
        </w:tc>
      </w:tr>
      <w:tr>
        <w:trPr/>
        <w:tc>
          <w:tcPr>
            <w:tcW w:w="5165"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Peter Thomas Killalea</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8" w:space="0" w:color="003A5D"/>
            </w:tcBorders>
            <w:tcMar>
              <w:bottom w:w="60" w:type="dxa"/>
            </w:tcMar>
            <w:vAlign w:val="center"/>
          </w:tcPr>
          <w:p>
            <w:pPr>
              <w:pStyle w:val="TableContents"/>
              <w:bidi w:val="0"/>
              <w:spacing w:before="0" w:after="283"/>
              <w:jc w:val="left"/>
              <w:rPr/>
            </w:pPr>
            <w:r>
              <w:rPr/>
              <w:t> </w:t>
            </w:r>
          </w:p>
        </w:tc>
        <w:tc>
          <w:tcPr>
            <w:tcW w:w="1493" w:type="dxa"/>
            <w:tcBorders>
              <w:bottom w:val="single" w:sz="8" w:space="0" w:color="003A5D"/>
            </w:tcBorders>
            <w:tcMar>
              <w:bottom w:w="60" w:type="dxa"/>
            </w:tcMar>
            <w:vAlign w:val="center"/>
          </w:tcPr>
          <w:p>
            <w:pPr>
              <w:pStyle w:val="TableContents"/>
              <w:bidi w:val="0"/>
              <w:spacing w:before="0" w:after="283"/>
              <w:jc w:val="center"/>
              <w:rPr/>
            </w:pPr>
            <w:r>
              <w:rPr/>
              <w:t>18,778</w:t>
            </w:r>
          </w:p>
        </w:tc>
        <w:tc>
          <w:tcPr>
            <w:tcW w:w="114"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65" w:type="dxa"/>
            <w:tcBorders>
              <w:bottom w:val="single" w:sz="8" w:space="0" w:color="003A5D"/>
            </w:tcBorders>
            <w:tcMar>
              <w:bottom w:w="60" w:type="dxa"/>
            </w:tcMar>
            <w:vAlign w:val="center"/>
          </w:tcPr>
          <w:p>
            <w:pPr>
              <w:pStyle w:val="TableContents"/>
              <w:bidi w:val="0"/>
              <w:spacing w:before="0" w:after="283"/>
              <w:jc w:val="left"/>
              <w:rPr/>
            </w:pPr>
            <w:r>
              <w:rPr/>
              <w:t> </w:t>
            </w:r>
          </w:p>
        </w:tc>
        <w:tc>
          <w:tcPr>
            <w:tcW w:w="1878" w:type="dxa"/>
            <w:tcBorders>
              <w:bottom w:val="single" w:sz="8" w:space="0" w:color="003A5D"/>
            </w:tcBorders>
            <w:tcMar>
              <w:bottom w:w="60" w:type="dxa"/>
            </w:tcMar>
            <w:vAlign w:val="center"/>
          </w:tcPr>
          <w:p>
            <w:pPr>
              <w:pStyle w:val="TableContents"/>
              <w:bidi w:val="0"/>
              <w:spacing w:before="0" w:after="283"/>
              <w:jc w:val="center"/>
              <w:rPr/>
            </w:pPr>
            <w:r>
              <w:rPr/>
              <w:t>—</w:t>
            </w:r>
          </w:p>
        </w:tc>
        <w:tc>
          <w:tcPr>
            <w:tcW w:w="209"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r>
      <w:tr>
        <w:trPr/>
        <w:tc>
          <w:tcPr>
            <w:tcW w:w="5165" w:type="dxa"/>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783"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2338" w:type="dxa"/>
            <w:gridSpan w:val="5"/>
            <w:tcBorders/>
            <w:shd w:fill="E5EBEE" w:val="clear"/>
            <w:vAlign w:val="center"/>
          </w:tcPr>
          <w:p>
            <w:pPr>
              <w:pStyle w:val="TableContents"/>
              <w:bidi w:val="0"/>
              <w:spacing w:before="0" w:after="283"/>
              <w:jc w:val="left"/>
              <w:rPr>
                <w:sz w:val="4"/>
                <w:szCs w:val="4"/>
              </w:rPr>
            </w:pPr>
            <w:r>
              <w:rPr>
                <w:sz w:val="4"/>
                <w:szCs w:val="4"/>
              </w:rPr>
            </w:r>
          </w:p>
        </w:tc>
      </w:tr>
      <w:tr>
        <w:trPr/>
        <w:tc>
          <w:tcPr>
            <w:tcW w:w="516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Eli Leenaars</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493" w:type="dxa"/>
            <w:tcBorders>
              <w:bottom w:val="single" w:sz="8" w:space="0" w:color="003A5D"/>
            </w:tcBorders>
            <w:shd w:fill="E5EBEE" w:val="clear"/>
            <w:tcMar>
              <w:bottom w:w="60" w:type="dxa"/>
            </w:tcMar>
            <w:vAlign w:val="center"/>
          </w:tcPr>
          <w:p>
            <w:pPr>
              <w:pStyle w:val="TableContents"/>
              <w:bidi w:val="0"/>
              <w:spacing w:before="0" w:after="283"/>
              <w:jc w:val="center"/>
              <w:rPr/>
            </w:pPr>
            <w:r>
              <w:rPr/>
              <w:t>12,657</w:t>
            </w:r>
          </w:p>
        </w:tc>
        <w:tc>
          <w:tcPr>
            <w:tcW w:w="114"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65"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878"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209"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r>
      <w:tr>
        <w:trPr/>
        <w:tc>
          <w:tcPr>
            <w:tcW w:w="5165" w:type="dxa"/>
            <w:tcBorders>
              <w:right w:val="single" w:sz="24" w:space="0" w:color="FFFFFF"/>
            </w:tcBorders>
            <w:tcMar>
              <w:right w:w="28" w:type="dxa"/>
            </w:tcMar>
            <w:vAlign w:val="center"/>
          </w:tcPr>
          <w:p>
            <w:pPr>
              <w:pStyle w:val="TableContents"/>
              <w:bidi w:val="0"/>
              <w:spacing w:before="0" w:after="283"/>
              <w:jc w:val="left"/>
              <w:rPr/>
            </w:pPr>
            <w:r>
              <w:rPr/>
              <w:t> </w:t>
            </w:r>
          </w:p>
        </w:tc>
        <w:tc>
          <w:tcPr>
            <w:tcW w:w="1783"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2338" w:type="dxa"/>
            <w:gridSpan w:val="5"/>
            <w:tcBorders/>
            <w:vAlign w:val="center"/>
          </w:tcPr>
          <w:p>
            <w:pPr>
              <w:pStyle w:val="TableContents"/>
              <w:bidi w:val="0"/>
              <w:spacing w:before="0" w:after="283"/>
              <w:jc w:val="left"/>
              <w:rPr>
                <w:sz w:val="4"/>
                <w:szCs w:val="4"/>
              </w:rPr>
            </w:pPr>
            <w:r>
              <w:rPr>
                <w:sz w:val="4"/>
                <w:szCs w:val="4"/>
              </w:rPr>
            </w:r>
          </w:p>
        </w:tc>
      </w:tr>
      <w:tr>
        <w:trPr/>
        <w:tc>
          <w:tcPr>
            <w:tcW w:w="5165"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François Locoh-Donou</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8" w:space="0" w:color="003A5D"/>
            </w:tcBorders>
            <w:tcMar>
              <w:bottom w:w="60" w:type="dxa"/>
            </w:tcMar>
            <w:vAlign w:val="center"/>
          </w:tcPr>
          <w:p>
            <w:pPr>
              <w:pStyle w:val="TableContents"/>
              <w:bidi w:val="0"/>
              <w:spacing w:before="0" w:after="283"/>
              <w:jc w:val="left"/>
              <w:rPr/>
            </w:pPr>
            <w:r>
              <w:rPr/>
              <w:t> </w:t>
            </w:r>
          </w:p>
        </w:tc>
        <w:tc>
          <w:tcPr>
            <w:tcW w:w="1493" w:type="dxa"/>
            <w:tcBorders>
              <w:bottom w:val="single" w:sz="8" w:space="0" w:color="003A5D"/>
            </w:tcBorders>
            <w:tcMar>
              <w:bottom w:w="60" w:type="dxa"/>
            </w:tcMar>
            <w:vAlign w:val="center"/>
          </w:tcPr>
          <w:p>
            <w:pPr>
              <w:pStyle w:val="TableContents"/>
              <w:bidi w:val="0"/>
              <w:spacing w:before="0" w:after="283"/>
              <w:jc w:val="center"/>
              <w:rPr/>
            </w:pPr>
            <w:r>
              <w:rPr/>
              <w:t>12,225</w:t>
            </w:r>
          </w:p>
        </w:tc>
        <w:tc>
          <w:tcPr>
            <w:tcW w:w="114"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65" w:type="dxa"/>
            <w:tcBorders>
              <w:bottom w:val="single" w:sz="8" w:space="0" w:color="003A5D"/>
            </w:tcBorders>
            <w:tcMar>
              <w:bottom w:w="60" w:type="dxa"/>
            </w:tcMar>
            <w:vAlign w:val="center"/>
          </w:tcPr>
          <w:p>
            <w:pPr>
              <w:pStyle w:val="TableContents"/>
              <w:bidi w:val="0"/>
              <w:spacing w:before="0" w:after="283"/>
              <w:jc w:val="left"/>
              <w:rPr/>
            </w:pPr>
            <w:r>
              <w:rPr/>
              <w:t> </w:t>
            </w:r>
          </w:p>
        </w:tc>
        <w:tc>
          <w:tcPr>
            <w:tcW w:w="1878" w:type="dxa"/>
            <w:tcBorders>
              <w:bottom w:val="single" w:sz="8" w:space="0" w:color="003A5D"/>
            </w:tcBorders>
            <w:tcMar>
              <w:bottom w:w="60" w:type="dxa"/>
            </w:tcMar>
            <w:vAlign w:val="center"/>
          </w:tcPr>
          <w:p>
            <w:pPr>
              <w:pStyle w:val="TableContents"/>
              <w:bidi w:val="0"/>
              <w:spacing w:before="0" w:after="283"/>
              <w:jc w:val="center"/>
              <w:rPr/>
            </w:pPr>
            <w:r>
              <w:rPr/>
              <w:t>—</w:t>
            </w:r>
          </w:p>
        </w:tc>
        <w:tc>
          <w:tcPr>
            <w:tcW w:w="209"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r>
      <w:tr>
        <w:trPr/>
        <w:tc>
          <w:tcPr>
            <w:tcW w:w="5165" w:type="dxa"/>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783"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2338" w:type="dxa"/>
            <w:gridSpan w:val="5"/>
            <w:tcBorders/>
            <w:shd w:fill="E5EBEE" w:val="clear"/>
            <w:vAlign w:val="center"/>
          </w:tcPr>
          <w:p>
            <w:pPr>
              <w:pStyle w:val="TableContents"/>
              <w:bidi w:val="0"/>
              <w:spacing w:before="0" w:after="283"/>
              <w:jc w:val="left"/>
              <w:rPr>
                <w:sz w:val="4"/>
                <w:szCs w:val="4"/>
              </w:rPr>
            </w:pPr>
            <w:r>
              <w:rPr>
                <w:sz w:val="4"/>
                <w:szCs w:val="4"/>
              </w:rPr>
            </w:r>
          </w:p>
        </w:tc>
      </w:tr>
      <w:tr>
        <w:trPr/>
        <w:tc>
          <w:tcPr>
            <w:tcW w:w="516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Peter E. Raskind</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493" w:type="dxa"/>
            <w:tcBorders>
              <w:bottom w:val="single" w:sz="8" w:space="0" w:color="003A5D"/>
            </w:tcBorders>
            <w:shd w:fill="E5EBEE" w:val="clear"/>
            <w:tcMar>
              <w:bottom w:w="60" w:type="dxa"/>
            </w:tcMar>
            <w:vAlign w:val="center"/>
          </w:tcPr>
          <w:p>
            <w:pPr>
              <w:pStyle w:val="TableContents"/>
              <w:bidi w:val="0"/>
              <w:spacing w:before="0" w:after="283"/>
              <w:jc w:val="center"/>
              <w:rPr/>
            </w:pPr>
            <w:r>
              <w:rPr/>
              <w:t>29,819</w:t>
            </w:r>
          </w:p>
        </w:tc>
        <w:tc>
          <w:tcPr>
            <w:tcW w:w="114"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65"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878"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209"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r>
      <w:tr>
        <w:trPr/>
        <w:tc>
          <w:tcPr>
            <w:tcW w:w="5165" w:type="dxa"/>
            <w:tcBorders>
              <w:right w:val="single" w:sz="24" w:space="0" w:color="FFFFFF"/>
            </w:tcBorders>
            <w:tcMar>
              <w:right w:w="28" w:type="dxa"/>
            </w:tcMar>
            <w:vAlign w:val="center"/>
          </w:tcPr>
          <w:p>
            <w:pPr>
              <w:pStyle w:val="TableContents"/>
              <w:bidi w:val="0"/>
              <w:spacing w:before="0" w:after="283"/>
              <w:jc w:val="left"/>
              <w:rPr/>
            </w:pPr>
            <w:r>
              <w:rPr/>
              <w:t> </w:t>
            </w:r>
          </w:p>
        </w:tc>
        <w:tc>
          <w:tcPr>
            <w:tcW w:w="1783"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2338" w:type="dxa"/>
            <w:gridSpan w:val="5"/>
            <w:tcBorders/>
            <w:vAlign w:val="center"/>
          </w:tcPr>
          <w:p>
            <w:pPr>
              <w:pStyle w:val="TableContents"/>
              <w:bidi w:val="0"/>
              <w:spacing w:before="0" w:after="283"/>
              <w:jc w:val="left"/>
              <w:rPr>
                <w:sz w:val="4"/>
                <w:szCs w:val="4"/>
              </w:rPr>
            </w:pPr>
            <w:r>
              <w:rPr>
                <w:sz w:val="4"/>
                <w:szCs w:val="4"/>
              </w:rPr>
            </w:r>
          </w:p>
        </w:tc>
      </w:tr>
      <w:tr>
        <w:trPr/>
        <w:tc>
          <w:tcPr>
            <w:tcW w:w="5165"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Eileen Serra</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8" w:space="0" w:color="003A5D"/>
            </w:tcBorders>
            <w:tcMar>
              <w:bottom w:w="60" w:type="dxa"/>
            </w:tcMar>
            <w:vAlign w:val="center"/>
          </w:tcPr>
          <w:p>
            <w:pPr>
              <w:pStyle w:val="TableContents"/>
              <w:bidi w:val="0"/>
              <w:spacing w:before="0" w:after="283"/>
              <w:jc w:val="left"/>
              <w:rPr/>
            </w:pPr>
            <w:r>
              <w:rPr/>
              <w:t> </w:t>
            </w:r>
          </w:p>
        </w:tc>
        <w:tc>
          <w:tcPr>
            <w:tcW w:w="1493" w:type="dxa"/>
            <w:tcBorders>
              <w:bottom w:val="single" w:sz="8" w:space="0" w:color="003A5D"/>
            </w:tcBorders>
            <w:tcMar>
              <w:bottom w:w="60" w:type="dxa"/>
            </w:tcMar>
            <w:vAlign w:val="center"/>
          </w:tcPr>
          <w:p>
            <w:pPr>
              <w:pStyle w:val="TableContents"/>
              <w:bidi w:val="0"/>
              <w:spacing w:before="0" w:after="283"/>
              <w:jc w:val="center"/>
              <w:rPr/>
            </w:pPr>
            <w:r>
              <w:rPr/>
              <w:t>10,267</w:t>
            </w:r>
          </w:p>
        </w:tc>
        <w:tc>
          <w:tcPr>
            <w:tcW w:w="114"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65" w:type="dxa"/>
            <w:tcBorders>
              <w:bottom w:val="single" w:sz="8" w:space="0" w:color="003A5D"/>
            </w:tcBorders>
            <w:tcMar>
              <w:bottom w:w="60" w:type="dxa"/>
            </w:tcMar>
            <w:vAlign w:val="center"/>
          </w:tcPr>
          <w:p>
            <w:pPr>
              <w:pStyle w:val="TableContents"/>
              <w:bidi w:val="0"/>
              <w:spacing w:before="0" w:after="283"/>
              <w:jc w:val="left"/>
              <w:rPr/>
            </w:pPr>
            <w:r>
              <w:rPr/>
              <w:t> </w:t>
            </w:r>
          </w:p>
        </w:tc>
        <w:tc>
          <w:tcPr>
            <w:tcW w:w="1878" w:type="dxa"/>
            <w:tcBorders>
              <w:bottom w:val="single" w:sz="8" w:space="0" w:color="003A5D"/>
            </w:tcBorders>
            <w:tcMar>
              <w:bottom w:w="60" w:type="dxa"/>
            </w:tcMar>
            <w:vAlign w:val="center"/>
          </w:tcPr>
          <w:p>
            <w:pPr>
              <w:pStyle w:val="TableContents"/>
              <w:bidi w:val="0"/>
              <w:spacing w:before="0" w:after="283"/>
              <w:jc w:val="center"/>
              <w:rPr/>
            </w:pPr>
            <w:r>
              <w:rPr/>
              <w:t>—</w:t>
            </w:r>
          </w:p>
        </w:tc>
        <w:tc>
          <w:tcPr>
            <w:tcW w:w="209"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r>
      <w:tr>
        <w:trPr/>
        <w:tc>
          <w:tcPr>
            <w:tcW w:w="5165" w:type="dxa"/>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783"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2338" w:type="dxa"/>
            <w:gridSpan w:val="5"/>
            <w:tcBorders/>
            <w:shd w:fill="E5EBEE" w:val="clear"/>
            <w:vAlign w:val="center"/>
          </w:tcPr>
          <w:p>
            <w:pPr>
              <w:pStyle w:val="TableContents"/>
              <w:bidi w:val="0"/>
              <w:spacing w:before="0" w:after="283"/>
              <w:jc w:val="left"/>
              <w:rPr>
                <w:sz w:val="4"/>
                <w:szCs w:val="4"/>
              </w:rPr>
            </w:pPr>
            <w:r>
              <w:rPr>
                <w:sz w:val="4"/>
                <w:szCs w:val="4"/>
              </w:rPr>
            </w:r>
          </w:p>
        </w:tc>
      </w:tr>
      <w:tr>
        <w:trPr/>
        <w:tc>
          <w:tcPr>
            <w:tcW w:w="516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Mayo A. Shattuck III</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493" w:type="dxa"/>
            <w:tcBorders>
              <w:bottom w:val="single" w:sz="8" w:space="0" w:color="003A5D"/>
            </w:tcBorders>
            <w:shd w:fill="E5EBEE" w:val="clear"/>
            <w:tcMar>
              <w:bottom w:w="60" w:type="dxa"/>
            </w:tcMar>
            <w:vAlign w:val="center"/>
          </w:tcPr>
          <w:p>
            <w:pPr>
              <w:pStyle w:val="TableContents"/>
              <w:bidi w:val="0"/>
              <w:spacing w:before="0" w:after="283"/>
              <w:jc w:val="center"/>
              <w:rPr/>
            </w:pPr>
            <w:r>
              <w:rPr/>
              <w:t>55,988</w:t>
            </w:r>
          </w:p>
        </w:tc>
        <w:tc>
          <w:tcPr>
            <w:tcW w:w="114"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65"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878" w:type="dxa"/>
            <w:tcBorders>
              <w:bottom w:val="single" w:sz="8" w:space="0" w:color="003A5D"/>
            </w:tcBorders>
            <w:shd w:fill="E5EBEE" w:val="clear"/>
            <w:tcMar>
              <w:bottom w:w="60" w:type="dxa"/>
            </w:tcMar>
            <w:vAlign w:val="center"/>
          </w:tcPr>
          <w:p>
            <w:pPr>
              <w:pStyle w:val="TableContents"/>
              <w:bidi w:val="0"/>
              <w:spacing w:before="0" w:after="283"/>
              <w:jc w:val="center"/>
              <w:rPr/>
            </w:pPr>
            <w:r>
              <w:rPr/>
              <w:t>—</w:t>
            </w:r>
          </w:p>
        </w:tc>
        <w:tc>
          <w:tcPr>
            <w:tcW w:w="209"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r>
      <w:tr>
        <w:trPr/>
        <w:tc>
          <w:tcPr>
            <w:tcW w:w="5165" w:type="dxa"/>
            <w:tcBorders>
              <w:right w:val="single" w:sz="24" w:space="0" w:color="FFFFFF"/>
            </w:tcBorders>
            <w:tcMar>
              <w:right w:w="28" w:type="dxa"/>
            </w:tcMar>
            <w:vAlign w:val="center"/>
          </w:tcPr>
          <w:p>
            <w:pPr>
              <w:pStyle w:val="TableContents"/>
              <w:bidi w:val="0"/>
              <w:spacing w:before="0" w:after="283"/>
              <w:jc w:val="left"/>
              <w:rPr/>
            </w:pPr>
            <w:r>
              <w:rPr/>
              <w:t> </w:t>
            </w:r>
          </w:p>
        </w:tc>
        <w:tc>
          <w:tcPr>
            <w:tcW w:w="1783" w:type="dxa"/>
            <w:gridSpan w:val="5"/>
            <w:tcBorders>
              <w:right w:val="single" w:sz="24" w:space="0" w:color="FFFFFF"/>
            </w:tcBorders>
            <w:tcMar>
              <w:right w:w="28" w:type="dxa"/>
            </w:tcMar>
            <w:vAlign w:val="center"/>
          </w:tcPr>
          <w:p>
            <w:pPr>
              <w:pStyle w:val="TableContents"/>
              <w:bidi w:val="0"/>
              <w:spacing w:before="0" w:after="283"/>
              <w:jc w:val="left"/>
              <w:rPr/>
            </w:pPr>
            <w:r>
              <w:rPr/>
              <w:t> </w:t>
            </w:r>
          </w:p>
        </w:tc>
        <w:tc>
          <w:tcPr>
            <w:tcW w:w="2338" w:type="dxa"/>
            <w:gridSpan w:val="5"/>
            <w:tcBorders/>
            <w:vAlign w:val="center"/>
          </w:tcPr>
          <w:p>
            <w:pPr>
              <w:pStyle w:val="TableContents"/>
              <w:bidi w:val="0"/>
              <w:spacing w:before="0" w:after="283"/>
              <w:jc w:val="left"/>
              <w:rPr>
                <w:sz w:val="4"/>
                <w:szCs w:val="4"/>
              </w:rPr>
            </w:pPr>
            <w:r>
              <w:rPr>
                <w:sz w:val="4"/>
                <w:szCs w:val="4"/>
              </w:rPr>
            </w:r>
          </w:p>
        </w:tc>
      </w:tr>
      <w:tr>
        <w:trPr/>
        <w:tc>
          <w:tcPr>
            <w:tcW w:w="5165"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Craig Anthony Williams</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8" w:space="0" w:color="003A5D"/>
            </w:tcBorders>
            <w:tcMar>
              <w:bottom w:w="60" w:type="dxa"/>
            </w:tcMar>
            <w:vAlign w:val="center"/>
          </w:tcPr>
          <w:p>
            <w:pPr>
              <w:pStyle w:val="TableContents"/>
              <w:bidi w:val="0"/>
              <w:spacing w:before="0" w:after="283"/>
              <w:jc w:val="left"/>
              <w:rPr/>
            </w:pPr>
            <w:r>
              <w:rPr/>
              <w:t> </w:t>
            </w:r>
          </w:p>
        </w:tc>
        <w:tc>
          <w:tcPr>
            <w:tcW w:w="1493" w:type="dxa"/>
            <w:tcBorders>
              <w:bottom w:val="single" w:sz="8" w:space="0" w:color="003A5D"/>
            </w:tcBorders>
            <w:tcMar>
              <w:bottom w:w="60" w:type="dxa"/>
            </w:tcMar>
            <w:vAlign w:val="center"/>
          </w:tcPr>
          <w:p>
            <w:pPr>
              <w:pStyle w:val="TableContents"/>
              <w:bidi w:val="0"/>
              <w:spacing w:before="0" w:after="283"/>
              <w:jc w:val="center"/>
              <w:rPr/>
            </w:pPr>
            <w:r>
              <w:rPr/>
              <w:t>7,377</w:t>
            </w:r>
          </w:p>
        </w:tc>
        <w:tc>
          <w:tcPr>
            <w:tcW w:w="114"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65" w:type="dxa"/>
            <w:tcBorders>
              <w:bottom w:val="single" w:sz="8" w:space="0" w:color="003A5D"/>
            </w:tcBorders>
            <w:tcMar>
              <w:bottom w:w="60" w:type="dxa"/>
            </w:tcMar>
            <w:vAlign w:val="center"/>
          </w:tcPr>
          <w:p>
            <w:pPr>
              <w:pStyle w:val="TableContents"/>
              <w:bidi w:val="0"/>
              <w:spacing w:before="0" w:after="283"/>
              <w:jc w:val="left"/>
              <w:rPr/>
            </w:pPr>
            <w:r>
              <w:rPr/>
              <w:t> </w:t>
            </w:r>
          </w:p>
        </w:tc>
        <w:tc>
          <w:tcPr>
            <w:tcW w:w="1878" w:type="dxa"/>
            <w:tcBorders>
              <w:bottom w:val="single" w:sz="8" w:space="0" w:color="003A5D"/>
            </w:tcBorders>
            <w:tcMar>
              <w:bottom w:w="60" w:type="dxa"/>
            </w:tcMar>
            <w:vAlign w:val="center"/>
          </w:tcPr>
          <w:p>
            <w:pPr>
              <w:pStyle w:val="TableContents"/>
              <w:bidi w:val="0"/>
              <w:spacing w:before="0" w:after="283"/>
              <w:jc w:val="center"/>
              <w:rPr/>
            </w:pPr>
            <w:r>
              <w:rPr/>
              <w:t>—</w:t>
            </w:r>
          </w:p>
        </w:tc>
        <w:tc>
          <w:tcPr>
            <w:tcW w:w="209" w:type="dxa"/>
            <w:tcBorders>
              <w:bottom w:val="single" w:sz="8" w:space="0" w:color="003A5D"/>
            </w:tcBorders>
            <w:tcMar>
              <w:bottom w:w="60" w:type="dxa"/>
            </w:tcMar>
            <w:vAlign w:val="center"/>
          </w:tcPr>
          <w:p>
            <w:pPr>
              <w:pStyle w:val="TableContents"/>
              <w:bidi w:val="0"/>
              <w:spacing w:before="0" w:after="283"/>
              <w:jc w:val="left"/>
              <w:rPr>
                <w:sz w:val="4"/>
                <w:szCs w:val="4"/>
              </w:rPr>
            </w:pPr>
            <w:r>
              <w:rPr>
                <w:sz w:val="4"/>
                <w:szCs w:val="4"/>
              </w:rPr>
            </w:r>
          </w:p>
        </w:tc>
      </w:tr>
      <w:tr>
        <w:trPr/>
        <w:tc>
          <w:tcPr>
            <w:tcW w:w="5165" w:type="dxa"/>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783" w:type="dxa"/>
            <w:gridSpan w:val="5"/>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2338" w:type="dxa"/>
            <w:gridSpan w:val="5"/>
            <w:tcBorders/>
            <w:shd w:fill="E5EBEE" w:val="clear"/>
            <w:vAlign w:val="center"/>
          </w:tcPr>
          <w:p>
            <w:pPr>
              <w:pStyle w:val="TableContents"/>
              <w:bidi w:val="0"/>
              <w:spacing w:before="0" w:after="283"/>
              <w:jc w:val="left"/>
              <w:rPr>
                <w:sz w:val="4"/>
                <w:szCs w:val="4"/>
              </w:rPr>
            </w:pPr>
            <w:r>
              <w:rPr>
                <w:sz w:val="4"/>
                <w:szCs w:val="4"/>
              </w:rPr>
            </w:r>
          </w:p>
        </w:tc>
      </w:tr>
      <w:tr>
        <w:trPr/>
        <w:tc>
          <w:tcPr>
            <w:tcW w:w="516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All directors and executive officers as a group (25 persons)</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11"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493" w:type="dxa"/>
            <w:tcBorders>
              <w:bottom w:val="single" w:sz="8" w:space="0" w:color="003A5D"/>
            </w:tcBorders>
            <w:shd w:fill="E5EBEE" w:val="clear"/>
            <w:tcMar>
              <w:bottom w:w="60" w:type="dxa"/>
            </w:tcMar>
            <w:vAlign w:val="center"/>
          </w:tcPr>
          <w:p>
            <w:pPr>
              <w:pStyle w:val="TableContents"/>
              <w:bidi w:val="0"/>
              <w:spacing w:before="0" w:after="283"/>
              <w:jc w:val="center"/>
              <w:rPr/>
            </w:pPr>
            <w:r>
              <w:rPr/>
              <w:t>460,304</w:t>
            </w:r>
          </w:p>
        </w:tc>
        <w:tc>
          <w:tcPr>
            <w:tcW w:w="114"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65"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1878" w:type="dxa"/>
            <w:tcBorders>
              <w:bottom w:val="single" w:sz="8" w:space="0" w:color="003A5D"/>
            </w:tcBorders>
            <w:shd w:fill="E5EBEE" w:val="clear"/>
            <w:tcMar>
              <w:bottom w:w="60" w:type="dxa"/>
            </w:tcMar>
            <w:vAlign w:val="center"/>
          </w:tcPr>
          <w:p>
            <w:pPr>
              <w:pStyle w:val="TableContents"/>
              <w:bidi w:val="0"/>
              <w:spacing w:before="0" w:after="283"/>
              <w:jc w:val="center"/>
              <w:rPr/>
            </w:pPr>
            <w:r>
              <w:rPr/>
              <w:t>52,223</w:t>
            </w:r>
          </w:p>
        </w:tc>
        <w:tc>
          <w:tcPr>
            <w:tcW w:w="209" w:type="dxa"/>
            <w:tcBorders>
              <w:bottom w:val="single" w:sz="8"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120 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righ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110" w:name="txa845790_54"/>
      <w:bookmarkEnd w:id="110"/>
      <w:r>
        <w:rPr>
          <w:rFonts w:ascii="arial" w:hAnsi="arial"/>
          <w:b/>
          <w:sz w:val="36"/>
        </w:rPr>
        <w:t xml:space="preserve">Section IX - Compensation Committee Report </w:t>
      </w:r>
    </w:p>
    <w:p>
      <w:pPr>
        <w:pStyle w:val="TextBody"/>
        <w:pBdr>
          <w:bottom w:val="single" w:sz="8" w:space="1" w:color="000000"/>
        </w:pBdr>
        <w:bidi w:val="0"/>
        <w:spacing w:lineRule="atLeast" w:line="142" w:before="0" w:after="40"/>
        <w:jc w:val="left"/>
        <w:rPr/>
      </w:pPr>
      <w:r>
        <w:rPr/>
        <w:t> </w:t>
      </w:r>
    </w:p>
    <w:p>
      <w:pPr>
        <w:pStyle w:val="TextBody"/>
        <w:bidi w:val="0"/>
        <w:spacing w:before="120" w:after="0"/>
        <w:jc w:val="both"/>
        <w:rPr>
          <w:rFonts w:ascii="arial" w:hAnsi="arial"/>
          <w:sz w:val="20"/>
        </w:rPr>
      </w:pPr>
      <w:r>
        <w:rPr>
          <w:rFonts w:ascii="arial" w:hAnsi="arial"/>
          <w:sz w:val="20"/>
        </w:rPr>
        <w:t xml:space="preserve">All members of the Compensation Committee participated in the review and discussion of the Compensation Discussion and Analysis (“CD&amp;A”) with management. Based on that review and discussion, the Compensation Committee recommended to the Board of Directors that the CD&amp;A be included in this proxy statement. </w:t>
      </w:r>
    </w:p>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2735"/>
        <w:gridCol w:w="120"/>
        <w:gridCol w:w="2615"/>
      </w:tblGrid>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0"/>
              <w:jc w:val="both"/>
              <w:rPr>
                <w:rFonts w:ascii="arial" w:hAnsi="arial"/>
                <w:sz w:val="20"/>
              </w:rPr>
            </w:pPr>
            <w:r>
              <w:rPr>
                <w:rFonts w:ascii="arial" w:hAnsi="arial"/>
                <w:sz w:val="20"/>
              </w:rPr>
              <w:t>The Compensation Committee:</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both"/>
              <w:rPr>
                <w:rFonts w:ascii="arial" w:hAnsi="arial"/>
                <w:sz w:val="20"/>
              </w:rPr>
            </w:pPr>
            <w:r>
              <w:rPr>
                <w:rFonts w:ascii="arial" w:hAnsi="arial"/>
                <w:sz w:val="20"/>
              </w:rPr>
              <w:t>François Locoh-Donou (Chair)</w:t>
            </w:r>
          </w:p>
          <w:p>
            <w:pPr>
              <w:pStyle w:val="TableContents"/>
              <w:bidi w:val="0"/>
              <w:spacing w:before="0" w:after="0"/>
              <w:jc w:val="both"/>
              <w:rPr>
                <w:rFonts w:ascii="arial" w:hAnsi="arial"/>
                <w:sz w:val="20"/>
              </w:rPr>
            </w:pPr>
            <w:r>
              <w:rPr>
                <w:rFonts w:ascii="arial" w:hAnsi="arial"/>
                <w:sz w:val="20"/>
              </w:rPr>
              <w:t>Ime Archibong</w:t>
            </w:r>
          </w:p>
          <w:p>
            <w:pPr>
              <w:pStyle w:val="TableContents"/>
              <w:bidi w:val="0"/>
              <w:spacing w:before="0" w:after="0"/>
              <w:jc w:val="both"/>
              <w:rPr>
                <w:rFonts w:ascii="arial" w:hAnsi="arial"/>
                <w:sz w:val="20"/>
              </w:rPr>
            </w:pPr>
            <w:r>
              <w:rPr>
                <w:rFonts w:ascii="arial" w:hAnsi="arial"/>
                <w:sz w:val="20"/>
              </w:rPr>
              <w:t>Ann Fritz Hackett</w:t>
            </w:r>
          </w:p>
          <w:p>
            <w:pPr>
              <w:pStyle w:val="TableContents"/>
              <w:bidi w:val="0"/>
              <w:spacing w:before="0" w:after="0"/>
              <w:jc w:val="both"/>
              <w:rPr>
                <w:rFonts w:ascii="arial" w:hAnsi="arial"/>
                <w:sz w:val="20"/>
              </w:rPr>
            </w:pPr>
            <w:r>
              <w:rPr>
                <w:rFonts w:ascii="arial" w:hAnsi="arial"/>
                <w:sz w:val="20"/>
              </w:rPr>
              <w:t>Peter Thomas Killalea</w:t>
            </w:r>
          </w:p>
          <w:p>
            <w:pPr>
              <w:pStyle w:val="TableContents"/>
              <w:bidi w:val="0"/>
              <w:spacing w:before="0" w:after="0"/>
              <w:jc w:val="both"/>
              <w:rPr>
                <w:rFonts w:ascii="arial" w:hAnsi="arial"/>
                <w:sz w:val="20"/>
              </w:rPr>
            </w:pPr>
            <w:r>
              <w:rPr>
                <w:rFonts w:ascii="arial" w:hAnsi="arial"/>
                <w:sz w:val="20"/>
              </w:rPr>
              <w:t>Eli Leenaars</w:t>
            </w:r>
          </w:p>
          <w:p>
            <w:pPr>
              <w:pStyle w:val="TableContents"/>
              <w:bidi w:val="0"/>
              <w:spacing w:before="0" w:after="0"/>
              <w:jc w:val="both"/>
              <w:rPr>
                <w:rFonts w:ascii="arial" w:hAnsi="arial"/>
                <w:sz w:val="20"/>
              </w:rPr>
            </w:pPr>
            <w:r>
              <w:rPr>
                <w:rFonts w:ascii="arial" w:hAnsi="arial"/>
                <w:sz w:val="20"/>
              </w:rPr>
              <w:t>Mayo A. Shattuck III</w:t>
            </w:r>
          </w:p>
          <w:p>
            <w:pPr>
              <w:pStyle w:val="TableContents"/>
              <w:bidi w:val="0"/>
              <w:spacing w:before="0" w:after="20"/>
              <w:jc w:val="both"/>
              <w:rPr>
                <w:rFonts w:ascii="arial" w:hAnsi="arial"/>
                <w:sz w:val="20"/>
              </w:rPr>
            </w:pPr>
            <w:r>
              <w:rPr>
                <w:rFonts w:ascii="arial" w:hAnsi="arial"/>
                <w:sz w:val="20"/>
              </w:rPr>
              <w:t>Craig Anthony Williams</w:t>
            </w:r>
          </w:p>
        </w:tc>
      </w:tr>
    </w:tbl>
    <w:p>
      <w:pPr>
        <w:pStyle w:val="TextBody"/>
        <w:bidi w:val="0"/>
        <w:spacing w:before="240" w:after="0"/>
        <w:jc w:val="both"/>
        <w:rPr>
          <w:rFonts w:ascii="arial" w:hAnsi="arial"/>
          <w:sz w:val="20"/>
        </w:rPr>
      </w:pPr>
      <w:r>
        <w:rPr>
          <w:rFonts w:ascii="arial" w:hAnsi="arial"/>
          <w:sz w:val="20"/>
        </w:rPr>
        <w:t xml:space="preserve">The foregoing report of the Compensation Committee shall not be deemed to be soliciting material or filed with the SEC and is not incorporated by reference into any of Capital One’s previous or future filings with the SEC, except as otherwise explicitly specified by Capital One in any such filing.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121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120" w:type="dxa"/>
        <w:jc w:val="left"/>
        <w:tblInd w:w="0" w:type="dxa"/>
        <w:tblLayout w:type="fixed"/>
        <w:tblCellMar>
          <w:top w:w="0" w:type="dxa"/>
          <w:left w:w="0" w:type="dxa"/>
          <w:bottom w:w="0" w:type="dxa"/>
          <w:right w:w="0" w:type="dxa"/>
        </w:tblCellMar>
      </w:tblPr>
      <w:tblGrid>
        <w:gridCol w:w="2120"/>
      </w:tblGrid>
      <w:tr>
        <w:trPr/>
        <w:tc>
          <w:tcPr>
            <w:tcW w:w="212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b/>
                <w:color w:val="003A5D"/>
              </w:rPr>
            </w:pPr>
            <w:r>
              <w:rPr>
                <w:b/>
                <w:color w:val="003A5D"/>
              </w:rPr>
              <w:t>AUDIT MATTERS</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lef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111" w:name="txa845790_55"/>
      <w:bookmarkEnd w:id="111"/>
      <w:r>
        <w:rPr>
          <w:rFonts w:ascii="arial" w:hAnsi="arial"/>
          <w:b/>
          <w:sz w:val="36"/>
        </w:rPr>
        <w:t xml:space="preserve">Section X - Ratification of the Selection of Ernst &amp; Young LLP as Our Independent Registered Public Accounting Firm for 2025 (Item 3 on Proxy Card) </w:t>
      </w:r>
    </w:p>
    <w:p>
      <w:pPr>
        <w:pStyle w:val="TextBody"/>
        <w:pBdr>
          <w:bottom w:val="single" w:sz="8" w:space="1" w:color="000000"/>
        </w:pBdr>
        <w:bidi w:val="0"/>
        <w:spacing w:lineRule="atLeast" w:line="142" w:before="0" w:after="40"/>
        <w:jc w:val="left"/>
        <w:rPr/>
      </w:pPr>
      <w:r>
        <w:rPr/>
        <w:t> </w:t>
      </w:r>
    </w:p>
    <w:p>
      <w:pPr>
        <w:pStyle w:val="TextBody"/>
        <w:bidi w:val="0"/>
        <w:spacing w:before="240" w:after="0"/>
        <w:jc w:val="both"/>
        <w:rPr>
          <w:rFonts w:ascii="arial" w:hAnsi="arial"/>
          <w:sz w:val="20"/>
        </w:rPr>
      </w:pPr>
      <w:r>
        <w:rPr>
          <w:rFonts w:ascii="arial" w:hAnsi="arial"/>
          <w:sz w:val="20"/>
        </w:rPr>
        <w:t xml:space="preserve">The Audit Committee, pursuant to authority granted to it by the Board, is directly responsible for the appointment, compensation, retention, and oversight of Capital One’s independent registered public accounting firm. The Audit Committee evaluates the independent registered public accounting firm’s qualifications, performance, and independence at least annually and periodically considers whether to continue to retain our current independent registered public accounting firm or whether to engage another firm. In connection with applicable partner rotation requirements, the Audit Committee and its Chair are involved in considering the selection of the independent registered public accounting firm’s new lead partner. Additionally, Capital One adheres to the requirements of the Sarbanes-Oxley Act relating to the rotation of partners engaged in Capital One’s audit by the independent registered public accounting firm. </w:t>
      </w:r>
    </w:p>
    <w:p>
      <w:pPr>
        <w:pStyle w:val="TextBody"/>
        <w:bidi w:val="0"/>
        <w:spacing w:before="240" w:after="0"/>
        <w:jc w:val="both"/>
        <w:rPr>
          <w:rFonts w:ascii="arial" w:hAnsi="arial"/>
          <w:sz w:val="20"/>
        </w:rPr>
      </w:pPr>
      <w:r>
        <w:rPr>
          <w:rFonts w:ascii="arial" w:hAnsi="arial"/>
          <w:sz w:val="20"/>
        </w:rPr>
        <w:t xml:space="preserve">For 2025, the Audit Committee has appointed Ernst &amp; Young LLP (“Ernst &amp; Young”) as Capital One’s independent registered public accounting firm. Ernst &amp; Young has served in this role since 1994. The members of the Audit Committee and the Board believe that the continued retention of Ernst &amp; Young as Capital One’s independent registered public accounting firm is in the best interests of Capital One and its stockholders. </w:t>
      </w:r>
    </w:p>
    <w:p>
      <w:pPr>
        <w:pStyle w:val="TextBody"/>
        <w:bidi w:val="0"/>
        <w:spacing w:before="240" w:after="0"/>
        <w:jc w:val="both"/>
        <w:rPr>
          <w:rFonts w:ascii="arial" w:hAnsi="arial"/>
          <w:sz w:val="20"/>
        </w:rPr>
      </w:pPr>
      <w:r>
        <w:rPr>
          <w:rFonts w:ascii="arial" w:hAnsi="arial"/>
          <w:sz w:val="20"/>
        </w:rPr>
        <w:t xml:space="preserve">The Board is submitting this proposal to the vote of the stockholders as a matter of good corporate governance. If stockholders do not ratify the selection of Ernst &amp; Young, the Audit Committee will reconsider the appointment of Ernst &amp; Young as the Company’s independent registered public accounting firm. Even if the selection is ratified, the Audit Committee may, in its discretion, appoint a different independent registered public accounting firm at any time during the year if the Audit Committee determines that such a change would be in our stockholders’ best interests. </w:t>
      </w:r>
    </w:p>
    <w:p>
      <w:pPr>
        <w:pStyle w:val="TextBody"/>
        <w:bidi w:val="0"/>
        <w:spacing w:before="240" w:after="0"/>
        <w:jc w:val="both"/>
        <w:rPr>
          <w:rFonts w:ascii="arial" w:hAnsi="arial"/>
          <w:sz w:val="20"/>
        </w:rPr>
      </w:pPr>
      <w:r>
        <w:rPr>
          <w:rFonts w:ascii="arial" w:hAnsi="arial"/>
          <w:sz w:val="20"/>
        </w:rPr>
        <w:t xml:space="preserve">The fees billed for professional services provided by Ernst &amp; Young for fiscal years 2024 and 2023 are shown in the following table: </w:t>
      </w:r>
    </w:p>
    <w:p>
      <w:pPr>
        <w:pStyle w:val="TextBody"/>
        <w:bidi w:val="0"/>
        <w:spacing w:before="0" w:after="0"/>
        <w:jc w:val="left"/>
        <w:rPr/>
      </w:pPr>
      <w:r>
        <w:rPr/>
        <w:t> </w:t>
      </w:r>
    </w:p>
    <w:tbl>
      <w:tblPr>
        <w:tblW w:w="4695" w:type="dxa"/>
        <w:jc w:val="left"/>
        <w:tblInd w:w="0" w:type="dxa"/>
        <w:tblLayout w:type="fixed"/>
        <w:tblCellMar>
          <w:top w:w="0" w:type="dxa"/>
          <w:left w:w="0" w:type="dxa"/>
          <w:bottom w:w="0" w:type="dxa"/>
          <w:right w:w="0" w:type="dxa"/>
        </w:tblCellMar>
      </w:tblPr>
      <w:tblGrid>
        <w:gridCol w:w="2480"/>
        <w:gridCol w:w="60"/>
        <w:gridCol w:w="1040"/>
        <w:gridCol w:w="60"/>
        <w:gridCol w:w="1055"/>
      </w:tblGrid>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2480" w:type="dxa"/>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100" w:type="dxa"/>
            <w:gridSpan w:val="2"/>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115" w:type="dxa"/>
            <w:gridSpan w:val="2"/>
            <w:tcBorders>
              <w:right w:val="single" w:sz="24" w:space="0" w:color="FFFFFF"/>
            </w:tcBorders>
            <w:shd w:fill="003A5D" w:val="clear"/>
            <w:tcMar>
              <w:right w:w="28" w:type="dxa"/>
            </w:tcMar>
            <w:vAlign w:val="center"/>
          </w:tcPr>
          <w:p>
            <w:pPr>
              <w:pStyle w:val="TableContents"/>
              <w:bidi w:val="0"/>
              <w:spacing w:before="0" w:after="283"/>
              <w:jc w:val="left"/>
              <w:rPr/>
            </w:pPr>
            <w:r>
              <w:rPr/>
              <w:t> </w:t>
            </w:r>
          </w:p>
        </w:tc>
      </w:tr>
      <w:tr>
        <w:trPr/>
        <w:tc>
          <w:tcPr>
            <w:tcW w:w="2480" w:type="dxa"/>
            <w:tcBorders>
              <w:right w:val="single" w:sz="24" w:space="0" w:color="FFFFFF"/>
            </w:tcBorders>
            <w:shd w:fill="003A5D" w:val="clear"/>
            <w:tcMar>
              <w:right w:w="28" w:type="dxa"/>
            </w:tcMar>
            <w:vAlign w:val="center"/>
          </w:tcPr>
          <w:p>
            <w:pPr>
              <w:pStyle w:val="TableContents"/>
              <w:bidi w:val="0"/>
              <w:spacing w:before="0" w:after="283"/>
              <w:jc w:val="left"/>
              <w:rPr>
                <w:b/>
                <w:color w:val="FFFFFF"/>
              </w:rPr>
            </w:pPr>
            <w:r>
              <w:rPr>
                <w:b/>
                <w:color w:val="FFFFFF"/>
              </w:rPr>
              <w:t>Fees (dollars in millions)</w:t>
            </w:r>
          </w:p>
        </w:tc>
        <w:tc>
          <w:tcPr>
            <w:tcW w:w="60" w:type="dxa"/>
            <w:tcBorders/>
            <w:shd w:fill="003A5D" w:val="clear"/>
            <w:vAlign w:val="center"/>
          </w:tcPr>
          <w:p>
            <w:pPr>
              <w:pStyle w:val="TableContents"/>
              <w:bidi w:val="0"/>
              <w:spacing w:before="0" w:after="283"/>
              <w:jc w:val="left"/>
              <w:rPr/>
            </w:pPr>
            <w:r>
              <w:rPr/>
              <w:t> </w:t>
            </w:r>
          </w:p>
        </w:tc>
        <w:tc>
          <w:tcPr>
            <w:tcW w:w="1040" w:type="dxa"/>
            <w:tcBorders>
              <w:right w:val="single" w:sz="24"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2024  </w:t>
            </w:r>
          </w:p>
        </w:tc>
        <w:tc>
          <w:tcPr>
            <w:tcW w:w="60" w:type="dxa"/>
            <w:tcBorders/>
            <w:shd w:fill="003A5D" w:val="clear"/>
            <w:vAlign w:val="center"/>
          </w:tcPr>
          <w:p>
            <w:pPr>
              <w:pStyle w:val="TableContents"/>
              <w:bidi w:val="0"/>
              <w:spacing w:before="0" w:after="283"/>
              <w:jc w:val="left"/>
              <w:rPr/>
            </w:pPr>
            <w:r>
              <w:rPr/>
              <w:t> </w:t>
            </w:r>
          </w:p>
        </w:tc>
        <w:tc>
          <w:tcPr>
            <w:tcW w:w="1055" w:type="dxa"/>
            <w:tcBorders>
              <w:right w:val="single" w:sz="24" w:space="0" w:color="FFFFFF"/>
            </w:tcBorders>
            <w:shd w:fill="003A5D" w:val="clear"/>
            <w:tcMar>
              <w:right w:w="40" w:type="dxa"/>
            </w:tcMar>
            <w:vAlign w:val="center"/>
          </w:tcPr>
          <w:p>
            <w:pPr>
              <w:pStyle w:val="TableContents"/>
              <w:bidi w:val="0"/>
              <w:spacing w:before="0" w:after="283"/>
              <w:jc w:val="center"/>
              <w:rPr>
                <w:b/>
                <w:color w:val="FFFFFF"/>
              </w:rPr>
            </w:pPr>
            <w:r>
              <w:rPr>
                <w:b/>
                <w:color w:val="FFFFFF"/>
              </w:rPr>
              <w:t>2023  </w:t>
            </w:r>
          </w:p>
        </w:tc>
      </w:tr>
      <w:tr>
        <w:trPr/>
        <w:tc>
          <w:tcPr>
            <w:tcW w:w="2480" w:type="dxa"/>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100"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115"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r>
      <w:tr>
        <w:trPr/>
        <w:tc>
          <w:tcPr>
            <w:tcW w:w="248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0"/>
              <w:jc w:val="left"/>
              <w:rPr>
                <w:rFonts w:ascii="arial" w:hAnsi="arial"/>
                <w:sz w:val="20"/>
              </w:rPr>
            </w:pPr>
            <w:r>
              <w:rPr>
                <w:rFonts w:ascii="arial" w:hAnsi="arial"/>
                <w:sz w:val="20"/>
              </w:rPr>
              <w:t>Audit Fees</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4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0"/>
              <w:jc w:val="center"/>
              <w:rPr>
                <w:rFonts w:ascii="arial" w:hAnsi="arial"/>
                <w:sz w:val="20"/>
              </w:rPr>
            </w:pPr>
            <w:r>
              <w:rPr>
                <w:rFonts w:ascii="arial" w:hAnsi="arial"/>
                <w:sz w:val="20"/>
              </w:rPr>
              <w:t>$13.88  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0"/>
              <w:jc w:val="center"/>
              <w:rPr>
                <w:rFonts w:ascii="arial" w:hAnsi="arial"/>
                <w:sz w:val="20"/>
              </w:rPr>
            </w:pPr>
            <w:r>
              <w:rPr>
                <w:rFonts w:ascii="arial" w:hAnsi="arial"/>
                <w:sz w:val="20"/>
              </w:rPr>
              <w:t>$13.08  </w:t>
            </w:r>
          </w:p>
        </w:tc>
      </w:tr>
      <w:tr>
        <w:trPr/>
        <w:tc>
          <w:tcPr>
            <w:tcW w:w="2480" w:type="dxa"/>
            <w:tcBorders>
              <w:right w:val="single" w:sz="32" w:space="0" w:color="FFFFFF"/>
            </w:tcBorders>
            <w:tcMar>
              <w:right w:w="28" w:type="dxa"/>
            </w:tcMar>
            <w:vAlign w:val="center"/>
          </w:tcPr>
          <w:p>
            <w:pPr>
              <w:pStyle w:val="TableContents"/>
              <w:bidi w:val="0"/>
              <w:spacing w:before="0" w:after="283"/>
              <w:jc w:val="left"/>
              <w:rPr/>
            </w:pPr>
            <w:r>
              <w:rPr/>
              <w:t> </w:t>
            </w:r>
          </w:p>
        </w:tc>
        <w:tc>
          <w:tcPr>
            <w:tcW w:w="1100" w:type="dxa"/>
            <w:gridSpan w:val="2"/>
            <w:tcBorders>
              <w:right w:val="single" w:sz="32" w:space="0" w:color="FFFFFF"/>
            </w:tcBorders>
            <w:tcMar>
              <w:right w:w="28" w:type="dxa"/>
            </w:tcMar>
            <w:vAlign w:val="center"/>
          </w:tcPr>
          <w:p>
            <w:pPr>
              <w:pStyle w:val="TableContents"/>
              <w:bidi w:val="0"/>
              <w:spacing w:before="0" w:after="283"/>
              <w:jc w:val="left"/>
              <w:rPr/>
            </w:pPr>
            <w:r>
              <w:rPr/>
              <w:t> </w:t>
            </w:r>
          </w:p>
        </w:tc>
        <w:tc>
          <w:tcPr>
            <w:tcW w:w="1115" w:type="dxa"/>
            <w:gridSpan w:val="2"/>
            <w:tcBorders>
              <w:right w:val="single" w:sz="32" w:space="0" w:color="FFFFFF"/>
            </w:tcBorders>
            <w:tcMar>
              <w:right w:w="28" w:type="dxa"/>
            </w:tcMar>
            <w:vAlign w:val="center"/>
          </w:tcPr>
          <w:p>
            <w:pPr>
              <w:pStyle w:val="TableContents"/>
              <w:bidi w:val="0"/>
              <w:spacing w:before="0" w:after="283"/>
              <w:jc w:val="left"/>
              <w:rPr/>
            </w:pPr>
            <w:r>
              <w:rPr/>
              <w:t> </w:t>
            </w:r>
          </w:p>
        </w:tc>
      </w:tr>
      <w:tr>
        <w:trPr/>
        <w:tc>
          <w:tcPr>
            <w:tcW w:w="2480" w:type="dxa"/>
            <w:tcBorders>
              <w:bottom w:val="single" w:sz="8" w:space="0" w:color="003A5D"/>
              <w:right w:val="single" w:sz="32" w:space="0" w:color="FFFFFF"/>
            </w:tcBorders>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Audit-Related Fees</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040" w:type="dxa"/>
            <w:tcBorders>
              <w:bottom w:val="single" w:sz="8" w:space="0" w:color="003A5D"/>
              <w:right w:val="single" w:sz="32" w:space="0" w:color="FFFFFF"/>
            </w:tcBorders>
            <w:tcMar>
              <w:bottom w:w="60" w:type="dxa"/>
              <w:right w:w="28" w:type="dxa"/>
            </w:tcMar>
            <w:vAlign w:val="center"/>
          </w:tcPr>
          <w:p>
            <w:pPr>
              <w:pStyle w:val="TableContents"/>
              <w:bidi w:val="0"/>
              <w:spacing w:before="0" w:after="283"/>
              <w:jc w:val="center"/>
              <w:rPr/>
            </w:pPr>
            <w:r>
              <w:rPr/>
              <w:t>$2.18  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32" w:space="0" w:color="FFFFFF"/>
            </w:tcBorders>
            <w:tcMar>
              <w:bottom w:w="60" w:type="dxa"/>
              <w:right w:w="28" w:type="dxa"/>
            </w:tcMar>
            <w:vAlign w:val="center"/>
          </w:tcPr>
          <w:p>
            <w:pPr>
              <w:pStyle w:val="TableContents"/>
              <w:bidi w:val="0"/>
              <w:spacing w:before="0" w:after="283"/>
              <w:jc w:val="center"/>
              <w:rPr/>
            </w:pPr>
            <w:r>
              <w:rPr/>
              <w:t>$2.52  </w:t>
            </w:r>
          </w:p>
        </w:tc>
      </w:tr>
      <w:tr>
        <w:trPr/>
        <w:tc>
          <w:tcPr>
            <w:tcW w:w="2480" w:type="dxa"/>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100"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115"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r>
      <w:tr>
        <w:trPr/>
        <w:tc>
          <w:tcPr>
            <w:tcW w:w="248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Tax Fees</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4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$0.00  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$0.00  </w:t>
            </w:r>
          </w:p>
        </w:tc>
      </w:tr>
      <w:tr>
        <w:trPr/>
        <w:tc>
          <w:tcPr>
            <w:tcW w:w="2480" w:type="dxa"/>
            <w:tcBorders>
              <w:right w:val="single" w:sz="32" w:space="0" w:color="FFFFFF"/>
            </w:tcBorders>
            <w:tcMar>
              <w:right w:w="28" w:type="dxa"/>
            </w:tcMar>
            <w:vAlign w:val="center"/>
          </w:tcPr>
          <w:p>
            <w:pPr>
              <w:pStyle w:val="TableContents"/>
              <w:bidi w:val="0"/>
              <w:spacing w:before="0" w:after="283"/>
              <w:jc w:val="left"/>
              <w:rPr/>
            </w:pPr>
            <w:r>
              <w:rPr/>
              <w:t> </w:t>
            </w:r>
          </w:p>
        </w:tc>
        <w:tc>
          <w:tcPr>
            <w:tcW w:w="1100" w:type="dxa"/>
            <w:gridSpan w:val="2"/>
            <w:tcBorders>
              <w:right w:val="single" w:sz="32" w:space="0" w:color="FFFFFF"/>
            </w:tcBorders>
            <w:tcMar>
              <w:right w:w="28" w:type="dxa"/>
            </w:tcMar>
            <w:vAlign w:val="center"/>
          </w:tcPr>
          <w:p>
            <w:pPr>
              <w:pStyle w:val="TableContents"/>
              <w:bidi w:val="0"/>
              <w:spacing w:before="0" w:after="283"/>
              <w:jc w:val="left"/>
              <w:rPr/>
            </w:pPr>
            <w:r>
              <w:rPr/>
              <w:t> </w:t>
            </w:r>
          </w:p>
        </w:tc>
        <w:tc>
          <w:tcPr>
            <w:tcW w:w="1115" w:type="dxa"/>
            <w:gridSpan w:val="2"/>
            <w:tcBorders>
              <w:right w:val="single" w:sz="32" w:space="0" w:color="FFFFFF"/>
            </w:tcBorders>
            <w:tcMar>
              <w:right w:w="28" w:type="dxa"/>
            </w:tcMar>
            <w:vAlign w:val="center"/>
          </w:tcPr>
          <w:p>
            <w:pPr>
              <w:pStyle w:val="TableContents"/>
              <w:bidi w:val="0"/>
              <w:spacing w:before="0" w:after="283"/>
              <w:jc w:val="left"/>
              <w:rPr/>
            </w:pPr>
            <w:r>
              <w:rPr/>
              <w:t> </w:t>
            </w:r>
          </w:p>
        </w:tc>
      </w:tr>
      <w:tr>
        <w:trPr/>
        <w:tc>
          <w:tcPr>
            <w:tcW w:w="2480" w:type="dxa"/>
            <w:tcBorders>
              <w:bottom w:val="single" w:sz="8" w:space="0" w:color="003A5D"/>
              <w:right w:val="single" w:sz="32" w:space="0" w:color="FFFFFF"/>
            </w:tcBorders>
            <w:tcMar>
              <w:bottom w:w="60" w:type="dxa"/>
              <w:right w:w="28" w:type="dxa"/>
            </w:tcMar>
            <w:vAlign w:val="center"/>
          </w:tcPr>
          <w:p>
            <w:pPr>
              <w:pStyle w:val="TableContents"/>
              <w:bidi w:val="0"/>
              <w:spacing w:before="0" w:after="0"/>
              <w:jc w:val="left"/>
              <w:rPr>
                <w:rFonts w:ascii="arial" w:hAnsi="arial"/>
                <w:sz w:val="20"/>
              </w:rPr>
            </w:pPr>
            <w:r>
              <w:rPr>
                <w:rFonts w:ascii="arial" w:hAnsi="arial"/>
                <w:sz w:val="20"/>
              </w:rPr>
              <w:t>All Other Fees</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040" w:type="dxa"/>
            <w:tcBorders>
              <w:bottom w:val="single" w:sz="8" w:space="0" w:color="003A5D"/>
              <w:right w:val="single" w:sz="32" w:space="0" w:color="FFFFFF"/>
            </w:tcBorders>
            <w:tcMar>
              <w:bottom w:w="60" w:type="dxa"/>
              <w:right w:w="28" w:type="dxa"/>
            </w:tcMar>
            <w:vAlign w:val="center"/>
          </w:tcPr>
          <w:p>
            <w:pPr>
              <w:pStyle w:val="TableContents"/>
              <w:bidi w:val="0"/>
              <w:spacing w:before="0" w:after="283"/>
              <w:jc w:val="center"/>
              <w:rPr/>
            </w:pPr>
            <w:r>
              <w:rPr/>
              <w:t>$0.00  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32" w:space="0" w:color="FFFFFF"/>
            </w:tcBorders>
            <w:tcMar>
              <w:bottom w:w="60" w:type="dxa"/>
              <w:right w:w="28" w:type="dxa"/>
            </w:tcMar>
            <w:vAlign w:val="center"/>
          </w:tcPr>
          <w:p>
            <w:pPr>
              <w:pStyle w:val="TableContents"/>
              <w:bidi w:val="0"/>
              <w:spacing w:before="0" w:after="283"/>
              <w:jc w:val="center"/>
              <w:rPr/>
            </w:pPr>
            <w:r>
              <w:rPr/>
              <w:t>$0.00  </w:t>
            </w:r>
          </w:p>
        </w:tc>
      </w:tr>
      <w:tr>
        <w:trPr/>
        <w:tc>
          <w:tcPr>
            <w:tcW w:w="2480" w:type="dxa"/>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100"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115"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r>
      <w:tr>
        <w:trPr/>
        <w:tc>
          <w:tcPr>
            <w:tcW w:w="248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rFonts w:ascii="arial" w:hAnsi="arial"/>
                <w:b/>
                <w:sz w:val="20"/>
              </w:rPr>
            </w:pPr>
            <w:r>
              <w:rPr>
                <w:rFonts w:ascii="arial" w:hAnsi="arial"/>
                <w:b/>
                <w:sz w:val="20"/>
              </w:rPr>
              <w:t>Total Fees</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40"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b/>
              </w:rPr>
            </w:pPr>
            <w:r>
              <w:rPr>
                <w:b/>
              </w:rPr>
              <w:t>$16.06  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b/>
              </w:rPr>
            </w:pPr>
            <w:r>
              <w:rPr>
                <w:b/>
              </w:rPr>
              <w:t>$15.60  </w:t>
            </w:r>
          </w:p>
        </w:tc>
      </w:tr>
    </w:tbl>
    <w:p>
      <w:pPr>
        <w:pStyle w:val="TextBody"/>
        <w:bidi w:val="0"/>
        <w:spacing w:before="240" w:after="0"/>
        <w:jc w:val="left"/>
        <w:rPr>
          <w:rFonts w:ascii="arial" w:hAnsi="arial"/>
          <w:b/>
          <w:color w:val="003A5D"/>
          <w:sz w:val="32"/>
        </w:rPr>
      </w:pPr>
      <w:r>
        <w:rPr>
          <w:rFonts w:ascii="arial" w:hAnsi="arial"/>
          <w:b/>
          <w:color w:val="003A5D"/>
          <w:sz w:val="32"/>
        </w:rPr>
        <w:t xml:space="preserve">Description of Fees </w:t>
      </w:r>
    </w:p>
    <w:p>
      <w:pPr>
        <w:pStyle w:val="TextBody"/>
        <w:bidi w:val="0"/>
        <w:spacing w:before="240" w:after="0"/>
        <w:jc w:val="both"/>
        <w:rPr/>
      </w:pPr>
      <w:r>
        <w:rPr/>
        <w:t>“</w:t>
      </w:r>
      <w:r>
        <w:rPr>
          <w:rFonts w:ascii="arial" w:hAnsi="arial"/>
          <w:sz w:val="20"/>
        </w:rPr>
        <w:t xml:space="preserve">Audit Fees” include fees for the audit of our annual financial statements, the review of unaudited interim financial information included in our quarterly reports on Form 10-Q, and services that normally would be provided by the independent registered public accounting firm in connection with statutory and regulatory filings or engagements and that generally only the independent registered public accounting firm can provide. In addition to fees for an audit or review in accordance with generally accepted auditing standards, this category contains fees for comfort letters, statutory and subsidiary audits, consents, and assistance with and review of documents filed with the SEC. “Audit-Related Fees” include fees related to assurance and associated services that are reasonably related to the performance of the audit or review of our financial statements and traditionally are performed by the independent registered public accounting firm, such as: compliance testing and reporting; internal control reviews; attestation services that are not required by statute or regulation; and agreed upon procedure reports. “Tax Fees” include fees </w: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122 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120" w:type="dxa"/>
        <w:jc w:val="left"/>
        <w:tblInd w:w="0" w:type="dxa"/>
        <w:tblLayout w:type="fixed"/>
        <w:tblCellMar>
          <w:top w:w="0" w:type="dxa"/>
          <w:left w:w="0" w:type="dxa"/>
          <w:bottom w:w="0" w:type="dxa"/>
          <w:right w:w="0" w:type="dxa"/>
        </w:tblCellMar>
      </w:tblPr>
      <w:tblGrid>
        <w:gridCol w:w="2120"/>
      </w:tblGrid>
      <w:tr>
        <w:trPr/>
        <w:tc>
          <w:tcPr>
            <w:tcW w:w="212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right"/>
              <w:rPr>
                <w:b/>
                <w:color w:val="003A5D"/>
              </w:rPr>
            </w:pPr>
            <w:r>
              <w:rPr>
                <w:b/>
                <w:color w:val="003A5D"/>
              </w:rPr>
              <w:t>AUDIT MATTERS</w:t>
            </w:r>
          </w:p>
        </w:tc>
      </w:tr>
    </w:tbl>
    <w:p>
      <w:pPr>
        <w:pStyle w:val="TextBody"/>
        <w:pBdr>
          <w:bottom w:val="single" w:sz="2" w:space="1" w:color="003A5D"/>
        </w:pBdr>
        <w:bidi w:val="0"/>
        <w:spacing w:lineRule="atLeast" w:line="142" w:before="0" w:after="40"/>
        <w:jc w:val="left"/>
        <w:rPr/>
      </w:pPr>
      <w:r>
        <w:rPr/>
        <w:t> </w:t>
      </w:r>
    </w:p>
    <w:tbl>
      <w:tblPr>
        <w:tblW w:w="9665" w:type="dxa"/>
        <w:jc w:val="left"/>
        <w:tblInd w:w="0" w:type="dxa"/>
        <w:tblLayout w:type="fixed"/>
        <w:tblCellMar>
          <w:top w:w="0" w:type="dxa"/>
          <w:left w:w="0" w:type="dxa"/>
          <w:bottom w:w="0" w:type="dxa"/>
          <w:right w:w="0" w:type="dxa"/>
        </w:tblCellMar>
      </w:tblPr>
      <w:tblGrid>
        <w:gridCol w:w="9665"/>
      </w:tblGrid>
      <w:tr>
        <w:trPr/>
        <w:tc>
          <w:tcPr>
            <w:tcW w:w="9665" w:type="dxa"/>
            <w:tcBorders/>
            <w:vAlign w:val="center"/>
          </w:tcPr>
          <w:p>
            <w:pPr>
              <w:pStyle w:val="TableContents"/>
              <w:bidi w:val="0"/>
              <w:spacing w:before="0" w:after="283"/>
              <w:jc w:val="left"/>
              <w:rPr>
                <w:sz w:val="4"/>
                <w:szCs w:val="4"/>
              </w:rPr>
            </w:pPr>
            <w:r>
              <w:rPr>
                <w:sz w:val="4"/>
                <w:szCs w:val="4"/>
              </w:rPr>
            </w:r>
          </w:p>
        </w:tc>
      </w:tr>
      <w:tr>
        <w:trPr/>
        <w:tc>
          <w:tcPr>
            <w:tcW w:w="9665" w:type="dxa"/>
            <w:tcBorders/>
            <w:vAlign w:val="center"/>
          </w:tcPr>
          <w:p>
            <w:pPr>
              <w:pStyle w:val="TableContents"/>
              <w:bidi w:val="0"/>
              <w:spacing w:before="0" w:after="283"/>
              <w:jc w:val="right"/>
              <w:rPr>
                <w:b/>
                <w:color w:val="003A5D"/>
              </w:rPr>
            </w:pPr>
            <w:r>
              <w:rPr>
                <w:b/>
                <w:color w:val="003A5D"/>
              </w:rPr>
              <w:t>Section X - Ratification of the Selection of Ernst &amp; Young LLP as Our Independent Registered</w:t>
              <w:br/>
              <w:t>Public Accounting Firm for 2025 (Item 3 on Proxy Card)</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for corporate and subsidiary tax compliance services. “All Other Fees” include fees for services that are not defined as Audit, Audit-Related, or Tax and are not specifically prohibited by the SEC. </w:t>
      </w:r>
    </w:p>
    <w:p>
      <w:pPr>
        <w:pStyle w:val="TextBody"/>
        <w:bidi w:val="0"/>
        <w:spacing w:before="240" w:after="0"/>
        <w:jc w:val="left"/>
        <w:rPr>
          <w:rFonts w:ascii="arial" w:hAnsi="arial"/>
          <w:b/>
          <w:color w:val="003A5D"/>
          <w:sz w:val="32"/>
        </w:rPr>
      </w:pPr>
      <w:r>
        <w:rPr>
          <w:rFonts w:ascii="arial" w:hAnsi="arial"/>
          <w:b/>
          <w:color w:val="003A5D"/>
          <w:sz w:val="32"/>
        </w:rPr>
        <w:t xml:space="preserve">Audit Committee Fee Approval Procedures </w:t>
      </w:r>
    </w:p>
    <w:p>
      <w:pPr>
        <w:pStyle w:val="TextBody"/>
        <w:bidi w:val="0"/>
        <w:spacing w:before="240" w:after="0"/>
        <w:jc w:val="both"/>
        <w:rPr>
          <w:rFonts w:ascii="arial" w:hAnsi="arial"/>
          <w:sz w:val="20"/>
        </w:rPr>
      </w:pPr>
      <w:r>
        <w:rPr>
          <w:rFonts w:ascii="arial" w:hAnsi="arial"/>
          <w:sz w:val="20"/>
        </w:rPr>
        <w:t xml:space="preserve">The Audit Committee is responsible for approving all fees and terms of engagement for audit, audit-related, and permissible non-audit services provided by Ernst &amp; Young. The Audit Committee has reviewed the fees paid to Ernst &amp; Young and has considered whether the fees paid for non-Audit services are compatible with maintaining Ernst &amp; Young’s independence. The Audit Committee also adopted policies and procedures to approve services provided by Ernst &amp; Young in accordance with the Sarbanes-Oxley Act and rules of the SEC promulgated thereunder. These policies and procedures involve annual pre-approval by the Audit Committee of the types of services to be provided by Ernst &amp; Young. Any service engagements that exceed these pre-approved limits must be submitted to the Audit Committee for specific pre-approval. If the actual expenditure for pre-approved services is anticipated to exceed, or exceeds, the pre-approved cost levels by more than $50,000, the incremental amount requires separate approval by the Audit Committee. In 2024, all the Audit and Audit-Related Fees and related services were pre-approved by the Audit Committee pursuant to the policies and procedures described above. Under the policy adopted by the Audit Committee, Tax Fees are limited to 25% of combined Audit and Audit-Related Fees, and services that would fall under the category “All Other Fees” are prohibited.   </w:t>
      </w:r>
    </w:p>
    <w:p>
      <w:pPr>
        <w:pStyle w:val="TextBody"/>
        <w:bidi w:val="0"/>
        <w:spacing w:before="240" w:after="0"/>
        <w:jc w:val="both"/>
        <w:rPr>
          <w:rFonts w:ascii="arial" w:hAnsi="arial"/>
          <w:sz w:val="20"/>
        </w:rPr>
      </w:pPr>
      <w:r>
        <w:rPr>
          <w:rFonts w:ascii="arial" w:hAnsi="arial"/>
          <w:sz w:val="20"/>
        </w:rPr>
        <w:t xml:space="preserve">One or more representatives of Ernst &amp; Young are expected to be present at the 2025 Annual Stockholder Meeting. They will have the opportunity to make a statement if they desire to do so and will be available to respond to appropriate questions from stockholders. </w:t>
      </w:r>
    </w:p>
    <w:p>
      <w:pPr>
        <w:pStyle w:val="TextBody"/>
        <w:bidi w:val="0"/>
        <w:spacing w:before="240" w:after="0"/>
        <w:jc w:val="center"/>
        <w:rPr>
          <w:rFonts w:ascii="arial" w:hAnsi="arial"/>
          <w:sz w:val="20"/>
        </w:rPr>
      </w:pPr>
      <w:r>
        <w:rPr>
          <w:rFonts w:ascii="arial" w:hAnsi="arial"/>
          <w:sz w:val="20"/>
        </w:rPr>
        <w:t xml:space="preserve">*** </w:t>
      </w:r>
    </w:p>
    <w:p>
      <w:pPr>
        <w:pStyle w:val="TextBody"/>
        <w:bidi w:val="0"/>
        <w:spacing w:before="240" w:after="0"/>
        <w:jc w:val="center"/>
        <w:rPr>
          <w:rFonts w:ascii="arial" w:hAnsi="arial"/>
          <w:b/>
          <w:sz w:val="20"/>
        </w:rPr>
      </w:pPr>
      <w:r>
        <w:rPr>
          <w:rFonts w:ascii="arial" w:hAnsi="arial"/>
          <w:b/>
          <w:sz w:val="20"/>
        </w:rPr>
        <w:t xml:space="preserve">The Board unanimously recommends that you vote “FOR” the ratification of Ernst &amp; Young LLP as Capital One’s independent registered public accounting firm for 2025.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123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120" w:type="dxa"/>
        <w:jc w:val="left"/>
        <w:tblInd w:w="0" w:type="dxa"/>
        <w:tblLayout w:type="fixed"/>
        <w:tblCellMar>
          <w:top w:w="0" w:type="dxa"/>
          <w:left w:w="0" w:type="dxa"/>
          <w:bottom w:w="0" w:type="dxa"/>
          <w:right w:w="0" w:type="dxa"/>
        </w:tblCellMar>
      </w:tblPr>
      <w:tblGrid>
        <w:gridCol w:w="2120"/>
      </w:tblGrid>
      <w:tr>
        <w:trPr/>
        <w:tc>
          <w:tcPr>
            <w:tcW w:w="212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b/>
                <w:color w:val="003A5D"/>
              </w:rPr>
            </w:pPr>
            <w:r>
              <w:rPr>
                <w:b/>
                <w:color w:val="003A5D"/>
              </w:rPr>
              <w:t>AUDIT MATTERS</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lef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112" w:name="txa845790_56"/>
      <w:bookmarkEnd w:id="112"/>
      <w:r>
        <w:rPr>
          <w:rFonts w:ascii="arial" w:hAnsi="arial"/>
          <w:b/>
          <w:sz w:val="36"/>
        </w:rPr>
        <w:t xml:space="preserve">Section XI - Audit Committee Report </w:t>
      </w:r>
    </w:p>
    <w:p>
      <w:pPr>
        <w:pStyle w:val="TextBody"/>
        <w:pBdr>
          <w:bottom w:val="single" w:sz="8" w:space="1" w:color="000000"/>
        </w:pBdr>
        <w:bidi w:val="0"/>
        <w:spacing w:lineRule="atLeast" w:line="142" w:before="0" w:after="40"/>
        <w:jc w:val="left"/>
        <w:rPr/>
      </w:pPr>
      <w:r>
        <w:rPr/>
        <w:t> </w:t>
      </w:r>
    </w:p>
    <w:p>
      <w:pPr>
        <w:pStyle w:val="TextBody"/>
        <w:bidi w:val="0"/>
        <w:spacing w:before="240" w:after="0"/>
        <w:jc w:val="left"/>
        <w:rPr>
          <w:rFonts w:ascii="arial" w:hAnsi="arial"/>
          <w:b/>
          <w:i/>
          <w:color w:val="003A5D"/>
          <w:sz w:val="24"/>
        </w:rPr>
      </w:pPr>
      <w:r>
        <w:rPr>
          <w:rFonts w:ascii="arial" w:hAnsi="arial"/>
          <w:b/>
          <w:i/>
          <w:color w:val="003A5D"/>
          <w:sz w:val="24"/>
        </w:rPr>
        <w:t xml:space="preserve">Roles and Responsibilities of the Audit Committee </w:t>
      </w:r>
    </w:p>
    <w:p>
      <w:pPr>
        <w:pStyle w:val="TextBody"/>
        <w:bidi w:val="0"/>
        <w:spacing w:before="160" w:after="0"/>
        <w:jc w:val="both"/>
        <w:rPr>
          <w:rFonts w:ascii="arial" w:hAnsi="arial"/>
          <w:sz w:val="20"/>
        </w:rPr>
      </w:pPr>
      <w:r>
        <w:rPr>
          <w:rFonts w:ascii="arial" w:hAnsi="arial"/>
          <w:sz w:val="20"/>
        </w:rPr>
        <w:t xml:space="preserve">In accordance with its charter, the Audit Committee assists the Board in fulfilling its obligations with respect to the items listed in “Committee Responsibilities” on page 39. Our Audit Committee is composed of five Board members. Each member of the Audit Committee is “financially literate” in the judgment of the Board. No member of the Audit Committee simultaneously serves on the audit committees of more than three public companies, including that of Capital One. </w:t>
      </w:r>
    </w:p>
    <w:p>
      <w:pPr>
        <w:pStyle w:val="TextBody"/>
        <w:bidi w:val="0"/>
        <w:spacing w:before="160" w:after="0"/>
        <w:jc w:val="left"/>
        <w:rPr>
          <w:rFonts w:ascii="arial" w:hAnsi="arial"/>
          <w:b/>
          <w:i/>
          <w:color w:val="003A5D"/>
          <w:sz w:val="24"/>
        </w:rPr>
      </w:pPr>
      <w:r>
        <w:rPr>
          <w:rFonts w:ascii="arial" w:hAnsi="arial"/>
          <w:b/>
          <w:i/>
          <w:color w:val="003A5D"/>
          <w:sz w:val="24"/>
        </w:rPr>
        <w:t xml:space="preserve">Audit Committee Policies and Procedures </w:t>
      </w:r>
    </w:p>
    <w:p>
      <w:pPr>
        <w:pStyle w:val="TextBody"/>
        <w:bidi w:val="0"/>
        <w:spacing w:before="160" w:after="0"/>
        <w:jc w:val="both"/>
        <w:rPr>
          <w:rFonts w:ascii="arial" w:hAnsi="arial"/>
          <w:sz w:val="20"/>
        </w:rPr>
      </w:pPr>
      <w:r>
        <w:rPr>
          <w:rFonts w:ascii="arial" w:hAnsi="arial"/>
          <w:sz w:val="20"/>
        </w:rPr>
        <w:t xml:space="preserve">The Audit Committee has implemented procedures to enable it to devote the attention it deems appropriate to each of the matters assigned to it under its charter, including candid communications with management and Ernst &amp; Young, Capital One’s independent registered public accounting firm, to discuss new auditing standards and emerging audit-related issues. In carrying out its responsibilities, the Audit Committee met a total of 11 times during 2024. Pursuant to Capital One’s Corporate Governance Guidelines and applicable law, the Audit Committee is comprised solely of independent directors. </w:t>
      </w:r>
    </w:p>
    <w:p>
      <w:pPr>
        <w:pStyle w:val="TextBody"/>
        <w:bidi w:val="0"/>
        <w:spacing w:before="160" w:after="0"/>
        <w:jc w:val="left"/>
        <w:rPr>
          <w:rFonts w:ascii="arial" w:hAnsi="arial"/>
          <w:b/>
          <w:i/>
          <w:color w:val="003A5D"/>
          <w:sz w:val="24"/>
        </w:rPr>
      </w:pPr>
      <w:r>
        <w:rPr>
          <w:rFonts w:ascii="arial" w:hAnsi="arial"/>
          <w:b/>
          <w:i/>
          <w:color w:val="003A5D"/>
          <w:sz w:val="24"/>
        </w:rPr>
        <w:t xml:space="preserve">Required Communications with Ernst &amp; Young </w:t>
      </w:r>
    </w:p>
    <w:p>
      <w:pPr>
        <w:pStyle w:val="TextBody"/>
        <w:bidi w:val="0"/>
        <w:spacing w:before="160" w:after="0"/>
        <w:jc w:val="both"/>
        <w:rPr>
          <w:rFonts w:ascii="arial" w:hAnsi="arial"/>
          <w:sz w:val="20"/>
        </w:rPr>
      </w:pPr>
      <w:r>
        <w:rPr>
          <w:rFonts w:ascii="arial" w:hAnsi="arial"/>
          <w:sz w:val="20"/>
        </w:rPr>
        <w:t xml:space="preserve">In discharging its oversight responsibility throughout the year, the Audit Committee proactively engaged with management and Ernst &amp; Young on matters relating to Capital One’s financial reporting. The Audit Committee has reviewed and discussed Capital One’s audited financial statements for the fiscal year ended December 31, 2024, and the assessment of the effectiveness of Capital One’s internal control over financial reporting, with management and Ernst &amp; Young. The Audit Committee has also discussed with Ernst &amp; Young the applicable requirements of the Public Company Accounting Oversight Board and the SEC. In addition, the Audit Committee has received the written disclosures and the letter from Ernst &amp; Young required by the Public Company Accounting Oversight Board regarding Ernst &amp; Young’s communications with the Audit Committee concerning independence and has discussed with Ernst &amp; Young their independence from Capital One. </w:t>
      </w:r>
    </w:p>
    <w:p>
      <w:pPr>
        <w:pStyle w:val="TextBody"/>
        <w:bidi w:val="0"/>
        <w:spacing w:before="160" w:after="0"/>
        <w:jc w:val="left"/>
        <w:rPr>
          <w:rFonts w:ascii="arial" w:hAnsi="arial"/>
          <w:b/>
          <w:i/>
          <w:color w:val="003A5D"/>
          <w:sz w:val="24"/>
        </w:rPr>
      </w:pPr>
      <w:r>
        <w:rPr>
          <w:rFonts w:ascii="arial" w:hAnsi="arial"/>
          <w:b/>
          <w:i/>
          <w:color w:val="003A5D"/>
          <w:sz w:val="24"/>
        </w:rPr>
        <w:t xml:space="preserve">Audit Committee Recommendations </w:t>
      </w:r>
    </w:p>
    <w:p>
      <w:pPr>
        <w:pStyle w:val="TextBody"/>
        <w:bidi w:val="0"/>
        <w:spacing w:before="160" w:after="0"/>
        <w:jc w:val="both"/>
        <w:rPr>
          <w:rFonts w:ascii="arial" w:hAnsi="arial"/>
          <w:sz w:val="20"/>
        </w:rPr>
      </w:pPr>
      <w:r>
        <w:rPr>
          <w:rFonts w:ascii="arial" w:hAnsi="arial"/>
          <w:sz w:val="20"/>
        </w:rPr>
        <w:t xml:space="preserve">Based on its review and discussions with management and Ernst &amp; Young, the Audit Committee has recommended to the Board the inclusion of the audited financial statements in Capital One’s Annual Report on Form 10-K for the fiscal year ended December 31, 2024, for filing with the SEC. </w:t>
      </w:r>
    </w:p>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2135"/>
        <w:gridCol w:w="60"/>
        <w:gridCol w:w="5090"/>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9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both"/>
              <w:rPr>
                <w:rFonts w:ascii="arial" w:hAnsi="arial"/>
                <w:sz w:val="20"/>
              </w:rPr>
            </w:pPr>
            <w:r>
              <w:rPr>
                <w:rFonts w:ascii="arial" w:hAnsi="arial"/>
                <w:sz w:val="20"/>
              </w:rPr>
              <w:t>The Audit Committee: </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both"/>
              <w:rPr>
                <w:rFonts w:ascii="arial" w:hAnsi="arial"/>
                <w:sz w:val="20"/>
              </w:rPr>
            </w:pPr>
            <w:r>
              <w:rPr>
                <w:rFonts w:ascii="arial" w:hAnsi="arial"/>
                <w:sz w:val="20"/>
              </w:rPr>
              <w:t>Eileen Serra (Chair and Audit Committee Financial Expert)</w:t>
            </w:r>
          </w:p>
          <w:p>
            <w:pPr>
              <w:pStyle w:val="TableContents"/>
              <w:bidi w:val="0"/>
              <w:spacing w:before="0" w:after="0"/>
              <w:jc w:val="both"/>
              <w:rPr>
                <w:rFonts w:ascii="arial" w:hAnsi="arial"/>
                <w:sz w:val="20"/>
              </w:rPr>
            </w:pPr>
            <w:r>
              <w:rPr>
                <w:rFonts w:ascii="arial" w:hAnsi="arial"/>
                <w:sz w:val="20"/>
              </w:rPr>
              <w:t>Eli Leenaars (Audit Committee Financial Expert)</w:t>
            </w:r>
          </w:p>
          <w:p>
            <w:pPr>
              <w:pStyle w:val="TableContents"/>
              <w:bidi w:val="0"/>
              <w:spacing w:before="0" w:after="0"/>
              <w:jc w:val="both"/>
              <w:rPr>
                <w:rFonts w:ascii="arial" w:hAnsi="arial"/>
                <w:sz w:val="20"/>
              </w:rPr>
            </w:pPr>
            <w:r>
              <w:rPr>
                <w:rFonts w:ascii="arial" w:hAnsi="arial"/>
                <w:sz w:val="20"/>
              </w:rPr>
              <w:t>Christine Detrick (Audit Committee Financial Expert)</w:t>
            </w:r>
          </w:p>
          <w:p>
            <w:pPr>
              <w:pStyle w:val="TableContents"/>
              <w:bidi w:val="0"/>
              <w:spacing w:before="0" w:after="0"/>
              <w:jc w:val="both"/>
              <w:rPr>
                <w:rFonts w:ascii="arial" w:hAnsi="arial"/>
                <w:sz w:val="20"/>
              </w:rPr>
            </w:pPr>
            <w:r>
              <w:rPr>
                <w:rFonts w:ascii="arial" w:hAnsi="arial"/>
                <w:sz w:val="20"/>
              </w:rPr>
              <w:t>Suni P. Harford (Audit Committee Financial Expert)</w:t>
            </w:r>
          </w:p>
          <w:p>
            <w:pPr>
              <w:pStyle w:val="TableContents"/>
              <w:bidi w:val="0"/>
              <w:spacing w:before="0" w:after="20"/>
              <w:jc w:val="both"/>
              <w:rPr>
                <w:rFonts w:ascii="arial" w:hAnsi="arial"/>
                <w:sz w:val="20"/>
              </w:rPr>
            </w:pPr>
            <w:r>
              <w:rPr>
                <w:rFonts w:ascii="arial" w:hAnsi="arial"/>
                <w:sz w:val="20"/>
              </w:rPr>
              <w:t>Craig Anthony Williams</w:t>
            </w:r>
          </w:p>
        </w:tc>
      </w:tr>
    </w:tbl>
    <w:p>
      <w:pPr>
        <w:pStyle w:val="TextBody"/>
        <w:bidi w:val="0"/>
        <w:spacing w:before="160" w:after="0"/>
        <w:jc w:val="both"/>
        <w:rPr>
          <w:rFonts w:ascii="arial" w:hAnsi="arial"/>
          <w:sz w:val="20"/>
        </w:rPr>
      </w:pPr>
      <w:r>
        <w:rPr>
          <w:rFonts w:ascii="arial" w:hAnsi="arial"/>
          <w:sz w:val="20"/>
        </w:rPr>
        <w:t xml:space="preserve">The foregoing Report of the Audit Committee shall not be deemed to be soliciting material or filed with the SEC and is not incorporated by reference into any of Capital One’s previous or future filings with the SEC, except as otherwise explicitly specified by Capital One in any such filing. </w: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124 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55" w:type="dxa"/>
        <w:jc w:val="left"/>
        <w:tblInd w:w="0" w:type="dxa"/>
        <w:tblLayout w:type="fixed"/>
        <w:tblCellMar>
          <w:top w:w="0" w:type="dxa"/>
          <w:left w:w="0" w:type="dxa"/>
          <w:bottom w:w="0" w:type="dxa"/>
          <w:right w:w="0" w:type="dxa"/>
        </w:tblCellMar>
      </w:tblPr>
      <w:tblGrid>
        <w:gridCol w:w="3455"/>
      </w:tblGrid>
      <w:tr>
        <w:trPr/>
        <w:tc>
          <w:tcPr>
            <w:tcW w:w="3455"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right"/>
              <w:rPr>
                <w:b/>
                <w:color w:val="003A5D"/>
              </w:rPr>
            </w:pPr>
            <w:r>
              <w:rPr>
                <w:b/>
                <w:color w:val="003A5D"/>
              </w:rPr>
              <w:t>STOCKHOLDER PROPOSALS</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righ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113" w:name="txa845790_57"/>
      <w:bookmarkEnd w:id="113"/>
      <w:r>
        <w:rPr>
          <w:rFonts w:ascii="arial" w:hAnsi="arial"/>
          <w:b/>
          <w:sz w:val="36"/>
        </w:rPr>
        <w:t xml:space="preserve">Section XII - Stockholder Proposal (Item 4 on Proxy Card) </w:t>
      </w:r>
    </w:p>
    <w:p>
      <w:pPr>
        <w:pStyle w:val="TextBody"/>
        <w:pBdr>
          <w:bottom w:val="single" w:sz="8" w:space="1" w:color="000000"/>
        </w:pBdr>
        <w:bidi w:val="0"/>
        <w:spacing w:lineRule="atLeast" w:line="142" w:before="0" w:after="40"/>
        <w:jc w:val="left"/>
        <w:rPr/>
      </w:pPr>
      <w:r>
        <w:rPr/>
        <w:t> </w:t>
      </w:r>
    </w:p>
    <w:p>
      <w:pPr>
        <w:pStyle w:val="TextBody"/>
        <w:bidi w:val="0"/>
        <w:spacing w:before="240" w:after="0"/>
        <w:jc w:val="left"/>
        <w:rPr>
          <w:rFonts w:ascii="arial" w:hAnsi="arial"/>
          <w:b/>
          <w:color w:val="003A5D"/>
          <w:sz w:val="32"/>
        </w:rPr>
      </w:pPr>
      <w:r>
        <w:rPr>
          <w:rFonts w:ascii="arial" w:hAnsi="arial"/>
          <w:b/>
          <w:color w:val="003A5D"/>
          <w:sz w:val="32"/>
        </w:rPr>
        <w:t xml:space="preserve">Stockholder Proposal Requesting Shareholder Vote Regarding Lavish Golden Parachutes (Item 4 on Proxy Card) </w:t>
      </w:r>
    </w:p>
    <w:p>
      <w:pPr>
        <w:pStyle w:val="TextBody"/>
        <w:bidi w:val="0"/>
        <w:spacing w:before="240" w:after="0"/>
        <w:jc w:val="both"/>
        <w:rPr>
          <w:rFonts w:ascii="arial" w:hAnsi="arial"/>
          <w:i/>
          <w:sz w:val="20"/>
        </w:rPr>
      </w:pPr>
      <w:r>
        <w:rPr>
          <w:rFonts w:ascii="arial" w:hAnsi="arial"/>
          <w:i/>
          <w:sz w:val="20"/>
        </w:rPr>
        <w:t xml:space="preserve">Capital One has been notified that John Chevedden, 2215 Nelson Avenue, No. 205, Redondo Beach, CA 90278, intends to present a proposal for consideration at the 2025 Annual Stockholder Meeting (“Stockholder Proposal”). Mr. Chevedden has submitted documentation indicating that he is the beneficial owner of no fewer than 100 shares of Capital One common stock. </w:t>
      </w:r>
    </w:p>
    <w:p>
      <w:pPr>
        <w:pStyle w:val="TextBody"/>
        <w:bidi w:val="0"/>
        <w:spacing w:before="160" w:after="0"/>
        <w:jc w:val="left"/>
        <w:rPr>
          <w:rFonts w:ascii="arial" w:hAnsi="arial"/>
          <w:b/>
          <w:i/>
          <w:color w:val="003A5D"/>
          <w:sz w:val="24"/>
        </w:rPr>
      </w:pPr>
      <w:r>
        <w:rPr>
          <w:rFonts w:ascii="arial" w:hAnsi="arial"/>
          <w:b/>
          <w:i/>
          <w:color w:val="003A5D"/>
          <w:sz w:val="24"/>
        </w:rPr>
        <w:t xml:space="preserve">Stockholder Proposal </w:t>
      </w:r>
    </w:p>
    <w:p>
      <w:pPr>
        <w:pStyle w:val="TextBody"/>
        <w:bidi w:val="0"/>
        <w:spacing w:before="160" w:after="0"/>
        <w:jc w:val="both"/>
        <w:rPr>
          <w:rFonts w:ascii="arial" w:hAnsi="arial"/>
          <w:i/>
          <w:sz w:val="20"/>
        </w:rPr>
      </w:pPr>
      <w:r>
        <w:rPr>
          <w:rFonts w:ascii="arial" w:hAnsi="arial"/>
          <w:i/>
          <w:sz w:val="20"/>
        </w:rPr>
        <w:t xml:space="preserve">The resolution being submitted by Mr. Chevedden to the stockholders for approval, if properly presented, is as follows: </w:t>
      </w:r>
    </w:p>
    <w:p>
      <w:pPr>
        <w:pStyle w:val="TextBody"/>
        <w:bidi w:val="0"/>
        <w:spacing w:before="240" w:after="0"/>
        <w:jc w:val="center"/>
        <w:rPr>
          <w:rFonts w:ascii="arial" w:hAnsi="arial"/>
          <w:b/>
          <w:sz w:val="20"/>
        </w:rPr>
      </w:pPr>
      <w:r>
        <w:rPr>
          <w:rFonts w:ascii="arial" w:hAnsi="arial"/>
          <w:b/>
          <w:sz w:val="20"/>
        </w:rPr>
        <w:t xml:space="preserve">Proposal 4 — Shareholder Vote regarding Lavish Golden Parachutes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87550" cy="402590"/>
            <wp:effectExtent l="0" t="0" r="0" b="0"/>
            <wp:docPr id="7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7" descr=""/>
                    <pic:cNvPicPr>
                      <a:picLocks noChangeAspect="1" noChangeArrowheads="1"/>
                    </pic:cNvPicPr>
                  </pic:nvPicPr>
                  <pic:blipFill>
                    <a:blip r:embed="rId68"/>
                    <a:stretch>
                      <a:fillRect/>
                    </a:stretch>
                  </pic:blipFill>
                  <pic:spPr bwMode="auto">
                    <a:xfrm>
                      <a:off x="0" y="0"/>
                      <a:ext cx="1987550" cy="402590"/>
                    </a:xfrm>
                    <a:prstGeom prst="rect">
                      <a:avLst/>
                    </a:prstGeom>
                  </pic:spPr>
                </pic:pic>
              </a:graphicData>
            </a:graphic>
          </wp:inline>
        </w:drawing>
      </w:r>
      <w:r>
        <w:rPr/>
        <w:t xml:space="preserve"> </w:t>
      </w:r>
    </w:p>
    <w:p>
      <w:pPr>
        <w:pStyle w:val="TextBody"/>
        <w:bidi w:val="0"/>
        <w:jc w:val="right"/>
        <w:rPr>
          <w:rFonts w:ascii="arial" w:hAnsi="arial"/>
          <w:color w:val="FFFFFF"/>
          <w:sz w:val="2"/>
        </w:rPr>
      </w:pPr>
      <w:r>
        <w:rPr>
          <w:rFonts w:ascii="arial" w:hAnsi="arial"/>
          <w:color w:val="FFFFFF"/>
          <w:sz w:val="2"/>
        </w:rPr>
        <w:t xml:space="preserve">FOR Shareholder Rights </w:t>
      </w:r>
    </w:p>
    <w:p>
      <w:pPr>
        <w:pStyle w:val="TextBody"/>
        <w:bidi w:val="0"/>
        <w:spacing w:before="120" w:after="0"/>
        <w:jc w:val="both"/>
        <w:rPr>
          <w:rFonts w:ascii="arial" w:hAnsi="arial"/>
          <w:sz w:val="20"/>
        </w:rPr>
      </w:pPr>
      <w:r>
        <w:rPr>
          <w:rFonts w:ascii="arial" w:hAnsi="arial"/>
          <w:sz w:val="20"/>
        </w:rPr>
        <w:t xml:space="preserve">Shareholders request that the Board seek shareholder approval of any senior manager’s new or renewed pay package that provides for severance or termination payments with an estimated value exceeding 2.99 times the sum of the executive’s base salary plus target short-term bonus. This proposal only applies to the Named Executive Officers. This provision shall at least be included in the Governess Guidelines of the Company or similar document and be readily accessible on the Company website. </w:t>
      </w:r>
    </w:p>
    <w:p>
      <w:pPr>
        <w:pStyle w:val="TextBody"/>
        <w:bidi w:val="0"/>
        <w:spacing w:before="240" w:after="0"/>
        <w:jc w:val="both"/>
        <w:rPr/>
      </w:pPr>
      <w:r>
        <w:rPr/>
        <w:t>“</w:t>
      </w:r>
      <w:r>
        <w:rPr>
          <w:rFonts w:ascii="arial" w:hAnsi="arial"/>
          <w:sz w:val="20"/>
        </w:rPr>
        <w:t xml:space="preserve">Severance or termination payments” include cash, equity or other pay that is paid out or vests due to a senior executive’s termination for any reason. Payments include those provided under employment agreements, severance plans, and change-in-control clauses in long-term equity plans, but not life insurance, pension benefits, or deferred compensation earned and vested prior to termination. </w:t>
      </w:r>
    </w:p>
    <w:p>
      <w:pPr>
        <w:pStyle w:val="TextBody"/>
        <w:bidi w:val="0"/>
        <w:spacing w:before="240" w:after="0"/>
        <w:jc w:val="both"/>
        <w:rPr/>
      </w:pPr>
      <w:r>
        <w:rPr/>
        <w:t>“</w:t>
      </w:r>
      <w:r>
        <w:rPr>
          <w:rFonts w:ascii="arial" w:hAnsi="arial"/>
          <w:sz w:val="20"/>
        </w:rPr>
        <w:t xml:space="preserve">Estimated total value” includes: lump-sum payments; payments offsetting tax liabilities, perquisites or benefits not vested under a plan generally available to management employees, post-employment consulting fees or office expense and equity awards if vesting is accelerated, or a performance condition waived, due to termination. </w:t>
      </w:r>
    </w:p>
    <w:p>
      <w:pPr>
        <w:pStyle w:val="TextBody"/>
        <w:bidi w:val="0"/>
        <w:spacing w:before="240" w:after="0"/>
        <w:jc w:val="both"/>
        <w:rPr>
          <w:rFonts w:ascii="arial" w:hAnsi="arial"/>
          <w:sz w:val="20"/>
        </w:rPr>
      </w:pPr>
      <w:r>
        <w:rPr>
          <w:rFonts w:ascii="arial" w:hAnsi="arial"/>
          <w:sz w:val="20"/>
        </w:rPr>
        <w:t xml:space="preserve">The Board shall retain the option to seek shareholder approval after material terms are agreed upon. </w:t>
      </w:r>
    </w:p>
    <w:p>
      <w:pPr>
        <w:pStyle w:val="TextBody"/>
        <w:bidi w:val="0"/>
        <w:spacing w:before="240" w:after="0"/>
        <w:jc w:val="both"/>
        <w:rPr>
          <w:rFonts w:ascii="arial" w:hAnsi="arial"/>
          <w:sz w:val="20"/>
        </w:rPr>
      </w:pPr>
      <w:r>
        <w:rPr>
          <w:rFonts w:ascii="arial" w:hAnsi="arial"/>
          <w:sz w:val="20"/>
        </w:rPr>
        <w:t xml:space="preserve">Unfortunately some companies only limit cash golden parachutes to the 2.99 figure which means that there is no limit on noncash golden parachutes for which shareholders have no voting power. </w:t>
      </w:r>
    </w:p>
    <w:p>
      <w:pPr>
        <w:pStyle w:val="TextBody"/>
        <w:bidi w:val="0"/>
        <w:spacing w:before="240" w:after="0"/>
        <w:jc w:val="both"/>
        <w:rPr>
          <w:rFonts w:ascii="arial" w:hAnsi="arial"/>
          <w:sz w:val="20"/>
        </w:rPr>
      </w:pPr>
      <w:r>
        <w:rPr>
          <w:rFonts w:ascii="arial" w:hAnsi="arial"/>
          <w:sz w:val="20"/>
        </w:rPr>
        <w:t xml:space="preserve">This proposal is relevant even if there are current golden parachute limits. A limit on golden parachutes is like a speed limit. A speed limit by itself does not guarantee that the speed limit will never be exceeded. Like this proposal the rules associated with a speed limit provide consequences if the limit is exceeded. With this proposal the consequences are a non-binding shareholder vote is required for unreasonably rich golden parachutes. </w:t>
      </w:r>
    </w:p>
    <w:p>
      <w:pPr>
        <w:pStyle w:val="TextBody"/>
        <w:bidi w:val="0"/>
        <w:spacing w:before="240" w:after="0"/>
        <w:jc w:val="both"/>
        <w:rPr>
          <w:rFonts w:ascii="arial" w:hAnsi="arial"/>
          <w:sz w:val="20"/>
        </w:rPr>
      </w:pPr>
      <w:r>
        <w:rPr>
          <w:rFonts w:ascii="arial" w:hAnsi="arial"/>
          <w:sz w:val="20"/>
        </w:rPr>
        <w:t xml:space="preserve">This proposal places no limit on long-term equity pay or any other type pay. This proposal thus has no impact on the ability to attract executive talent and does not discourage the use of long-term equity pay because it places no limit on golden parachutes. It simply requires that overly rich golden parachutes be subject to a non-binding shareholder vote at a shareholder meeting already scheduled for other matters.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125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55" w:type="dxa"/>
        <w:jc w:val="left"/>
        <w:tblInd w:w="0" w:type="dxa"/>
        <w:tblLayout w:type="fixed"/>
        <w:tblCellMar>
          <w:top w:w="0" w:type="dxa"/>
          <w:left w:w="0" w:type="dxa"/>
          <w:bottom w:w="0" w:type="dxa"/>
          <w:right w:w="0" w:type="dxa"/>
        </w:tblCellMar>
      </w:tblPr>
      <w:tblGrid>
        <w:gridCol w:w="3455"/>
      </w:tblGrid>
      <w:tr>
        <w:trPr/>
        <w:tc>
          <w:tcPr>
            <w:tcW w:w="3455"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left"/>
              <w:rPr>
                <w:b/>
                <w:color w:val="003A5D"/>
              </w:rPr>
            </w:pPr>
            <w:r>
              <w:rPr>
                <w:b/>
                <w:color w:val="003A5D"/>
              </w:rPr>
              <w:t>STOCKHOLDER PROPOSALS</w:t>
            </w:r>
          </w:p>
        </w:tc>
      </w:tr>
    </w:tbl>
    <w:p>
      <w:pPr>
        <w:pStyle w:val="TextBody"/>
        <w:pBdr>
          <w:bottom w:val="single" w:sz="2" w:space="1" w:color="003A5D"/>
        </w:pBdr>
        <w:bidi w:val="0"/>
        <w:spacing w:lineRule="atLeast" w:line="142" w:before="0" w:after="40"/>
        <w:jc w:val="left"/>
        <w:rPr/>
      </w:pPr>
      <w:r>
        <w:rPr/>
        <w:t> </w:t>
      </w:r>
    </w:p>
    <w:tbl>
      <w:tblPr>
        <w:tblW w:w="6035" w:type="dxa"/>
        <w:jc w:val="left"/>
        <w:tblInd w:w="0" w:type="dxa"/>
        <w:tblLayout w:type="fixed"/>
        <w:tblCellMar>
          <w:top w:w="0" w:type="dxa"/>
          <w:left w:w="0" w:type="dxa"/>
          <w:bottom w:w="0" w:type="dxa"/>
          <w:right w:w="0" w:type="dxa"/>
        </w:tblCellMar>
      </w:tblPr>
      <w:tblGrid>
        <w:gridCol w:w="6035"/>
      </w:tblGrid>
      <w:tr>
        <w:trPr/>
        <w:tc>
          <w:tcPr>
            <w:tcW w:w="6035" w:type="dxa"/>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283"/>
              <w:jc w:val="left"/>
              <w:rPr>
                <w:b/>
                <w:color w:val="003A5D"/>
              </w:rPr>
            </w:pPr>
            <w:r>
              <w:rPr>
                <w:b/>
                <w:color w:val="003A5D"/>
              </w:rPr>
              <w:t>Section XII - Stockholder Proposal (Item 4 on Proxy Card)</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This proposal is relevant because the annual say on executive pay vote does not have a separate section for approving or rejecting golden parachutes. </w:t>
      </w:r>
    </w:p>
    <w:p>
      <w:pPr>
        <w:pStyle w:val="TextBody"/>
        <w:bidi w:val="0"/>
        <w:spacing w:before="240" w:after="0"/>
        <w:jc w:val="both"/>
        <w:rPr>
          <w:rFonts w:ascii="arial" w:hAnsi="arial"/>
          <w:sz w:val="20"/>
        </w:rPr>
      </w:pPr>
      <w:r>
        <w:rPr>
          <w:rFonts w:ascii="arial" w:hAnsi="arial"/>
          <w:sz w:val="20"/>
        </w:rPr>
        <w:t xml:space="preserve">This proposal topic also received between 51 % and 65% support at: </w:t>
      </w:r>
    </w:p>
    <w:p>
      <w:pPr>
        <w:pStyle w:val="TextBody"/>
        <w:bidi w:val="0"/>
        <w:spacing w:before="160" w:after="0"/>
        <w:jc w:val="both"/>
        <w:rPr>
          <w:rFonts w:ascii="arial" w:hAnsi="arial"/>
          <w:sz w:val="20"/>
        </w:rPr>
      </w:pPr>
      <w:r>
        <w:rPr>
          <w:rFonts w:ascii="arial" w:hAnsi="arial"/>
          <w:sz w:val="20"/>
        </w:rPr>
        <w:t xml:space="preserve">FedEx (FDX) </w:t>
      </w:r>
    </w:p>
    <w:p>
      <w:pPr>
        <w:pStyle w:val="TextBody"/>
        <w:bidi w:val="0"/>
        <w:spacing w:before="120" w:after="0"/>
        <w:jc w:val="both"/>
        <w:rPr>
          <w:rFonts w:ascii="arial" w:hAnsi="arial"/>
          <w:sz w:val="20"/>
        </w:rPr>
      </w:pPr>
      <w:r>
        <w:rPr>
          <w:rFonts w:ascii="arial" w:hAnsi="arial"/>
          <w:sz w:val="20"/>
        </w:rPr>
        <w:t xml:space="preserve">Spirit AeroSystems (SPR) </w:t>
      </w:r>
    </w:p>
    <w:p>
      <w:pPr>
        <w:pStyle w:val="TextBody"/>
        <w:bidi w:val="0"/>
        <w:spacing w:before="120" w:after="0"/>
        <w:jc w:val="both"/>
        <w:rPr>
          <w:rFonts w:ascii="arial" w:hAnsi="arial"/>
          <w:sz w:val="20"/>
        </w:rPr>
      </w:pPr>
      <w:r>
        <w:rPr>
          <w:rFonts w:ascii="arial" w:hAnsi="arial"/>
          <w:sz w:val="20"/>
        </w:rPr>
        <w:t xml:space="preserve">Alaska Air (ALK) </w:t>
      </w:r>
    </w:p>
    <w:p>
      <w:pPr>
        <w:pStyle w:val="TextBody"/>
        <w:bidi w:val="0"/>
        <w:spacing w:before="120" w:after="0"/>
        <w:jc w:val="both"/>
        <w:rPr>
          <w:rFonts w:ascii="arial" w:hAnsi="arial"/>
          <w:sz w:val="20"/>
        </w:rPr>
      </w:pPr>
      <w:r>
        <w:rPr>
          <w:rFonts w:ascii="arial" w:hAnsi="arial"/>
          <w:sz w:val="20"/>
        </w:rPr>
        <w:t xml:space="preserve">AbbVie (ABBY) </w:t>
      </w:r>
    </w:p>
    <w:p>
      <w:pPr>
        <w:pStyle w:val="TextBody"/>
        <w:bidi w:val="0"/>
        <w:spacing w:before="120" w:after="0"/>
        <w:jc w:val="both"/>
        <w:rPr>
          <w:rFonts w:ascii="arial" w:hAnsi="arial"/>
          <w:sz w:val="20"/>
        </w:rPr>
      </w:pPr>
      <w:r>
        <w:rPr>
          <w:rFonts w:ascii="arial" w:hAnsi="arial"/>
          <w:sz w:val="20"/>
        </w:rPr>
        <w:t xml:space="preserve">Fiserv (FISV) </w:t>
      </w:r>
    </w:p>
    <w:p>
      <w:pPr>
        <w:pStyle w:val="TextBody"/>
        <w:bidi w:val="0"/>
        <w:spacing w:before="240" w:after="0"/>
        <w:jc w:val="center"/>
        <w:rPr>
          <w:rFonts w:ascii="arial" w:hAnsi="arial"/>
          <w:sz w:val="20"/>
        </w:rPr>
      </w:pPr>
      <w:r>
        <w:rPr>
          <w:rFonts w:ascii="arial" w:hAnsi="arial"/>
          <w:sz w:val="20"/>
        </w:rPr>
        <w:t xml:space="preserve">Please vote yes: </w:t>
      </w:r>
    </w:p>
    <w:p>
      <w:pPr>
        <w:pStyle w:val="TextBody"/>
        <w:bidi w:val="0"/>
        <w:spacing w:before="240" w:after="0"/>
        <w:jc w:val="center"/>
        <w:rPr>
          <w:rFonts w:ascii="arial" w:hAnsi="arial"/>
          <w:b/>
          <w:sz w:val="20"/>
        </w:rPr>
      </w:pPr>
      <w:r>
        <w:rPr>
          <w:rFonts w:ascii="arial" w:hAnsi="arial"/>
          <w:b/>
          <w:sz w:val="20"/>
        </w:rPr>
        <w:t xml:space="preserve">Shareholder Vote Regarding Lavish Golden Parachutes — Proposal 4 </w:t>
      </w:r>
    </w:p>
    <w:p>
      <w:pPr>
        <w:pStyle w:val="TextBody"/>
        <w:bidi w:val="0"/>
        <w:spacing w:before="240" w:after="0"/>
        <w:jc w:val="left"/>
        <w:rPr>
          <w:rFonts w:ascii="arial" w:hAnsi="arial"/>
          <w:b/>
          <w:i/>
          <w:color w:val="003A5D"/>
          <w:sz w:val="24"/>
        </w:rPr>
      </w:pPr>
      <w:r>
        <w:rPr>
          <w:rFonts w:ascii="arial" w:hAnsi="arial"/>
          <w:b/>
          <w:i/>
          <w:color w:val="003A5D"/>
          <w:sz w:val="24"/>
        </w:rPr>
        <w:t xml:space="preserve">Statement in Opposition to the Stockholder Proposal </w:t>
      </w:r>
    </w:p>
    <w:p>
      <w:pPr>
        <w:pStyle w:val="TextBody"/>
        <w:bidi w:val="0"/>
        <w:spacing w:before="160" w:after="0"/>
        <w:jc w:val="both"/>
        <w:rPr>
          <w:rFonts w:ascii="arial" w:hAnsi="arial"/>
          <w:sz w:val="20"/>
        </w:rPr>
      </w:pPr>
      <w:r>
        <w:rPr>
          <w:rFonts w:ascii="arial" w:hAnsi="arial"/>
          <w:sz w:val="20"/>
        </w:rPr>
        <w:t xml:space="preserve">Our Board has considered this proposal and concluded that its adoption is not in the best interests of the Company or our stockholders. The Company’s severance and termination arrangements are reasonable, appropriate, and market competitive, and include important stockholder protections. The proposal would harm stockholders by placing the Company at a significant disadvantage in attracting and retaining talented executives. Moreover, payments to terminated executives are subject to robust governance and Board and committee oversight. Finally, the proposal is unnecessary because stockholders have a meaningful voice on executive compensation and have voted in support of our compensation programs at very high levels, and the Company has a demonstrated history of responsiveness to stockholder feedback. </w:t>
      </w:r>
    </w:p>
    <w:p>
      <w:pPr>
        <w:pStyle w:val="TextBody"/>
        <w:bidi w:val="0"/>
        <w:spacing w:before="240" w:after="0"/>
        <w:jc w:val="center"/>
        <w:rPr>
          <w:rFonts w:ascii="arial" w:hAnsi="arial"/>
          <w:b/>
          <w:sz w:val="20"/>
        </w:rPr>
      </w:pPr>
      <w:r>
        <w:rPr>
          <w:rFonts w:ascii="arial" w:hAnsi="arial"/>
          <w:b/>
          <w:sz w:val="20"/>
        </w:rPr>
        <w:t xml:space="preserve">Accordingly, the Board unanimously recommends that you vote “AGAINST” the Stockholder Proposal. </w:t>
      </w:r>
    </w:p>
    <w:p>
      <w:pPr>
        <w:pStyle w:val="TextBody"/>
        <w:bidi w:val="0"/>
        <w:spacing w:before="240" w:after="0"/>
        <w:jc w:val="both"/>
        <w:rPr>
          <w:rFonts w:ascii="arial" w:hAnsi="arial"/>
          <w:b/>
          <w:sz w:val="20"/>
        </w:rPr>
      </w:pPr>
      <w:r>
        <w:rPr>
          <w:rFonts w:ascii="arial" w:hAnsi="arial"/>
          <w:b/>
          <w:sz w:val="20"/>
        </w:rPr>
        <w:t xml:space="preserve">The Company’s Severance and Termination Arrangements Already Provide Reasonable, Appropriate, Market-Competitive Post-Termination Compensation With Important Stockholder Protections. </w:t>
      </w:r>
    </w:p>
    <w:p>
      <w:pPr>
        <w:pStyle w:val="TextBody"/>
        <w:bidi w:val="0"/>
        <w:spacing w:before="240" w:after="0"/>
        <w:jc w:val="both"/>
        <w:rPr>
          <w:rFonts w:ascii="arial" w:hAnsi="arial"/>
          <w:sz w:val="20"/>
        </w:rPr>
      </w:pPr>
      <w:r>
        <w:rPr>
          <w:rFonts w:ascii="arial" w:hAnsi="arial"/>
          <w:sz w:val="20"/>
        </w:rPr>
        <w:t xml:space="preserve">The Company’s change of control and severance practices are reasonable and generally consistent with the Company’s peers and the market. These arrangements provide executives with reasonable, market-competitive severance amounts in the event of a severance eligible termination of the executive. The arrangements also provide for the vesting of outstanding unvested equity awards previously granted by the Compensation Committee as part of the NEOs’ annual compensation. For additional information on these arrangements and potential payment amounts, see “Potential Payments Upon Termination or Change of Control” beginning on page 105. </w:t>
      </w:r>
    </w:p>
    <w:p>
      <w:pPr>
        <w:pStyle w:val="TextBody"/>
        <w:bidi w:val="0"/>
        <w:spacing w:before="240" w:after="0"/>
        <w:jc w:val="both"/>
        <w:rPr>
          <w:rFonts w:ascii="arial" w:hAnsi="arial"/>
          <w:sz w:val="20"/>
        </w:rPr>
      </w:pPr>
      <w:r>
        <w:rPr>
          <w:rFonts w:ascii="arial" w:hAnsi="arial"/>
          <w:sz w:val="20"/>
        </w:rPr>
        <w:t xml:space="preserve">Notably, our Change of Control Agreements with our NEOs and the change of control provisions in our equity grants protect stockholders by including a “double-trigger” mechanism, meaning that the cash payments and equity vesting would occur only when (i) a change of control is consummated, and (ii) the Company terminates the executive’s employment without cause, or the executive leaves for good reason, within two years following (or within one year prior to but in anticipation of) the change of control. In addition, the Change of Control Agreements protect stockholder value by not including a provision for the payment of excise taxes that may become due upon the change of control. </w: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126 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55" w:type="dxa"/>
        <w:jc w:val="left"/>
        <w:tblInd w:w="0" w:type="dxa"/>
        <w:tblLayout w:type="fixed"/>
        <w:tblCellMar>
          <w:top w:w="0" w:type="dxa"/>
          <w:left w:w="0" w:type="dxa"/>
          <w:bottom w:w="0" w:type="dxa"/>
          <w:right w:w="0" w:type="dxa"/>
        </w:tblCellMar>
      </w:tblPr>
      <w:tblGrid>
        <w:gridCol w:w="3455"/>
      </w:tblGrid>
      <w:tr>
        <w:trPr/>
        <w:tc>
          <w:tcPr>
            <w:tcW w:w="3455"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right"/>
              <w:rPr>
                <w:b/>
                <w:color w:val="003A5D"/>
              </w:rPr>
            </w:pPr>
            <w:r>
              <w:rPr>
                <w:b/>
                <w:color w:val="003A5D"/>
              </w:rPr>
              <w:t>STOCKHOLDER PROPOSALS</w:t>
            </w:r>
          </w:p>
        </w:tc>
      </w:tr>
    </w:tbl>
    <w:p>
      <w:pPr>
        <w:pStyle w:val="TextBody"/>
        <w:pBdr>
          <w:bottom w:val="single" w:sz="2" w:space="1" w:color="003A5D"/>
        </w:pBdr>
        <w:bidi w:val="0"/>
        <w:spacing w:lineRule="atLeast" w:line="142" w:before="0" w:after="40"/>
        <w:jc w:val="left"/>
        <w:rPr/>
      </w:pPr>
      <w:r>
        <w:rPr/>
        <w:t> </w:t>
      </w:r>
    </w:p>
    <w:tbl>
      <w:tblPr>
        <w:tblW w:w="6035" w:type="dxa"/>
        <w:jc w:val="left"/>
        <w:tblInd w:w="0" w:type="dxa"/>
        <w:tblLayout w:type="fixed"/>
        <w:tblCellMar>
          <w:top w:w="0" w:type="dxa"/>
          <w:left w:w="0" w:type="dxa"/>
          <w:bottom w:w="0" w:type="dxa"/>
          <w:right w:w="0" w:type="dxa"/>
        </w:tblCellMar>
      </w:tblPr>
      <w:tblGrid>
        <w:gridCol w:w="6035"/>
      </w:tblGrid>
      <w:tr>
        <w:trPr/>
        <w:tc>
          <w:tcPr>
            <w:tcW w:w="6035" w:type="dxa"/>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283"/>
              <w:jc w:val="right"/>
              <w:rPr>
                <w:b/>
                <w:color w:val="003A5D"/>
              </w:rPr>
            </w:pPr>
            <w:r>
              <w:rPr>
                <w:b/>
                <w:color w:val="003A5D"/>
              </w:rPr>
              <w:t>Section XII - Stockholder Proposal (Item 4 on Proxy Card)</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Moreover, the change of control provisions in our equity grants protect stockholders from misaligned incentives in a change of control situation. Long-term equity compensation serves an important purpose to maintain alignment between management and stockholder interests. By protecting entitlement to that compensation during a change of control, these change of control provisions protect these aligned incentives. </w:t>
      </w:r>
    </w:p>
    <w:p>
      <w:pPr>
        <w:pStyle w:val="TextBody"/>
        <w:bidi w:val="0"/>
        <w:spacing w:before="240" w:after="0"/>
        <w:jc w:val="both"/>
        <w:rPr>
          <w:rFonts w:ascii="arial" w:hAnsi="arial"/>
          <w:sz w:val="20"/>
        </w:rPr>
      </w:pPr>
      <w:r>
        <w:rPr>
          <w:rFonts w:ascii="arial" w:hAnsi="arial"/>
          <w:sz w:val="20"/>
        </w:rPr>
        <w:t xml:space="preserve">The Executive Severance Plan likewise includes important protections for stockholders. In order to receive any benefits under the plan, the NEO must execute a valid release of claims against the Company. If the NEO receives severance payments under the plan, the NEO must comply with confidentiality obligations, and would be required to repay a portion of the severance payment if, among other reasons, it is subsequently determined that the NEO’s employment could have been terminated for cause. Notably, our CEO does not participate in the Executive Severance Plan. </w:t>
      </w:r>
    </w:p>
    <w:p>
      <w:pPr>
        <w:pStyle w:val="TextBody"/>
        <w:bidi w:val="0"/>
        <w:spacing w:before="240" w:after="0"/>
        <w:jc w:val="both"/>
        <w:rPr>
          <w:rFonts w:ascii="arial" w:hAnsi="arial"/>
          <w:sz w:val="20"/>
        </w:rPr>
      </w:pPr>
      <w:r>
        <w:rPr>
          <w:rFonts w:ascii="arial" w:hAnsi="arial"/>
          <w:sz w:val="20"/>
        </w:rPr>
        <w:t xml:space="preserve">Given that the Company’s existing severance and termination arrangements already provide reasonable, appropriate, market-competitive post-termination compensation with important stockholder protections, this proposal is unnecessary. </w:t>
      </w:r>
    </w:p>
    <w:p>
      <w:pPr>
        <w:pStyle w:val="TextBody"/>
        <w:bidi w:val="0"/>
        <w:spacing w:before="240" w:after="0"/>
        <w:jc w:val="left"/>
        <w:rPr>
          <w:rFonts w:ascii="arial" w:hAnsi="arial"/>
          <w:b/>
          <w:sz w:val="20"/>
        </w:rPr>
      </w:pPr>
      <w:r>
        <w:rPr>
          <w:rFonts w:ascii="arial" w:hAnsi="arial"/>
          <w:b/>
          <w:sz w:val="20"/>
        </w:rPr>
        <w:t xml:space="preserve">Our Practices Are Consistent with Market Practice for Large Financial Institutions and the Proposal Would Harm Stockholders by Placing Us at a Substantial Competitive Disadvantage in Attracting and Retaining Executive Talent. </w:t>
      </w:r>
    </w:p>
    <w:p>
      <w:pPr>
        <w:pStyle w:val="TextBody"/>
        <w:bidi w:val="0"/>
        <w:spacing w:before="240" w:after="0"/>
        <w:jc w:val="both"/>
        <w:rPr>
          <w:rFonts w:ascii="arial" w:hAnsi="arial"/>
          <w:sz w:val="20"/>
        </w:rPr>
      </w:pPr>
      <w:r>
        <w:rPr>
          <w:rFonts w:ascii="arial" w:hAnsi="arial"/>
          <w:sz w:val="20"/>
        </w:rPr>
        <w:t xml:space="preserve">Our severance programs and practices are consistent with market practices for large financial institutions. In addition, the arrangements are fair and are designed to protect executives financially if they are terminated through no fault of their own. They provide reasonable and appropriate post-termination cash compensation while giving the executives an opportunity to share in Company value that they helped create as part of historical, stockholder-approved annual compensation equity grants. </w:t>
      </w:r>
    </w:p>
    <w:p>
      <w:pPr>
        <w:pStyle w:val="TextBody"/>
        <w:bidi w:val="0"/>
        <w:spacing w:before="240" w:after="0"/>
        <w:jc w:val="both"/>
        <w:rPr>
          <w:rFonts w:ascii="arial" w:hAnsi="arial"/>
          <w:sz w:val="20"/>
        </w:rPr>
      </w:pPr>
      <w:r>
        <w:rPr>
          <w:rFonts w:ascii="arial" w:hAnsi="arial"/>
          <w:sz w:val="20"/>
        </w:rPr>
        <w:t xml:space="preserve">Given that these arrangements are customary market practice, the Board and its Compensation Committee believe that such arrangements are vital for recruiting and retaining highly qualified executives. The Company operates a global enterprise in a highly competitive business environment, and competes for talented executives with many of the world’s largest companies across business sectors. This proposal would impose restrictions on compensation arrangements that materially deviate from reasonable market norms, placing the Company at a competitive disadvantage in recruiting and retaining qualified executives. </w:t>
      </w:r>
    </w:p>
    <w:p>
      <w:pPr>
        <w:pStyle w:val="TextBody"/>
        <w:bidi w:val="0"/>
        <w:spacing w:before="240" w:after="0"/>
        <w:jc w:val="both"/>
        <w:rPr>
          <w:rFonts w:ascii="arial" w:hAnsi="arial"/>
          <w:b/>
          <w:sz w:val="20"/>
        </w:rPr>
      </w:pPr>
      <w:r>
        <w:rPr>
          <w:rFonts w:ascii="arial" w:hAnsi="arial"/>
          <w:b/>
          <w:sz w:val="20"/>
        </w:rPr>
        <w:t xml:space="preserve">Payments to Terminated NEOs Are Subject to Robust Governance and Oversight. </w:t>
      </w:r>
    </w:p>
    <w:p>
      <w:pPr>
        <w:pStyle w:val="TextBody"/>
        <w:bidi w:val="0"/>
        <w:spacing w:before="240" w:after="0"/>
        <w:jc w:val="both"/>
        <w:rPr>
          <w:rFonts w:ascii="arial" w:hAnsi="arial"/>
          <w:sz w:val="20"/>
        </w:rPr>
      </w:pPr>
      <w:r>
        <w:rPr>
          <w:rFonts w:ascii="arial" w:hAnsi="arial"/>
          <w:sz w:val="20"/>
        </w:rPr>
        <w:t xml:space="preserve">Our severance arrangements and equity compensation plan are subject to the ongoing oversight of the Board and its Compensation Committee. Our Compensation Committee engages an independent compensation consultant to review external benchmarking data and assist in developing our post-employment compensation and benefits within our broader executive compensation and benefit programs. The Board reviews our executive compensation program, including provisions of our severance program, at least annually. In addition, the Compensation Committee reviews each executive officer’s separation on a case-by-case basis and exercises its business judgment, with the approval of the Independent Directors, to customize the terms of the separation in consideration of relevant circumstances, including the reasons for the separation, market competitive practices for comparable separation scenarios, and other important considerations. We believe our robust governance and compensation setting processes and procedures provide reasonable and appropriate oversight over the post-employment compensation and benefits afforded to our NEOs. </w:t>
      </w:r>
    </w:p>
    <w:p>
      <w:pPr>
        <w:pStyle w:val="TextBody"/>
        <w:bidi w:val="0"/>
        <w:spacing w:before="240" w:after="0"/>
        <w:jc w:val="both"/>
        <w:rPr>
          <w:rFonts w:ascii="arial" w:hAnsi="arial"/>
          <w:sz w:val="20"/>
        </w:rPr>
      </w:pPr>
      <w:r>
        <w:rPr>
          <w:rFonts w:ascii="arial" w:hAnsi="arial"/>
          <w:sz w:val="20"/>
        </w:rPr>
        <w:t xml:space="preserve">In addition, unlike most non-financial institutions, our compensation programs are subject to regulatory guidance that banking organizations should ensure that the structure and terms of any golden parachute arrangements are appropriate from a safety and soundness perspective.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127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455" w:type="dxa"/>
        <w:jc w:val="left"/>
        <w:tblInd w:w="0" w:type="dxa"/>
        <w:tblLayout w:type="fixed"/>
        <w:tblCellMar>
          <w:top w:w="0" w:type="dxa"/>
          <w:left w:w="0" w:type="dxa"/>
          <w:bottom w:w="0" w:type="dxa"/>
          <w:right w:w="0" w:type="dxa"/>
        </w:tblCellMar>
      </w:tblPr>
      <w:tblGrid>
        <w:gridCol w:w="3455"/>
      </w:tblGrid>
      <w:tr>
        <w:trPr/>
        <w:tc>
          <w:tcPr>
            <w:tcW w:w="3455"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left"/>
              <w:rPr>
                <w:b/>
                <w:color w:val="003A5D"/>
              </w:rPr>
            </w:pPr>
            <w:r>
              <w:rPr>
                <w:b/>
                <w:color w:val="003A5D"/>
              </w:rPr>
              <w:t>STOCKHOLDER PROPOSALS</w:t>
            </w:r>
          </w:p>
        </w:tc>
      </w:tr>
    </w:tbl>
    <w:p>
      <w:pPr>
        <w:pStyle w:val="TextBody"/>
        <w:pBdr>
          <w:bottom w:val="single" w:sz="2" w:space="1" w:color="003A5D"/>
        </w:pBdr>
        <w:bidi w:val="0"/>
        <w:spacing w:lineRule="atLeast" w:line="142" w:before="0" w:after="40"/>
        <w:jc w:val="left"/>
        <w:rPr/>
      </w:pPr>
      <w:r>
        <w:rPr/>
        <w:t> </w:t>
      </w:r>
    </w:p>
    <w:tbl>
      <w:tblPr>
        <w:tblW w:w="6035" w:type="dxa"/>
        <w:jc w:val="left"/>
        <w:tblInd w:w="0" w:type="dxa"/>
        <w:tblLayout w:type="fixed"/>
        <w:tblCellMar>
          <w:top w:w="0" w:type="dxa"/>
          <w:left w:w="0" w:type="dxa"/>
          <w:bottom w:w="0" w:type="dxa"/>
          <w:right w:w="0" w:type="dxa"/>
        </w:tblCellMar>
      </w:tblPr>
      <w:tblGrid>
        <w:gridCol w:w="6035"/>
      </w:tblGrid>
      <w:tr>
        <w:trPr/>
        <w:tc>
          <w:tcPr>
            <w:tcW w:w="6035" w:type="dxa"/>
            <w:tcBorders/>
            <w:vAlign w:val="center"/>
          </w:tcPr>
          <w:p>
            <w:pPr>
              <w:pStyle w:val="TableContents"/>
              <w:bidi w:val="0"/>
              <w:spacing w:before="0" w:after="283"/>
              <w:jc w:val="left"/>
              <w:rPr>
                <w:sz w:val="4"/>
                <w:szCs w:val="4"/>
              </w:rPr>
            </w:pPr>
            <w:r>
              <w:rPr>
                <w:sz w:val="4"/>
                <w:szCs w:val="4"/>
              </w:rPr>
            </w:r>
          </w:p>
        </w:tc>
      </w:tr>
      <w:tr>
        <w:trPr/>
        <w:tc>
          <w:tcPr>
            <w:tcW w:w="6035" w:type="dxa"/>
            <w:tcBorders/>
            <w:vAlign w:val="center"/>
          </w:tcPr>
          <w:p>
            <w:pPr>
              <w:pStyle w:val="TableContents"/>
              <w:bidi w:val="0"/>
              <w:spacing w:before="0" w:after="283"/>
              <w:jc w:val="left"/>
              <w:rPr>
                <w:b/>
                <w:color w:val="003A5D"/>
              </w:rPr>
            </w:pPr>
            <w:r>
              <w:rPr>
                <w:b/>
                <w:color w:val="003A5D"/>
              </w:rPr>
              <w:t>Section XII - Stockholder Proposal (Item 4 on Proxy Card)</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Because payments to terminated NEOs are subject to robust governance and oversight, this proposal is unnecessary. </w:t>
      </w:r>
    </w:p>
    <w:p>
      <w:pPr>
        <w:pStyle w:val="TextBody"/>
        <w:bidi w:val="0"/>
        <w:spacing w:before="240" w:after="0"/>
        <w:jc w:val="left"/>
        <w:rPr>
          <w:rFonts w:ascii="arial" w:hAnsi="arial"/>
          <w:b/>
          <w:sz w:val="20"/>
        </w:rPr>
      </w:pPr>
      <w:r>
        <w:rPr>
          <w:rFonts w:ascii="arial" w:hAnsi="arial"/>
          <w:b/>
          <w:sz w:val="20"/>
        </w:rPr>
        <w:t xml:space="preserve">Stockholders Already Have a Meaningful Voice On Executive Pay, Including Termination and Severance Arrangements, and the Company Has a Demonstrated History of Responsiveness to Stockholders. </w:t>
      </w:r>
    </w:p>
    <w:p>
      <w:pPr>
        <w:pStyle w:val="TextBody"/>
        <w:bidi w:val="0"/>
        <w:spacing w:before="240" w:after="0"/>
        <w:jc w:val="both"/>
        <w:rPr>
          <w:rFonts w:ascii="arial" w:hAnsi="arial"/>
          <w:sz w:val="20"/>
        </w:rPr>
      </w:pPr>
      <w:r>
        <w:rPr>
          <w:rFonts w:ascii="arial" w:hAnsi="arial"/>
          <w:sz w:val="20"/>
        </w:rPr>
        <w:t xml:space="preserve">To provide transparency to stockholders, we annually disclose our plans and policies governing post-employment compensation for NEOs and the potential termination benefits that may become payable to NEOs (see page 110). In addition, in each of our last three annual “Say On Pay” votes, the Company’s executive compensation programs were approved by more than 93% of the votes cast. Moreover, our equity compensation plan has been approved by our stockholders. Furthermore, in the event of a potential merger, acquisition, or other similar event, stockholders would have further opportunities to express their views on any compensation to our NEOs in connection with that transaction (including the change of control arrangements). </w:t>
      </w:r>
    </w:p>
    <w:p>
      <w:pPr>
        <w:pStyle w:val="TextBody"/>
        <w:bidi w:val="0"/>
        <w:spacing w:before="240" w:after="0"/>
        <w:jc w:val="both"/>
        <w:rPr>
          <w:rFonts w:ascii="arial" w:hAnsi="arial"/>
          <w:sz w:val="20"/>
        </w:rPr>
      </w:pPr>
      <w:r>
        <w:rPr>
          <w:rFonts w:ascii="arial" w:hAnsi="arial"/>
          <w:sz w:val="20"/>
        </w:rPr>
        <w:t xml:space="preserve">We also actively engage with our stockholders throughout the year to, among other things, provide visibility and transparency into our compensation practices and to receive feedback from stockholders regarding those practices and other governance matters. We have a demonstrated history of making changes to our compensation practices in response to this stockholder feedback. </w:t>
      </w:r>
    </w:p>
    <w:p>
      <w:pPr>
        <w:pStyle w:val="TextBody"/>
        <w:bidi w:val="0"/>
        <w:spacing w:before="240" w:after="0"/>
        <w:jc w:val="both"/>
        <w:rPr>
          <w:rFonts w:ascii="arial" w:hAnsi="arial"/>
          <w:sz w:val="20"/>
        </w:rPr>
      </w:pPr>
      <w:r>
        <w:rPr>
          <w:rFonts w:ascii="arial" w:hAnsi="arial"/>
          <w:sz w:val="20"/>
        </w:rPr>
        <w:t xml:space="preserve">Because stockholders already have meaningful avenues for providing input on our compensation practices and the Company has a history of responsiveness to this input, additional shareholder voting as requested in the proposal is unnecessary. </w:t>
      </w:r>
    </w:p>
    <w:p>
      <w:pPr>
        <w:pStyle w:val="TextBody"/>
        <w:bidi w:val="0"/>
        <w:spacing w:before="240" w:after="0"/>
        <w:jc w:val="center"/>
        <w:rPr>
          <w:rFonts w:ascii="arial" w:hAnsi="arial"/>
          <w:sz w:val="20"/>
        </w:rPr>
      </w:pPr>
      <w:r>
        <w:rPr>
          <w:rFonts w:ascii="arial" w:hAnsi="arial"/>
          <w:sz w:val="20"/>
        </w:rPr>
        <w:t xml:space="preserve">*** </w:t>
      </w:r>
    </w:p>
    <w:p>
      <w:pPr>
        <w:pStyle w:val="TextBody"/>
        <w:bidi w:val="0"/>
        <w:spacing w:before="240" w:after="0"/>
        <w:jc w:val="center"/>
        <w:rPr>
          <w:rFonts w:ascii="arial" w:hAnsi="arial"/>
          <w:b/>
          <w:sz w:val="20"/>
        </w:rPr>
      </w:pPr>
      <w:r>
        <w:rPr>
          <w:rFonts w:ascii="arial" w:hAnsi="arial"/>
          <w:b/>
          <w:sz w:val="20"/>
        </w:rPr>
        <w:t xml:space="preserve">The Board unanimously recommends that you vote “AGAINST” the Stockholder Proposal Requesting Shareholder Vote Regarding Lavish Golden Parachutes (Item 4 on Proxy Card). </w: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128 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right"/>
              <w:rPr>
                <w:b/>
                <w:color w:val="003A5D"/>
              </w:rPr>
            </w:pPr>
            <w:r>
              <w:rPr>
                <w:b/>
                <w:color w:val="003A5D"/>
              </w:rPr>
              <w:t>OTHER MATTERS</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righ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114" w:name="txa845790_58"/>
      <w:bookmarkEnd w:id="114"/>
      <w:r>
        <w:rPr>
          <w:rFonts w:ascii="arial" w:hAnsi="arial"/>
          <w:b/>
          <w:sz w:val="36"/>
        </w:rPr>
        <w:t xml:space="preserve">Section XIII - Other Business </w:t>
      </w:r>
    </w:p>
    <w:p>
      <w:pPr>
        <w:pStyle w:val="TextBody"/>
        <w:pBdr>
          <w:bottom w:val="single" w:sz="8" w:space="1" w:color="000000"/>
        </w:pBdr>
        <w:bidi w:val="0"/>
        <w:spacing w:lineRule="atLeast" w:line="142" w:before="0" w:after="40"/>
        <w:jc w:val="left"/>
        <w:rPr/>
      </w:pPr>
      <w:r>
        <w:rPr/>
        <w:t> </w:t>
      </w:r>
    </w:p>
    <w:p>
      <w:pPr>
        <w:pStyle w:val="TextBody"/>
        <w:bidi w:val="0"/>
        <w:spacing w:before="240" w:after="0"/>
        <w:jc w:val="left"/>
        <w:rPr>
          <w:rFonts w:ascii="arial" w:hAnsi="arial"/>
          <w:b/>
          <w:color w:val="003A5D"/>
          <w:sz w:val="32"/>
        </w:rPr>
      </w:pPr>
      <w:bookmarkStart w:id="115" w:name="txa845790_59"/>
      <w:bookmarkEnd w:id="115"/>
      <w:r>
        <w:rPr>
          <w:rFonts w:ascii="arial" w:hAnsi="arial"/>
          <w:b/>
          <w:color w:val="003A5D"/>
          <w:sz w:val="32"/>
        </w:rPr>
        <w:t xml:space="preserve">Other Business </w:t>
      </w:r>
    </w:p>
    <w:p>
      <w:pPr>
        <w:pStyle w:val="TextBody"/>
        <w:bidi w:val="0"/>
        <w:spacing w:before="240" w:after="0"/>
        <w:jc w:val="both"/>
        <w:rPr>
          <w:rFonts w:ascii="arial" w:hAnsi="arial"/>
          <w:sz w:val="20"/>
        </w:rPr>
      </w:pPr>
      <w:r>
        <w:rPr>
          <w:rFonts w:ascii="arial" w:hAnsi="arial"/>
          <w:sz w:val="20"/>
        </w:rPr>
        <w:t xml:space="preserve">As of the date of this proxy statement, we know of no business that will be presented for consideration at the 2025 Annual Stockholder Meeting other than the items referred to above. If other matters are properly brought before the meeting, the persons named in the accompanying proxy card will vote such proxy at their discretion. </w:t>
      </w:r>
    </w:p>
    <w:p>
      <w:pPr>
        <w:pStyle w:val="TextBody"/>
        <w:bidi w:val="0"/>
        <w:spacing w:before="240" w:after="0"/>
        <w:jc w:val="left"/>
        <w:rPr>
          <w:rFonts w:ascii="arial" w:hAnsi="arial"/>
          <w:b/>
          <w:color w:val="003A5D"/>
          <w:sz w:val="32"/>
        </w:rPr>
      </w:pPr>
      <w:bookmarkStart w:id="116" w:name="txa845790_60"/>
      <w:bookmarkEnd w:id="116"/>
      <w:r>
        <w:rPr>
          <w:rFonts w:ascii="arial" w:hAnsi="arial"/>
          <w:b/>
          <w:color w:val="003A5D"/>
          <w:sz w:val="32"/>
        </w:rPr>
        <w:t xml:space="preserve">Annual Report to Stockholders </w:t>
      </w:r>
    </w:p>
    <w:p>
      <w:pPr>
        <w:pStyle w:val="TextBody"/>
        <w:bidi w:val="0"/>
        <w:spacing w:before="240" w:after="0"/>
        <w:jc w:val="both"/>
        <w:rPr>
          <w:rFonts w:ascii="arial" w:hAnsi="arial"/>
          <w:sz w:val="20"/>
        </w:rPr>
      </w:pPr>
      <w:r>
        <w:rPr>
          <w:rFonts w:ascii="arial" w:hAnsi="arial"/>
          <w:sz w:val="20"/>
        </w:rPr>
        <w:t xml:space="preserve">Our Annual Report, including consolidated financial statements, is being furnished along with this proxy statement to our stockholders of record. </w:t>
      </w:r>
      <w:r>
        <w:rPr>
          <w:rFonts w:ascii="arial" w:hAnsi="arial"/>
          <w:b/>
          <w:sz w:val="20"/>
        </w:rPr>
        <w:t xml:space="preserve">A copy of the Form 10-K may be obtained without charge at the 2025 Annual Stockholder Meeting, at our website at www.capitalone.com under “Investors” then “Financials” then “SEC Filings,” or by contacting our Investor Relations department at Capital One’s address set forth above in the section “How to Contact Us” on page 49. </w:t>
      </w:r>
      <w:r>
        <w:rPr>
          <w:rFonts w:ascii="arial" w:hAnsi="arial"/>
          <w:sz w:val="20"/>
        </w:rPr>
        <w:t xml:space="preserve">The Form 10-K, which is filed with the SEC, may also be obtained at the SEC’s website at www.sec.gov. </w:t>
      </w:r>
    </w:p>
    <w:p>
      <w:pPr>
        <w:pStyle w:val="TextBody"/>
        <w:bidi w:val="0"/>
        <w:spacing w:before="240" w:after="0"/>
        <w:jc w:val="left"/>
        <w:rPr>
          <w:rFonts w:ascii="arial" w:hAnsi="arial"/>
          <w:b/>
          <w:color w:val="003A5D"/>
          <w:sz w:val="32"/>
        </w:rPr>
      </w:pPr>
      <w:bookmarkStart w:id="117" w:name="txa845790_61"/>
      <w:bookmarkEnd w:id="117"/>
      <w:r>
        <w:rPr>
          <w:rFonts w:ascii="arial" w:hAnsi="arial"/>
          <w:b/>
          <w:color w:val="003A5D"/>
          <w:sz w:val="32"/>
        </w:rPr>
        <w:t xml:space="preserve">Stockholder Proposals for 2026 Annual Stockholder Meeting </w:t>
      </w:r>
    </w:p>
    <w:p>
      <w:pPr>
        <w:pStyle w:val="TextBody"/>
        <w:bidi w:val="0"/>
        <w:spacing w:before="240" w:after="0"/>
        <w:jc w:val="both"/>
        <w:rPr>
          <w:rFonts w:ascii="arial" w:hAnsi="arial"/>
          <w:sz w:val="20"/>
        </w:rPr>
      </w:pPr>
      <w:r>
        <w:rPr>
          <w:rFonts w:ascii="arial" w:hAnsi="arial"/>
          <w:sz w:val="20"/>
        </w:rPr>
        <w:t xml:space="preserve">To be considered for inclusion in the proxy materials for our 2026 Annual Stockholder Meeting, stockholder proposals submitted pursuant to Rule 14a-8 under the Exchange Act and stockholder director nominations submitted pursuant to the proxy access provisions of our Bylaws must be received by our Corporate Secretary at the address set forth above in the section “How to Contact Us” on page 49, no later than November 28, 2025 (and in the case of proxy access director candidates no earlier than October 28, 2025). </w:t>
      </w:r>
    </w:p>
    <w:p>
      <w:pPr>
        <w:pStyle w:val="TextBody"/>
        <w:bidi w:val="0"/>
        <w:spacing w:before="240" w:after="0"/>
        <w:jc w:val="both"/>
        <w:rPr>
          <w:rFonts w:ascii="arial" w:hAnsi="arial"/>
          <w:sz w:val="20"/>
        </w:rPr>
      </w:pPr>
      <w:r>
        <w:rPr>
          <w:rFonts w:ascii="arial" w:hAnsi="arial"/>
          <w:sz w:val="20"/>
        </w:rPr>
        <w:t xml:space="preserve">In the case of director nominations submitted pursuant to the proxy access provisions of our Bylaws, these deadlines are based on the 150th day and 120th day, respectively, before the one-year anniversary of the date that the Proxy Statement for the 2025 Annual Stockholder Meeting was first sent to stockholders (which date, for purposes of our Bylaws, is March 27, 2026). Stockholders submitting proposals pursuant to Rule 14a-8 or submitting proxy access director candidates must also satisfy other procedural and qualification requirements set forth in Rule 14a-8 and our Bylaws, respectively. The submission of a stockholder proposal or proxy access nomination does not guarantee that it will be included in our proxy statement. </w:t>
      </w:r>
    </w:p>
    <w:p>
      <w:pPr>
        <w:pStyle w:val="TextBody"/>
        <w:bidi w:val="0"/>
        <w:spacing w:before="240" w:after="0"/>
        <w:jc w:val="both"/>
        <w:rPr>
          <w:rFonts w:ascii="arial" w:hAnsi="arial"/>
          <w:sz w:val="20"/>
        </w:rPr>
      </w:pPr>
      <w:r>
        <w:rPr>
          <w:rFonts w:ascii="arial" w:hAnsi="arial"/>
          <w:sz w:val="20"/>
        </w:rPr>
        <w:t xml:space="preserve">Under our Bylaws, if you wish to present a stockholder proposal other than pursuant to Rule 14a-8 or nominate a director candidate other than pursuant to our proxy access Bylaw provisions, then to be timely for consideration at our 2026 Annual Stockholder Meeting, you must give proper written notice of such proposal and of such nomination to the Corporate Secretary no earlier than January 8, 2026, and no later than February 7 , 2026. If our 2026 Annual Stockholder Meeting is held on a date that is not within 30 days before or 60 days after May 8, 2026, the anniversary date of this year’s Annual Stockholder Meeting, notice must be delivered no earlier than the 120th day prior to such annual stockholder meeting and no later than the later of the 90th day prior to such meeting or the tenth day following the day on which public announcement of the date of such meeting is first made. Your notice must include the information specified in our Bylaws concerning the proposal or nominee. Our Bylaws set forth the information that must be furnished to the Corporate Secretary for any such notice to be proper. A copy of our Bylaws may be obtained from the Corporate Secretary at Capital One’s address set forth above in the section “How to Contact Us” on page 49. In addition to complying with the advance notice provisions of our Bylaws, to nominate directors stockholders must give timely notice that complies with the additional requirements of Rule 14a-19, and which must be received no later than March 9, 2026.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129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b/>
                <w:color w:val="003A5D"/>
              </w:rPr>
            </w:pPr>
            <w:r>
              <w:rPr>
                <w:b/>
                <w:color w:val="003A5D"/>
              </w:rPr>
              <w:t>OTHER MATTERS</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lef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118" w:name="txa845790_62"/>
      <w:bookmarkEnd w:id="118"/>
      <w:r>
        <w:rPr>
          <w:rFonts w:ascii="arial" w:hAnsi="arial"/>
          <w:b/>
          <w:sz w:val="36"/>
        </w:rPr>
        <w:t xml:space="preserve">Section XIV - Frequently Asked Questions </w:t>
      </w:r>
    </w:p>
    <w:p>
      <w:pPr>
        <w:pStyle w:val="TextBody"/>
        <w:pBdr>
          <w:bottom w:val="single" w:sz="8"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3110230" cy="7142480"/>
                <wp:effectExtent l="0" t="0" r="0" b="0"/>
                <wp:wrapSquare wrapText="right"/>
                <wp:docPr id="74" name="Frame7"/>
                <a:graphic xmlns:a="http://schemas.openxmlformats.org/drawingml/2006/main">
                  <a:graphicData uri="http://schemas.microsoft.com/office/word/2010/wordprocessingShape">
                    <wps:wsp>
                      <wps:cNvSpPr txBox="1"/>
                      <wps:spPr>
                        <a:xfrm>
                          <a:off x="0" y="0"/>
                          <a:ext cx="3110230" cy="7142480"/>
                        </a:xfrm>
                        <a:prstGeom prst="rect"/>
                        <a:solidFill>
                          <a:srgbClr val="FFFFFF"/>
                        </a:solidFill>
                      </wps:spPr>
                      <wps:txbx>
                        <w:txbxContent>
                          <w:p>
                            <w:pPr>
                              <w:pStyle w:val="TextBody"/>
                              <w:bidi w:val="0"/>
                              <w:spacing w:before="0" w:after="0"/>
                              <w:jc w:val="both"/>
                              <w:rPr>
                                <w:rFonts w:ascii="arial" w:hAnsi="arial"/>
                                <w:b/>
                                <w:color w:val="003A5D"/>
                                <w:sz w:val="22"/>
                              </w:rPr>
                            </w:pPr>
                            <w:r>
                              <w:rPr>
                                <w:rFonts w:ascii="arial" w:hAnsi="arial"/>
                                <w:b/>
                                <w:color w:val="003A5D"/>
                                <w:sz w:val="22"/>
                              </w:rPr>
                              <w:t xml:space="preserve">Why did I receive a Notice Regarding the Internet Availability of Proxy Materials? </w:t>
                            </w:r>
                          </w:p>
                          <w:p>
                            <w:pPr>
                              <w:pStyle w:val="TextBody"/>
                              <w:bidi w:val="0"/>
                              <w:spacing w:before="240" w:after="0"/>
                              <w:jc w:val="both"/>
                              <w:rPr>
                                <w:rFonts w:ascii="arial" w:hAnsi="arial"/>
                                <w:sz w:val="20"/>
                              </w:rPr>
                            </w:pPr>
                            <w:r>
                              <w:rPr>
                                <w:rFonts w:ascii="arial" w:hAnsi="arial"/>
                                <w:sz w:val="20"/>
                              </w:rPr>
                              <w:t xml:space="preserve">Pursuant to rules of the SEC, we are furnishing the proxy materials to certain of our stockholders via the Internet instead of mailing printed copies. This process allows us to expedite our stockholders’ receipt of proxy materials, lower the costs of printing and mailing the proxy materials, and reduce the environmental impact of our 2025 Annual Stockholder Meeting. Accordingly, on March 27, 2025, we began sending our stockholders a Notice Regarding the Internet Availability of Proxy Materials. If you received a Notice, you will not receive a printed copy of the proxy materials unless you request one. The Notice provides instructions on how to access the proxy materials for the 2025 Annual Stockholder Meeting via the Internet, how to request a printed set of proxy materials, and how to vote your shares. </w:t>
                            </w:r>
                          </w:p>
                          <w:p>
                            <w:pPr>
                              <w:pStyle w:val="TextBody"/>
                              <w:bidi w:val="0"/>
                              <w:spacing w:before="240" w:after="0"/>
                              <w:jc w:val="both"/>
                              <w:rPr>
                                <w:rFonts w:ascii="arial" w:hAnsi="arial"/>
                                <w:b/>
                                <w:color w:val="003A5D"/>
                                <w:sz w:val="22"/>
                              </w:rPr>
                            </w:pPr>
                            <w:r>
                              <w:rPr>
                                <w:rFonts w:ascii="arial" w:hAnsi="arial"/>
                                <w:b/>
                                <w:color w:val="003A5D"/>
                                <w:sz w:val="22"/>
                              </w:rPr>
                              <w:t xml:space="preserve">What is the purpose of the proxy materials? </w:t>
                            </w:r>
                          </w:p>
                          <w:p>
                            <w:pPr>
                              <w:pStyle w:val="TextBody"/>
                              <w:bidi w:val="0"/>
                              <w:spacing w:before="240" w:after="0"/>
                              <w:jc w:val="both"/>
                              <w:rPr>
                                <w:rFonts w:ascii="arial" w:hAnsi="arial"/>
                                <w:sz w:val="20"/>
                              </w:rPr>
                            </w:pPr>
                            <w:r>
                              <w:rPr>
                                <w:rFonts w:ascii="arial" w:hAnsi="arial"/>
                                <w:sz w:val="20"/>
                              </w:rPr>
                              <w:t xml:space="preserve">The Board is providing you these materials in connection with the solicitation by the Board of proxies to be voted at the 2025 Annual Stockholder Meeting. All stockholders who held shares of Capital One common stock as of the close of business on the Record Date, March 12, 2025, are entitled to attend the 2025 Annual Stockholder Meeting and to vote on the items of business outlined in this proxy statement. Whether or not you choose to attend the 2025 Annual Stockholder Meeting in person, you may vote your shares via the Internet, by telephone, or by mail. </w:t>
                            </w:r>
                          </w:p>
                          <w:p>
                            <w:pPr>
                              <w:pStyle w:val="TextBody"/>
                              <w:bidi w:val="0"/>
                              <w:spacing w:before="240" w:after="0"/>
                              <w:jc w:val="left"/>
                              <w:rPr>
                                <w:rFonts w:ascii="arial" w:hAnsi="arial"/>
                                <w:b/>
                                <w:color w:val="003A5D"/>
                                <w:sz w:val="22"/>
                              </w:rPr>
                            </w:pPr>
                            <w:r>
                              <w:rPr>
                                <w:rFonts w:ascii="arial" w:hAnsi="arial"/>
                                <w:b/>
                                <w:color w:val="003A5D"/>
                                <w:sz w:val="22"/>
                              </w:rPr>
                              <w:t xml:space="preserve">How do I access the proxy materials? </w:t>
                            </w:r>
                          </w:p>
                          <w:p>
                            <w:pPr>
                              <w:pStyle w:val="TextBody"/>
                              <w:bidi w:val="0"/>
                              <w:spacing w:before="240" w:after="0"/>
                              <w:jc w:val="both"/>
                              <w:rPr>
                                <w:rFonts w:ascii="arial" w:hAnsi="arial"/>
                                <w:sz w:val="20"/>
                              </w:rPr>
                            </w:pPr>
                            <w:r>
                              <w:rPr>
                                <w:rFonts w:ascii="arial" w:hAnsi="arial"/>
                                <w:sz w:val="20"/>
                              </w:rPr>
                              <w:t xml:space="preserve">The Notice provides instructions regarding how to view the proxy materials for the 2025 Annual Stockholder Meeting online. As explained in greater detail in the Notice, to view the proxy materials and to vote, you will need to visit www.proxyvote.com and have available the control number(s) contained in your Notice. </w:t>
                            </w:r>
                          </w:p>
                          <w:p>
                            <w:pPr>
                              <w:pStyle w:val="TextBody"/>
                              <w:bidi w:val="0"/>
                              <w:spacing w:before="240" w:after="0"/>
                              <w:jc w:val="left"/>
                              <w:rPr>
                                <w:rFonts w:ascii="arial" w:hAnsi="arial"/>
                                <w:b/>
                                <w:color w:val="003A5D"/>
                                <w:sz w:val="22"/>
                              </w:rPr>
                            </w:pPr>
                            <w:r>
                              <w:rPr>
                                <w:rFonts w:ascii="arial" w:hAnsi="arial"/>
                                <w:b/>
                                <w:color w:val="003A5D"/>
                                <w:sz w:val="22"/>
                              </w:rPr>
                              <w:t xml:space="preserve">How do I request paper copies of the proxy materials? </w:t>
                            </w:r>
                          </w:p>
                          <w:p>
                            <w:pPr>
                              <w:pStyle w:val="TextBody"/>
                              <w:bidi w:val="0"/>
                              <w:spacing w:before="240" w:after="0"/>
                              <w:jc w:val="both"/>
                              <w:rPr>
                                <w:rFonts w:ascii="arial" w:hAnsi="arial"/>
                                <w:sz w:val="20"/>
                              </w:rPr>
                            </w:pPr>
                            <w:r>
                              <w:rPr>
                                <w:rFonts w:ascii="arial" w:hAnsi="arial"/>
                                <w:sz w:val="20"/>
                              </w:rPr>
                              <w:t xml:space="preserve">You may request paper copies of the 2025 proxy materials by following the instructions at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62.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b/>
                          <w:color w:val="003A5D"/>
                          <w:sz w:val="22"/>
                        </w:rPr>
                      </w:pPr>
                      <w:r>
                        <w:rPr>
                          <w:rFonts w:ascii="arial" w:hAnsi="arial"/>
                          <w:b/>
                          <w:color w:val="003A5D"/>
                          <w:sz w:val="22"/>
                        </w:rPr>
                        <w:t xml:space="preserve">Why did I receive a Notice Regarding the Internet Availability of Proxy Materials? </w:t>
                      </w:r>
                    </w:p>
                    <w:p>
                      <w:pPr>
                        <w:pStyle w:val="TextBody"/>
                        <w:bidi w:val="0"/>
                        <w:spacing w:before="240" w:after="0"/>
                        <w:jc w:val="both"/>
                        <w:rPr>
                          <w:rFonts w:ascii="arial" w:hAnsi="arial"/>
                          <w:sz w:val="20"/>
                        </w:rPr>
                      </w:pPr>
                      <w:r>
                        <w:rPr>
                          <w:rFonts w:ascii="arial" w:hAnsi="arial"/>
                          <w:sz w:val="20"/>
                        </w:rPr>
                        <w:t xml:space="preserve">Pursuant to rules of the SEC, we are furnishing the proxy materials to certain of our stockholders via the Internet instead of mailing printed copies. This process allows us to expedite our stockholders’ receipt of proxy materials, lower the costs of printing and mailing the proxy materials, and reduce the environmental impact of our 2025 Annual Stockholder Meeting. Accordingly, on March 27, 2025, we began sending our stockholders a Notice Regarding the Internet Availability of Proxy Materials. If you received a Notice, you will not receive a printed copy of the proxy materials unless you request one. The Notice provides instructions on how to access the proxy materials for the 2025 Annual Stockholder Meeting via the Internet, how to request a printed set of proxy materials, and how to vote your shares. </w:t>
                      </w:r>
                    </w:p>
                    <w:p>
                      <w:pPr>
                        <w:pStyle w:val="TextBody"/>
                        <w:bidi w:val="0"/>
                        <w:spacing w:before="240" w:after="0"/>
                        <w:jc w:val="both"/>
                        <w:rPr>
                          <w:rFonts w:ascii="arial" w:hAnsi="arial"/>
                          <w:b/>
                          <w:color w:val="003A5D"/>
                          <w:sz w:val="22"/>
                        </w:rPr>
                      </w:pPr>
                      <w:r>
                        <w:rPr>
                          <w:rFonts w:ascii="arial" w:hAnsi="arial"/>
                          <w:b/>
                          <w:color w:val="003A5D"/>
                          <w:sz w:val="22"/>
                        </w:rPr>
                        <w:t xml:space="preserve">What is the purpose of the proxy materials? </w:t>
                      </w:r>
                    </w:p>
                    <w:p>
                      <w:pPr>
                        <w:pStyle w:val="TextBody"/>
                        <w:bidi w:val="0"/>
                        <w:spacing w:before="240" w:after="0"/>
                        <w:jc w:val="both"/>
                        <w:rPr>
                          <w:rFonts w:ascii="arial" w:hAnsi="arial"/>
                          <w:sz w:val="20"/>
                        </w:rPr>
                      </w:pPr>
                      <w:r>
                        <w:rPr>
                          <w:rFonts w:ascii="arial" w:hAnsi="arial"/>
                          <w:sz w:val="20"/>
                        </w:rPr>
                        <w:t xml:space="preserve">The Board is providing you these materials in connection with the solicitation by the Board of proxies to be voted at the 2025 Annual Stockholder Meeting. All stockholders who held shares of Capital One common stock as of the close of business on the Record Date, March 12, 2025, are entitled to attend the 2025 Annual Stockholder Meeting and to vote on the items of business outlined in this proxy statement. Whether or not you choose to attend the 2025 Annual Stockholder Meeting in person, you may vote your shares via the Internet, by telephone, or by mail. </w:t>
                      </w:r>
                    </w:p>
                    <w:p>
                      <w:pPr>
                        <w:pStyle w:val="TextBody"/>
                        <w:bidi w:val="0"/>
                        <w:spacing w:before="240" w:after="0"/>
                        <w:jc w:val="left"/>
                        <w:rPr>
                          <w:rFonts w:ascii="arial" w:hAnsi="arial"/>
                          <w:b/>
                          <w:color w:val="003A5D"/>
                          <w:sz w:val="22"/>
                        </w:rPr>
                      </w:pPr>
                      <w:r>
                        <w:rPr>
                          <w:rFonts w:ascii="arial" w:hAnsi="arial"/>
                          <w:b/>
                          <w:color w:val="003A5D"/>
                          <w:sz w:val="22"/>
                        </w:rPr>
                        <w:t xml:space="preserve">How do I access the proxy materials? </w:t>
                      </w:r>
                    </w:p>
                    <w:p>
                      <w:pPr>
                        <w:pStyle w:val="TextBody"/>
                        <w:bidi w:val="0"/>
                        <w:spacing w:before="240" w:after="0"/>
                        <w:jc w:val="both"/>
                        <w:rPr>
                          <w:rFonts w:ascii="arial" w:hAnsi="arial"/>
                          <w:sz w:val="20"/>
                        </w:rPr>
                      </w:pPr>
                      <w:r>
                        <w:rPr>
                          <w:rFonts w:ascii="arial" w:hAnsi="arial"/>
                          <w:sz w:val="20"/>
                        </w:rPr>
                        <w:t xml:space="preserve">The Notice provides instructions regarding how to view the proxy materials for the 2025 Annual Stockholder Meeting online. As explained in greater detail in the Notice, to view the proxy materials and to vote, you will need to visit www.proxyvote.com and have available the control number(s) contained in your Notice. </w:t>
                      </w:r>
                    </w:p>
                    <w:p>
                      <w:pPr>
                        <w:pStyle w:val="TextBody"/>
                        <w:bidi w:val="0"/>
                        <w:spacing w:before="240" w:after="0"/>
                        <w:jc w:val="left"/>
                        <w:rPr>
                          <w:rFonts w:ascii="arial" w:hAnsi="arial"/>
                          <w:b/>
                          <w:color w:val="003A5D"/>
                          <w:sz w:val="22"/>
                        </w:rPr>
                      </w:pPr>
                      <w:r>
                        <w:rPr>
                          <w:rFonts w:ascii="arial" w:hAnsi="arial"/>
                          <w:b/>
                          <w:color w:val="003A5D"/>
                          <w:sz w:val="22"/>
                        </w:rPr>
                        <w:t xml:space="preserve">How do I request paper copies of the proxy materials? </w:t>
                      </w:r>
                    </w:p>
                    <w:p>
                      <w:pPr>
                        <w:pStyle w:val="TextBody"/>
                        <w:bidi w:val="0"/>
                        <w:spacing w:before="240" w:after="0"/>
                        <w:jc w:val="both"/>
                        <w:rPr>
                          <w:rFonts w:ascii="arial" w:hAnsi="arial"/>
                          <w:sz w:val="20"/>
                        </w:rPr>
                      </w:pPr>
                      <w:r>
                        <w:rPr>
                          <w:rFonts w:ascii="arial" w:hAnsi="arial"/>
                          <w:sz w:val="20"/>
                        </w:rPr>
                        <w:t xml:space="preserve">You may request paper copies of the 2025 proxy materials by following the instructions at </w:t>
                      </w:r>
                    </w:p>
                  </w:txbxContent>
                </v:textbox>
                <w10:wrap type="square" side="right"/>
              </v:rect>
            </w:pict>
          </mc:Fallback>
        </mc:AlternateConten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3175000" cy="6516370"/>
                <wp:effectExtent l="0" t="0" r="0" b="0"/>
                <wp:wrapSquare wrapText="right"/>
                <wp:docPr id="75" name="Frame8"/>
                <a:graphic xmlns:a="http://schemas.openxmlformats.org/drawingml/2006/main">
                  <a:graphicData uri="http://schemas.microsoft.com/office/word/2010/wordprocessingShape">
                    <wps:wsp>
                      <wps:cNvSpPr txBox="1"/>
                      <wps:spPr>
                        <a:xfrm>
                          <a:off x="0" y="0"/>
                          <a:ext cx="3175000" cy="651637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www.proxyvote.com, by calling 1-800-579-1639 or by sending an e-mail to sendmaterial@proxyvote.com. </w:t>
                            </w:r>
                          </w:p>
                          <w:p>
                            <w:pPr>
                              <w:pStyle w:val="TextBody"/>
                              <w:bidi w:val="0"/>
                              <w:spacing w:before="240" w:after="0"/>
                              <w:jc w:val="left"/>
                              <w:rPr>
                                <w:rFonts w:ascii="arial" w:hAnsi="arial"/>
                                <w:b/>
                                <w:color w:val="003A5D"/>
                                <w:sz w:val="22"/>
                              </w:rPr>
                            </w:pPr>
                            <w:r>
                              <w:rPr>
                                <w:rFonts w:ascii="arial" w:hAnsi="arial"/>
                                <w:b/>
                                <w:color w:val="003A5D"/>
                                <w:sz w:val="22"/>
                              </w:rPr>
                              <w:t xml:space="preserve">What is the difference between a record holder and a holder of shares in street name? </w:t>
                            </w:r>
                          </w:p>
                          <w:p>
                            <w:pPr>
                              <w:pStyle w:val="TextBody"/>
                              <w:bidi w:val="0"/>
                              <w:spacing w:before="240" w:after="0"/>
                              <w:jc w:val="both"/>
                              <w:rPr>
                                <w:rFonts w:ascii="arial" w:hAnsi="arial"/>
                                <w:sz w:val="20"/>
                              </w:rPr>
                            </w:pPr>
                            <w:r>
                              <w:rPr>
                                <w:rFonts w:ascii="arial" w:hAnsi="arial"/>
                                <w:sz w:val="20"/>
                              </w:rPr>
                              <w:t xml:space="preserve">You are a record holder if you hold shares of Capital One common stock directly in your name through our transfer agent, Computershare Trust Company, N.A. </w:t>
                            </w:r>
                          </w:p>
                          <w:p>
                            <w:pPr>
                              <w:pStyle w:val="TextBody"/>
                              <w:bidi w:val="0"/>
                              <w:spacing w:before="240" w:after="0"/>
                              <w:jc w:val="both"/>
                              <w:rPr>
                                <w:rFonts w:ascii="arial" w:hAnsi="arial"/>
                                <w:sz w:val="20"/>
                              </w:rPr>
                            </w:pPr>
                            <w:r>
                              <w:rPr>
                                <w:rFonts w:ascii="arial" w:hAnsi="arial"/>
                                <w:sz w:val="20"/>
                              </w:rPr>
                              <w:t xml:space="preserve">If you hold shares of Capital One common stock through a broker, bank, trust, or other nominee, then you are a holder of shares in street name. As a result, you must instruct the broker, bank, trust, or other nominee about how to vote your shares. Under the rules of the NYSE, if you do not provide such instructions, the firm that holds your shares will have discretionary authority to vote your shares only with respect to “routine” matters, as described below. </w:t>
                            </w:r>
                          </w:p>
                          <w:p>
                            <w:pPr>
                              <w:pStyle w:val="TextBody"/>
                              <w:bidi w:val="0"/>
                              <w:spacing w:before="240" w:after="0"/>
                              <w:jc w:val="left"/>
                              <w:rPr>
                                <w:rFonts w:ascii="arial" w:hAnsi="arial"/>
                                <w:b/>
                                <w:color w:val="003A5D"/>
                                <w:sz w:val="22"/>
                              </w:rPr>
                            </w:pPr>
                            <w:bookmarkStart w:id="119" w:name="c_1"/>
                            <w:bookmarkEnd w:id="119"/>
                            <w:r>
                              <w:rPr>
                                <w:rFonts w:ascii="arial" w:hAnsi="arial"/>
                                <w:b/>
                                <w:color w:val="003A5D"/>
                                <w:sz w:val="22"/>
                              </w:rPr>
                              <w:t xml:space="preserve">Can I attend the 2025 Annual Stockholder Meeting? </w:t>
                            </w:r>
                          </w:p>
                          <w:p>
                            <w:pPr>
                              <w:pStyle w:val="TextBody"/>
                              <w:bidi w:val="0"/>
                              <w:spacing w:before="240" w:after="0"/>
                              <w:jc w:val="both"/>
                              <w:rPr>
                                <w:rFonts w:ascii="arial" w:hAnsi="arial"/>
                                <w:sz w:val="20"/>
                              </w:rPr>
                            </w:pPr>
                            <w:r>
                              <w:rPr>
                                <w:rFonts w:ascii="arial" w:hAnsi="arial"/>
                                <w:sz w:val="20"/>
                              </w:rPr>
                              <w:t xml:space="preserve">If you held shares of Capital One common stock as of the Record Date, you may attend the 2025 Annual Stockholder Meeting. Because seating is limited, only you may attend the meeting. Admission to the meeting is on a first-come, first-served basis. Registration begins at 9:00 a.m. You must present a valid government-issued picture identification and proof of Capital One stock ownership as of the Record Date. If you hold Capital One stock in street name, you must also bring a copy of a brokerage statement reflecting your stock ownership as of the Record Date. Stockholders of record also may be represented by another person at the 2025 Annual Stockholder Meeting by executing a legal proxy designating that person as the proxy holder. Each stockholder may appoint only one proxy holder or representative to attend the 2025 Annual Stockholder Meeting on their behalf. Cameras, recording devices, and other electronic devices are not permitted. If you require special assistance at the meeting because of a disability, please contact the Corporate Secretary at Capital One’s address in the Notice.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13.1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www.proxyvote.com, by calling 1-800-579-1639 or by sending an e-mail to sendmaterial@proxyvote.com. </w:t>
                      </w:r>
                    </w:p>
                    <w:p>
                      <w:pPr>
                        <w:pStyle w:val="TextBody"/>
                        <w:bidi w:val="0"/>
                        <w:spacing w:before="240" w:after="0"/>
                        <w:jc w:val="left"/>
                        <w:rPr>
                          <w:rFonts w:ascii="arial" w:hAnsi="arial"/>
                          <w:b/>
                          <w:color w:val="003A5D"/>
                          <w:sz w:val="22"/>
                        </w:rPr>
                      </w:pPr>
                      <w:r>
                        <w:rPr>
                          <w:rFonts w:ascii="arial" w:hAnsi="arial"/>
                          <w:b/>
                          <w:color w:val="003A5D"/>
                          <w:sz w:val="22"/>
                        </w:rPr>
                        <w:t xml:space="preserve">What is the difference between a record holder and a holder of shares in street name? </w:t>
                      </w:r>
                    </w:p>
                    <w:p>
                      <w:pPr>
                        <w:pStyle w:val="TextBody"/>
                        <w:bidi w:val="0"/>
                        <w:spacing w:before="240" w:after="0"/>
                        <w:jc w:val="both"/>
                        <w:rPr>
                          <w:rFonts w:ascii="arial" w:hAnsi="arial"/>
                          <w:sz w:val="20"/>
                        </w:rPr>
                      </w:pPr>
                      <w:r>
                        <w:rPr>
                          <w:rFonts w:ascii="arial" w:hAnsi="arial"/>
                          <w:sz w:val="20"/>
                        </w:rPr>
                        <w:t xml:space="preserve">You are a record holder if you hold shares of Capital One common stock directly in your name through our transfer agent, Computershare Trust Company, N.A. </w:t>
                      </w:r>
                    </w:p>
                    <w:p>
                      <w:pPr>
                        <w:pStyle w:val="TextBody"/>
                        <w:bidi w:val="0"/>
                        <w:spacing w:before="240" w:after="0"/>
                        <w:jc w:val="both"/>
                        <w:rPr>
                          <w:rFonts w:ascii="arial" w:hAnsi="arial"/>
                          <w:sz w:val="20"/>
                        </w:rPr>
                      </w:pPr>
                      <w:r>
                        <w:rPr>
                          <w:rFonts w:ascii="arial" w:hAnsi="arial"/>
                          <w:sz w:val="20"/>
                        </w:rPr>
                        <w:t xml:space="preserve">If you hold shares of Capital One common stock through a broker, bank, trust, or other nominee, then you are a holder of shares in street name. As a result, you must instruct the broker, bank, trust, or other nominee about how to vote your shares. Under the rules of the NYSE, if you do not provide such instructions, the firm that holds your shares will have discretionary authority to vote your shares only with respect to “routine” matters, as described below. </w:t>
                      </w:r>
                    </w:p>
                    <w:p>
                      <w:pPr>
                        <w:pStyle w:val="TextBody"/>
                        <w:bidi w:val="0"/>
                        <w:spacing w:before="240" w:after="0"/>
                        <w:jc w:val="left"/>
                        <w:rPr>
                          <w:rFonts w:ascii="arial" w:hAnsi="arial"/>
                          <w:b/>
                          <w:color w:val="003A5D"/>
                          <w:sz w:val="22"/>
                        </w:rPr>
                      </w:pPr>
                      <w:bookmarkStart w:id="120" w:name="c_1"/>
                      <w:bookmarkEnd w:id="120"/>
                      <w:r>
                        <w:rPr>
                          <w:rFonts w:ascii="arial" w:hAnsi="arial"/>
                          <w:b/>
                          <w:color w:val="003A5D"/>
                          <w:sz w:val="22"/>
                        </w:rPr>
                        <w:t xml:space="preserve">Can I attend the 2025 Annual Stockholder Meeting? </w:t>
                      </w:r>
                    </w:p>
                    <w:p>
                      <w:pPr>
                        <w:pStyle w:val="TextBody"/>
                        <w:bidi w:val="0"/>
                        <w:spacing w:before="240" w:after="0"/>
                        <w:jc w:val="both"/>
                        <w:rPr>
                          <w:rFonts w:ascii="arial" w:hAnsi="arial"/>
                          <w:sz w:val="20"/>
                        </w:rPr>
                      </w:pPr>
                      <w:r>
                        <w:rPr>
                          <w:rFonts w:ascii="arial" w:hAnsi="arial"/>
                          <w:sz w:val="20"/>
                        </w:rPr>
                        <w:t xml:space="preserve">If you held shares of Capital One common stock as of the Record Date, you may attend the 2025 Annual Stockholder Meeting. Because seating is limited, only you may attend the meeting. Admission to the meeting is on a first-come, first-served basis. Registration begins at 9:00 a.m. You must present a valid government-issued picture identification and proof of Capital One stock ownership as of the Record Date. If you hold Capital One stock in street name, you must also bring a copy of a brokerage statement reflecting your stock ownership as of the Record Date. Stockholders of record also may be represented by another person at the 2025 Annual Stockholder Meeting by executing a legal proxy designating that person as the proxy holder. Each stockholder may appoint only one proxy holder or representative to attend the 2025 Annual Stockholder Meeting on their behalf. Cameras, recording devices, and other electronic devices are not permitted. If you require special assistance at the meeting because of a disability, please contact the Corporate Secretary at Capital One’s address in the Notice. </w:t>
                      </w:r>
                    </w:p>
                  </w:txbxContent>
                </v:textbox>
                <w10:wrap type="square" side="right"/>
              </v:rect>
            </w:pict>
          </mc:Fallback>
        </mc:AlternateConten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130 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right"/>
              <w:rPr>
                <w:b/>
                <w:color w:val="003A5D"/>
              </w:rPr>
            </w:pPr>
            <w:r>
              <w:rPr>
                <w:b/>
                <w:color w:val="003A5D"/>
              </w:rPr>
              <w:t>OTHER MATTERS</w:t>
            </w:r>
          </w:p>
        </w:tc>
      </w:tr>
    </w:tbl>
    <w:p>
      <w:pPr>
        <w:pStyle w:val="TextBody"/>
        <w:pBdr>
          <w:bottom w:val="single" w:sz="2" w:space="1" w:color="003A5D"/>
        </w:pBdr>
        <w:bidi w:val="0"/>
        <w:spacing w:lineRule="atLeast" w:line="142" w:before="0" w:after="40"/>
        <w:jc w:val="left"/>
        <w:rPr/>
      </w:pPr>
      <w:r>
        <w:rPr/>
        <w:t> </w:t>
      </w:r>
    </w:p>
    <w:tbl>
      <w:tblPr>
        <w:tblW w:w="4370" w:type="dxa"/>
        <w:jc w:val="left"/>
        <w:tblInd w:w="0" w:type="dxa"/>
        <w:tblLayout w:type="fixed"/>
        <w:tblCellMar>
          <w:top w:w="0" w:type="dxa"/>
          <w:left w:w="0" w:type="dxa"/>
          <w:bottom w:w="0" w:type="dxa"/>
          <w:right w:w="0" w:type="dxa"/>
        </w:tblCellMar>
      </w:tblPr>
      <w:tblGrid>
        <w:gridCol w:w="4370"/>
      </w:tblGrid>
      <w:tr>
        <w:trPr/>
        <w:tc>
          <w:tcPr>
            <w:tcW w:w="4370" w:type="dxa"/>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283"/>
              <w:jc w:val="right"/>
              <w:rPr>
                <w:b/>
                <w:color w:val="003A5D"/>
              </w:rPr>
            </w:pPr>
            <w:r>
              <w:rPr>
                <w:b/>
                <w:color w:val="003A5D"/>
              </w:rPr>
              <w:t>Section XIV - Frequently Asked Questions</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3110230" cy="7868920"/>
                <wp:effectExtent l="0" t="0" r="0" b="0"/>
                <wp:wrapSquare wrapText="right"/>
                <wp:docPr id="76" name="Frame9"/>
                <a:graphic xmlns:a="http://schemas.openxmlformats.org/drawingml/2006/main">
                  <a:graphicData uri="http://schemas.microsoft.com/office/word/2010/wordprocessingShape">
                    <wps:wsp>
                      <wps:cNvSpPr txBox="1"/>
                      <wps:spPr>
                        <a:xfrm>
                          <a:off x="0" y="0"/>
                          <a:ext cx="3110230" cy="7868920"/>
                        </a:xfrm>
                        <a:prstGeom prst="rect"/>
                        <a:solidFill>
                          <a:srgbClr val="FFFFFF"/>
                        </a:solidFill>
                      </wps:spPr>
                      <wps:txbx>
                        <w:txbxContent>
                          <w:p>
                            <w:pPr>
                              <w:pStyle w:val="TextBody"/>
                              <w:bidi w:val="0"/>
                              <w:spacing w:before="0" w:after="0"/>
                              <w:jc w:val="both"/>
                              <w:rPr>
                                <w:rFonts w:ascii="arial" w:hAnsi="arial"/>
                                <w:b/>
                                <w:color w:val="003A5D"/>
                                <w:sz w:val="22"/>
                              </w:rPr>
                            </w:pPr>
                            <w:r>
                              <w:rPr>
                                <w:rFonts w:ascii="arial" w:hAnsi="arial"/>
                                <w:b/>
                                <w:color w:val="003A5D"/>
                                <w:sz w:val="22"/>
                              </w:rPr>
                              <w:t xml:space="preserve">Am I entitled to vote? </w:t>
                            </w:r>
                          </w:p>
                          <w:p>
                            <w:pPr>
                              <w:pStyle w:val="TextBody"/>
                              <w:bidi w:val="0"/>
                              <w:spacing w:before="240" w:after="0"/>
                              <w:jc w:val="both"/>
                              <w:rPr>
                                <w:rFonts w:ascii="arial" w:hAnsi="arial"/>
                                <w:sz w:val="20"/>
                              </w:rPr>
                            </w:pPr>
                            <w:r>
                              <w:rPr>
                                <w:rFonts w:ascii="arial" w:hAnsi="arial"/>
                                <w:sz w:val="20"/>
                              </w:rPr>
                              <w:t xml:space="preserve">You are entitled to vote if you were the record holder of shares of Capital One common stock as of the Record Date. All stockholders of record are entitled to one vote per share of common stock held for each nominee for director and for each matter submitted for a vote at the meeting. </w:t>
                            </w:r>
                          </w:p>
                          <w:p>
                            <w:pPr>
                              <w:pStyle w:val="TextBody"/>
                              <w:bidi w:val="0"/>
                              <w:spacing w:before="240" w:after="0"/>
                              <w:jc w:val="both"/>
                              <w:rPr>
                                <w:rFonts w:ascii="arial" w:hAnsi="arial"/>
                                <w:sz w:val="20"/>
                              </w:rPr>
                            </w:pPr>
                            <w:r>
                              <w:rPr>
                                <w:rFonts w:ascii="arial" w:hAnsi="arial"/>
                                <w:sz w:val="20"/>
                              </w:rPr>
                              <w:t xml:space="preserve">If you hold your shares of Capital One common stock in street name, you may instruct your broker regarding voting your shares using the same methods described below under “How do I vote?” </w:t>
                            </w:r>
                          </w:p>
                          <w:p>
                            <w:pPr>
                              <w:pStyle w:val="TextBody"/>
                              <w:bidi w:val="0"/>
                              <w:spacing w:before="240" w:after="0"/>
                              <w:jc w:val="both"/>
                              <w:rPr>
                                <w:rFonts w:ascii="arial" w:hAnsi="arial"/>
                                <w:b/>
                                <w:color w:val="003A5D"/>
                                <w:sz w:val="22"/>
                              </w:rPr>
                            </w:pPr>
                            <w:r>
                              <w:rPr>
                                <w:rFonts w:ascii="arial" w:hAnsi="arial"/>
                                <w:b/>
                                <w:color w:val="003A5D"/>
                                <w:sz w:val="22"/>
                              </w:rPr>
                              <w:t xml:space="preserve">How many votes can be cast by all stockholders? </w:t>
                            </w:r>
                          </w:p>
                          <w:p>
                            <w:pPr>
                              <w:pStyle w:val="TextBody"/>
                              <w:bidi w:val="0"/>
                              <w:spacing w:before="240" w:after="0"/>
                              <w:jc w:val="both"/>
                              <w:rPr>
                                <w:rFonts w:ascii="arial" w:hAnsi="arial"/>
                                <w:sz w:val="20"/>
                              </w:rPr>
                            </w:pPr>
                            <w:r>
                              <w:rPr>
                                <w:rFonts w:ascii="arial" w:hAnsi="arial"/>
                                <w:sz w:val="20"/>
                              </w:rPr>
                              <w:t xml:space="preserve">A total of 382,959,120 votes, consisting of one vote for each share of Capital One common stock issued and outstanding on the Record Date. </w:t>
                            </w:r>
                          </w:p>
                          <w:p>
                            <w:pPr>
                              <w:pStyle w:val="TextBody"/>
                              <w:bidi w:val="0"/>
                              <w:spacing w:before="240" w:after="0"/>
                              <w:jc w:val="both"/>
                              <w:rPr>
                                <w:rFonts w:ascii="arial" w:hAnsi="arial"/>
                                <w:b/>
                                <w:color w:val="003A5D"/>
                                <w:sz w:val="22"/>
                              </w:rPr>
                            </w:pPr>
                            <w:r>
                              <w:rPr>
                                <w:rFonts w:ascii="arial" w:hAnsi="arial"/>
                                <w:b/>
                                <w:color w:val="003A5D"/>
                                <w:sz w:val="22"/>
                              </w:rPr>
                              <w:t xml:space="preserve">How do I vote? </w:t>
                            </w:r>
                          </w:p>
                          <w:p>
                            <w:pPr>
                              <w:pStyle w:val="TextBody"/>
                              <w:bidi w:val="0"/>
                              <w:spacing w:before="240" w:after="0"/>
                              <w:jc w:val="left"/>
                              <w:rPr>
                                <w:rFonts w:ascii="arial" w:hAnsi="arial"/>
                                <w:b/>
                                <w:i/>
                                <w:sz w:val="20"/>
                              </w:rPr>
                            </w:pPr>
                            <w:r>
                              <w:rPr>
                                <w:rFonts w:ascii="arial" w:hAnsi="arial"/>
                                <w:b/>
                                <w:i/>
                                <w:sz w:val="20"/>
                              </w:rPr>
                              <w:t xml:space="preserve">In Person </w:t>
                            </w:r>
                          </w:p>
                          <w:p>
                            <w:pPr>
                              <w:pStyle w:val="TextBody"/>
                              <w:bidi w:val="0"/>
                              <w:spacing w:before="240" w:after="0"/>
                              <w:jc w:val="both"/>
                              <w:rPr>
                                <w:rFonts w:ascii="arial" w:hAnsi="arial"/>
                                <w:sz w:val="20"/>
                              </w:rPr>
                            </w:pPr>
                            <w:r>
                              <w:rPr>
                                <w:rFonts w:ascii="arial" w:hAnsi="arial"/>
                                <w:sz w:val="20"/>
                              </w:rPr>
                              <w:t xml:space="preserve">In addition to complying with the requirements described under “Can I attend the 2025 Annual Stockholder Meeting?” above, if you are a record holder, you must fill out a ballot at the meeting, and if you are a street name holder, you must obtain a legal proxy from your broker, bank, trust, or other nominee and present it to the inspector of elections with your ballot to be able to vote at the 2025 Annual Stockholder Meeting. To request a legal proxy, please follow the instructions at www.proxyvote.com. </w:t>
                            </w:r>
                          </w:p>
                          <w:p>
                            <w:pPr>
                              <w:pStyle w:val="TextBody"/>
                              <w:bidi w:val="0"/>
                              <w:spacing w:before="240" w:after="0"/>
                              <w:jc w:val="left"/>
                              <w:rPr>
                                <w:rFonts w:ascii="arial" w:hAnsi="arial"/>
                                <w:b/>
                                <w:i/>
                                <w:sz w:val="20"/>
                              </w:rPr>
                            </w:pPr>
                            <w:r>
                              <w:rPr>
                                <w:rFonts w:ascii="arial" w:hAnsi="arial"/>
                                <w:b/>
                                <w:i/>
                                <w:sz w:val="20"/>
                              </w:rPr>
                              <w:t xml:space="preserve">By Internet </w:t>
                            </w:r>
                          </w:p>
                          <w:p>
                            <w:pPr>
                              <w:pStyle w:val="TextBody"/>
                              <w:bidi w:val="0"/>
                              <w:spacing w:before="240" w:after="0"/>
                              <w:jc w:val="both"/>
                              <w:rPr>
                                <w:rFonts w:ascii="arial" w:hAnsi="arial"/>
                                <w:sz w:val="20"/>
                              </w:rPr>
                            </w:pPr>
                            <w:r>
                              <w:rPr>
                                <w:rFonts w:ascii="arial" w:hAnsi="arial"/>
                                <w:sz w:val="20"/>
                              </w:rPr>
                              <w:t xml:space="preserve">You may vote via the Internet by going to www.proxyvote.com and following the instructions on the screen. Have your Notice, proxy card (for record holders), or voting instruction form (for holders of shares in street name) available when you access the web page. </w:t>
                            </w:r>
                          </w:p>
                          <w:p>
                            <w:pPr>
                              <w:pStyle w:val="TextBody"/>
                              <w:bidi w:val="0"/>
                              <w:spacing w:before="240" w:after="0"/>
                              <w:jc w:val="left"/>
                              <w:rPr>
                                <w:rFonts w:ascii="arial" w:hAnsi="arial"/>
                                <w:b/>
                                <w:i/>
                                <w:sz w:val="20"/>
                              </w:rPr>
                            </w:pPr>
                            <w:r>
                              <w:rPr>
                                <w:rFonts w:ascii="arial" w:hAnsi="arial"/>
                                <w:b/>
                                <w:i/>
                                <w:sz w:val="20"/>
                              </w:rPr>
                              <w:t xml:space="preserve">By Telephone </w:t>
                            </w:r>
                          </w:p>
                          <w:p>
                            <w:pPr>
                              <w:pStyle w:val="TextBody"/>
                              <w:bidi w:val="0"/>
                              <w:spacing w:before="240" w:after="0"/>
                              <w:jc w:val="both"/>
                              <w:rPr>
                                <w:rFonts w:ascii="arial" w:hAnsi="arial"/>
                                <w:sz w:val="20"/>
                              </w:rPr>
                            </w:pPr>
                            <w:r>
                              <w:rPr>
                                <w:rFonts w:ascii="arial" w:hAnsi="arial"/>
                                <w:sz w:val="20"/>
                              </w:rPr>
                              <w:t xml:space="preserve">If you received a paper copy of the proxy materials, you may vote by telephone by calling the toll-free telephone number on the proxy card (1-800-690-6903), which is available 24 hours a day, and following the prerecorded instructions. Have your proxy card available when you call. If you hold your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19.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b/>
                          <w:color w:val="003A5D"/>
                          <w:sz w:val="22"/>
                        </w:rPr>
                      </w:pPr>
                      <w:r>
                        <w:rPr>
                          <w:rFonts w:ascii="arial" w:hAnsi="arial"/>
                          <w:b/>
                          <w:color w:val="003A5D"/>
                          <w:sz w:val="22"/>
                        </w:rPr>
                        <w:t xml:space="preserve">Am I entitled to vote? </w:t>
                      </w:r>
                    </w:p>
                    <w:p>
                      <w:pPr>
                        <w:pStyle w:val="TextBody"/>
                        <w:bidi w:val="0"/>
                        <w:spacing w:before="240" w:after="0"/>
                        <w:jc w:val="both"/>
                        <w:rPr>
                          <w:rFonts w:ascii="arial" w:hAnsi="arial"/>
                          <w:sz w:val="20"/>
                        </w:rPr>
                      </w:pPr>
                      <w:r>
                        <w:rPr>
                          <w:rFonts w:ascii="arial" w:hAnsi="arial"/>
                          <w:sz w:val="20"/>
                        </w:rPr>
                        <w:t xml:space="preserve">You are entitled to vote if you were the record holder of shares of Capital One common stock as of the Record Date. All stockholders of record are entitled to one vote per share of common stock held for each nominee for director and for each matter submitted for a vote at the meeting. </w:t>
                      </w:r>
                    </w:p>
                    <w:p>
                      <w:pPr>
                        <w:pStyle w:val="TextBody"/>
                        <w:bidi w:val="0"/>
                        <w:spacing w:before="240" w:after="0"/>
                        <w:jc w:val="both"/>
                        <w:rPr>
                          <w:rFonts w:ascii="arial" w:hAnsi="arial"/>
                          <w:sz w:val="20"/>
                        </w:rPr>
                      </w:pPr>
                      <w:r>
                        <w:rPr>
                          <w:rFonts w:ascii="arial" w:hAnsi="arial"/>
                          <w:sz w:val="20"/>
                        </w:rPr>
                        <w:t xml:space="preserve">If you hold your shares of Capital One common stock in street name, you may instruct your broker regarding voting your shares using the same methods described below under “How do I vote?” </w:t>
                      </w:r>
                    </w:p>
                    <w:p>
                      <w:pPr>
                        <w:pStyle w:val="TextBody"/>
                        <w:bidi w:val="0"/>
                        <w:spacing w:before="240" w:after="0"/>
                        <w:jc w:val="both"/>
                        <w:rPr>
                          <w:rFonts w:ascii="arial" w:hAnsi="arial"/>
                          <w:b/>
                          <w:color w:val="003A5D"/>
                          <w:sz w:val="22"/>
                        </w:rPr>
                      </w:pPr>
                      <w:r>
                        <w:rPr>
                          <w:rFonts w:ascii="arial" w:hAnsi="arial"/>
                          <w:b/>
                          <w:color w:val="003A5D"/>
                          <w:sz w:val="22"/>
                        </w:rPr>
                        <w:t xml:space="preserve">How many votes can be cast by all stockholders? </w:t>
                      </w:r>
                    </w:p>
                    <w:p>
                      <w:pPr>
                        <w:pStyle w:val="TextBody"/>
                        <w:bidi w:val="0"/>
                        <w:spacing w:before="240" w:after="0"/>
                        <w:jc w:val="both"/>
                        <w:rPr>
                          <w:rFonts w:ascii="arial" w:hAnsi="arial"/>
                          <w:sz w:val="20"/>
                        </w:rPr>
                      </w:pPr>
                      <w:r>
                        <w:rPr>
                          <w:rFonts w:ascii="arial" w:hAnsi="arial"/>
                          <w:sz w:val="20"/>
                        </w:rPr>
                        <w:t xml:space="preserve">A total of 382,959,120 votes, consisting of one vote for each share of Capital One common stock issued and outstanding on the Record Date. </w:t>
                      </w:r>
                    </w:p>
                    <w:p>
                      <w:pPr>
                        <w:pStyle w:val="TextBody"/>
                        <w:bidi w:val="0"/>
                        <w:spacing w:before="240" w:after="0"/>
                        <w:jc w:val="both"/>
                        <w:rPr>
                          <w:rFonts w:ascii="arial" w:hAnsi="arial"/>
                          <w:b/>
                          <w:color w:val="003A5D"/>
                          <w:sz w:val="22"/>
                        </w:rPr>
                      </w:pPr>
                      <w:r>
                        <w:rPr>
                          <w:rFonts w:ascii="arial" w:hAnsi="arial"/>
                          <w:b/>
                          <w:color w:val="003A5D"/>
                          <w:sz w:val="22"/>
                        </w:rPr>
                        <w:t xml:space="preserve">How do I vote? </w:t>
                      </w:r>
                    </w:p>
                    <w:p>
                      <w:pPr>
                        <w:pStyle w:val="TextBody"/>
                        <w:bidi w:val="0"/>
                        <w:spacing w:before="240" w:after="0"/>
                        <w:jc w:val="left"/>
                        <w:rPr>
                          <w:rFonts w:ascii="arial" w:hAnsi="arial"/>
                          <w:b/>
                          <w:i/>
                          <w:sz w:val="20"/>
                        </w:rPr>
                      </w:pPr>
                      <w:r>
                        <w:rPr>
                          <w:rFonts w:ascii="arial" w:hAnsi="arial"/>
                          <w:b/>
                          <w:i/>
                          <w:sz w:val="20"/>
                        </w:rPr>
                        <w:t xml:space="preserve">In Person </w:t>
                      </w:r>
                    </w:p>
                    <w:p>
                      <w:pPr>
                        <w:pStyle w:val="TextBody"/>
                        <w:bidi w:val="0"/>
                        <w:spacing w:before="240" w:after="0"/>
                        <w:jc w:val="both"/>
                        <w:rPr>
                          <w:rFonts w:ascii="arial" w:hAnsi="arial"/>
                          <w:sz w:val="20"/>
                        </w:rPr>
                      </w:pPr>
                      <w:r>
                        <w:rPr>
                          <w:rFonts w:ascii="arial" w:hAnsi="arial"/>
                          <w:sz w:val="20"/>
                        </w:rPr>
                        <w:t xml:space="preserve">In addition to complying with the requirements described under “Can I attend the 2025 Annual Stockholder Meeting?” above, if you are a record holder, you must fill out a ballot at the meeting, and if you are a street name holder, you must obtain a legal proxy from your broker, bank, trust, or other nominee and present it to the inspector of elections with your ballot to be able to vote at the 2025 Annual Stockholder Meeting. To request a legal proxy, please follow the instructions at www.proxyvote.com. </w:t>
                      </w:r>
                    </w:p>
                    <w:p>
                      <w:pPr>
                        <w:pStyle w:val="TextBody"/>
                        <w:bidi w:val="0"/>
                        <w:spacing w:before="240" w:after="0"/>
                        <w:jc w:val="left"/>
                        <w:rPr>
                          <w:rFonts w:ascii="arial" w:hAnsi="arial"/>
                          <w:b/>
                          <w:i/>
                          <w:sz w:val="20"/>
                        </w:rPr>
                      </w:pPr>
                      <w:r>
                        <w:rPr>
                          <w:rFonts w:ascii="arial" w:hAnsi="arial"/>
                          <w:b/>
                          <w:i/>
                          <w:sz w:val="20"/>
                        </w:rPr>
                        <w:t xml:space="preserve">By Internet </w:t>
                      </w:r>
                    </w:p>
                    <w:p>
                      <w:pPr>
                        <w:pStyle w:val="TextBody"/>
                        <w:bidi w:val="0"/>
                        <w:spacing w:before="240" w:after="0"/>
                        <w:jc w:val="both"/>
                        <w:rPr>
                          <w:rFonts w:ascii="arial" w:hAnsi="arial"/>
                          <w:sz w:val="20"/>
                        </w:rPr>
                      </w:pPr>
                      <w:r>
                        <w:rPr>
                          <w:rFonts w:ascii="arial" w:hAnsi="arial"/>
                          <w:sz w:val="20"/>
                        </w:rPr>
                        <w:t xml:space="preserve">You may vote via the Internet by going to www.proxyvote.com and following the instructions on the screen. Have your Notice, proxy card (for record holders), or voting instruction form (for holders of shares in street name) available when you access the web page. </w:t>
                      </w:r>
                    </w:p>
                    <w:p>
                      <w:pPr>
                        <w:pStyle w:val="TextBody"/>
                        <w:bidi w:val="0"/>
                        <w:spacing w:before="240" w:after="0"/>
                        <w:jc w:val="left"/>
                        <w:rPr>
                          <w:rFonts w:ascii="arial" w:hAnsi="arial"/>
                          <w:b/>
                          <w:i/>
                          <w:sz w:val="20"/>
                        </w:rPr>
                      </w:pPr>
                      <w:r>
                        <w:rPr>
                          <w:rFonts w:ascii="arial" w:hAnsi="arial"/>
                          <w:b/>
                          <w:i/>
                          <w:sz w:val="20"/>
                        </w:rPr>
                        <w:t xml:space="preserve">By Telephone </w:t>
                      </w:r>
                    </w:p>
                    <w:p>
                      <w:pPr>
                        <w:pStyle w:val="TextBody"/>
                        <w:bidi w:val="0"/>
                        <w:spacing w:before="240" w:after="0"/>
                        <w:jc w:val="both"/>
                        <w:rPr>
                          <w:rFonts w:ascii="arial" w:hAnsi="arial"/>
                          <w:sz w:val="20"/>
                        </w:rPr>
                      </w:pPr>
                      <w:r>
                        <w:rPr>
                          <w:rFonts w:ascii="arial" w:hAnsi="arial"/>
                          <w:sz w:val="20"/>
                        </w:rPr>
                        <w:t xml:space="preserve">If you received a paper copy of the proxy materials, you may vote by telephone by calling the toll-free telephone number on the proxy card (1-800-690-6903), which is available 24 hours a day, and following the prerecorded instructions. Have your proxy card available when you call. If you hold your </w:t>
                      </w:r>
                    </w:p>
                  </w:txbxContent>
                </v:textbox>
                <w10:wrap type="square" side="right"/>
              </v:rect>
            </w:pict>
          </mc:Fallback>
        </mc:AlternateConten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3175000" cy="7837170"/>
                <wp:effectExtent l="0" t="0" r="0" b="0"/>
                <wp:wrapSquare wrapText="right"/>
                <wp:docPr id="77" name="Frame10"/>
                <a:graphic xmlns:a="http://schemas.openxmlformats.org/drawingml/2006/main">
                  <a:graphicData uri="http://schemas.microsoft.com/office/word/2010/wordprocessingShape">
                    <wps:wsp>
                      <wps:cNvSpPr txBox="1"/>
                      <wps:spPr>
                        <a:xfrm>
                          <a:off x="0" y="0"/>
                          <a:ext cx="3175000" cy="783717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shares in street name, follow the voting instructions you receive from your broker, bank, trustee, or other nominee. </w:t>
                            </w:r>
                          </w:p>
                          <w:p>
                            <w:pPr>
                              <w:pStyle w:val="TextBody"/>
                              <w:bidi w:val="0"/>
                              <w:spacing w:before="240" w:after="0"/>
                              <w:jc w:val="left"/>
                              <w:rPr>
                                <w:rFonts w:ascii="arial" w:hAnsi="arial"/>
                                <w:b/>
                                <w:i/>
                                <w:sz w:val="20"/>
                              </w:rPr>
                            </w:pPr>
                            <w:r>
                              <w:rPr>
                                <w:rFonts w:ascii="arial" w:hAnsi="arial"/>
                                <w:b/>
                                <w:i/>
                                <w:sz w:val="20"/>
                              </w:rPr>
                              <w:t xml:space="preserve">By Mail </w:t>
                            </w:r>
                          </w:p>
                          <w:p>
                            <w:pPr>
                              <w:pStyle w:val="TextBody"/>
                              <w:bidi w:val="0"/>
                              <w:spacing w:before="240" w:after="0"/>
                              <w:jc w:val="both"/>
                              <w:rPr>
                                <w:rFonts w:ascii="arial" w:hAnsi="arial"/>
                                <w:sz w:val="20"/>
                              </w:rPr>
                            </w:pPr>
                            <w:r>
                              <w:rPr>
                                <w:rFonts w:ascii="arial" w:hAnsi="arial"/>
                                <w:sz w:val="20"/>
                              </w:rPr>
                              <w:t xml:space="preserve">If you received your proxy materials by mail, you may vote by mail by completing the enclosed proxy card, dating and signing it, and returning it in the postage-paid envelope provided or returning it to Broadridge Financial Solutions, Inc., Vote Processing, 51 Mercedes Way, Edgewood, NY 11717. If you hold your shares in street name, follow the voting instructions you receive from your broker, bank, trustee, or other nominee. </w:t>
                            </w:r>
                          </w:p>
                          <w:p>
                            <w:pPr>
                              <w:pStyle w:val="TextBody"/>
                              <w:bidi w:val="0"/>
                              <w:spacing w:before="240" w:after="0"/>
                              <w:jc w:val="both"/>
                              <w:rPr>
                                <w:rFonts w:ascii="arial" w:hAnsi="arial"/>
                                <w:b/>
                                <w:i/>
                                <w:sz w:val="20"/>
                              </w:rPr>
                            </w:pPr>
                            <w:r>
                              <w:rPr>
                                <w:rFonts w:ascii="arial" w:hAnsi="arial"/>
                                <w:b/>
                                <w:i/>
                                <w:sz w:val="20"/>
                              </w:rPr>
                              <w:t xml:space="preserve">Time for Voting Your Shares by Internet, by Telephone, or by Mail Before the 2025 Annual Stockholder Meeting </w:t>
                            </w:r>
                          </w:p>
                          <w:p>
                            <w:pPr>
                              <w:pStyle w:val="TextBody"/>
                              <w:bidi w:val="0"/>
                              <w:spacing w:before="240" w:after="0"/>
                              <w:jc w:val="both"/>
                              <w:rPr>
                                <w:rFonts w:ascii="arial" w:hAnsi="arial"/>
                                <w:sz w:val="20"/>
                              </w:rPr>
                            </w:pPr>
                            <w:r>
                              <w:rPr>
                                <w:rFonts w:ascii="arial" w:hAnsi="arial"/>
                                <w:sz w:val="20"/>
                              </w:rPr>
                              <w:t xml:space="preserve">You may vote via the Internet or by telephone until 11:59 p.m. Eastern Time on May 7, 2025. If you vote by mail, your proxy card or voting instruction form, as applicable, must be received by May 7, 2025. If you own shares of Capital One through the Capital One Associate Savings Plan (Capital One Stock Fund) or Hibernia Corporation Supplemental Stock Plan, see “How do I vote my 401(k) shares?” below for more information. </w:t>
                            </w:r>
                          </w:p>
                          <w:p>
                            <w:pPr>
                              <w:pStyle w:val="TextBody"/>
                              <w:bidi w:val="0"/>
                              <w:spacing w:before="240" w:after="0"/>
                              <w:jc w:val="both"/>
                              <w:rPr>
                                <w:rFonts w:ascii="arial" w:hAnsi="arial"/>
                                <w:b/>
                                <w:color w:val="003A5D"/>
                                <w:sz w:val="22"/>
                              </w:rPr>
                            </w:pPr>
                            <w:r>
                              <w:rPr>
                                <w:rFonts w:ascii="arial" w:hAnsi="arial"/>
                                <w:b/>
                                <w:color w:val="003A5D"/>
                                <w:sz w:val="22"/>
                              </w:rPr>
                              <w:t xml:space="preserve">What if I hold my shares in street name and I do not provide my broker, bank, trustee, or other nominee with instructions about how to vote my shares? </w:t>
                            </w:r>
                          </w:p>
                          <w:p>
                            <w:pPr>
                              <w:pStyle w:val="TextBody"/>
                              <w:bidi w:val="0"/>
                              <w:spacing w:before="240" w:after="0"/>
                              <w:jc w:val="both"/>
                              <w:rPr>
                                <w:rFonts w:ascii="arial" w:hAnsi="arial"/>
                                <w:sz w:val="20"/>
                              </w:rPr>
                            </w:pPr>
                            <w:r>
                              <w:rPr>
                                <w:rFonts w:ascii="arial" w:hAnsi="arial"/>
                                <w:sz w:val="20"/>
                              </w:rPr>
                              <w:t xml:space="preserve">You may instruct your broker, bank, trustee, or other nominee on how to vote your shares using the methods described above. If you do not vote via the Internet or by telephone and do not return your voting instructions to the firm that holds your shares prior to the 2025 Annual Stockholder Meeting, the firm has discretion to vote your shares only with respect to Item 3 (ratification of selection of independent registered public accounting firm), which is considered a “routine” matter under NYSE rules. All other items to be voted on at the 2025 Annual Stockholder Meeting are not considered “routine” matters, and the firm that holds your shares will not have discretionary authority to vote your shares for these Items if you do not provide instructions using one of the methods described above. Therefore, you are encouraged to return your voting instructions so that your shares are voted for non-routine matters at the 2025 Annual Stockholder Meeting. If you hold shares in several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17.1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shares in street name, follow the voting instructions you receive from your broker, bank, trustee, or other nominee. </w:t>
                      </w:r>
                    </w:p>
                    <w:p>
                      <w:pPr>
                        <w:pStyle w:val="TextBody"/>
                        <w:bidi w:val="0"/>
                        <w:spacing w:before="240" w:after="0"/>
                        <w:jc w:val="left"/>
                        <w:rPr>
                          <w:rFonts w:ascii="arial" w:hAnsi="arial"/>
                          <w:b/>
                          <w:i/>
                          <w:sz w:val="20"/>
                        </w:rPr>
                      </w:pPr>
                      <w:r>
                        <w:rPr>
                          <w:rFonts w:ascii="arial" w:hAnsi="arial"/>
                          <w:b/>
                          <w:i/>
                          <w:sz w:val="20"/>
                        </w:rPr>
                        <w:t xml:space="preserve">By Mail </w:t>
                      </w:r>
                    </w:p>
                    <w:p>
                      <w:pPr>
                        <w:pStyle w:val="TextBody"/>
                        <w:bidi w:val="0"/>
                        <w:spacing w:before="240" w:after="0"/>
                        <w:jc w:val="both"/>
                        <w:rPr>
                          <w:rFonts w:ascii="arial" w:hAnsi="arial"/>
                          <w:sz w:val="20"/>
                        </w:rPr>
                      </w:pPr>
                      <w:r>
                        <w:rPr>
                          <w:rFonts w:ascii="arial" w:hAnsi="arial"/>
                          <w:sz w:val="20"/>
                        </w:rPr>
                        <w:t xml:space="preserve">If you received your proxy materials by mail, you may vote by mail by completing the enclosed proxy card, dating and signing it, and returning it in the postage-paid envelope provided or returning it to Broadridge Financial Solutions, Inc., Vote Processing, 51 Mercedes Way, Edgewood, NY 11717. If you hold your shares in street name, follow the voting instructions you receive from your broker, bank, trustee, or other nominee. </w:t>
                      </w:r>
                    </w:p>
                    <w:p>
                      <w:pPr>
                        <w:pStyle w:val="TextBody"/>
                        <w:bidi w:val="0"/>
                        <w:spacing w:before="240" w:after="0"/>
                        <w:jc w:val="both"/>
                        <w:rPr>
                          <w:rFonts w:ascii="arial" w:hAnsi="arial"/>
                          <w:b/>
                          <w:i/>
                          <w:sz w:val="20"/>
                        </w:rPr>
                      </w:pPr>
                      <w:r>
                        <w:rPr>
                          <w:rFonts w:ascii="arial" w:hAnsi="arial"/>
                          <w:b/>
                          <w:i/>
                          <w:sz w:val="20"/>
                        </w:rPr>
                        <w:t xml:space="preserve">Time for Voting Your Shares by Internet, by Telephone, or by Mail Before the 2025 Annual Stockholder Meeting </w:t>
                      </w:r>
                    </w:p>
                    <w:p>
                      <w:pPr>
                        <w:pStyle w:val="TextBody"/>
                        <w:bidi w:val="0"/>
                        <w:spacing w:before="240" w:after="0"/>
                        <w:jc w:val="both"/>
                        <w:rPr>
                          <w:rFonts w:ascii="arial" w:hAnsi="arial"/>
                          <w:sz w:val="20"/>
                        </w:rPr>
                      </w:pPr>
                      <w:r>
                        <w:rPr>
                          <w:rFonts w:ascii="arial" w:hAnsi="arial"/>
                          <w:sz w:val="20"/>
                        </w:rPr>
                        <w:t xml:space="preserve">You may vote via the Internet or by telephone until 11:59 p.m. Eastern Time on May 7, 2025. If you vote by mail, your proxy card or voting instruction form, as applicable, must be received by May 7, 2025. If you own shares of Capital One through the Capital One Associate Savings Plan (Capital One Stock Fund) or Hibernia Corporation Supplemental Stock Plan, see “How do I vote my 401(k) shares?” below for more information. </w:t>
                      </w:r>
                    </w:p>
                    <w:p>
                      <w:pPr>
                        <w:pStyle w:val="TextBody"/>
                        <w:bidi w:val="0"/>
                        <w:spacing w:before="240" w:after="0"/>
                        <w:jc w:val="both"/>
                        <w:rPr>
                          <w:rFonts w:ascii="arial" w:hAnsi="arial"/>
                          <w:b/>
                          <w:color w:val="003A5D"/>
                          <w:sz w:val="22"/>
                        </w:rPr>
                      </w:pPr>
                      <w:r>
                        <w:rPr>
                          <w:rFonts w:ascii="arial" w:hAnsi="arial"/>
                          <w:b/>
                          <w:color w:val="003A5D"/>
                          <w:sz w:val="22"/>
                        </w:rPr>
                        <w:t xml:space="preserve">What if I hold my shares in street name and I do not provide my broker, bank, trustee, or other nominee with instructions about how to vote my shares? </w:t>
                      </w:r>
                    </w:p>
                    <w:p>
                      <w:pPr>
                        <w:pStyle w:val="TextBody"/>
                        <w:bidi w:val="0"/>
                        <w:spacing w:before="240" w:after="0"/>
                        <w:jc w:val="both"/>
                        <w:rPr>
                          <w:rFonts w:ascii="arial" w:hAnsi="arial"/>
                          <w:sz w:val="20"/>
                        </w:rPr>
                      </w:pPr>
                      <w:r>
                        <w:rPr>
                          <w:rFonts w:ascii="arial" w:hAnsi="arial"/>
                          <w:sz w:val="20"/>
                        </w:rPr>
                        <w:t xml:space="preserve">You may instruct your broker, bank, trustee, or other nominee on how to vote your shares using the methods described above. If you do not vote via the Internet or by telephone and do not return your voting instructions to the firm that holds your shares prior to the 2025 Annual Stockholder Meeting, the firm has discretion to vote your shares only with respect to Item 3 (ratification of selection of independent registered public accounting firm), which is considered a “routine” matter under NYSE rules. All other items to be voted on at the 2025 Annual Stockholder Meeting are not considered “routine” matters, and the firm that holds your shares will not have discretionary authority to vote your shares for these Items if you do not provide instructions using one of the methods described above. Therefore, you are encouraged to return your voting instructions so that your shares are voted for non-routine matters at the 2025 Annual Stockholder Meeting. If you hold shares in several </w:t>
                      </w:r>
                    </w:p>
                  </w:txbxContent>
                </v:textbox>
                <w10:wrap type="square" side="right"/>
              </v:rect>
            </w:pict>
          </mc:Fallback>
        </mc:AlternateConten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131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b/>
                <w:color w:val="003A5D"/>
              </w:rPr>
            </w:pPr>
            <w:r>
              <w:rPr>
                <w:b/>
                <w:color w:val="003A5D"/>
              </w:rPr>
              <w:t>OTHER MATTERS</w:t>
            </w:r>
          </w:p>
        </w:tc>
      </w:tr>
    </w:tbl>
    <w:p>
      <w:pPr>
        <w:pStyle w:val="TextBody"/>
        <w:pBdr>
          <w:bottom w:val="single" w:sz="2" w:space="1" w:color="003A5D"/>
        </w:pBdr>
        <w:bidi w:val="0"/>
        <w:spacing w:lineRule="atLeast" w:line="142" w:before="0" w:after="40"/>
        <w:jc w:val="left"/>
        <w:rPr/>
      </w:pPr>
      <w:r>
        <w:rPr/>
        <w:t> </w:t>
      </w:r>
    </w:p>
    <w:tbl>
      <w:tblPr>
        <w:tblW w:w="4370" w:type="dxa"/>
        <w:jc w:val="left"/>
        <w:tblInd w:w="0" w:type="dxa"/>
        <w:tblLayout w:type="fixed"/>
        <w:tblCellMar>
          <w:top w:w="0" w:type="dxa"/>
          <w:left w:w="0" w:type="dxa"/>
          <w:bottom w:w="0" w:type="dxa"/>
          <w:right w:w="0" w:type="dxa"/>
        </w:tblCellMar>
      </w:tblPr>
      <w:tblGrid>
        <w:gridCol w:w="4370"/>
      </w:tblGrid>
      <w:tr>
        <w:trPr/>
        <w:tc>
          <w:tcPr>
            <w:tcW w:w="4370" w:type="dxa"/>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283"/>
              <w:jc w:val="left"/>
              <w:rPr>
                <w:b/>
                <w:color w:val="003A5D"/>
              </w:rPr>
            </w:pPr>
            <w:r>
              <w:rPr>
                <w:b/>
                <w:color w:val="003A5D"/>
              </w:rPr>
              <w:t>Section XIV - Frequently Asked Questions</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3110230" cy="7374890"/>
                <wp:effectExtent l="0" t="0" r="0" b="0"/>
                <wp:wrapSquare wrapText="right"/>
                <wp:docPr id="78" name="Frame11"/>
                <a:graphic xmlns:a="http://schemas.openxmlformats.org/drawingml/2006/main">
                  <a:graphicData uri="http://schemas.microsoft.com/office/word/2010/wordprocessingShape">
                    <wps:wsp>
                      <wps:cNvSpPr txBox="1"/>
                      <wps:spPr>
                        <a:xfrm>
                          <a:off x="0" y="0"/>
                          <a:ext cx="3110230" cy="737489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accounts, you must provide voting instructions for each account to authorize all your shares to be voted. </w:t>
                            </w:r>
                          </w:p>
                          <w:p>
                            <w:pPr>
                              <w:pStyle w:val="TextBody"/>
                              <w:bidi w:val="0"/>
                              <w:spacing w:before="240" w:after="0"/>
                              <w:jc w:val="both"/>
                              <w:rPr>
                                <w:rFonts w:ascii="arial" w:hAnsi="arial"/>
                                <w:b/>
                                <w:color w:val="003A5D"/>
                                <w:sz w:val="22"/>
                              </w:rPr>
                            </w:pPr>
                            <w:r>
                              <w:rPr>
                                <w:rFonts w:ascii="arial" w:hAnsi="arial"/>
                                <w:b/>
                                <w:color w:val="003A5D"/>
                                <w:sz w:val="22"/>
                              </w:rPr>
                              <w:t xml:space="preserve">How do I vote my 401(k) shares? </w:t>
                            </w:r>
                          </w:p>
                          <w:p>
                            <w:pPr>
                              <w:pStyle w:val="TextBody"/>
                              <w:bidi w:val="0"/>
                              <w:spacing w:before="240" w:after="0"/>
                              <w:jc w:val="both"/>
                              <w:rPr>
                                <w:rFonts w:ascii="arial" w:hAnsi="arial"/>
                                <w:sz w:val="20"/>
                              </w:rPr>
                            </w:pPr>
                            <w:r>
                              <w:rPr>
                                <w:rFonts w:ascii="arial" w:hAnsi="arial"/>
                                <w:sz w:val="20"/>
                              </w:rPr>
                              <w:t xml:space="preserve">If you own shares of Capital One through the Capital One Associate Savings Plan (Capital One Stock Fund) or Hibernia Corporation Supplemental Stock Plan, you may vote the number of shares equivalent to your interest in the Capital One Stock Fund as credited to your account on the Record Date. You will receive instructions on how to vote your shares via e-mail from Broadridge Financial Solutions, Inc. (“Broadridge”). The trustee of the Capital One Associate Savings Plan and the Hibernia Corporation Supplemental Stock Plan will vote your shares in accordance with your duly executed instructions if they are received by 11:59 p.m. Eastern Time on May 5, 2025. If you do not send instructions, the trustee will not vote the share equivalents credited to your account. </w:t>
                            </w:r>
                          </w:p>
                          <w:p>
                            <w:pPr>
                              <w:pStyle w:val="TextBody"/>
                              <w:bidi w:val="0"/>
                              <w:spacing w:before="240" w:after="0"/>
                              <w:jc w:val="left"/>
                              <w:rPr>
                                <w:rFonts w:ascii="arial" w:hAnsi="arial"/>
                                <w:b/>
                                <w:color w:val="003A5D"/>
                                <w:sz w:val="22"/>
                              </w:rPr>
                            </w:pPr>
                            <w:r>
                              <w:rPr>
                                <w:rFonts w:ascii="arial" w:hAnsi="arial"/>
                                <w:b/>
                                <w:color w:val="003A5D"/>
                                <w:sz w:val="22"/>
                              </w:rPr>
                              <w:t xml:space="preserve">Can I revoke my proxy or change my vote? </w:t>
                            </w:r>
                          </w:p>
                          <w:p>
                            <w:pPr>
                              <w:pStyle w:val="TextBody"/>
                              <w:bidi w:val="0"/>
                              <w:spacing w:before="240" w:after="0"/>
                              <w:jc w:val="both"/>
                              <w:rPr>
                                <w:rFonts w:ascii="arial" w:hAnsi="arial"/>
                                <w:sz w:val="20"/>
                              </w:rPr>
                            </w:pPr>
                            <w:r>
                              <w:rPr>
                                <w:rFonts w:ascii="arial" w:hAnsi="arial"/>
                                <w:sz w:val="20"/>
                              </w:rPr>
                              <w:t xml:space="preserve">Yes, you may revoke any proxy that you previously granted or change your vote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60"/>
                              <w:gridCol w:w="9915"/>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0"/>
                                    <w:jc w:val="both"/>
                                    <w:rPr>
                                      <w:rFonts w:ascii="arial" w:hAnsi="arial"/>
                                      <w:sz w:val="20"/>
                                    </w:rPr>
                                  </w:pPr>
                                  <w:r>
                                    <w:rPr>
                                      <w:rFonts w:ascii="arial" w:hAnsi="arial"/>
                                      <w:sz w:val="20"/>
                                    </w:rPr>
                                    <w:t xml:space="preserve">submitting another timely vote via the Internet, by telephone, or by mailing a new proxy card or voting instruction form;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60"/>
                              <w:gridCol w:w="9915"/>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0"/>
                                    <w:jc w:val="both"/>
                                    <w:rPr>
                                      <w:rFonts w:ascii="arial" w:hAnsi="arial"/>
                                      <w:sz w:val="20"/>
                                    </w:rPr>
                                  </w:pPr>
                                  <w:r>
                                    <w:rPr>
                                      <w:rFonts w:ascii="arial" w:hAnsi="arial"/>
                                      <w:sz w:val="20"/>
                                    </w:rPr>
                                    <w:t xml:space="preserve">attending the 2025 Annual Stockholder Meeting and voting in person, as indicated above under “How do I vote?”;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60"/>
                              <w:gridCol w:w="9915"/>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0"/>
                                    <w:jc w:val="both"/>
                                    <w:rPr>
                                      <w:rFonts w:ascii="arial" w:hAnsi="arial"/>
                                      <w:sz w:val="20"/>
                                    </w:rPr>
                                  </w:pPr>
                                  <w:r>
                                    <w:rPr>
                                      <w:rFonts w:ascii="arial" w:hAnsi="arial"/>
                                      <w:sz w:val="20"/>
                                    </w:rPr>
                                    <w:t xml:space="preserve">if you are a record holder, giving written notice of revocation to the Corporate Secretary, Capital One Financial Corporation, 1600 Capital One Drive, McLean, VA 22102. </w:t>
                                  </w:r>
                                </w:p>
                              </w:tc>
                            </w:tr>
                          </w:tbl>
                          <w:p>
                            <w:pPr>
                              <w:pStyle w:val="TextBody"/>
                              <w:bidi w:val="0"/>
                              <w:spacing w:before="240" w:after="0"/>
                              <w:jc w:val="both"/>
                              <w:rPr>
                                <w:rFonts w:ascii="arial" w:hAnsi="arial"/>
                                <w:sz w:val="20"/>
                              </w:rPr>
                            </w:pPr>
                            <w:r>
                              <w:rPr>
                                <w:rFonts w:ascii="arial" w:hAnsi="arial"/>
                                <w:sz w:val="20"/>
                              </w:rPr>
                              <w:t xml:space="preserve">Your new vote or revocation in advance of the meeting must be submitted in accordance with the time frames above under “Time for Voting Your Shares By Internet, By Telephone, or By Mail Before the 2025 Annual Stockholder Meeting.” </w:t>
                            </w:r>
                          </w:p>
                          <w:p>
                            <w:pPr>
                              <w:pStyle w:val="TextBody"/>
                              <w:bidi w:val="0"/>
                              <w:spacing w:before="240" w:after="0"/>
                              <w:jc w:val="left"/>
                              <w:rPr>
                                <w:rFonts w:ascii="arial" w:hAnsi="arial"/>
                                <w:b/>
                                <w:color w:val="003A5D"/>
                                <w:sz w:val="22"/>
                              </w:rPr>
                            </w:pPr>
                            <w:r>
                              <w:rPr>
                                <w:rFonts w:ascii="arial" w:hAnsi="arial"/>
                                <w:b/>
                                <w:color w:val="003A5D"/>
                                <w:sz w:val="22"/>
                              </w:rPr>
                              <w:t xml:space="preserve">What constitutes a quorum? </w:t>
                            </w:r>
                          </w:p>
                          <w:p>
                            <w:pPr>
                              <w:pStyle w:val="TextBody"/>
                              <w:bidi w:val="0"/>
                              <w:spacing w:before="240" w:after="0"/>
                              <w:jc w:val="both"/>
                              <w:rPr>
                                <w:rFonts w:ascii="arial" w:hAnsi="arial"/>
                                <w:sz w:val="20"/>
                              </w:rPr>
                            </w:pPr>
                            <w:r>
                              <w:rPr>
                                <w:rFonts w:ascii="arial" w:hAnsi="arial"/>
                                <w:sz w:val="20"/>
                              </w:rPr>
                              <w:t xml:space="preserve">A quorum of stockholders is necessary to transact business at the 2025 Annual Stockholder Meeting. A quorum exists if the holders of a majority of the voting power of Capital One’s outstanding shares entitled to vote generally in the election of directors are present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80.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accounts, you must provide voting instructions for each account to authorize all your shares to be voted. </w:t>
                      </w:r>
                    </w:p>
                    <w:p>
                      <w:pPr>
                        <w:pStyle w:val="TextBody"/>
                        <w:bidi w:val="0"/>
                        <w:spacing w:before="240" w:after="0"/>
                        <w:jc w:val="both"/>
                        <w:rPr>
                          <w:rFonts w:ascii="arial" w:hAnsi="arial"/>
                          <w:b/>
                          <w:color w:val="003A5D"/>
                          <w:sz w:val="22"/>
                        </w:rPr>
                      </w:pPr>
                      <w:r>
                        <w:rPr>
                          <w:rFonts w:ascii="arial" w:hAnsi="arial"/>
                          <w:b/>
                          <w:color w:val="003A5D"/>
                          <w:sz w:val="22"/>
                        </w:rPr>
                        <w:t xml:space="preserve">How do I vote my 401(k) shares? </w:t>
                      </w:r>
                    </w:p>
                    <w:p>
                      <w:pPr>
                        <w:pStyle w:val="TextBody"/>
                        <w:bidi w:val="0"/>
                        <w:spacing w:before="240" w:after="0"/>
                        <w:jc w:val="both"/>
                        <w:rPr>
                          <w:rFonts w:ascii="arial" w:hAnsi="arial"/>
                          <w:sz w:val="20"/>
                        </w:rPr>
                      </w:pPr>
                      <w:r>
                        <w:rPr>
                          <w:rFonts w:ascii="arial" w:hAnsi="arial"/>
                          <w:sz w:val="20"/>
                        </w:rPr>
                        <w:t xml:space="preserve">If you own shares of Capital One through the Capital One Associate Savings Plan (Capital One Stock Fund) or Hibernia Corporation Supplemental Stock Plan, you may vote the number of shares equivalent to your interest in the Capital One Stock Fund as credited to your account on the Record Date. You will receive instructions on how to vote your shares via e-mail from Broadridge Financial Solutions, Inc. (“Broadridge”). The trustee of the Capital One Associate Savings Plan and the Hibernia Corporation Supplemental Stock Plan will vote your shares in accordance with your duly executed instructions if they are received by 11:59 p.m. Eastern Time on May 5, 2025. If you do not send instructions, the trustee will not vote the share equivalents credited to your account. </w:t>
                      </w:r>
                    </w:p>
                    <w:p>
                      <w:pPr>
                        <w:pStyle w:val="TextBody"/>
                        <w:bidi w:val="0"/>
                        <w:spacing w:before="240" w:after="0"/>
                        <w:jc w:val="left"/>
                        <w:rPr>
                          <w:rFonts w:ascii="arial" w:hAnsi="arial"/>
                          <w:b/>
                          <w:color w:val="003A5D"/>
                          <w:sz w:val="22"/>
                        </w:rPr>
                      </w:pPr>
                      <w:r>
                        <w:rPr>
                          <w:rFonts w:ascii="arial" w:hAnsi="arial"/>
                          <w:b/>
                          <w:color w:val="003A5D"/>
                          <w:sz w:val="22"/>
                        </w:rPr>
                        <w:t xml:space="preserve">Can I revoke my proxy or change my vote? </w:t>
                      </w:r>
                    </w:p>
                    <w:p>
                      <w:pPr>
                        <w:pStyle w:val="TextBody"/>
                        <w:bidi w:val="0"/>
                        <w:spacing w:before="240" w:after="0"/>
                        <w:jc w:val="both"/>
                        <w:rPr>
                          <w:rFonts w:ascii="arial" w:hAnsi="arial"/>
                          <w:sz w:val="20"/>
                        </w:rPr>
                      </w:pPr>
                      <w:r>
                        <w:rPr>
                          <w:rFonts w:ascii="arial" w:hAnsi="arial"/>
                          <w:sz w:val="20"/>
                        </w:rPr>
                        <w:t xml:space="preserve">Yes, you may revoke any proxy that you previously granted or change your vote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60"/>
                        <w:gridCol w:w="9915"/>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0"/>
                              <w:jc w:val="both"/>
                              <w:rPr>
                                <w:rFonts w:ascii="arial" w:hAnsi="arial"/>
                                <w:sz w:val="20"/>
                              </w:rPr>
                            </w:pPr>
                            <w:r>
                              <w:rPr>
                                <w:rFonts w:ascii="arial" w:hAnsi="arial"/>
                                <w:sz w:val="20"/>
                              </w:rPr>
                              <w:t xml:space="preserve">submitting another timely vote via the Internet, by telephone, or by mailing a new proxy card or voting instruction form;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60"/>
                        <w:gridCol w:w="9915"/>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0"/>
                              <w:jc w:val="both"/>
                              <w:rPr>
                                <w:rFonts w:ascii="arial" w:hAnsi="arial"/>
                                <w:sz w:val="20"/>
                              </w:rPr>
                            </w:pPr>
                            <w:r>
                              <w:rPr>
                                <w:rFonts w:ascii="arial" w:hAnsi="arial"/>
                                <w:sz w:val="20"/>
                              </w:rPr>
                              <w:t xml:space="preserve">attending the 2025 Annual Stockholder Meeting and voting in person, as indicated above under “How do I vote?”;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60"/>
                        <w:gridCol w:w="9915"/>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0"/>
                              <w:jc w:val="both"/>
                              <w:rPr>
                                <w:rFonts w:ascii="arial" w:hAnsi="arial"/>
                                <w:sz w:val="20"/>
                              </w:rPr>
                            </w:pPr>
                            <w:r>
                              <w:rPr>
                                <w:rFonts w:ascii="arial" w:hAnsi="arial"/>
                                <w:sz w:val="20"/>
                              </w:rPr>
                              <w:t xml:space="preserve">if you are a record holder, giving written notice of revocation to the Corporate Secretary, Capital One Financial Corporation, 1600 Capital One Drive, McLean, VA 22102. </w:t>
                            </w:r>
                          </w:p>
                        </w:tc>
                      </w:tr>
                    </w:tbl>
                    <w:p>
                      <w:pPr>
                        <w:pStyle w:val="TextBody"/>
                        <w:bidi w:val="0"/>
                        <w:spacing w:before="240" w:after="0"/>
                        <w:jc w:val="both"/>
                        <w:rPr>
                          <w:rFonts w:ascii="arial" w:hAnsi="arial"/>
                          <w:sz w:val="20"/>
                        </w:rPr>
                      </w:pPr>
                      <w:r>
                        <w:rPr>
                          <w:rFonts w:ascii="arial" w:hAnsi="arial"/>
                          <w:sz w:val="20"/>
                        </w:rPr>
                        <w:t xml:space="preserve">Your new vote or revocation in advance of the meeting must be submitted in accordance with the time frames above under “Time for Voting Your Shares By Internet, By Telephone, or By Mail Before the 2025 Annual Stockholder Meeting.” </w:t>
                      </w:r>
                    </w:p>
                    <w:p>
                      <w:pPr>
                        <w:pStyle w:val="TextBody"/>
                        <w:bidi w:val="0"/>
                        <w:spacing w:before="240" w:after="0"/>
                        <w:jc w:val="left"/>
                        <w:rPr>
                          <w:rFonts w:ascii="arial" w:hAnsi="arial"/>
                          <w:b/>
                          <w:color w:val="003A5D"/>
                          <w:sz w:val="22"/>
                        </w:rPr>
                      </w:pPr>
                      <w:r>
                        <w:rPr>
                          <w:rFonts w:ascii="arial" w:hAnsi="arial"/>
                          <w:b/>
                          <w:color w:val="003A5D"/>
                          <w:sz w:val="22"/>
                        </w:rPr>
                        <w:t xml:space="preserve">What constitutes a quorum? </w:t>
                      </w:r>
                    </w:p>
                    <w:p>
                      <w:pPr>
                        <w:pStyle w:val="TextBody"/>
                        <w:bidi w:val="0"/>
                        <w:spacing w:before="240" w:after="0"/>
                        <w:jc w:val="both"/>
                        <w:rPr>
                          <w:rFonts w:ascii="arial" w:hAnsi="arial"/>
                          <w:sz w:val="20"/>
                        </w:rPr>
                      </w:pPr>
                      <w:r>
                        <w:rPr>
                          <w:rFonts w:ascii="arial" w:hAnsi="arial"/>
                          <w:sz w:val="20"/>
                        </w:rPr>
                        <w:t xml:space="preserve">A quorum of stockholders is necessary to transact business at the 2025 Annual Stockholder Meeting. A quorum exists if the holders of a majority of the voting power of Capital One’s outstanding shares entitled to vote generally in the election of directors are present </w:t>
                      </w:r>
                    </w:p>
                  </w:txbxContent>
                </v:textbox>
                <w10:wrap type="square" side="right"/>
              </v:rect>
            </w:pict>
          </mc:Fallback>
        </mc:AlternateConten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3175000" cy="7687945"/>
                <wp:effectExtent l="0" t="0" r="0" b="0"/>
                <wp:wrapSquare wrapText="right"/>
                <wp:docPr id="79" name="Frame12"/>
                <a:graphic xmlns:a="http://schemas.openxmlformats.org/drawingml/2006/main">
                  <a:graphicData uri="http://schemas.microsoft.com/office/word/2010/wordprocessingShape">
                    <wps:wsp>
                      <wps:cNvSpPr txBox="1"/>
                      <wps:spPr>
                        <a:xfrm>
                          <a:off x="0" y="0"/>
                          <a:ext cx="3175000" cy="768794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in person or represented by proxy. Solely for purposes of determining whether we have a quorum, we will count: </w:t>
                            </w:r>
                          </w:p>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230"/>
                              <w:gridCol w:w="60"/>
                              <w:gridCol w:w="6485"/>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0"/>
                                    <w:jc w:val="both"/>
                                    <w:rPr>
                                      <w:rFonts w:ascii="arial" w:hAnsi="arial"/>
                                      <w:sz w:val="20"/>
                                    </w:rPr>
                                  </w:pPr>
                                  <w:r>
                                    <w:rPr>
                                      <w:rFonts w:ascii="arial" w:hAnsi="arial"/>
                                      <w:sz w:val="20"/>
                                    </w:rPr>
                                    <w:t xml:space="preserve">Shares represented in person or by proxy and being voted at the meeting; </w:t>
                                  </w:r>
                                </w:p>
                              </w:tc>
                            </w:tr>
                          </w:tbl>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230"/>
                              <w:gridCol w:w="60"/>
                              <w:gridCol w:w="6110"/>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both"/>
                                    <w:rPr>
                                      <w:rFonts w:ascii="arial" w:hAnsi="arial"/>
                                      <w:sz w:val="20"/>
                                    </w:rPr>
                                  </w:pPr>
                                  <w:r>
                                    <w:rPr>
                                      <w:rFonts w:ascii="arial" w:hAnsi="arial"/>
                                      <w:sz w:val="20"/>
                                    </w:rPr>
                                    <w:t xml:space="preserve">Shares represented in person at the meeting but not being voted;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60"/>
                              <w:gridCol w:w="9915"/>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0"/>
                                    <w:jc w:val="both"/>
                                    <w:rPr>
                                      <w:rFonts w:ascii="arial" w:hAnsi="arial"/>
                                      <w:sz w:val="20"/>
                                    </w:rPr>
                                  </w:pPr>
                                  <w:r>
                                    <w:rPr>
                                      <w:rFonts w:ascii="arial" w:hAnsi="arial"/>
                                      <w:sz w:val="20"/>
                                    </w:rPr>
                                    <w:t xml:space="preserve">Shares for which we have received proxies but for which stockholders have abstained from voting or that represent broker non-votes, which are described below. </w:t>
                                  </w:r>
                                </w:p>
                              </w:tc>
                            </w:tr>
                          </w:tbl>
                          <w:p>
                            <w:pPr>
                              <w:pStyle w:val="TextBody"/>
                              <w:bidi w:val="0"/>
                              <w:spacing w:before="240" w:after="0"/>
                              <w:jc w:val="left"/>
                              <w:rPr>
                                <w:rFonts w:ascii="arial" w:hAnsi="arial"/>
                                <w:b/>
                                <w:color w:val="003A5D"/>
                                <w:sz w:val="22"/>
                              </w:rPr>
                            </w:pPr>
                            <w:r>
                              <w:rPr>
                                <w:rFonts w:ascii="arial" w:hAnsi="arial"/>
                                <w:b/>
                                <w:color w:val="003A5D"/>
                                <w:sz w:val="22"/>
                              </w:rPr>
                              <w:t xml:space="preserve">What is a broker non-vote? </w:t>
                            </w:r>
                          </w:p>
                          <w:p>
                            <w:pPr>
                              <w:pStyle w:val="TextBody"/>
                              <w:bidi w:val="0"/>
                              <w:spacing w:before="240" w:after="0"/>
                              <w:jc w:val="both"/>
                              <w:rPr>
                                <w:rFonts w:ascii="arial" w:hAnsi="arial"/>
                                <w:sz w:val="20"/>
                              </w:rPr>
                            </w:pPr>
                            <w:r>
                              <w:rPr>
                                <w:rFonts w:ascii="arial" w:hAnsi="arial"/>
                                <w:sz w:val="20"/>
                              </w:rPr>
                              <w:t xml:space="preserve">Under NYSE rules, if you hold your shares in street name and you do not submit voting instructions to the firm that holds your shares, the firm has discretionary authority to vote your shares only with respect to “routine” matters. For non-routine matters, which include every item to be voted on other than Item 3 (ratification of selection of independent registered public accounting firm) the firm that holds your shares will not have discretion to vote your shares. When a matter is non-routine, and a firm has not received voting instructions from the beneficial owner, the brokerage firm cannot vote the shares on that matter and the shares will be counted as broker non-votes. </w:t>
                            </w:r>
                          </w:p>
                          <w:p>
                            <w:pPr>
                              <w:pStyle w:val="TextBody"/>
                              <w:bidi w:val="0"/>
                              <w:spacing w:before="240" w:after="0"/>
                              <w:jc w:val="left"/>
                              <w:rPr>
                                <w:rFonts w:ascii="arial" w:hAnsi="arial"/>
                                <w:b/>
                                <w:color w:val="003A5D"/>
                                <w:sz w:val="22"/>
                              </w:rPr>
                            </w:pPr>
                            <w:r>
                              <w:rPr>
                                <w:rFonts w:ascii="arial" w:hAnsi="arial"/>
                                <w:b/>
                                <w:color w:val="003A5D"/>
                                <w:sz w:val="22"/>
                              </w:rPr>
                              <w:t xml:space="preserve">Who will count the vote? </w:t>
                            </w:r>
                          </w:p>
                          <w:p>
                            <w:pPr>
                              <w:pStyle w:val="TextBody"/>
                              <w:bidi w:val="0"/>
                              <w:spacing w:before="240" w:after="0"/>
                              <w:jc w:val="both"/>
                              <w:rPr>
                                <w:rFonts w:ascii="arial" w:hAnsi="arial"/>
                                <w:sz w:val="20"/>
                              </w:rPr>
                            </w:pPr>
                            <w:r>
                              <w:rPr>
                                <w:rFonts w:ascii="arial" w:hAnsi="arial"/>
                                <w:sz w:val="20"/>
                              </w:rPr>
                              <w:t xml:space="preserve">Votes will be tabulated by Broadridge. The Board has appointed a representative of American Election Services, LLC to serve as the Inspector of Elections. </w:t>
                            </w:r>
                          </w:p>
                          <w:p>
                            <w:pPr>
                              <w:pStyle w:val="TextBody"/>
                              <w:bidi w:val="0"/>
                              <w:spacing w:before="240" w:after="0"/>
                              <w:jc w:val="left"/>
                              <w:rPr>
                                <w:rFonts w:ascii="arial" w:hAnsi="arial"/>
                                <w:b/>
                                <w:color w:val="003A5D"/>
                                <w:sz w:val="22"/>
                              </w:rPr>
                            </w:pPr>
                            <w:r>
                              <w:rPr>
                                <w:rFonts w:ascii="arial" w:hAnsi="arial"/>
                                <w:b/>
                                <w:color w:val="003A5D"/>
                                <w:sz w:val="22"/>
                              </w:rPr>
                              <w:t xml:space="preserve">Will a list of stockholders be made available? </w:t>
                            </w:r>
                          </w:p>
                          <w:p>
                            <w:pPr>
                              <w:pStyle w:val="TextBody"/>
                              <w:bidi w:val="0"/>
                              <w:spacing w:before="240" w:after="0"/>
                              <w:jc w:val="both"/>
                              <w:rPr>
                                <w:rFonts w:ascii="arial" w:hAnsi="arial"/>
                                <w:sz w:val="20"/>
                              </w:rPr>
                            </w:pPr>
                            <w:r>
                              <w:rPr>
                                <w:rFonts w:ascii="arial" w:hAnsi="arial"/>
                                <w:sz w:val="20"/>
                              </w:rPr>
                              <w:t xml:space="preserve">We will make a list of stockholders available at the 2025 Annual Stockholder Meeting, and for ten days prior to the meeting, which can be obtained by sending a request via email to investorrelations@capitalone.com. </w:t>
                            </w:r>
                          </w:p>
                          <w:p>
                            <w:pPr>
                              <w:pStyle w:val="TextBody"/>
                              <w:bidi w:val="0"/>
                              <w:spacing w:before="240" w:after="0"/>
                              <w:jc w:val="left"/>
                              <w:rPr>
                                <w:rFonts w:ascii="arial" w:hAnsi="arial"/>
                                <w:b/>
                                <w:color w:val="003A5D"/>
                                <w:sz w:val="22"/>
                              </w:rPr>
                            </w:pPr>
                            <w:r>
                              <w:rPr>
                                <w:rFonts w:ascii="arial" w:hAnsi="arial"/>
                                <w:b/>
                                <w:color w:val="003A5D"/>
                                <w:sz w:val="22"/>
                              </w:rPr>
                              <w:t xml:space="preserve">How much did the solicitation cost? </w:t>
                            </w:r>
                          </w:p>
                          <w:p>
                            <w:pPr>
                              <w:pStyle w:val="TextBody"/>
                              <w:bidi w:val="0"/>
                              <w:spacing w:before="240" w:after="0"/>
                              <w:jc w:val="both"/>
                              <w:rPr>
                                <w:rFonts w:ascii="arial" w:hAnsi="arial"/>
                                <w:sz w:val="20"/>
                              </w:rPr>
                            </w:pPr>
                            <w:r>
                              <w:rPr>
                                <w:rFonts w:ascii="arial" w:hAnsi="arial"/>
                                <w:sz w:val="20"/>
                              </w:rPr>
                              <w:t xml:space="preserve">We will pay the costs of the solicitation. We have retained Sodali &amp; Co. to assist us in the solicitation of proxies for an aggregate fee of $96,500 plus reasonable out-of-pocket expenses. In addition to Capital One soliciting proxies via the Internet, by telephone, and by mail, our directors, officers, and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05.3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in person or represented by proxy. Solely for purposes of determining whether we have a quorum, we will count: </w:t>
                      </w:r>
                    </w:p>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230"/>
                        <w:gridCol w:w="60"/>
                        <w:gridCol w:w="6485"/>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0"/>
                              <w:jc w:val="both"/>
                              <w:rPr>
                                <w:rFonts w:ascii="arial" w:hAnsi="arial"/>
                                <w:sz w:val="20"/>
                              </w:rPr>
                            </w:pPr>
                            <w:r>
                              <w:rPr>
                                <w:rFonts w:ascii="arial" w:hAnsi="arial"/>
                                <w:sz w:val="20"/>
                              </w:rPr>
                              <w:t xml:space="preserve">Shares represented in person or by proxy and being voted at the meeting; </w:t>
                            </w:r>
                          </w:p>
                        </w:tc>
                      </w:tr>
                    </w:tbl>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230"/>
                        <w:gridCol w:w="60"/>
                        <w:gridCol w:w="6110"/>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both"/>
                              <w:rPr>
                                <w:rFonts w:ascii="arial" w:hAnsi="arial"/>
                                <w:sz w:val="20"/>
                              </w:rPr>
                            </w:pPr>
                            <w:r>
                              <w:rPr>
                                <w:rFonts w:ascii="arial" w:hAnsi="arial"/>
                                <w:sz w:val="20"/>
                              </w:rPr>
                              <w:t xml:space="preserve">Shares represented in person at the meeting but not being voted;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60"/>
                        <w:gridCol w:w="9915"/>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0"/>
                              <w:jc w:val="both"/>
                              <w:rPr>
                                <w:rFonts w:ascii="arial" w:hAnsi="arial"/>
                                <w:sz w:val="20"/>
                              </w:rPr>
                            </w:pPr>
                            <w:r>
                              <w:rPr>
                                <w:rFonts w:ascii="arial" w:hAnsi="arial"/>
                                <w:sz w:val="20"/>
                              </w:rPr>
                              <w:t xml:space="preserve">Shares for which we have received proxies but for which stockholders have abstained from voting or that represent broker non-votes, which are described below. </w:t>
                            </w:r>
                          </w:p>
                        </w:tc>
                      </w:tr>
                    </w:tbl>
                    <w:p>
                      <w:pPr>
                        <w:pStyle w:val="TextBody"/>
                        <w:bidi w:val="0"/>
                        <w:spacing w:before="240" w:after="0"/>
                        <w:jc w:val="left"/>
                        <w:rPr>
                          <w:rFonts w:ascii="arial" w:hAnsi="arial"/>
                          <w:b/>
                          <w:color w:val="003A5D"/>
                          <w:sz w:val="22"/>
                        </w:rPr>
                      </w:pPr>
                      <w:r>
                        <w:rPr>
                          <w:rFonts w:ascii="arial" w:hAnsi="arial"/>
                          <w:b/>
                          <w:color w:val="003A5D"/>
                          <w:sz w:val="22"/>
                        </w:rPr>
                        <w:t xml:space="preserve">What is a broker non-vote? </w:t>
                      </w:r>
                    </w:p>
                    <w:p>
                      <w:pPr>
                        <w:pStyle w:val="TextBody"/>
                        <w:bidi w:val="0"/>
                        <w:spacing w:before="240" w:after="0"/>
                        <w:jc w:val="both"/>
                        <w:rPr>
                          <w:rFonts w:ascii="arial" w:hAnsi="arial"/>
                          <w:sz w:val="20"/>
                        </w:rPr>
                      </w:pPr>
                      <w:r>
                        <w:rPr>
                          <w:rFonts w:ascii="arial" w:hAnsi="arial"/>
                          <w:sz w:val="20"/>
                        </w:rPr>
                        <w:t xml:space="preserve">Under NYSE rules, if you hold your shares in street name and you do not submit voting instructions to the firm that holds your shares, the firm has discretionary authority to vote your shares only with respect to “routine” matters. For non-routine matters, which include every item to be voted on other than Item 3 (ratification of selection of independent registered public accounting firm) the firm that holds your shares will not have discretion to vote your shares. When a matter is non-routine, and a firm has not received voting instructions from the beneficial owner, the brokerage firm cannot vote the shares on that matter and the shares will be counted as broker non-votes. </w:t>
                      </w:r>
                    </w:p>
                    <w:p>
                      <w:pPr>
                        <w:pStyle w:val="TextBody"/>
                        <w:bidi w:val="0"/>
                        <w:spacing w:before="240" w:after="0"/>
                        <w:jc w:val="left"/>
                        <w:rPr>
                          <w:rFonts w:ascii="arial" w:hAnsi="arial"/>
                          <w:b/>
                          <w:color w:val="003A5D"/>
                          <w:sz w:val="22"/>
                        </w:rPr>
                      </w:pPr>
                      <w:r>
                        <w:rPr>
                          <w:rFonts w:ascii="arial" w:hAnsi="arial"/>
                          <w:b/>
                          <w:color w:val="003A5D"/>
                          <w:sz w:val="22"/>
                        </w:rPr>
                        <w:t xml:space="preserve">Who will count the vote? </w:t>
                      </w:r>
                    </w:p>
                    <w:p>
                      <w:pPr>
                        <w:pStyle w:val="TextBody"/>
                        <w:bidi w:val="0"/>
                        <w:spacing w:before="240" w:after="0"/>
                        <w:jc w:val="both"/>
                        <w:rPr>
                          <w:rFonts w:ascii="arial" w:hAnsi="arial"/>
                          <w:sz w:val="20"/>
                        </w:rPr>
                      </w:pPr>
                      <w:r>
                        <w:rPr>
                          <w:rFonts w:ascii="arial" w:hAnsi="arial"/>
                          <w:sz w:val="20"/>
                        </w:rPr>
                        <w:t xml:space="preserve">Votes will be tabulated by Broadridge. The Board has appointed a representative of American Election Services, LLC to serve as the Inspector of Elections. </w:t>
                      </w:r>
                    </w:p>
                    <w:p>
                      <w:pPr>
                        <w:pStyle w:val="TextBody"/>
                        <w:bidi w:val="0"/>
                        <w:spacing w:before="240" w:after="0"/>
                        <w:jc w:val="left"/>
                        <w:rPr>
                          <w:rFonts w:ascii="arial" w:hAnsi="arial"/>
                          <w:b/>
                          <w:color w:val="003A5D"/>
                          <w:sz w:val="22"/>
                        </w:rPr>
                      </w:pPr>
                      <w:r>
                        <w:rPr>
                          <w:rFonts w:ascii="arial" w:hAnsi="arial"/>
                          <w:b/>
                          <w:color w:val="003A5D"/>
                          <w:sz w:val="22"/>
                        </w:rPr>
                        <w:t xml:space="preserve">Will a list of stockholders be made available? </w:t>
                      </w:r>
                    </w:p>
                    <w:p>
                      <w:pPr>
                        <w:pStyle w:val="TextBody"/>
                        <w:bidi w:val="0"/>
                        <w:spacing w:before="240" w:after="0"/>
                        <w:jc w:val="both"/>
                        <w:rPr>
                          <w:rFonts w:ascii="arial" w:hAnsi="arial"/>
                          <w:sz w:val="20"/>
                        </w:rPr>
                      </w:pPr>
                      <w:r>
                        <w:rPr>
                          <w:rFonts w:ascii="arial" w:hAnsi="arial"/>
                          <w:sz w:val="20"/>
                        </w:rPr>
                        <w:t xml:space="preserve">We will make a list of stockholders available at the 2025 Annual Stockholder Meeting, and for ten days prior to the meeting, which can be obtained by sending a request via email to investorrelations@capitalone.com. </w:t>
                      </w:r>
                    </w:p>
                    <w:p>
                      <w:pPr>
                        <w:pStyle w:val="TextBody"/>
                        <w:bidi w:val="0"/>
                        <w:spacing w:before="240" w:after="0"/>
                        <w:jc w:val="left"/>
                        <w:rPr>
                          <w:rFonts w:ascii="arial" w:hAnsi="arial"/>
                          <w:b/>
                          <w:color w:val="003A5D"/>
                          <w:sz w:val="22"/>
                        </w:rPr>
                      </w:pPr>
                      <w:r>
                        <w:rPr>
                          <w:rFonts w:ascii="arial" w:hAnsi="arial"/>
                          <w:b/>
                          <w:color w:val="003A5D"/>
                          <w:sz w:val="22"/>
                        </w:rPr>
                        <w:t xml:space="preserve">How much did the solicitation cost? </w:t>
                      </w:r>
                    </w:p>
                    <w:p>
                      <w:pPr>
                        <w:pStyle w:val="TextBody"/>
                        <w:bidi w:val="0"/>
                        <w:spacing w:before="240" w:after="0"/>
                        <w:jc w:val="both"/>
                        <w:rPr>
                          <w:rFonts w:ascii="arial" w:hAnsi="arial"/>
                          <w:sz w:val="20"/>
                        </w:rPr>
                      </w:pPr>
                      <w:r>
                        <w:rPr>
                          <w:rFonts w:ascii="arial" w:hAnsi="arial"/>
                          <w:sz w:val="20"/>
                        </w:rPr>
                        <w:t xml:space="preserve">We will pay the costs of the solicitation. We have retained Sodali &amp; Co. to assist us in the solicitation of proxies for an aggregate fee of $96,500 plus reasonable out-of-pocket expenses. In addition to Capital One soliciting proxies via the Internet, by telephone, and by mail, our directors, officers, and </w:t>
                      </w:r>
                    </w:p>
                  </w:txbxContent>
                </v:textbox>
                <w10:wrap type="square" side="right"/>
              </v:rect>
            </w:pict>
          </mc:Fallback>
        </mc:AlternateConten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132 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right"/>
              <w:rPr>
                <w:b/>
                <w:color w:val="003A5D"/>
              </w:rPr>
            </w:pPr>
            <w:r>
              <w:rPr>
                <w:b/>
                <w:color w:val="003A5D"/>
              </w:rPr>
              <w:t>OTHER MATTERS</w:t>
            </w:r>
          </w:p>
        </w:tc>
      </w:tr>
    </w:tbl>
    <w:p>
      <w:pPr>
        <w:pStyle w:val="TextBody"/>
        <w:pBdr>
          <w:bottom w:val="single" w:sz="2" w:space="1" w:color="003A5D"/>
        </w:pBdr>
        <w:bidi w:val="0"/>
        <w:spacing w:lineRule="atLeast" w:line="142" w:before="0" w:after="40"/>
        <w:jc w:val="left"/>
        <w:rPr/>
      </w:pPr>
      <w:r>
        <w:rPr/>
        <w:t> </w:t>
      </w:r>
    </w:p>
    <w:tbl>
      <w:tblPr>
        <w:tblW w:w="4370" w:type="dxa"/>
        <w:jc w:val="left"/>
        <w:tblInd w:w="0" w:type="dxa"/>
        <w:tblLayout w:type="fixed"/>
        <w:tblCellMar>
          <w:top w:w="0" w:type="dxa"/>
          <w:left w:w="0" w:type="dxa"/>
          <w:bottom w:w="0" w:type="dxa"/>
          <w:right w:w="0" w:type="dxa"/>
        </w:tblCellMar>
      </w:tblPr>
      <w:tblGrid>
        <w:gridCol w:w="4370"/>
      </w:tblGrid>
      <w:tr>
        <w:trPr/>
        <w:tc>
          <w:tcPr>
            <w:tcW w:w="4370" w:type="dxa"/>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283"/>
              <w:jc w:val="right"/>
              <w:rPr>
                <w:b/>
                <w:color w:val="003A5D"/>
              </w:rPr>
            </w:pPr>
            <w:r>
              <w:rPr>
                <w:b/>
                <w:color w:val="003A5D"/>
              </w:rPr>
              <w:t>Section XIV - Frequently Asked Questions</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3110230" cy="2364105"/>
                <wp:effectExtent l="0" t="0" r="0" b="0"/>
                <wp:wrapSquare wrapText="right"/>
                <wp:docPr id="80" name="Frame13"/>
                <a:graphic xmlns:a="http://schemas.openxmlformats.org/drawingml/2006/main">
                  <a:graphicData uri="http://schemas.microsoft.com/office/word/2010/wordprocessingShape">
                    <wps:wsp>
                      <wps:cNvSpPr txBox="1"/>
                      <wps:spPr>
                        <a:xfrm>
                          <a:off x="0" y="0"/>
                          <a:ext cx="3110230" cy="236410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associates may solicit proxies on our behalf, without additional compensation. </w:t>
                            </w:r>
                          </w:p>
                          <w:p>
                            <w:pPr>
                              <w:pStyle w:val="TextBody"/>
                              <w:bidi w:val="0"/>
                              <w:spacing w:before="240" w:after="0"/>
                              <w:jc w:val="left"/>
                              <w:rPr>
                                <w:rFonts w:ascii="arial" w:hAnsi="arial"/>
                                <w:b/>
                                <w:color w:val="003A5D"/>
                                <w:sz w:val="22"/>
                              </w:rPr>
                            </w:pPr>
                            <w:r>
                              <w:rPr>
                                <w:rFonts w:ascii="arial" w:hAnsi="arial"/>
                                <w:b/>
                                <w:color w:val="003A5D"/>
                                <w:sz w:val="22"/>
                              </w:rPr>
                              <w:t xml:space="preserve">What is “householding?” </w:t>
                            </w:r>
                          </w:p>
                          <w:p>
                            <w:pPr>
                              <w:pStyle w:val="TextBody"/>
                              <w:bidi w:val="0"/>
                              <w:spacing w:before="240" w:after="0"/>
                              <w:jc w:val="both"/>
                              <w:rPr>
                                <w:rFonts w:ascii="arial" w:hAnsi="arial"/>
                                <w:sz w:val="20"/>
                              </w:rPr>
                            </w:pPr>
                            <w:r>
                              <w:rPr>
                                <w:rFonts w:ascii="arial" w:hAnsi="arial"/>
                                <w:sz w:val="20"/>
                              </w:rPr>
                              <w:t xml:space="preserve">Under SEC rules, a single package of Notices may be sent to any household at which two or more stockholders reside if they appear to be members of the same family unless contrary instructions have been received. Each stockholder continues to receive a separate Notice within the package. This procedure, referred to as “householding,” reduces the volume of duplicate materials stockholders receive and reduces mailing expenses. Stockholders may revoke their consent to future householding mailings or enroll in householding by contacting Broadridge toll free at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6.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associates may solicit proxies on our behalf, without additional compensation. </w:t>
                      </w:r>
                    </w:p>
                    <w:p>
                      <w:pPr>
                        <w:pStyle w:val="TextBody"/>
                        <w:bidi w:val="0"/>
                        <w:spacing w:before="240" w:after="0"/>
                        <w:jc w:val="left"/>
                        <w:rPr>
                          <w:rFonts w:ascii="arial" w:hAnsi="arial"/>
                          <w:b/>
                          <w:color w:val="003A5D"/>
                          <w:sz w:val="22"/>
                        </w:rPr>
                      </w:pPr>
                      <w:r>
                        <w:rPr>
                          <w:rFonts w:ascii="arial" w:hAnsi="arial"/>
                          <w:b/>
                          <w:color w:val="003A5D"/>
                          <w:sz w:val="22"/>
                        </w:rPr>
                        <w:t xml:space="preserve">What is “householding?” </w:t>
                      </w:r>
                    </w:p>
                    <w:p>
                      <w:pPr>
                        <w:pStyle w:val="TextBody"/>
                        <w:bidi w:val="0"/>
                        <w:spacing w:before="240" w:after="0"/>
                        <w:jc w:val="both"/>
                        <w:rPr>
                          <w:rFonts w:ascii="arial" w:hAnsi="arial"/>
                          <w:sz w:val="20"/>
                        </w:rPr>
                      </w:pPr>
                      <w:r>
                        <w:rPr>
                          <w:rFonts w:ascii="arial" w:hAnsi="arial"/>
                          <w:sz w:val="20"/>
                        </w:rPr>
                        <w:t xml:space="preserve">Under SEC rules, a single package of Notices may be sent to any household at which two or more stockholders reside if they appear to be members of the same family unless contrary instructions have been received. Each stockholder continues to receive a separate Notice within the package. This procedure, referred to as “householding,” reduces the volume of duplicate materials stockholders receive and reduces mailing expenses. Stockholders may revoke their consent to future householding mailings or enroll in householding by contacting Broadridge toll free at </w:t>
                      </w:r>
                    </w:p>
                  </w:txbxContent>
                </v:textbox>
                <w10:wrap type="square" side="right"/>
              </v:rect>
            </w:pict>
          </mc:Fallback>
        </mc:AlternateConten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3175000" cy="2378710"/>
                <wp:effectExtent l="0" t="0" r="0" b="0"/>
                <wp:wrapSquare wrapText="right"/>
                <wp:docPr id="81" name="Frame14"/>
                <a:graphic xmlns:a="http://schemas.openxmlformats.org/drawingml/2006/main">
                  <a:graphicData uri="http://schemas.microsoft.com/office/word/2010/wordprocessingShape">
                    <wps:wsp>
                      <wps:cNvSpPr txBox="1"/>
                      <wps:spPr>
                        <a:xfrm>
                          <a:off x="0" y="0"/>
                          <a:ext cx="3175000" cy="237871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1-866-540-7095 or by writing to Broadridge Financial Solutions, Inc., Householding Department, 51 Mercedes Way, Edgewood, NY 11717. We will deliver promptly, upon written or oral request, a separate copy of the proxy materials to any stockholder at a shared address to which a single copy was delivered. Stockholders who wish to receive a separate set of proxy materials now should contact Broadridge at the same phone number or mailing address. </w:t>
                            </w:r>
                          </w:p>
                          <w:p>
                            <w:pPr>
                              <w:pStyle w:val="TextBody"/>
                              <w:bidi w:val="0"/>
                              <w:spacing w:before="240" w:after="0"/>
                              <w:jc w:val="left"/>
                              <w:rPr>
                                <w:rFonts w:ascii="arial" w:hAnsi="arial"/>
                                <w:b/>
                                <w:color w:val="003A5D"/>
                                <w:sz w:val="22"/>
                              </w:rPr>
                            </w:pPr>
                            <w:r>
                              <w:rPr>
                                <w:rFonts w:ascii="arial" w:hAnsi="arial"/>
                                <w:b/>
                                <w:color w:val="003A5D"/>
                                <w:sz w:val="22"/>
                              </w:rPr>
                              <w:t xml:space="preserve">What vote is necessary to approve each item and what are the Board’s recommendations? </w:t>
                            </w:r>
                          </w:p>
                          <w:p>
                            <w:pPr>
                              <w:pStyle w:val="TextBody"/>
                              <w:bidi w:val="0"/>
                              <w:spacing w:before="240" w:after="0"/>
                              <w:jc w:val="both"/>
                              <w:rPr>
                                <w:rFonts w:ascii="arial" w:hAnsi="arial"/>
                                <w:sz w:val="20"/>
                              </w:rPr>
                            </w:pPr>
                            <w:r>
                              <w:rPr>
                                <w:rFonts w:ascii="arial" w:hAnsi="arial"/>
                                <w:sz w:val="20"/>
                              </w:rPr>
                              <w:t xml:space="preserve">The following table sets forth the voting requirements for each proposal being voted at the meeting and the Board’s recommendations.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87.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1-866-540-7095 or by writing to Broadridge Financial Solutions, Inc., Householding Department, 51 Mercedes Way, Edgewood, NY 11717. We will deliver promptly, upon written or oral request, a separate copy of the proxy materials to any stockholder at a shared address to which a single copy was delivered. Stockholders who wish to receive a separate set of proxy materials now should contact Broadridge at the same phone number or mailing address. </w:t>
                      </w:r>
                    </w:p>
                    <w:p>
                      <w:pPr>
                        <w:pStyle w:val="TextBody"/>
                        <w:bidi w:val="0"/>
                        <w:spacing w:before="240" w:after="0"/>
                        <w:jc w:val="left"/>
                        <w:rPr>
                          <w:rFonts w:ascii="arial" w:hAnsi="arial"/>
                          <w:b/>
                          <w:color w:val="003A5D"/>
                          <w:sz w:val="22"/>
                        </w:rPr>
                      </w:pPr>
                      <w:r>
                        <w:rPr>
                          <w:rFonts w:ascii="arial" w:hAnsi="arial"/>
                          <w:b/>
                          <w:color w:val="003A5D"/>
                          <w:sz w:val="22"/>
                        </w:rPr>
                        <w:t xml:space="preserve">What vote is necessary to approve each item and what are the Board’s recommendations? </w:t>
                      </w:r>
                    </w:p>
                    <w:p>
                      <w:pPr>
                        <w:pStyle w:val="TextBody"/>
                        <w:bidi w:val="0"/>
                        <w:spacing w:before="240" w:after="0"/>
                        <w:jc w:val="both"/>
                        <w:rPr>
                          <w:rFonts w:ascii="arial" w:hAnsi="arial"/>
                          <w:sz w:val="20"/>
                        </w:rPr>
                      </w:pPr>
                      <w:r>
                        <w:rPr>
                          <w:rFonts w:ascii="arial" w:hAnsi="arial"/>
                          <w:sz w:val="20"/>
                        </w:rPr>
                        <w:t xml:space="preserve">The following table sets forth the voting requirements for each proposal being voted at the meeting and the Board’s recommendations. </w:t>
                      </w:r>
                    </w:p>
                  </w:txbxContent>
                </v:textbox>
                <w10:wrap type="square" side="right"/>
              </v:rect>
            </w:pict>
          </mc:Fallback>
        </mc:AlternateConten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6"/>
        <w:gridCol w:w="60"/>
        <w:gridCol w:w="2475"/>
        <w:gridCol w:w="60"/>
        <w:gridCol w:w="1807"/>
        <w:gridCol w:w="60"/>
        <w:gridCol w:w="2978"/>
        <w:gridCol w:w="60"/>
        <w:gridCol w:w="1055"/>
        <w:gridCol w:w="60"/>
        <w:gridCol w:w="1084"/>
      </w:tblGrid>
      <w:tr>
        <w:trPr/>
        <w:tc>
          <w:tcPr>
            <w:tcW w:w="5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506" w:type="dxa"/>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2535" w:type="dxa"/>
            <w:gridSpan w:val="2"/>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867" w:type="dxa"/>
            <w:gridSpan w:val="2"/>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3038" w:type="dxa"/>
            <w:gridSpan w:val="2"/>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115" w:type="dxa"/>
            <w:gridSpan w:val="2"/>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144"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506" w:type="dxa"/>
            <w:tcBorders>
              <w:right w:val="single" w:sz="24" w:space="0" w:color="FFFFFF"/>
            </w:tcBorders>
            <w:shd w:fill="003A5D" w:val="clear"/>
            <w:tcMar>
              <w:right w:w="28" w:type="dxa"/>
            </w:tcMar>
            <w:vAlign w:val="center"/>
          </w:tcPr>
          <w:p>
            <w:pPr>
              <w:pStyle w:val="TableContents"/>
              <w:bidi w:val="0"/>
              <w:spacing w:before="0" w:after="283"/>
              <w:jc w:val="center"/>
              <w:rPr>
                <w:color w:val="FFFFFF"/>
              </w:rPr>
            </w:pPr>
            <w:r>
              <w:rPr>
                <w:color w:val="FFFFFF"/>
              </w:rPr>
              <w:t> </w:t>
            </w:r>
            <w:r>
              <w:rPr>
                <w:b/>
                <w:color w:val="FFFFFF"/>
              </w:rPr>
              <w:t>Item   </w:t>
            </w:r>
          </w:p>
        </w:tc>
        <w:tc>
          <w:tcPr>
            <w:tcW w:w="60" w:type="dxa"/>
            <w:tcBorders/>
            <w:shd w:fill="003A5D" w:val="clear"/>
            <w:vAlign w:val="center"/>
          </w:tcPr>
          <w:p>
            <w:pPr>
              <w:pStyle w:val="TableContents"/>
              <w:bidi w:val="0"/>
              <w:spacing w:before="0" w:after="283"/>
              <w:jc w:val="left"/>
              <w:rPr/>
            </w:pPr>
            <w:r>
              <w:rPr/>
              <w:t> </w:t>
            </w:r>
          </w:p>
        </w:tc>
        <w:tc>
          <w:tcPr>
            <w:tcW w:w="2475" w:type="dxa"/>
            <w:tcBorders>
              <w:right w:val="single" w:sz="24"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Matter to Be Voted On</w:t>
            </w:r>
          </w:p>
        </w:tc>
        <w:tc>
          <w:tcPr>
            <w:tcW w:w="60" w:type="dxa"/>
            <w:tcBorders/>
            <w:shd w:fill="003A5D" w:val="clear"/>
            <w:vAlign w:val="center"/>
          </w:tcPr>
          <w:p>
            <w:pPr>
              <w:pStyle w:val="TableContents"/>
              <w:bidi w:val="0"/>
              <w:spacing w:before="0" w:after="283"/>
              <w:jc w:val="left"/>
              <w:rPr/>
            </w:pPr>
            <w:r>
              <w:rPr/>
              <w:t> </w:t>
            </w:r>
          </w:p>
        </w:tc>
        <w:tc>
          <w:tcPr>
            <w:tcW w:w="1807" w:type="dxa"/>
            <w:tcBorders>
              <w:right w:val="single" w:sz="24"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Board</w:t>
              <w:br/>
              <w:t>Recommendation  </w:t>
            </w:r>
          </w:p>
        </w:tc>
        <w:tc>
          <w:tcPr>
            <w:tcW w:w="60" w:type="dxa"/>
            <w:tcBorders/>
            <w:shd w:fill="003A5D" w:val="clear"/>
            <w:vAlign w:val="center"/>
          </w:tcPr>
          <w:p>
            <w:pPr>
              <w:pStyle w:val="TableContents"/>
              <w:bidi w:val="0"/>
              <w:spacing w:before="0" w:after="283"/>
              <w:jc w:val="left"/>
              <w:rPr/>
            </w:pPr>
            <w:r>
              <w:rPr/>
              <w:t> </w:t>
            </w:r>
          </w:p>
        </w:tc>
        <w:tc>
          <w:tcPr>
            <w:tcW w:w="2978" w:type="dxa"/>
            <w:tcBorders>
              <w:right w:val="single" w:sz="24"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Voting Requirement</w:t>
            </w:r>
          </w:p>
        </w:tc>
        <w:tc>
          <w:tcPr>
            <w:tcW w:w="60" w:type="dxa"/>
            <w:tcBorders/>
            <w:shd w:fill="003A5D" w:val="clear"/>
            <w:vAlign w:val="center"/>
          </w:tcPr>
          <w:p>
            <w:pPr>
              <w:pStyle w:val="TableContents"/>
              <w:bidi w:val="0"/>
              <w:spacing w:before="0" w:after="283"/>
              <w:jc w:val="left"/>
              <w:rPr/>
            </w:pPr>
            <w:r>
              <w:rPr/>
              <w:t> </w:t>
            </w:r>
          </w:p>
        </w:tc>
        <w:tc>
          <w:tcPr>
            <w:tcW w:w="1055" w:type="dxa"/>
            <w:tcBorders>
              <w:right w:val="single" w:sz="24" w:space="0" w:color="FFFFFF"/>
            </w:tcBorders>
            <w:shd w:fill="003A5D" w:val="clear"/>
            <w:tcMar>
              <w:right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Effect of</w:t>
            </w:r>
          </w:p>
          <w:p>
            <w:pPr>
              <w:pStyle w:val="TableContents"/>
              <w:bidi w:val="0"/>
              <w:spacing w:before="0" w:after="20"/>
              <w:jc w:val="center"/>
              <w:rPr>
                <w:rFonts w:ascii="arial" w:hAnsi="arial"/>
                <w:b/>
                <w:color w:val="FFFFFF"/>
                <w:sz w:val="18"/>
              </w:rPr>
            </w:pPr>
            <w:r>
              <w:rPr>
                <w:rFonts w:ascii="arial" w:hAnsi="arial"/>
                <w:b/>
                <w:color w:val="FFFFFF"/>
                <w:sz w:val="18"/>
              </w:rPr>
              <w:t>Abstentions</w:t>
            </w:r>
          </w:p>
        </w:tc>
        <w:tc>
          <w:tcPr>
            <w:tcW w:w="60" w:type="dxa"/>
            <w:tcBorders/>
            <w:shd w:fill="003A5D" w:val="clear"/>
            <w:vAlign w:val="center"/>
          </w:tcPr>
          <w:p>
            <w:pPr>
              <w:pStyle w:val="TableContents"/>
              <w:bidi w:val="0"/>
              <w:spacing w:before="0" w:after="283"/>
              <w:jc w:val="left"/>
              <w:rPr/>
            </w:pPr>
            <w:r>
              <w:rPr/>
              <w:t> </w:t>
            </w:r>
          </w:p>
        </w:tc>
        <w:tc>
          <w:tcPr>
            <w:tcW w:w="1084" w:type="dxa"/>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Effect of</w:t>
            </w:r>
          </w:p>
          <w:p>
            <w:pPr>
              <w:pStyle w:val="TableContents"/>
              <w:bidi w:val="0"/>
              <w:spacing w:before="0" w:after="0"/>
              <w:jc w:val="center"/>
              <w:rPr>
                <w:color w:val="FFFFFF"/>
              </w:rPr>
            </w:pPr>
            <w:r>
              <w:rPr>
                <w:color w:val="FFFFFF"/>
              </w:rPr>
              <w:t>“</w:t>
            </w:r>
            <w:r>
              <w:rPr>
                <w:rFonts w:ascii="arial" w:hAnsi="arial"/>
                <w:b/>
                <w:color w:val="FFFFFF"/>
                <w:sz w:val="18"/>
              </w:rPr>
              <w:t>Broker</w:t>
            </w:r>
          </w:p>
          <w:p>
            <w:pPr>
              <w:pStyle w:val="TableContents"/>
              <w:bidi w:val="0"/>
              <w:spacing w:before="0" w:after="20"/>
              <w:jc w:val="center"/>
              <w:rPr>
                <w:rFonts w:ascii="arial" w:hAnsi="arial"/>
                <w:b/>
                <w:color w:val="FFFFFF"/>
                <w:sz w:val="18"/>
              </w:rPr>
            </w:pPr>
            <w:r>
              <w:rPr>
                <w:rFonts w:ascii="arial" w:hAnsi="arial"/>
                <w:b/>
                <w:color w:val="FFFFFF"/>
                <w:sz w:val="18"/>
              </w:rPr>
              <w:t>Non-Votes”</w:t>
            </w:r>
          </w:p>
        </w:tc>
      </w:tr>
      <w:tr>
        <w:trPr/>
        <w:tc>
          <w:tcPr>
            <w:tcW w:w="506" w:type="dxa"/>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2535"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867"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3038"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115" w:type="dxa"/>
            <w:gridSpan w:val="2"/>
            <w:tcBorders>
              <w:top w:val="single" w:sz="8" w:space="0" w:color="FFFFFF"/>
              <w:right w:val="single" w:sz="24" w:space="0" w:color="FFFFFF"/>
            </w:tcBorders>
            <w:shd w:fill="E5EBEE" w:val="clear"/>
            <w:tcMar>
              <w:top w:w="28" w:type="dxa"/>
              <w:right w:w="28" w:type="dxa"/>
            </w:tcMar>
            <w:vAlign w:val="center"/>
          </w:tcPr>
          <w:p>
            <w:pPr>
              <w:pStyle w:val="TableContents"/>
              <w:bidi w:val="0"/>
              <w:spacing w:before="0" w:after="283"/>
              <w:jc w:val="left"/>
              <w:rPr/>
            </w:pPr>
            <w:r>
              <w:rPr/>
              <w:t> </w:t>
            </w:r>
          </w:p>
        </w:tc>
        <w:tc>
          <w:tcPr>
            <w:tcW w:w="1144"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r>
      <w:tr>
        <w:trPr/>
        <w:tc>
          <w:tcPr>
            <w:tcW w:w="506"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center"/>
              <w:rPr>
                <w:rFonts w:ascii="arial" w:hAnsi="arial"/>
                <w:sz w:val="20"/>
              </w:rPr>
            </w:pPr>
            <w:r>
              <w:rPr>
                <w:rFonts w:ascii="arial" w:hAnsi="arial"/>
                <w:sz w:val="20"/>
              </w:rPr>
              <w:t>1.</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247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both"/>
              <w:rPr>
                <w:rFonts w:ascii="arial" w:hAnsi="arial"/>
                <w:sz w:val="20"/>
              </w:rPr>
            </w:pPr>
            <w:r>
              <w:rPr>
                <w:rFonts w:ascii="arial" w:hAnsi="arial"/>
                <w:sz w:val="20"/>
              </w:rPr>
              <w:t>Election of twelve candidates for director</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807"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b/>
              </w:rPr>
            </w:pPr>
            <w:r>
              <w:rPr>
                <w:b/>
              </w:rPr>
              <w:t>FOR</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2978"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Each candidate will be elected as a director of Capital One if a majority of the votes cast in their election is voted in favor of such election. We also maintain a “resignation” policy, which requires that any director who fails to receive a majority of votes cast in favor of their election must tender a resignation for the Board’s consideration. Cumulative voting for the election of directors is not permitted.</w:t>
            </w:r>
          </w:p>
          <w:p>
            <w:pPr>
              <w:pStyle w:val="TableContents"/>
              <w:bidi w:val="0"/>
              <w:spacing w:before="0" w:after="2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No effect</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84" w:type="dxa"/>
            <w:tcBorders>
              <w:bottom w:val="single" w:sz="8" w:space="0" w:color="003A5D"/>
            </w:tcBorders>
            <w:shd w:fill="E5EBEE" w:val="clear"/>
            <w:tcMar>
              <w:bottom w:w="60" w:type="dxa"/>
            </w:tcMar>
            <w:vAlign w:val="center"/>
          </w:tcPr>
          <w:p>
            <w:pPr>
              <w:pStyle w:val="TableContents"/>
              <w:bidi w:val="0"/>
              <w:spacing w:before="0" w:after="283"/>
              <w:jc w:val="center"/>
              <w:rPr/>
            </w:pPr>
            <w:r>
              <w:rPr/>
              <w:t>No effect</w:t>
            </w:r>
          </w:p>
        </w:tc>
      </w:tr>
      <w:tr>
        <w:trPr/>
        <w:tc>
          <w:tcPr>
            <w:tcW w:w="506" w:type="dxa"/>
            <w:tcBorders>
              <w:right w:val="single" w:sz="24" w:space="0" w:color="FFFFFF"/>
            </w:tcBorders>
            <w:tcMar>
              <w:right w:w="28" w:type="dxa"/>
            </w:tcMar>
            <w:vAlign w:val="center"/>
          </w:tcPr>
          <w:p>
            <w:pPr>
              <w:pStyle w:val="TableContents"/>
              <w:bidi w:val="0"/>
              <w:spacing w:before="0" w:after="283"/>
              <w:jc w:val="left"/>
              <w:rPr/>
            </w:pPr>
            <w:r>
              <w:rPr/>
              <w:t> </w:t>
            </w:r>
          </w:p>
        </w:tc>
        <w:tc>
          <w:tcPr>
            <w:tcW w:w="253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867"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3038"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11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left"/>
              <w:rPr>
                <w:sz w:val="4"/>
                <w:szCs w:val="4"/>
              </w:rPr>
            </w:pPr>
            <w:r>
              <w:rPr>
                <w:sz w:val="4"/>
                <w:szCs w:val="4"/>
              </w:rPr>
            </w:r>
          </w:p>
        </w:tc>
      </w:tr>
      <w:tr>
        <w:trPr/>
        <w:tc>
          <w:tcPr>
            <w:tcW w:w="506"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center"/>
              <w:rPr>
                <w:rFonts w:ascii="arial" w:hAnsi="arial"/>
                <w:sz w:val="20"/>
              </w:rPr>
            </w:pPr>
            <w:r>
              <w:rPr>
                <w:rFonts w:ascii="arial" w:hAnsi="arial"/>
                <w:sz w:val="20"/>
              </w:rPr>
              <w:t>2.</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475"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both"/>
              <w:rPr>
                <w:rFonts w:ascii="arial" w:hAnsi="arial"/>
                <w:sz w:val="20"/>
              </w:rPr>
            </w:pPr>
            <w:r>
              <w:rPr>
                <w:rFonts w:ascii="arial" w:hAnsi="arial"/>
                <w:sz w:val="20"/>
              </w:rPr>
              <w:t>Advisory vote on our Named Executive Officer compensation (“Say on Pay”)</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807"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b/>
              </w:rPr>
            </w:pPr>
            <w:r>
              <w:rPr>
                <w:b/>
              </w:rPr>
              <w:t>FOR</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978"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This item will be approved if a majority of the votes cast on the proposal are voted in favor of the proposal.</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No effect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084" w:type="dxa"/>
            <w:tcBorders>
              <w:bottom w:val="single" w:sz="8" w:space="0" w:color="003A5D"/>
            </w:tcBorders>
            <w:tcMar>
              <w:bottom w:w="60" w:type="dxa"/>
            </w:tcMar>
            <w:vAlign w:val="center"/>
          </w:tcPr>
          <w:p>
            <w:pPr>
              <w:pStyle w:val="TableContents"/>
              <w:bidi w:val="0"/>
              <w:spacing w:before="0" w:after="283"/>
              <w:jc w:val="center"/>
              <w:rPr/>
            </w:pPr>
            <w:r>
              <w:rPr/>
              <w:t>No effect</w:t>
            </w:r>
          </w:p>
        </w:tc>
      </w:tr>
      <w:tr>
        <w:trPr/>
        <w:tc>
          <w:tcPr>
            <w:tcW w:w="506" w:type="dxa"/>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2535"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867"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3038"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115" w:type="dxa"/>
            <w:gridSpan w:val="2"/>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144"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506"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center"/>
              <w:rPr>
                <w:rFonts w:ascii="arial" w:hAnsi="arial"/>
                <w:sz w:val="20"/>
              </w:rPr>
            </w:pPr>
            <w:r>
              <w:rPr>
                <w:rFonts w:ascii="arial" w:hAnsi="arial"/>
                <w:sz w:val="20"/>
              </w:rPr>
              <w:t>3.</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247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both"/>
              <w:rPr>
                <w:rFonts w:ascii="arial" w:hAnsi="arial"/>
                <w:sz w:val="20"/>
              </w:rPr>
            </w:pPr>
            <w:r>
              <w:rPr>
                <w:rFonts w:ascii="arial" w:hAnsi="arial"/>
                <w:sz w:val="20"/>
              </w:rPr>
              <w:t>Ratification of selection of our independent registered public accounting firm</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807"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b/>
              </w:rPr>
            </w:pPr>
            <w:r>
              <w:rPr>
                <w:b/>
              </w:rPr>
              <w:t>FOR</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2978"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This item will be approved if a majority of the votes cast on the proposal are voted in favor of the proposal.</w:t>
            </w:r>
          </w:p>
          <w:p>
            <w:pPr>
              <w:pStyle w:val="TableContents"/>
              <w:bidi w:val="0"/>
              <w:spacing w:before="0" w:after="2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No effect</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084" w:type="dxa"/>
            <w:tcBorders>
              <w:bottom w:val="single" w:sz="8" w:space="0" w:color="003A5D"/>
            </w:tcBorders>
            <w:shd w:fill="E5EBEE" w:val="clear"/>
            <w:tcMar>
              <w:bottom w:w="60" w:type="dxa"/>
            </w:tcMar>
            <w:vAlign w:val="center"/>
          </w:tcPr>
          <w:p>
            <w:pPr>
              <w:pStyle w:val="TableContents"/>
              <w:bidi w:val="0"/>
              <w:spacing w:before="0" w:after="283"/>
              <w:jc w:val="center"/>
              <w:rPr/>
            </w:pPr>
            <w:r>
              <w:rPr/>
              <w:t>Not Applicable</w:t>
            </w:r>
          </w:p>
        </w:tc>
      </w:tr>
      <w:tr>
        <w:trPr/>
        <w:tc>
          <w:tcPr>
            <w:tcW w:w="506" w:type="dxa"/>
            <w:tcBorders>
              <w:right w:val="single" w:sz="24" w:space="0" w:color="FFFFFF"/>
            </w:tcBorders>
            <w:tcMar>
              <w:right w:w="28" w:type="dxa"/>
            </w:tcMar>
            <w:vAlign w:val="center"/>
          </w:tcPr>
          <w:p>
            <w:pPr>
              <w:pStyle w:val="TableContents"/>
              <w:bidi w:val="0"/>
              <w:spacing w:before="0" w:after="283"/>
              <w:jc w:val="left"/>
              <w:rPr/>
            </w:pPr>
            <w:r>
              <w:rPr/>
              <w:t> </w:t>
            </w:r>
          </w:p>
        </w:tc>
        <w:tc>
          <w:tcPr>
            <w:tcW w:w="253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867"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3038"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115" w:type="dxa"/>
            <w:gridSpan w:val="2"/>
            <w:tcBorders>
              <w:right w:val="single" w:sz="24" w:space="0" w:color="FFFFFF"/>
            </w:tcBorders>
            <w:tcMar>
              <w:right w:w="28" w:type="dxa"/>
            </w:tcMar>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left"/>
              <w:rPr>
                <w:sz w:val="4"/>
                <w:szCs w:val="4"/>
              </w:rPr>
            </w:pPr>
            <w:r>
              <w:rPr>
                <w:sz w:val="4"/>
                <w:szCs w:val="4"/>
              </w:rPr>
            </w:r>
          </w:p>
        </w:tc>
      </w:tr>
      <w:tr>
        <w:trPr/>
        <w:tc>
          <w:tcPr>
            <w:tcW w:w="506"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center"/>
              <w:rPr>
                <w:rFonts w:ascii="arial" w:hAnsi="arial"/>
                <w:sz w:val="20"/>
              </w:rPr>
            </w:pPr>
            <w:r>
              <w:rPr>
                <w:rFonts w:ascii="arial" w:hAnsi="arial"/>
                <w:sz w:val="20"/>
              </w:rPr>
              <w:t>4.</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475"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both"/>
              <w:rPr>
                <w:rFonts w:ascii="arial" w:hAnsi="arial"/>
                <w:sz w:val="20"/>
              </w:rPr>
            </w:pPr>
            <w:r>
              <w:rPr>
                <w:rFonts w:ascii="arial" w:hAnsi="arial"/>
                <w:sz w:val="20"/>
              </w:rPr>
              <w:t>Stockholder proposal</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807"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b/>
              </w:rPr>
            </w:pPr>
            <w:r>
              <w:rPr>
                <w:b/>
              </w:rPr>
              <w:t>AGAINST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978" w:type="dxa"/>
            <w:tcBorders>
              <w:bottom w:val="single" w:sz="8" w:space="0" w:color="003A5D"/>
              <w:right w:val="single" w:sz="24" w:space="0" w:color="FFFFFF"/>
            </w:tcBorders>
            <w:tcMar>
              <w:bottom w:w="60" w:type="dxa"/>
              <w:right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This item will be approved if a majority of the votes cast on the proposal is voted in favor of the proposal.</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055" w:type="dxa"/>
            <w:tcBorders>
              <w:bottom w:val="single" w:sz="8" w:space="0" w:color="003A5D"/>
              <w:right w:val="single" w:sz="24" w:space="0" w:color="FFFFFF"/>
            </w:tcBorders>
            <w:tcMar>
              <w:bottom w:w="60" w:type="dxa"/>
              <w:right w:w="28" w:type="dxa"/>
            </w:tcMar>
            <w:vAlign w:val="center"/>
          </w:tcPr>
          <w:p>
            <w:pPr>
              <w:pStyle w:val="TableContents"/>
              <w:bidi w:val="0"/>
              <w:spacing w:before="0" w:after="283"/>
              <w:jc w:val="center"/>
              <w:rPr/>
            </w:pPr>
            <w:r>
              <w:rPr/>
              <w:t>No effect</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084" w:type="dxa"/>
            <w:tcBorders>
              <w:bottom w:val="single" w:sz="8" w:space="0" w:color="003A5D"/>
            </w:tcBorders>
            <w:tcMar>
              <w:bottom w:w="60" w:type="dxa"/>
            </w:tcMar>
            <w:vAlign w:val="center"/>
          </w:tcPr>
          <w:p>
            <w:pPr>
              <w:pStyle w:val="TableContents"/>
              <w:bidi w:val="0"/>
              <w:spacing w:before="0" w:after="283"/>
              <w:jc w:val="center"/>
              <w:rPr/>
            </w:pPr>
            <w:r>
              <w:rPr/>
              <w:t>No effect</w:t>
            </w:r>
          </w:p>
        </w:tc>
      </w:tr>
    </w:tbl>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133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b/>
                <w:color w:val="003A5D"/>
              </w:rPr>
            </w:pPr>
            <w:r>
              <w:rPr>
                <w:b/>
                <w:color w:val="003A5D"/>
              </w:rPr>
              <w:t>OTHER MATTERS</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lef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121" w:name="txa845790_63"/>
      <w:bookmarkEnd w:id="121"/>
      <w:r>
        <w:rPr>
          <w:rFonts w:ascii="arial" w:hAnsi="arial"/>
          <w:b/>
          <w:sz w:val="36"/>
        </w:rPr>
        <w:t xml:space="preserve">Appendix A - Information Regarding Non-GAAP Financial Measures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left"/>
        <w:rPr/>
      </w:pPr>
      <w:r>
        <w:rPr/>
        <w:t> </w:t>
      </w:r>
    </w:p>
    <w:p>
      <w:pPr>
        <w:pStyle w:val="TextBody"/>
        <w:bidi w:val="0"/>
        <w:spacing w:before="240" w:after="0"/>
        <w:jc w:val="both"/>
        <w:rPr>
          <w:rFonts w:ascii="arial" w:hAnsi="arial"/>
          <w:sz w:val="20"/>
        </w:rPr>
      </w:pPr>
      <w:r>
        <w:rPr>
          <w:rFonts w:ascii="arial" w:hAnsi="arial"/>
          <w:sz w:val="20"/>
        </w:rPr>
        <w:t xml:space="preserve">Our Compensation Committee believes that certain measures not defined by U.S. generally accepted accounting principles (“GAAP”), including adjusted diluted earnings per share, adjusted operating efficiency ratio and adjusted efficiency ratio, help investors and users of our financial information to understand the effect of adjusting items on our selected reported results. In addition, these non-GAAP measures are reviewed by the Compensation Committee and the other independent members of our Board as part of their assessment of the Company’s performance. These measures may not be comparable to similarly titled measures reported by other companies. These adjusted results provide alternate measurements of our operating performance, both for the current period and trends across multiple periods. The following tables present reconciliations of these non-GAAP measures to the applicable amounts measured in accordance with GAAP. </w:t>
      </w:r>
    </w:p>
    <w:p>
      <w:pPr>
        <w:pStyle w:val="TextBody"/>
        <w:bidi w:val="0"/>
        <w:spacing w:before="360" w:after="0"/>
        <w:jc w:val="left"/>
        <w:rPr>
          <w:rFonts w:ascii="arial" w:hAnsi="arial"/>
          <w:b/>
          <w:sz w:val="20"/>
        </w:rPr>
      </w:pPr>
      <w:r>
        <w:rPr>
          <w:rFonts w:ascii="arial" w:hAnsi="arial"/>
          <w:b/>
          <w:sz w:val="20"/>
        </w:rPr>
        <w:t xml:space="preserve">Table 1: Reconciliation of Diluted Earnings Per Share (“EPS”), Efficiency Ratio Metrics, and Operating Efficiency Ratio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430"/>
        <w:gridCol w:w="120"/>
        <w:gridCol w:w="800"/>
        <w:gridCol w:w="120"/>
        <w:gridCol w:w="800"/>
        <w:gridCol w:w="120"/>
        <w:gridCol w:w="815"/>
      </w:tblGrid>
      <w:tr>
        <w:trPr/>
        <w:tc>
          <w:tcPr>
            <w:tcW w:w="7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7430" w:type="dxa"/>
            <w:tcBorders/>
            <w:shd w:fill="003A5D" w:val="clear"/>
            <w:vAlign w:val="center"/>
          </w:tcPr>
          <w:p>
            <w:pPr>
              <w:pStyle w:val="TableContents"/>
              <w:bidi w:val="0"/>
              <w:spacing w:before="0" w:after="283"/>
              <w:jc w:val="left"/>
              <w:rPr>
                <w:sz w:val="4"/>
                <w:szCs w:val="4"/>
              </w:rPr>
            </w:pPr>
            <w:r>
              <w:rPr>
                <w:sz w:val="4"/>
                <w:szCs w:val="4"/>
              </w:rPr>
            </w:r>
          </w:p>
        </w:tc>
        <w:tc>
          <w:tcPr>
            <w:tcW w:w="2775" w:type="dxa"/>
            <w:gridSpan w:val="6"/>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7430" w:type="dxa"/>
            <w:tcBorders/>
            <w:shd w:fill="003A5D" w:val="clear"/>
            <w:vAlign w:val="center"/>
          </w:tcPr>
          <w:p>
            <w:pPr>
              <w:pStyle w:val="TableContents"/>
              <w:bidi w:val="0"/>
              <w:spacing w:before="0" w:after="283"/>
              <w:jc w:val="left"/>
              <w:rPr/>
            </w:pPr>
            <w:r>
              <w:rPr/>
              <w:t> </w:t>
            </w:r>
          </w:p>
        </w:tc>
        <w:tc>
          <w:tcPr>
            <w:tcW w:w="120" w:type="dxa"/>
            <w:tcBorders>
              <w:left w:val="single" w:sz="24" w:space="0" w:color="FFFFFF"/>
              <w:bottom w:val="single" w:sz="24" w:space="0" w:color="FFFFFF"/>
            </w:tcBorders>
            <w:shd w:fill="003A5D" w:val="clear"/>
            <w:tcMar>
              <w:left w:w="28" w:type="dxa"/>
              <w:bottom w:w="28" w:type="dxa"/>
            </w:tcMar>
            <w:vAlign w:val="center"/>
          </w:tcPr>
          <w:p>
            <w:pPr>
              <w:pStyle w:val="TableContents"/>
              <w:bidi w:val="0"/>
              <w:spacing w:before="0" w:after="283"/>
              <w:jc w:val="left"/>
              <w:rPr/>
            </w:pPr>
            <w:r>
              <w:rPr/>
              <w:t>  </w:t>
            </w:r>
          </w:p>
        </w:tc>
        <w:tc>
          <w:tcPr>
            <w:tcW w:w="2655" w:type="dxa"/>
            <w:gridSpan w:val="5"/>
            <w:tcBorders>
              <w:bottom w:val="single" w:sz="24" w:space="0" w:color="FFFFFF"/>
            </w:tcBorders>
            <w:shd w:fill="003A5D" w:val="clear"/>
            <w:tcMar>
              <w:bottom w:w="60" w:type="dxa"/>
            </w:tcMar>
            <w:vAlign w:val="center"/>
          </w:tcPr>
          <w:p>
            <w:pPr>
              <w:pStyle w:val="TableContents"/>
              <w:bidi w:val="0"/>
              <w:spacing w:before="0" w:after="20"/>
              <w:jc w:val="center"/>
              <w:rPr>
                <w:rFonts w:ascii="arial" w:hAnsi="arial"/>
                <w:b/>
                <w:color w:val="FFFFFF"/>
                <w:sz w:val="18"/>
              </w:rPr>
            </w:pPr>
            <w:r>
              <w:rPr>
                <w:rFonts w:ascii="arial" w:hAnsi="arial"/>
                <w:b/>
                <w:color w:val="FFFFFF"/>
                <w:sz w:val="18"/>
              </w:rPr>
              <w:t>Year Ended December 31,</w:t>
            </w:r>
          </w:p>
        </w:tc>
      </w:tr>
      <w:tr>
        <w:trPr/>
        <w:tc>
          <w:tcPr>
            <w:tcW w:w="7430" w:type="dxa"/>
            <w:tcBorders/>
            <w:shd w:fill="003A5D" w:val="clear"/>
            <w:vAlign w:val="center"/>
          </w:tcPr>
          <w:p>
            <w:pPr>
              <w:pStyle w:val="TableContents"/>
              <w:bidi w:val="0"/>
              <w:spacing w:before="0" w:after="283"/>
              <w:jc w:val="left"/>
              <w:rPr>
                <w:sz w:val="4"/>
                <w:szCs w:val="4"/>
              </w:rPr>
            </w:pPr>
            <w:r>
              <w:rPr>
                <w:sz w:val="4"/>
                <w:szCs w:val="4"/>
              </w:rPr>
            </w:r>
          </w:p>
        </w:tc>
        <w:tc>
          <w:tcPr>
            <w:tcW w:w="920"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920" w:type="dxa"/>
            <w:gridSpan w:val="2"/>
            <w:tcBorders>
              <w:left w:val="single" w:sz="24" w:space="0" w:color="FFFFFF"/>
              <w:right w:val="single" w:sz="24" w:space="0" w:color="FFFFFF"/>
            </w:tcBorders>
            <w:shd w:fill="003A5D" w:val="clear"/>
            <w:tcMar>
              <w:left w:w="28" w:type="dxa"/>
              <w:right w:w="28" w:type="dxa"/>
            </w:tcMar>
            <w:vAlign w:val="center"/>
          </w:tcPr>
          <w:p>
            <w:pPr>
              <w:pStyle w:val="TableContents"/>
              <w:bidi w:val="0"/>
              <w:spacing w:before="0" w:after="283"/>
              <w:jc w:val="left"/>
              <w:rPr/>
            </w:pPr>
            <w:r>
              <w:rPr/>
              <w:t> </w:t>
            </w:r>
          </w:p>
        </w:tc>
        <w:tc>
          <w:tcPr>
            <w:tcW w:w="935"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7430" w:type="dxa"/>
            <w:tcBorders/>
            <w:shd w:fill="003A5D" w:val="clear"/>
            <w:vAlign w:val="center"/>
          </w:tcPr>
          <w:p>
            <w:pPr>
              <w:pStyle w:val="TableContents"/>
              <w:bidi w:val="0"/>
              <w:spacing w:before="0" w:after="283"/>
              <w:jc w:val="left"/>
              <w:rPr>
                <w:color w:val="FFFFFF"/>
              </w:rPr>
            </w:pPr>
            <w:r>
              <w:rPr>
                <w:color w:val="FFFFFF"/>
              </w:rPr>
              <w:t> </w:t>
            </w:r>
            <w:r>
              <w:rPr>
                <w:b/>
                <w:color w:val="FFFFFF"/>
              </w:rPr>
              <w:t>(Dollars in millions, except per share data and as noted)</w:t>
            </w:r>
          </w:p>
        </w:tc>
        <w:tc>
          <w:tcPr>
            <w:tcW w:w="12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800"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2024</w:t>
            </w:r>
          </w:p>
        </w:tc>
        <w:tc>
          <w:tcPr>
            <w:tcW w:w="12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800" w:type="dxa"/>
            <w:tcBorders>
              <w:right w:val="single" w:sz="24" w:space="0" w:color="FFFFFF"/>
            </w:tcBorders>
            <w:shd w:fill="003A5D" w:val="clear"/>
            <w:tcMar>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2023</w:t>
            </w:r>
          </w:p>
        </w:tc>
        <w:tc>
          <w:tcPr>
            <w:tcW w:w="120" w:type="dxa"/>
            <w:tcBorders/>
            <w:shd w:fill="003A5D" w:val="clear"/>
            <w:vAlign w:val="center"/>
          </w:tcPr>
          <w:p>
            <w:pPr>
              <w:pStyle w:val="TableContents"/>
              <w:bidi w:val="0"/>
              <w:spacing w:before="0" w:after="283"/>
              <w:jc w:val="left"/>
              <w:rPr/>
            </w:pPr>
            <w:r>
              <w:rPr/>
              <w:t>  </w:t>
            </w:r>
          </w:p>
        </w:tc>
        <w:tc>
          <w:tcPr>
            <w:tcW w:w="815"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2022</w:t>
            </w:r>
          </w:p>
        </w:tc>
      </w:tr>
      <w:tr>
        <w:trPr/>
        <w:tc>
          <w:tcPr>
            <w:tcW w:w="7430" w:type="dxa"/>
            <w:tcBorders>
              <w:top w:val="single" w:sz="8" w:space="0" w:color="FFFFFF"/>
            </w:tcBorders>
            <w:shd w:fill="E5EBEE" w:val="clear"/>
            <w:tcMar>
              <w:top w:w="28" w:type="dxa"/>
            </w:tcMar>
            <w:vAlign w:val="center"/>
          </w:tcPr>
          <w:p>
            <w:pPr>
              <w:pStyle w:val="TableContents"/>
              <w:bidi w:val="0"/>
              <w:spacing w:before="0" w:after="283"/>
              <w:jc w:val="left"/>
              <w:rPr/>
            </w:pPr>
            <w:r>
              <w:rPr/>
              <w:t> </w:t>
            </w:r>
          </w:p>
        </w:tc>
        <w:tc>
          <w:tcPr>
            <w:tcW w:w="920" w:type="dxa"/>
            <w:gridSpan w:val="2"/>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pPr>
            <w:r>
              <w:rPr/>
              <w:t> </w:t>
            </w:r>
          </w:p>
        </w:tc>
        <w:tc>
          <w:tcPr>
            <w:tcW w:w="920" w:type="dxa"/>
            <w:gridSpan w:val="2"/>
            <w:tcBorders>
              <w:top w:val="single" w:sz="8" w:space="0" w:color="FFFFFF"/>
              <w:left w:val="single" w:sz="24" w:space="0" w:color="FFFFFF"/>
              <w:right w:val="single" w:sz="24" w:space="0" w:color="FFFFFF"/>
            </w:tcBorders>
            <w:shd w:fill="E5EBEE" w:val="clear"/>
            <w:tcMar>
              <w:top w:w="28" w:type="dxa"/>
              <w:left w:w="28" w:type="dxa"/>
              <w:right w:w="28" w:type="dxa"/>
            </w:tcMar>
            <w:vAlign w:val="center"/>
          </w:tcPr>
          <w:p>
            <w:pPr>
              <w:pStyle w:val="TableContents"/>
              <w:bidi w:val="0"/>
              <w:spacing w:before="0" w:after="283"/>
              <w:jc w:val="left"/>
              <w:rPr/>
            </w:pPr>
            <w:r>
              <w:rPr/>
              <w:t> </w:t>
            </w:r>
          </w:p>
        </w:tc>
        <w:tc>
          <w:tcPr>
            <w:tcW w:w="935" w:type="dxa"/>
            <w:gridSpan w:val="2"/>
            <w:tcBorders>
              <w:top w:val="single" w:sz="8" w:space="0" w:color="FFFFFF"/>
            </w:tcBorders>
            <w:shd w:fill="E5EBEE" w:val="clear"/>
            <w:tcMar>
              <w:top w:w="28" w:type="dxa"/>
            </w:tcMar>
            <w:vAlign w:val="center"/>
          </w:tcPr>
          <w:p>
            <w:pPr>
              <w:pStyle w:val="TableContents"/>
              <w:bidi w:val="0"/>
              <w:spacing w:before="0" w:after="283"/>
              <w:jc w:val="left"/>
              <w:rPr/>
            </w:pPr>
            <w:r>
              <w:rPr/>
              <w:t> </w:t>
            </w:r>
          </w:p>
        </w:tc>
      </w:tr>
      <w:tr>
        <w:trPr/>
        <w:tc>
          <w:tcPr>
            <w:tcW w:w="7430" w:type="dxa"/>
            <w:tcBorders/>
            <w:shd w:fill="E5EBEE" w:val="clear"/>
            <w:vAlign w:val="center"/>
          </w:tcPr>
          <w:p>
            <w:pPr>
              <w:pStyle w:val="TableContents"/>
              <w:bidi w:val="0"/>
              <w:spacing w:before="0" w:after="0"/>
              <w:jc w:val="left"/>
              <w:rPr>
                <w:rFonts w:ascii="arial" w:hAnsi="arial"/>
                <w:b/>
                <w:sz w:val="20"/>
              </w:rPr>
            </w:pPr>
            <w:r>
              <w:rPr>
                <w:rFonts w:ascii="arial" w:hAnsi="arial"/>
                <w:b/>
                <w:sz w:val="20"/>
              </w:rPr>
              <w:t>Adjusted diluted earnings per share (“EPS”):</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800" w:type="dxa"/>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20" w:type="dxa"/>
            <w:tcBorders/>
            <w:shd w:fill="E5EBEE" w:val="clear"/>
            <w:vAlign w:val="center"/>
          </w:tcPr>
          <w:p>
            <w:pPr>
              <w:pStyle w:val="TableContents"/>
              <w:bidi w:val="0"/>
              <w:spacing w:before="0" w:after="283"/>
              <w:jc w:val="left"/>
              <w:rPr/>
            </w:pPr>
            <w:r>
              <w:rPr/>
              <w:t>  </w:t>
            </w:r>
          </w:p>
        </w:tc>
        <w:tc>
          <w:tcPr>
            <w:tcW w:w="815" w:type="dxa"/>
            <w:tcBorders/>
            <w:shd w:fill="E5EBEE" w:val="clear"/>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283"/>
              <w:jc w:val="left"/>
              <w:rPr>
                <w:sz w:val="4"/>
                <w:szCs w:val="4"/>
              </w:rPr>
            </w:pPr>
            <w:r>
              <w:rPr>
                <w:sz w:val="4"/>
                <w:szCs w:val="4"/>
              </w:rPr>
            </w:r>
          </w:p>
        </w:tc>
        <w:tc>
          <w:tcPr>
            <w:tcW w:w="92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920" w:type="dxa"/>
            <w:gridSpan w:val="2"/>
            <w:tcBorders>
              <w:left w:val="single" w:sz="24" w:space="0" w:color="FFFFFF"/>
              <w:right w:val="single" w:sz="24" w:space="0" w:color="FFFFFF"/>
            </w:tcBorders>
            <w:tcMar>
              <w:left w:w="28" w:type="dxa"/>
              <w:right w:w="28" w:type="dxa"/>
            </w:tcMar>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0"/>
              <w:jc w:val="left"/>
              <w:rPr>
                <w:rFonts w:ascii="arial" w:hAnsi="arial"/>
                <w:sz w:val="20"/>
              </w:rPr>
            </w:pPr>
            <w:r>
              <w:rPr>
                <w:rFonts w:ascii="arial" w:hAnsi="arial"/>
                <w:sz w:val="20"/>
              </w:rPr>
              <w:t>Net income available to common stockholders (GAAP)</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$4,445</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right w:val="single" w:sz="24" w:space="0" w:color="FFFFFF"/>
            </w:tcBorders>
            <w:tcMar>
              <w:right w:w="28" w:type="dxa"/>
            </w:tcMar>
            <w:vAlign w:val="center"/>
          </w:tcPr>
          <w:p>
            <w:pPr>
              <w:pStyle w:val="TableContents"/>
              <w:bidi w:val="0"/>
              <w:spacing w:before="0" w:after="283"/>
              <w:jc w:val="center"/>
              <w:rPr/>
            </w:pPr>
            <w:r>
              <w:rPr/>
              <w:t>$4,582</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$7,044</w:t>
            </w:r>
          </w:p>
        </w:tc>
      </w:tr>
      <w:tr>
        <w:trPr/>
        <w:tc>
          <w:tcPr>
            <w:tcW w:w="7430" w:type="dxa"/>
            <w:tcBorders/>
            <w:shd w:fill="E5EBEE" w:val="clear"/>
            <w:vAlign w:val="center"/>
          </w:tcPr>
          <w:p>
            <w:pPr>
              <w:pStyle w:val="TableContents"/>
              <w:bidi w:val="0"/>
              <w:spacing w:before="0" w:after="283"/>
              <w:jc w:val="left"/>
              <w:rPr>
                <w:sz w:val="4"/>
                <w:szCs w:val="4"/>
              </w:rPr>
            </w:pPr>
            <w:r>
              <w:rPr>
                <w:sz w:val="4"/>
                <w:szCs w:val="4"/>
              </w:rPr>
            </w:r>
          </w:p>
        </w:tc>
        <w:tc>
          <w:tcPr>
            <w:tcW w:w="9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20" w:type="dxa"/>
            <w:gridSpan w:val="2"/>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935"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7430" w:type="dxa"/>
            <w:tcBorders/>
            <w:shd w:fill="E5EBEE" w:val="clear"/>
            <w:vAlign w:val="center"/>
          </w:tcPr>
          <w:p>
            <w:pPr>
              <w:pStyle w:val="TableContents"/>
              <w:bidi w:val="0"/>
              <w:spacing w:before="0" w:after="0"/>
              <w:jc w:val="left"/>
              <w:rPr>
                <w:rFonts w:ascii="arial" w:hAnsi="arial"/>
                <w:sz w:val="20"/>
              </w:rPr>
            </w:pPr>
            <w:r>
              <w:rPr>
                <w:rFonts w:ascii="arial" w:hAnsi="arial"/>
                <w:sz w:val="20"/>
              </w:rPr>
              <w:t>Allowance build for Walmart program agreement loss sharing termination</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826</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800" w:type="dxa"/>
            <w:tcBorders>
              <w:right w:val="single" w:sz="24" w:space="0" w:color="FFFFFF"/>
            </w:tcBorders>
            <w:shd w:fill="E5EBEE" w:val="clear"/>
            <w:tcMar>
              <w:right w:w="28" w:type="dxa"/>
            </w:tcMar>
            <w:vAlign w:val="center"/>
          </w:tcPr>
          <w:p>
            <w:pPr>
              <w:pStyle w:val="TableContents"/>
              <w:bidi w:val="0"/>
              <w:spacing w:before="0" w:after="283"/>
              <w:jc w:val="center"/>
              <w:rPr/>
            </w:pPr>
            <w:r>
              <w:rPr/>
              <w:t>—</w:t>
            </w:r>
          </w:p>
        </w:tc>
        <w:tc>
          <w:tcPr>
            <w:tcW w:w="120" w:type="dxa"/>
            <w:tcBorders/>
            <w:shd w:fill="E5EBEE" w:val="clear"/>
            <w:vAlign w:val="center"/>
          </w:tcPr>
          <w:p>
            <w:pPr>
              <w:pStyle w:val="TableContents"/>
              <w:bidi w:val="0"/>
              <w:spacing w:before="0" w:after="283"/>
              <w:jc w:val="left"/>
              <w:rPr/>
            </w:pPr>
            <w:r>
              <w:rPr/>
              <w:t>  </w:t>
            </w:r>
          </w:p>
        </w:tc>
        <w:tc>
          <w:tcPr>
            <w:tcW w:w="815" w:type="dxa"/>
            <w:tcBorders/>
            <w:shd w:fill="E5EBEE" w:val="clear"/>
            <w:vAlign w:val="center"/>
          </w:tcPr>
          <w:p>
            <w:pPr>
              <w:pStyle w:val="TableContents"/>
              <w:bidi w:val="0"/>
              <w:spacing w:before="0" w:after="283"/>
              <w:jc w:val="center"/>
              <w:rPr/>
            </w:pPr>
            <w:r>
              <w:rPr/>
              <w:t>—</w:t>
            </w:r>
          </w:p>
        </w:tc>
      </w:tr>
      <w:tr>
        <w:trPr/>
        <w:tc>
          <w:tcPr>
            <w:tcW w:w="7430" w:type="dxa"/>
            <w:tcBorders/>
            <w:vAlign w:val="center"/>
          </w:tcPr>
          <w:p>
            <w:pPr>
              <w:pStyle w:val="TableContents"/>
              <w:bidi w:val="0"/>
              <w:spacing w:before="0" w:after="283"/>
              <w:jc w:val="left"/>
              <w:rPr>
                <w:sz w:val="4"/>
                <w:szCs w:val="4"/>
              </w:rPr>
            </w:pPr>
            <w:r>
              <w:rPr>
                <w:sz w:val="4"/>
                <w:szCs w:val="4"/>
              </w:rPr>
            </w:r>
          </w:p>
        </w:tc>
        <w:tc>
          <w:tcPr>
            <w:tcW w:w="92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920" w:type="dxa"/>
            <w:gridSpan w:val="2"/>
            <w:tcBorders>
              <w:left w:val="single" w:sz="24" w:space="0" w:color="FFFFFF"/>
              <w:right w:val="single" w:sz="24" w:space="0" w:color="FFFFFF"/>
            </w:tcBorders>
            <w:tcMar>
              <w:left w:w="28" w:type="dxa"/>
              <w:right w:w="28" w:type="dxa"/>
            </w:tcMar>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0"/>
              <w:jc w:val="left"/>
              <w:rPr>
                <w:rFonts w:ascii="arial" w:hAnsi="arial"/>
                <w:sz w:val="20"/>
              </w:rPr>
            </w:pPr>
            <w:r>
              <w:rPr>
                <w:rFonts w:ascii="arial" w:hAnsi="arial"/>
                <w:sz w:val="20"/>
              </w:rPr>
              <w:t>Walmart program agreement termination contra revenue impact</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27</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right w:val="single" w:sz="24" w:space="0" w:color="FFFFFF"/>
            </w:tcBorders>
            <w:tcMar>
              <w:right w:w="28" w:type="dxa"/>
            </w:tcMar>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w:t>
            </w:r>
          </w:p>
        </w:tc>
      </w:tr>
      <w:tr>
        <w:trPr/>
        <w:tc>
          <w:tcPr>
            <w:tcW w:w="7430" w:type="dxa"/>
            <w:tcBorders/>
            <w:shd w:fill="E5EBEE" w:val="clear"/>
            <w:vAlign w:val="center"/>
          </w:tcPr>
          <w:p>
            <w:pPr>
              <w:pStyle w:val="TableContents"/>
              <w:bidi w:val="0"/>
              <w:spacing w:before="0" w:after="283"/>
              <w:jc w:val="left"/>
              <w:rPr>
                <w:sz w:val="4"/>
                <w:szCs w:val="4"/>
              </w:rPr>
            </w:pPr>
            <w:r>
              <w:rPr>
                <w:sz w:val="4"/>
                <w:szCs w:val="4"/>
              </w:rPr>
            </w:r>
          </w:p>
        </w:tc>
        <w:tc>
          <w:tcPr>
            <w:tcW w:w="9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20" w:type="dxa"/>
            <w:gridSpan w:val="2"/>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935"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7430" w:type="dxa"/>
            <w:tcBorders/>
            <w:shd w:fill="E5EBEE" w:val="clear"/>
            <w:vAlign w:val="center"/>
          </w:tcPr>
          <w:p>
            <w:pPr>
              <w:pStyle w:val="TableContents"/>
              <w:bidi w:val="0"/>
              <w:spacing w:before="0" w:after="0"/>
              <w:jc w:val="left"/>
              <w:rPr>
                <w:rFonts w:ascii="arial" w:hAnsi="arial"/>
                <w:sz w:val="20"/>
              </w:rPr>
            </w:pPr>
            <w:r>
              <w:rPr>
                <w:rFonts w:ascii="arial" w:hAnsi="arial"/>
                <w:sz w:val="20"/>
              </w:rPr>
              <w:t>Discover integration expenses</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234</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800" w:type="dxa"/>
            <w:tcBorders>
              <w:right w:val="single" w:sz="24" w:space="0" w:color="FFFFFF"/>
            </w:tcBorders>
            <w:shd w:fill="E5EBEE" w:val="clear"/>
            <w:tcMar>
              <w:right w:w="28" w:type="dxa"/>
            </w:tcMar>
            <w:vAlign w:val="center"/>
          </w:tcPr>
          <w:p>
            <w:pPr>
              <w:pStyle w:val="TableContents"/>
              <w:bidi w:val="0"/>
              <w:spacing w:before="0" w:after="283"/>
              <w:jc w:val="center"/>
              <w:rPr/>
            </w:pPr>
            <w:r>
              <w:rPr/>
              <w:t>—</w:t>
            </w:r>
          </w:p>
        </w:tc>
        <w:tc>
          <w:tcPr>
            <w:tcW w:w="120" w:type="dxa"/>
            <w:tcBorders/>
            <w:shd w:fill="E5EBEE" w:val="clear"/>
            <w:vAlign w:val="center"/>
          </w:tcPr>
          <w:p>
            <w:pPr>
              <w:pStyle w:val="TableContents"/>
              <w:bidi w:val="0"/>
              <w:spacing w:before="0" w:after="283"/>
              <w:jc w:val="left"/>
              <w:rPr/>
            </w:pPr>
            <w:r>
              <w:rPr/>
              <w:t>  </w:t>
            </w:r>
          </w:p>
        </w:tc>
        <w:tc>
          <w:tcPr>
            <w:tcW w:w="815" w:type="dxa"/>
            <w:tcBorders/>
            <w:shd w:fill="E5EBEE" w:val="clear"/>
            <w:vAlign w:val="center"/>
          </w:tcPr>
          <w:p>
            <w:pPr>
              <w:pStyle w:val="TableContents"/>
              <w:bidi w:val="0"/>
              <w:spacing w:before="0" w:after="283"/>
              <w:jc w:val="center"/>
              <w:rPr/>
            </w:pPr>
            <w:r>
              <w:rPr/>
              <w:t>—</w:t>
            </w:r>
          </w:p>
        </w:tc>
      </w:tr>
      <w:tr>
        <w:trPr/>
        <w:tc>
          <w:tcPr>
            <w:tcW w:w="7430" w:type="dxa"/>
            <w:tcBorders/>
            <w:vAlign w:val="center"/>
          </w:tcPr>
          <w:p>
            <w:pPr>
              <w:pStyle w:val="TableContents"/>
              <w:bidi w:val="0"/>
              <w:spacing w:before="0" w:after="283"/>
              <w:jc w:val="left"/>
              <w:rPr>
                <w:sz w:val="4"/>
                <w:szCs w:val="4"/>
              </w:rPr>
            </w:pPr>
            <w:r>
              <w:rPr>
                <w:sz w:val="4"/>
                <w:szCs w:val="4"/>
              </w:rPr>
            </w:r>
          </w:p>
        </w:tc>
        <w:tc>
          <w:tcPr>
            <w:tcW w:w="92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920" w:type="dxa"/>
            <w:gridSpan w:val="2"/>
            <w:tcBorders>
              <w:left w:val="single" w:sz="24" w:space="0" w:color="FFFFFF"/>
              <w:right w:val="single" w:sz="24" w:space="0" w:color="FFFFFF"/>
            </w:tcBorders>
            <w:tcMar>
              <w:left w:w="28" w:type="dxa"/>
              <w:right w:w="28" w:type="dxa"/>
            </w:tcMar>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0"/>
              <w:jc w:val="left"/>
              <w:rPr>
                <w:rFonts w:ascii="arial" w:hAnsi="arial"/>
                <w:sz w:val="20"/>
              </w:rPr>
            </w:pPr>
            <w:r>
              <w:rPr>
                <w:rFonts w:ascii="arial" w:hAnsi="arial"/>
                <w:sz w:val="20"/>
              </w:rPr>
              <w:t>Legal reserve activity</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75</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right w:val="single" w:sz="24" w:space="0" w:color="FFFFFF"/>
            </w:tcBorders>
            <w:tcMar>
              <w:right w:w="28" w:type="dxa"/>
            </w:tcMar>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w:t>
            </w:r>
          </w:p>
        </w:tc>
      </w:tr>
      <w:tr>
        <w:trPr/>
        <w:tc>
          <w:tcPr>
            <w:tcW w:w="7430" w:type="dxa"/>
            <w:tcBorders/>
            <w:shd w:fill="E5EBEE" w:val="clear"/>
            <w:vAlign w:val="center"/>
          </w:tcPr>
          <w:p>
            <w:pPr>
              <w:pStyle w:val="TableContents"/>
              <w:bidi w:val="0"/>
              <w:spacing w:before="0" w:after="283"/>
              <w:jc w:val="left"/>
              <w:rPr>
                <w:sz w:val="4"/>
                <w:szCs w:val="4"/>
              </w:rPr>
            </w:pPr>
            <w:r>
              <w:rPr>
                <w:sz w:val="4"/>
                <w:szCs w:val="4"/>
              </w:rPr>
            </w:r>
          </w:p>
        </w:tc>
        <w:tc>
          <w:tcPr>
            <w:tcW w:w="9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20" w:type="dxa"/>
            <w:gridSpan w:val="2"/>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935"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7430" w:type="dxa"/>
            <w:tcBorders/>
            <w:shd w:fill="E5EBEE" w:val="clear"/>
            <w:vAlign w:val="center"/>
          </w:tcPr>
          <w:p>
            <w:pPr>
              <w:pStyle w:val="TableContents"/>
              <w:bidi w:val="0"/>
              <w:spacing w:before="0" w:after="0"/>
              <w:jc w:val="left"/>
              <w:rPr>
                <w:rFonts w:ascii="arial" w:hAnsi="arial"/>
                <w:sz w:val="20"/>
              </w:rPr>
            </w:pPr>
            <w:r>
              <w:rPr>
                <w:rFonts w:ascii="arial" w:hAnsi="arial"/>
                <w:sz w:val="20"/>
              </w:rPr>
              <w:t>FDIC Special Assessment</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41</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800" w:type="dxa"/>
            <w:tcBorders>
              <w:right w:val="single" w:sz="24" w:space="0" w:color="FFFFFF"/>
            </w:tcBorders>
            <w:shd w:fill="E5EBEE" w:val="clear"/>
            <w:tcMar>
              <w:right w:w="28" w:type="dxa"/>
            </w:tcMar>
            <w:vAlign w:val="center"/>
          </w:tcPr>
          <w:p>
            <w:pPr>
              <w:pStyle w:val="TableContents"/>
              <w:bidi w:val="0"/>
              <w:spacing w:before="0" w:after="283"/>
              <w:jc w:val="center"/>
              <w:rPr/>
            </w:pPr>
            <w:r>
              <w:rPr/>
              <w:t>289</w:t>
            </w:r>
          </w:p>
        </w:tc>
        <w:tc>
          <w:tcPr>
            <w:tcW w:w="120" w:type="dxa"/>
            <w:tcBorders/>
            <w:shd w:fill="E5EBEE" w:val="clear"/>
            <w:vAlign w:val="center"/>
          </w:tcPr>
          <w:p>
            <w:pPr>
              <w:pStyle w:val="TableContents"/>
              <w:bidi w:val="0"/>
              <w:spacing w:before="0" w:after="283"/>
              <w:jc w:val="left"/>
              <w:rPr/>
            </w:pPr>
            <w:r>
              <w:rPr/>
              <w:t>  </w:t>
            </w:r>
          </w:p>
        </w:tc>
        <w:tc>
          <w:tcPr>
            <w:tcW w:w="815" w:type="dxa"/>
            <w:tcBorders/>
            <w:shd w:fill="E5EBEE" w:val="clear"/>
            <w:vAlign w:val="center"/>
          </w:tcPr>
          <w:p>
            <w:pPr>
              <w:pStyle w:val="TableContents"/>
              <w:bidi w:val="0"/>
              <w:spacing w:before="0" w:after="283"/>
              <w:jc w:val="center"/>
              <w:rPr/>
            </w:pPr>
            <w:r>
              <w:rPr/>
              <w:t>—</w:t>
            </w:r>
          </w:p>
        </w:tc>
      </w:tr>
      <w:tr>
        <w:trPr/>
        <w:tc>
          <w:tcPr>
            <w:tcW w:w="7430" w:type="dxa"/>
            <w:tcBorders/>
            <w:vAlign w:val="center"/>
          </w:tcPr>
          <w:p>
            <w:pPr>
              <w:pStyle w:val="TableContents"/>
              <w:bidi w:val="0"/>
              <w:spacing w:before="0" w:after="283"/>
              <w:jc w:val="left"/>
              <w:rPr>
                <w:sz w:val="4"/>
                <w:szCs w:val="4"/>
              </w:rPr>
            </w:pPr>
            <w:r>
              <w:rPr>
                <w:sz w:val="4"/>
                <w:szCs w:val="4"/>
              </w:rPr>
            </w:r>
          </w:p>
        </w:tc>
        <w:tc>
          <w:tcPr>
            <w:tcW w:w="92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920" w:type="dxa"/>
            <w:gridSpan w:val="2"/>
            <w:tcBorders>
              <w:left w:val="single" w:sz="24" w:space="0" w:color="FFFFFF"/>
              <w:right w:val="single" w:sz="24" w:space="0" w:color="FFFFFF"/>
            </w:tcBorders>
            <w:tcMar>
              <w:left w:w="28" w:type="dxa"/>
              <w:right w:w="28" w:type="dxa"/>
            </w:tcMar>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0"/>
              <w:jc w:val="left"/>
              <w:rPr>
                <w:rFonts w:ascii="arial" w:hAnsi="arial"/>
                <w:sz w:val="20"/>
              </w:rPr>
            </w:pPr>
            <w:r>
              <w:rPr>
                <w:rFonts w:ascii="arial" w:hAnsi="arial"/>
                <w:sz w:val="20"/>
              </w:rPr>
              <w:t>Insurance recoveries and legal reserve activity</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right w:val="single" w:sz="24" w:space="0" w:color="FFFFFF"/>
            </w:tcBorders>
            <w:tcMar>
              <w:right w:w="28" w:type="dxa"/>
            </w:tcMar>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(177)</w:t>
            </w:r>
          </w:p>
        </w:tc>
      </w:tr>
      <w:tr>
        <w:trPr/>
        <w:tc>
          <w:tcPr>
            <w:tcW w:w="7430" w:type="dxa"/>
            <w:tcBorders/>
            <w:shd w:fill="E5EBEE" w:val="clear"/>
            <w:vAlign w:val="center"/>
          </w:tcPr>
          <w:p>
            <w:pPr>
              <w:pStyle w:val="TableContents"/>
              <w:bidi w:val="0"/>
              <w:spacing w:before="0" w:after="283"/>
              <w:jc w:val="left"/>
              <w:rPr>
                <w:sz w:val="4"/>
                <w:szCs w:val="4"/>
              </w:rPr>
            </w:pPr>
            <w:r>
              <w:rPr>
                <w:sz w:val="4"/>
                <w:szCs w:val="4"/>
              </w:rPr>
            </w:r>
          </w:p>
        </w:tc>
        <w:tc>
          <w:tcPr>
            <w:tcW w:w="9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20" w:type="dxa"/>
            <w:gridSpan w:val="2"/>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935"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7430" w:type="dxa"/>
            <w:tcBorders/>
            <w:shd w:fill="E5EBEE" w:val="clear"/>
            <w:vAlign w:val="center"/>
          </w:tcPr>
          <w:p>
            <w:pPr>
              <w:pStyle w:val="TableContents"/>
              <w:bidi w:val="0"/>
              <w:spacing w:before="0" w:after="0"/>
              <w:jc w:val="left"/>
              <w:rPr>
                <w:rFonts w:ascii="arial" w:hAnsi="arial"/>
                <w:sz w:val="20"/>
              </w:rPr>
            </w:pPr>
            <w:r>
              <w:rPr>
                <w:rFonts w:ascii="arial" w:hAnsi="arial"/>
                <w:sz w:val="20"/>
              </w:rPr>
              <w:t>Restructuring Charges</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800" w:type="dxa"/>
            <w:tcBorders>
              <w:right w:val="single" w:sz="24" w:space="0" w:color="FFFFFF"/>
            </w:tcBorders>
            <w:shd w:fill="E5EBEE" w:val="clear"/>
            <w:tcMar>
              <w:right w:w="28" w:type="dxa"/>
            </w:tcMar>
            <w:vAlign w:val="center"/>
          </w:tcPr>
          <w:p>
            <w:pPr>
              <w:pStyle w:val="TableContents"/>
              <w:bidi w:val="0"/>
              <w:spacing w:before="0" w:after="283"/>
              <w:jc w:val="center"/>
              <w:rPr/>
            </w:pPr>
            <w:r>
              <w:rPr/>
              <w:t>—</w:t>
            </w:r>
          </w:p>
        </w:tc>
        <w:tc>
          <w:tcPr>
            <w:tcW w:w="120" w:type="dxa"/>
            <w:tcBorders/>
            <w:shd w:fill="E5EBEE" w:val="clear"/>
            <w:vAlign w:val="center"/>
          </w:tcPr>
          <w:p>
            <w:pPr>
              <w:pStyle w:val="TableContents"/>
              <w:bidi w:val="0"/>
              <w:spacing w:before="0" w:after="283"/>
              <w:jc w:val="left"/>
              <w:rPr/>
            </w:pPr>
            <w:r>
              <w:rPr/>
              <w:t>  </w:t>
            </w:r>
          </w:p>
        </w:tc>
        <w:tc>
          <w:tcPr>
            <w:tcW w:w="815" w:type="dxa"/>
            <w:tcBorders/>
            <w:shd w:fill="E5EBEE" w:val="clear"/>
            <w:vAlign w:val="center"/>
          </w:tcPr>
          <w:p>
            <w:pPr>
              <w:pStyle w:val="TableContents"/>
              <w:bidi w:val="0"/>
              <w:spacing w:before="0" w:after="283"/>
              <w:jc w:val="center"/>
              <w:rPr/>
            </w:pPr>
            <w:r>
              <w:rPr/>
              <w:t>72</w:t>
            </w:r>
          </w:p>
        </w:tc>
      </w:tr>
      <w:tr>
        <w:trPr/>
        <w:tc>
          <w:tcPr>
            <w:tcW w:w="743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right w:val="single" w:sz="24" w:space="0" w:color="FFFFFF"/>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283"/>
              <w:jc w:val="left"/>
              <w:rPr>
                <w:sz w:val="4"/>
                <w:szCs w:val="4"/>
              </w:rPr>
            </w:pPr>
            <w:r>
              <w:rPr>
                <w:sz w:val="4"/>
                <w:szCs w:val="4"/>
              </w:rPr>
            </w:r>
          </w:p>
        </w:tc>
        <w:tc>
          <w:tcPr>
            <w:tcW w:w="92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920" w:type="dxa"/>
            <w:gridSpan w:val="2"/>
            <w:tcBorders>
              <w:left w:val="single" w:sz="24" w:space="0" w:color="FFFFFF"/>
              <w:right w:val="single" w:sz="24" w:space="0" w:color="FFFFFF"/>
            </w:tcBorders>
            <w:tcMar>
              <w:left w:w="28" w:type="dxa"/>
              <w:right w:w="28" w:type="dxa"/>
            </w:tcMar>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0"/>
              <w:jc w:val="left"/>
              <w:rPr>
                <w:rFonts w:ascii="arial" w:hAnsi="arial"/>
                <w:sz w:val="20"/>
              </w:rPr>
            </w:pPr>
            <w:r>
              <w:rPr>
                <w:rFonts w:ascii="arial" w:hAnsi="arial"/>
                <w:sz w:val="20"/>
              </w:rPr>
              <w:t>Adjusted net income available to common stockholders before income tax impacts (non-GAAP)</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5,648</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right w:val="single" w:sz="24" w:space="0" w:color="FFFFFF"/>
            </w:tcBorders>
            <w:tcMar>
              <w:right w:w="28" w:type="dxa"/>
            </w:tcMar>
            <w:vAlign w:val="center"/>
          </w:tcPr>
          <w:p>
            <w:pPr>
              <w:pStyle w:val="TableContents"/>
              <w:bidi w:val="0"/>
              <w:spacing w:before="0" w:after="283"/>
              <w:jc w:val="center"/>
              <w:rPr/>
            </w:pPr>
            <w:r>
              <w:rPr/>
              <w:t>4,871</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6,939</w:t>
            </w:r>
          </w:p>
        </w:tc>
      </w:tr>
      <w:tr>
        <w:trPr/>
        <w:tc>
          <w:tcPr>
            <w:tcW w:w="7430" w:type="dxa"/>
            <w:tcBorders/>
            <w:shd w:fill="E5EBEE" w:val="clear"/>
            <w:vAlign w:val="center"/>
          </w:tcPr>
          <w:p>
            <w:pPr>
              <w:pStyle w:val="TableContents"/>
              <w:bidi w:val="0"/>
              <w:spacing w:before="0" w:after="283"/>
              <w:jc w:val="left"/>
              <w:rPr>
                <w:sz w:val="4"/>
                <w:szCs w:val="4"/>
              </w:rPr>
            </w:pPr>
            <w:r>
              <w:rPr>
                <w:sz w:val="4"/>
                <w:szCs w:val="4"/>
              </w:rPr>
            </w:r>
          </w:p>
        </w:tc>
        <w:tc>
          <w:tcPr>
            <w:tcW w:w="9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20" w:type="dxa"/>
            <w:gridSpan w:val="2"/>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935"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7430" w:type="dxa"/>
            <w:tcBorders/>
            <w:shd w:fill="E5EBEE" w:val="clear"/>
            <w:vAlign w:val="center"/>
          </w:tcPr>
          <w:p>
            <w:pPr>
              <w:pStyle w:val="TableContents"/>
              <w:bidi w:val="0"/>
              <w:spacing w:before="0" w:after="0"/>
              <w:jc w:val="left"/>
              <w:rPr>
                <w:rFonts w:ascii="arial" w:hAnsi="arial"/>
                <w:sz w:val="20"/>
              </w:rPr>
            </w:pPr>
            <w:r>
              <w:rPr>
                <w:rFonts w:ascii="arial" w:hAnsi="arial"/>
                <w:sz w:val="20"/>
              </w:rPr>
              <w:t>Income tax impacts</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(293)</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800" w:type="dxa"/>
            <w:tcBorders>
              <w:bottom w:val="single" w:sz="6"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(70)</w:t>
            </w:r>
          </w:p>
        </w:tc>
        <w:tc>
          <w:tcPr>
            <w:tcW w:w="12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815" w:type="dxa"/>
            <w:tcBorders>
              <w:bottom w:val="single" w:sz="6" w:space="0" w:color="003A5D"/>
            </w:tcBorders>
            <w:shd w:fill="E5EBEE" w:val="clear"/>
            <w:tcMar>
              <w:bottom w:w="60" w:type="dxa"/>
            </w:tcMar>
            <w:vAlign w:val="center"/>
          </w:tcPr>
          <w:p>
            <w:pPr>
              <w:pStyle w:val="TableContents"/>
              <w:bidi w:val="0"/>
              <w:spacing w:before="0" w:after="283"/>
              <w:jc w:val="center"/>
              <w:rPr/>
            </w:pPr>
            <w:r>
              <w:rPr/>
              <w:t>25</w:t>
            </w:r>
          </w:p>
        </w:tc>
      </w:tr>
      <w:tr>
        <w:trPr/>
        <w:tc>
          <w:tcPr>
            <w:tcW w:w="743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right w:val="single" w:sz="24" w:space="0" w:color="FFFFFF"/>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Adjusted net income available to common stockholders (non-GAAP)</w:t>
            </w:r>
          </w:p>
          <w:p>
            <w:pPr>
              <w:pStyle w:val="TableContents"/>
              <w:bidi w:val="0"/>
              <w:spacing w:before="0" w:after="20"/>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$5,355</w:t>
            </w:r>
          </w:p>
          <w:p>
            <w:pPr>
              <w:pStyle w:val="TableContents"/>
              <w:bidi w:val="0"/>
              <w:spacing w:before="0" w:after="20"/>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800" w:type="dxa"/>
            <w:tcBorders>
              <w:bottom w:val="single" w:sz="6" w:space="0" w:color="003A5D"/>
              <w:right w:val="single" w:sz="24"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$4,801</w:t>
            </w:r>
          </w:p>
          <w:p>
            <w:pPr>
              <w:pStyle w:val="TableContents"/>
              <w:bidi w:val="0"/>
              <w:spacing w:before="0" w:after="20"/>
              <w:jc w:val="left"/>
              <w:rPr/>
            </w:pPr>
            <w:r>
              <w:rPr/>
              <w:t> </w:t>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815"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$6,964</w:t>
            </w:r>
          </w:p>
          <w:p>
            <w:pPr>
              <w:pStyle w:val="TableContents"/>
              <w:bidi w:val="0"/>
              <w:spacing w:before="0" w:after="20"/>
              <w:jc w:val="left"/>
              <w:rPr/>
            </w:pPr>
            <w:r>
              <w:rPr/>
              <w:t> </w:t>
            </w:r>
          </w:p>
        </w:tc>
      </w:tr>
      <w:tr>
        <w:trPr/>
        <w:tc>
          <w:tcPr>
            <w:tcW w:w="743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800" w:type="dxa"/>
            <w:tcBorders>
              <w:bottom w:val="single" w:sz="6" w:space="0" w:color="003A5D"/>
              <w:right w:val="single" w:sz="24" w:space="0" w:color="FFFFFF"/>
            </w:tcBorders>
            <w:tcMar>
              <w:bottom w:w="28" w:type="dxa"/>
              <w:right w:w="28"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800" w:type="dxa"/>
            <w:tcBorders>
              <w:bottom w:val="single" w:sz="6" w:space="0" w:color="003A5D"/>
              <w:right w:val="single" w:sz="24" w:space="0" w:color="FFFFFF"/>
            </w:tcBorders>
            <w:tcMar>
              <w:bottom w:w="28" w:type="dxa"/>
              <w:right w:w="28"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81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743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right w:val="single" w:sz="24" w:space="0" w:color="FFFFFF"/>
            </w:tcBorders>
            <w:tcMar>
              <w:right w:w="28" w:type="dxa"/>
            </w:tcMar>
            <w:vAlign w:val="center"/>
          </w:tcPr>
          <w:p>
            <w:pPr>
              <w:pStyle w:val="TableContents"/>
              <w:bidi w:val="0"/>
              <w:spacing w:before="0" w:after="283"/>
              <w:jc w:val="left"/>
              <w:rPr/>
            </w:pPr>
            <w:r>
              <w:rPr/>
              <w:t> </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right w:val="single" w:sz="24" w:space="0" w:color="FFFFFF"/>
            </w:tcBorders>
            <w:tcMar>
              <w:right w:w="28" w:type="dxa"/>
            </w:tcMar>
            <w:vAlign w:val="center"/>
          </w:tcPr>
          <w:p>
            <w:pPr>
              <w:pStyle w:val="TableContents"/>
              <w:bidi w:val="0"/>
              <w:spacing w:before="0" w:after="283"/>
              <w:jc w:val="left"/>
              <w:rPr/>
            </w:pPr>
            <w:r>
              <w:rPr/>
              <w:t> </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r>
      <w:tr>
        <w:trPr/>
        <w:tc>
          <w:tcPr>
            <w:tcW w:w="7430" w:type="dxa"/>
            <w:tcBorders/>
            <w:shd w:fill="E5EBEE" w:val="clear"/>
            <w:vAlign w:val="center"/>
          </w:tcPr>
          <w:p>
            <w:pPr>
              <w:pStyle w:val="TableContents"/>
              <w:bidi w:val="0"/>
              <w:spacing w:before="0" w:after="283"/>
              <w:jc w:val="left"/>
              <w:rPr>
                <w:sz w:val="4"/>
                <w:szCs w:val="4"/>
              </w:rPr>
            </w:pPr>
            <w:r>
              <w:rPr>
                <w:sz w:val="4"/>
                <w:szCs w:val="4"/>
              </w:rPr>
            </w:r>
          </w:p>
        </w:tc>
        <w:tc>
          <w:tcPr>
            <w:tcW w:w="9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20" w:type="dxa"/>
            <w:gridSpan w:val="2"/>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935"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7430"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800" w:type="dxa"/>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20" w:type="dxa"/>
            <w:tcBorders/>
            <w:shd w:fill="E5EBEE" w:val="clear"/>
            <w:vAlign w:val="center"/>
          </w:tcPr>
          <w:p>
            <w:pPr>
              <w:pStyle w:val="TableContents"/>
              <w:bidi w:val="0"/>
              <w:spacing w:before="0" w:after="283"/>
              <w:jc w:val="left"/>
              <w:rPr/>
            </w:pPr>
            <w:r>
              <w:rPr/>
              <w:t>  </w:t>
            </w:r>
          </w:p>
        </w:tc>
        <w:tc>
          <w:tcPr>
            <w:tcW w:w="815" w:type="dxa"/>
            <w:tcBorders/>
            <w:shd w:fill="E5EBEE" w:val="clear"/>
            <w:vAlign w:val="center"/>
          </w:tcPr>
          <w:p>
            <w:pPr>
              <w:pStyle w:val="TableContents"/>
              <w:bidi w:val="0"/>
              <w:spacing w:before="0" w:after="283"/>
              <w:jc w:val="left"/>
              <w:rPr>
                <w:sz w:val="4"/>
                <w:szCs w:val="4"/>
              </w:rPr>
            </w:pPr>
            <w:r>
              <w:rPr>
                <w:sz w:val="4"/>
                <w:szCs w:val="4"/>
              </w:rPr>
            </w:r>
          </w:p>
        </w:tc>
      </w:tr>
      <w:tr>
        <w:trPr/>
        <w:tc>
          <w:tcPr>
            <w:tcW w:w="7430" w:type="dxa"/>
            <w:tcBorders>
              <w:right w:val="single" w:sz="32" w:space="0" w:color="FFFFFF"/>
            </w:tcBorders>
            <w:tcMar>
              <w:right w:w="28" w:type="dxa"/>
            </w:tcMar>
            <w:vAlign w:val="center"/>
          </w:tcPr>
          <w:p>
            <w:pPr>
              <w:pStyle w:val="TableContents"/>
              <w:bidi w:val="0"/>
              <w:spacing w:before="0" w:after="283"/>
              <w:jc w:val="left"/>
              <w:rPr/>
            </w:pPr>
            <w:r>
              <w:rPr/>
              <w:t> </w:t>
            </w:r>
          </w:p>
        </w:tc>
        <w:tc>
          <w:tcPr>
            <w:tcW w:w="920" w:type="dxa"/>
            <w:gridSpan w:val="2"/>
            <w:tcBorders>
              <w:left w:val="single" w:sz="24" w:space="0" w:color="FFFFFF"/>
              <w:right w:val="single" w:sz="32" w:space="0" w:color="FFFFFF"/>
            </w:tcBorders>
            <w:tcMar>
              <w:left w:w="28" w:type="dxa"/>
              <w:right w:w="28" w:type="dxa"/>
            </w:tcMar>
            <w:vAlign w:val="center"/>
          </w:tcPr>
          <w:p>
            <w:pPr>
              <w:pStyle w:val="TableContents"/>
              <w:bidi w:val="0"/>
              <w:spacing w:before="0" w:after="283"/>
              <w:jc w:val="left"/>
              <w:rPr/>
            </w:pPr>
            <w:r>
              <w:rPr/>
              <w:t> </w:t>
            </w:r>
          </w:p>
        </w:tc>
        <w:tc>
          <w:tcPr>
            <w:tcW w:w="920" w:type="dxa"/>
            <w:gridSpan w:val="2"/>
            <w:tcBorders>
              <w:right w:val="single" w:sz="32" w:space="0" w:color="FFFFFF"/>
            </w:tcBorders>
            <w:tcMar>
              <w:right w:w="28" w:type="dxa"/>
            </w:tcMar>
            <w:vAlign w:val="center"/>
          </w:tcPr>
          <w:p>
            <w:pPr>
              <w:pStyle w:val="TableContents"/>
              <w:bidi w:val="0"/>
              <w:spacing w:before="0" w:after="283"/>
              <w:jc w:val="left"/>
              <w:rPr/>
            </w:pPr>
            <w:r>
              <w:rPr/>
              <w:t> </w:t>
            </w:r>
          </w:p>
        </w:tc>
        <w:tc>
          <w:tcPr>
            <w:tcW w:w="935" w:type="dxa"/>
            <w:gridSpan w:val="2"/>
            <w:tcBorders>
              <w:right w:val="single" w:sz="32" w:space="0" w:color="FFFFFF"/>
            </w:tcBorders>
            <w:tcMar>
              <w:right w:w="28" w:type="dxa"/>
            </w:tcMar>
            <w:vAlign w:val="center"/>
          </w:tcPr>
          <w:p>
            <w:pPr>
              <w:pStyle w:val="TableContents"/>
              <w:bidi w:val="0"/>
              <w:spacing w:before="0" w:after="283"/>
              <w:jc w:val="left"/>
              <w:rPr/>
            </w:pPr>
            <w:r>
              <w:rPr/>
              <w:t> </w:t>
            </w:r>
          </w:p>
        </w:tc>
      </w:tr>
      <w:tr>
        <w:trPr/>
        <w:tc>
          <w:tcPr>
            <w:tcW w:w="7430" w:type="dxa"/>
            <w:tcBorders>
              <w:right w:val="single" w:sz="32" w:space="0" w:color="FFFFFF"/>
            </w:tcBorders>
            <w:tcMar>
              <w:right w:w="28" w:type="dxa"/>
            </w:tcMar>
            <w:vAlign w:val="center"/>
          </w:tcPr>
          <w:p>
            <w:pPr>
              <w:pStyle w:val="TableContents"/>
              <w:bidi w:val="0"/>
              <w:spacing w:before="0" w:after="0"/>
              <w:jc w:val="left"/>
              <w:rPr>
                <w:rFonts w:ascii="arial" w:hAnsi="arial"/>
                <w:sz w:val="20"/>
              </w:rPr>
            </w:pPr>
            <w:r>
              <w:rPr>
                <w:rFonts w:ascii="arial" w:hAnsi="arial"/>
                <w:sz w:val="20"/>
              </w:rPr>
              <w:t>Diluted weighted-average common shares outstanding (in millions) (GAAP)</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right w:val="single" w:sz="32" w:space="0" w:color="FFFFFF"/>
            </w:tcBorders>
            <w:tcMar>
              <w:right w:w="28" w:type="dxa"/>
            </w:tcMar>
            <w:vAlign w:val="center"/>
          </w:tcPr>
          <w:p>
            <w:pPr>
              <w:pStyle w:val="TableContents"/>
              <w:bidi w:val="0"/>
              <w:spacing w:before="0" w:after="283"/>
              <w:jc w:val="center"/>
              <w:rPr/>
            </w:pPr>
            <w:r>
              <w:rPr/>
              <w:t>383.6</w:t>
            </w:r>
          </w:p>
        </w:tc>
        <w:tc>
          <w:tcPr>
            <w:tcW w:w="120" w:type="dxa"/>
            <w:tcBorders/>
            <w:vAlign w:val="center"/>
          </w:tcPr>
          <w:p>
            <w:pPr>
              <w:pStyle w:val="TableContents"/>
              <w:bidi w:val="0"/>
              <w:spacing w:before="0" w:after="283"/>
              <w:jc w:val="left"/>
              <w:rPr/>
            </w:pPr>
            <w:r>
              <w:rPr/>
              <w:t>  </w:t>
            </w:r>
          </w:p>
        </w:tc>
        <w:tc>
          <w:tcPr>
            <w:tcW w:w="800" w:type="dxa"/>
            <w:tcBorders>
              <w:right w:val="single" w:sz="32" w:space="0" w:color="FFFFFF"/>
            </w:tcBorders>
            <w:tcMar>
              <w:right w:w="28" w:type="dxa"/>
            </w:tcMar>
            <w:vAlign w:val="center"/>
          </w:tcPr>
          <w:p>
            <w:pPr>
              <w:pStyle w:val="TableContents"/>
              <w:bidi w:val="0"/>
              <w:spacing w:before="0" w:after="283"/>
              <w:jc w:val="center"/>
              <w:rPr/>
            </w:pPr>
            <w:r>
              <w:rPr/>
              <w:t>383.4</w:t>
            </w:r>
          </w:p>
        </w:tc>
        <w:tc>
          <w:tcPr>
            <w:tcW w:w="120" w:type="dxa"/>
            <w:tcBorders/>
            <w:vAlign w:val="center"/>
          </w:tcPr>
          <w:p>
            <w:pPr>
              <w:pStyle w:val="TableContents"/>
              <w:bidi w:val="0"/>
              <w:spacing w:before="0" w:after="283"/>
              <w:jc w:val="left"/>
              <w:rPr/>
            </w:pPr>
            <w:r>
              <w:rPr/>
              <w:t>  </w:t>
            </w:r>
          </w:p>
        </w:tc>
        <w:tc>
          <w:tcPr>
            <w:tcW w:w="815" w:type="dxa"/>
            <w:tcBorders>
              <w:right w:val="single" w:sz="32" w:space="0" w:color="FFFFFF"/>
            </w:tcBorders>
            <w:tcMar>
              <w:right w:w="28" w:type="dxa"/>
            </w:tcMar>
            <w:vAlign w:val="center"/>
          </w:tcPr>
          <w:p>
            <w:pPr>
              <w:pStyle w:val="TableContents"/>
              <w:bidi w:val="0"/>
              <w:spacing w:before="0" w:after="283"/>
              <w:jc w:val="center"/>
              <w:rPr/>
            </w:pPr>
            <w:r>
              <w:rPr/>
              <w:t>393.2</w:t>
            </w:r>
          </w:p>
        </w:tc>
      </w:tr>
      <w:tr>
        <w:trPr/>
        <w:tc>
          <w:tcPr>
            <w:tcW w:w="7430" w:type="dxa"/>
            <w:tcBorders/>
            <w:shd w:fill="E5EBEE" w:val="clear"/>
            <w:vAlign w:val="center"/>
          </w:tcPr>
          <w:p>
            <w:pPr>
              <w:pStyle w:val="TableContents"/>
              <w:bidi w:val="0"/>
              <w:spacing w:before="0" w:after="283"/>
              <w:jc w:val="left"/>
              <w:rPr>
                <w:sz w:val="4"/>
                <w:szCs w:val="4"/>
              </w:rPr>
            </w:pPr>
            <w:r>
              <w:rPr>
                <w:sz w:val="4"/>
                <w:szCs w:val="4"/>
              </w:rPr>
            </w:r>
          </w:p>
        </w:tc>
        <w:tc>
          <w:tcPr>
            <w:tcW w:w="9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20" w:type="dxa"/>
            <w:gridSpan w:val="2"/>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935"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7430"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800" w:type="dxa"/>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20" w:type="dxa"/>
            <w:tcBorders/>
            <w:shd w:fill="E5EBEE" w:val="clear"/>
            <w:vAlign w:val="center"/>
          </w:tcPr>
          <w:p>
            <w:pPr>
              <w:pStyle w:val="TableContents"/>
              <w:bidi w:val="0"/>
              <w:spacing w:before="0" w:after="283"/>
              <w:jc w:val="left"/>
              <w:rPr/>
            </w:pPr>
            <w:r>
              <w:rPr/>
              <w:t>  </w:t>
            </w:r>
          </w:p>
        </w:tc>
        <w:tc>
          <w:tcPr>
            <w:tcW w:w="815" w:type="dxa"/>
            <w:tcBorders/>
            <w:shd w:fill="E5EBEE" w:val="clear"/>
            <w:vAlign w:val="center"/>
          </w:tcPr>
          <w:p>
            <w:pPr>
              <w:pStyle w:val="TableContents"/>
              <w:bidi w:val="0"/>
              <w:spacing w:before="0" w:after="283"/>
              <w:jc w:val="left"/>
              <w:rPr>
                <w:sz w:val="4"/>
                <w:szCs w:val="4"/>
              </w:rPr>
            </w:pPr>
            <w:r>
              <w:rPr>
                <w:sz w:val="4"/>
                <w:szCs w:val="4"/>
              </w:rPr>
            </w:r>
          </w:p>
        </w:tc>
      </w:tr>
      <w:tr>
        <w:trPr/>
        <w:tc>
          <w:tcPr>
            <w:tcW w:w="7430" w:type="dxa"/>
            <w:tcBorders>
              <w:right w:val="single" w:sz="32" w:space="0" w:color="FFFFFF"/>
            </w:tcBorders>
            <w:tcMar>
              <w:right w:w="28" w:type="dxa"/>
            </w:tcMar>
            <w:vAlign w:val="center"/>
          </w:tcPr>
          <w:p>
            <w:pPr>
              <w:pStyle w:val="TableContents"/>
              <w:bidi w:val="0"/>
              <w:spacing w:before="0" w:after="283"/>
              <w:jc w:val="left"/>
              <w:rPr/>
            </w:pPr>
            <w:r>
              <w:rPr/>
              <w:t> </w:t>
            </w:r>
          </w:p>
        </w:tc>
        <w:tc>
          <w:tcPr>
            <w:tcW w:w="920" w:type="dxa"/>
            <w:gridSpan w:val="2"/>
            <w:tcBorders>
              <w:left w:val="single" w:sz="24" w:space="0" w:color="FFFFFF"/>
              <w:right w:val="single" w:sz="32" w:space="0" w:color="FFFFFF"/>
            </w:tcBorders>
            <w:tcMar>
              <w:left w:w="28" w:type="dxa"/>
              <w:right w:w="28" w:type="dxa"/>
            </w:tcMar>
            <w:vAlign w:val="center"/>
          </w:tcPr>
          <w:p>
            <w:pPr>
              <w:pStyle w:val="TableContents"/>
              <w:bidi w:val="0"/>
              <w:spacing w:before="0" w:after="283"/>
              <w:jc w:val="left"/>
              <w:rPr/>
            </w:pPr>
            <w:r>
              <w:rPr/>
              <w:t> </w:t>
            </w:r>
          </w:p>
        </w:tc>
        <w:tc>
          <w:tcPr>
            <w:tcW w:w="920" w:type="dxa"/>
            <w:gridSpan w:val="2"/>
            <w:tcBorders>
              <w:right w:val="single" w:sz="32" w:space="0" w:color="FFFFFF"/>
            </w:tcBorders>
            <w:tcMar>
              <w:right w:w="28" w:type="dxa"/>
            </w:tcMar>
            <w:vAlign w:val="center"/>
          </w:tcPr>
          <w:p>
            <w:pPr>
              <w:pStyle w:val="TableContents"/>
              <w:bidi w:val="0"/>
              <w:spacing w:before="0" w:after="283"/>
              <w:jc w:val="left"/>
              <w:rPr/>
            </w:pPr>
            <w:r>
              <w:rPr/>
              <w:t> </w:t>
            </w:r>
          </w:p>
        </w:tc>
        <w:tc>
          <w:tcPr>
            <w:tcW w:w="935" w:type="dxa"/>
            <w:gridSpan w:val="2"/>
            <w:tcBorders>
              <w:right w:val="single" w:sz="32" w:space="0" w:color="FFFFFF"/>
            </w:tcBorders>
            <w:tcMar>
              <w:right w:w="28" w:type="dxa"/>
            </w:tcMar>
            <w:vAlign w:val="center"/>
          </w:tcPr>
          <w:p>
            <w:pPr>
              <w:pStyle w:val="TableContents"/>
              <w:bidi w:val="0"/>
              <w:spacing w:before="0" w:after="283"/>
              <w:jc w:val="left"/>
              <w:rPr/>
            </w:pPr>
            <w:r>
              <w:rPr/>
              <w:t> </w:t>
            </w:r>
          </w:p>
        </w:tc>
      </w:tr>
      <w:tr>
        <w:trPr/>
        <w:tc>
          <w:tcPr>
            <w:tcW w:w="7430" w:type="dxa"/>
            <w:tcBorders>
              <w:right w:val="single" w:sz="32" w:space="0" w:color="FFFFFF"/>
            </w:tcBorders>
            <w:tcMar>
              <w:right w:w="28" w:type="dxa"/>
            </w:tcMar>
            <w:vAlign w:val="center"/>
          </w:tcPr>
          <w:p>
            <w:pPr>
              <w:pStyle w:val="TableContents"/>
              <w:bidi w:val="0"/>
              <w:spacing w:before="0" w:after="0"/>
              <w:jc w:val="left"/>
              <w:rPr>
                <w:rFonts w:ascii="arial" w:hAnsi="arial"/>
                <w:sz w:val="20"/>
              </w:rPr>
            </w:pPr>
            <w:r>
              <w:rPr>
                <w:rFonts w:ascii="arial" w:hAnsi="arial"/>
                <w:sz w:val="20"/>
              </w:rPr>
              <w:t>Diluted EPS (GAAP)</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right w:val="single" w:sz="32" w:space="0" w:color="FFFFFF"/>
            </w:tcBorders>
            <w:tcMar>
              <w:right w:w="28" w:type="dxa"/>
            </w:tcMar>
            <w:vAlign w:val="center"/>
          </w:tcPr>
          <w:p>
            <w:pPr>
              <w:pStyle w:val="TableContents"/>
              <w:bidi w:val="0"/>
              <w:spacing w:before="0" w:after="283"/>
              <w:jc w:val="center"/>
              <w:rPr/>
            </w:pPr>
            <w:r>
              <w:rPr/>
              <w:t>$11.59</w:t>
            </w:r>
          </w:p>
        </w:tc>
        <w:tc>
          <w:tcPr>
            <w:tcW w:w="120" w:type="dxa"/>
            <w:tcBorders/>
            <w:vAlign w:val="center"/>
          </w:tcPr>
          <w:p>
            <w:pPr>
              <w:pStyle w:val="TableContents"/>
              <w:bidi w:val="0"/>
              <w:spacing w:before="0" w:after="283"/>
              <w:jc w:val="left"/>
              <w:rPr/>
            </w:pPr>
            <w:r>
              <w:rPr/>
              <w:t>  </w:t>
            </w:r>
          </w:p>
        </w:tc>
        <w:tc>
          <w:tcPr>
            <w:tcW w:w="800" w:type="dxa"/>
            <w:tcBorders>
              <w:right w:val="single" w:sz="32" w:space="0" w:color="FFFFFF"/>
            </w:tcBorders>
            <w:tcMar>
              <w:right w:w="28" w:type="dxa"/>
            </w:tcMar>
            <w:vAlign w:val="center"/>
          </w:tcPr>
          <w:p>
            <w:pPr>
              <w:pStyle w:val="TableContents"/>
              <w:bidi w:val="0"/>
              <w:spacing w:before="0" w:after="283"/>
              <w:jc w:val="center"/>
              <w:rPr/>
            </w:pPr>
            <w:r>
              <w:rPr/>
              <w:t>$11.95</w:t>
            </w:r>
          </w:p>
        </w:tc>
        <w:tc>
          <w:tcPr>
            <w:tcW w:w="120" w:type="dxa"/>
            <w:tcBorders/>
            <w:vAlign w:val="center"/>
          </w:tcPr>
          <w:p>
            <w:pPr>
              <w:pStyle w:val="TableContents"/>
              <w:bidi w:val="0"/>
              <w:spacing w:before="0" w:after="283"/>
              <w:jc w:val="left"/>
              <w:rPr/>
            </w:pPr>
            <w:r>
              <w:rPr/>
              <w:t>  </w:t>
            </w:r>
          </w:p>
        </w:tc>
        <w:tc>
          <w:tcPr>
            <w:tcW w:w="815" w:type="dxa"/>
            <w:tcBorders>
              <w:right w:val="single" w:sz="32" w:space="0" w:color="FFFFFF"/>
            </w:tcBorders>
            <w:tcMar>
              <w:right w:w="28" w:type="dxa"/>
            </w:tcMar>
            <w:vAlign w:val="center"/>
          </w:tcPr>
          <w:p>
            <w:pPr>
              <w:pStyle w:val="TableContents"/>
              <w:bidi w:val="0"/>
              <w:spacing w:before="0" w:after="283"/>
              <w:jc w:val="center"/>
              <w:rPr/>
            </w:pPr>
            <w:r>
              <w:rPr/>
              <w:t>$17.91</w:t>
            </w:r>
          </w:p>
        </w:tc>
      </w:tr>
      <w:tr>
        <w:trPr/>
        <w:tc>
          <w:tcPr>
            <w:tcW w:w="7430" w:type="dxa"/>
            <w:tcBorders/>
            <w:shd w:fill="E5EBEE" w:val="clear"/>
            <w:vAlign w:val="center"/>
          </w:tcPr>
          <w:p>
            <w:pPr>
              <w:pStyle w:val="TableContents"/>
              <w:bidi w:val="0"/>
              <w:spacing w:before="0" w:after="283"/>
              <w:jc w:val="left"/>
              <w:rPr>
                <w:sz w:val="4"/>
                <w:szCs w:val="4"/>
              </w:rPr>
            </w:pPr>
            <w:r>
              <w:rPr>
                <w:sz w:val="4"/>
                <w:szCs w:val="4"/>
              </w:rPr>
            </w:r>
          </w:p>
        </w:tc>
        <w:tc>
          <w:tcPr>
            <w:tcW w:w="9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20" w:type="dxa"/>
            <w:gridSpan w:val="2"/>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935"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7430" w:type="dxa"/>
            <w:tcBorders/>
            <w:shd w:fill="E5EBEE" w:val="clear"/>
            <w:vAlign w:val="center"/>
          </w:tcPr>
          <w:p>
            <w:pPr>
              <w:pStyle w:val="TableContents"/>
              <w:bidi w:val="0"/>
              <w:spacing w:before="0" w:after="0"/>
              <w:jc w:val="left"/>
              <w:rPr>
                <w:rFonts w:ascii="arial" w:hAnsi="arial"/>
                <w:sz w:val="20"/>
              </w:rPr>
            </w:pPr>
            <w:r>
              <w:rPr>
                <w:rFonts w:ascii="arial" w:hAnsi="arial"/>
                <w:sz w:val="20"/>
              </w:rPr>
              <w:t>Impact of adjustments noted above</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2.37</w:t>
            </w:r>
          </w:p>
        </w:tc>
        <w:tc>
          <w:tcPr>
            <w:tcW w:w="120" w:type="dxa"/>
            <w:tcBorders>
              <w:left w:val="single" w:sz="24" w:space="0" w:color="FFFFFF"/>
              <w:bottom w:val="single" w:sz="6" w:space="0" w:color="000000"/>
            </w:tcBorders>
            <w:shd w:fill="E5EBEE" w:val="clear"/>
            <w:tcMar>
              <w:left w:w="28" w:type="dxa"/>
              <w:bottom w:w="28" w:type="dxa"/>
            </w:tcMar>
            <w:vAlign w:val="center"/>
          </w:tcPr>
          <w:p>
            <w:pPr>
              <w:pStyle w:val="TableContents"/>
              <w:bidi w:val="0"/>
              <w:spacing w:before="0" w:after="283"/>
              <w:jc w:val="left"/>
              <w:rPr/>
            </w:pPr>
            <w:r>
              <w:rPr/>
              <w:t>  </w:t>
            </w:r>
          </w:p>
        </w:tc>
        <w:tc>
          <w:tcPr>
            <w:tcW w:w="800" w:type="dxa"/>
            <w:tcBorders>
              <w:bottom w:val="single" w:sz="6" w:space="0" w:color="000000"/>
              <w:right w:val="single" w:sz="24" w:space="0" w:color="FFFFFF"/>
            </w:tcBorders>
            <w:shd w:fill="E5EBEE" w:val="clear"/>
            <w:tcMar>
              <w:bottom w:w="60" w:type="dxa"/>
              <w:right w:w="28" w:type="dxa"/>
            </w:tcMar>
            <w:vAlign w:val="center"/>
          </w:tcPr>
          <w:p>
            <w:pPr>
              <w:pStyle w:val="TableContents"/>
              <w:bidi w:val="0"/>
              <w:spacing w:before="0" w:after="283"/>
              <w:jc w:val="center"/>
              <w:rPr/>
            </w:pPr>
            <w:r>
              <w:rPr/>
              <w:t>0.57</w:t>
            </w:r>
          </w:p>
        </w:tc>
        <w:tc>
          <w:tcPr>
            <w:tcW w:w="12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815" w:type="dxa"/>
            <w:tcBorders>
              <w:bottom w:val="single" w:sz="6" w:space="0" w:color="003A5D"/>
            </w:tcBorders>
            <w:shd w:fill="E5EBEE" w:val="clear"/>
            <w:tcMar>
              <w:bottom w:w="60" w:type="dxa"/>
            </w:tcMar>
            <w:vAlign w:val="center"/>
          </w:tcPr>
          <w:p>
            <w:pPr>
              <w:pStyle w:val="TableContents"/>
              <w:bidi w:val="0"/>
              <w:spacing w:before="0" w:after="283"/>
              <w:jc w:val="center"/>
              <w:rPr/>
            </w:pPr>
            <w:r>
              <w:rPr/>
              <w:t>(0.20)</w:t>
            </w:r>
          </w:p>
        </w:tc>
      </w:tr>
      <w:tr>
        <w:trPr/>
        <w:tc>
          <w:tcPr>
            <w:tcW w:w="743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right w:val="single" w:sz="24" w:space="0" w:color="FFFFFF"/>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sz w:val="20"/>
              </w:rPr>
            </w:pPr>
            <w:r>
              <w:rPr>
                <w:rFonts w:ascii="arial" w:hAnsi="arial"/>
                <w:b/>
                <w:sz w:val="20"/>
              </w:rPr>
              <w:t>Adjusted diluted EPS (non-GAAP)</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60" w:type="dxa"/>
            </w:tcMar>
            <w:vAlign w:val="center"/>
          </w:tcPr>
          <w:p>
            <w:pPr>
              <w:pStyle w:val="TableContents"/>
              <w:bidi w:val="0"/>
              <w:spacing w:before="0" w:after="283"/>
              <w:jc w:val="center"/>
              <w:rPr/>
            </w:pPr>
            <w:r>
              <w:rPr/>
              <w:t>$13.96</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800" w:type="dxa"/>
            <w:tcBorders>
              <w:bottom w:val="single" w:sz="6" w:space="0" w:color="003A5D"/>
              <w:right w:val="single" w:sz="24" w:space="0" w:color="FFFFFF"/>
            </w:tcBorders>
            <w:tcMar>
              <w:bottom w:w="60" w:type="dxa"/>
              <w:right w:w="28" w:type="dxa"/>
            </w:tcMar>
            <w:vAlign w:val="center"/>
          </w:tcPr>
          <w:p>
            <w:pPr>
              <w:pStyle w:val="TableContents"/>
              <w:bidi w:val="0"/>
              <w:spacing w:before="0" w:after="283"/>
              <w:jc w:val="center"/>
              <w:rPr/>
            </w:pPr>
            <w:r>
              <w:rPr/>
              <w:t>$12.52</w:t>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815" w:type="dxa"/>
            <w:tcBorders>
              <w:bottom w:val="single" w:sz="6" w:space="0" w:color="003A5D"/>
            </w:tcBorders>
            <w:tcMar>
              <w:bottom w:w="60" w:type="dxa"/>
            </w:tcMar>
            <w:vAlign w:val="center"/>
          </w:tcPr>
          <w:p>
            <w:pPr>
              <w:pStyle w:val="TableContents"/>
              <w:bidi w:val="0"/>
              <w:spacing w:before="0" w:after="283"/>
              <w:jc w:val="center"/>
              <w:rPr/>
            </w:pPr>
            <w:r>
              <w:rPr/>
              <w:t>$17.71</w:t>
            </w:r>
          </w:p>
        </w:tc>
      </w:tr>
      <w:tr>
        <w:trPr/>
        <w:tc>
          <w:tcPr>
            <w:tcW w:w="743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800" w:type="dxa"/>
            <w:tcBorders>
              <w:bottom w:val="single" w:sz="6" w:space="0" w:color="003A5D"/>
              <w:right w:val="single" w:sz="24" w:space="0" w:color="FFFFFF"/>
            </w:tcBorders>
            <w:tcMar>
              <w:bottom w:w="28" w:type="dxa"/>
              <w:right w:w="28"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800" w:type="dxa"/>
            <w:tcBorders>
              <w:bottom w:val="single" w:sz="6" w:space="0" w:color="003A5D"/>
              <w:right w:val="single" w:sz="24" w:space="0" w:color="FFFFFF"/>
            </w:tcBorders>
            <w:tcMar>
              <w:bottom w:w="28" w:type="dxa"/>
              <w:right w:w="28"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81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743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right w:val="single" w:sz="24" w:space="0" w:color="FFFFFF"/>
            </w:tcBorders>
            <w:tcMar>
              <w:right w:w="28" w:type="dxa"/>
            </w:tcMar>
            <w:vAlign w:val="center"/>
          </w:tcPr>
          <w:p>
            <w:pPr>
              <w:pStyle w:val="TableContents"/>
              <w:bidi w:val="0"/>
              <w:spacing w:before="0" w:after="283"/>
              <w:jc w:val="left"/>
              <w:rPr/>
            </w:pPr>
            <w:r>
              <w:rPr/>
              <w:t> </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right w:val="single" w:sz="24" w:space="0" w:color="FFFFFF"/>
            </w:tcBorders>
            <w:tcMar>
              <w:right w:w="28" w:type="dxa"/>
            </w:tcMar>
            <w:vAlign w:val="center"/>
          </w:tcPr>
          <w:p>
            <w:pPr>
              <w:pStyle w:val="TableContents"/>
              <w:bidi w:val="0"/>
              <w:spacing w:before="0" w:after="283"/>
              <w:jc w:val="left"/>
              <w:rPr/>
            </w:pPr>
            <w:r>
              <w:rPr/>
              <w:t> </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r>
      <w:tr>
        <w:trPr/>
        <w:tc>
          <w:tcPr>
            <w:tcW w:w="7430" w:type="dxa"/>
            <w:tcBorders/>
            <w:shd w:fill="E5EBEE" w:val="clear"/>
            <w:vAlign w:val="center"/>
          </w:tcPr>
          <w:p>
            <w:pPr>
              <w:pStyle w:val="TableContents"/>
              <w:bidi w:val="0"/>
              <w:spacing w:before="0" w:after="283"/>
              <w:jc w:val="left"/>
              <w:rPr>
                <w:sz w:val="4"/>
                <w:szCs w:val="4"/>
              </w:rPr>
            </w:pPr>
            <w:r>
              <w:rPr>
                <w:sz w:val="4"/>
                <w:szCs w:val="4"/>
              </w:rPr>
            </w:r>
          </w:p>
        </w:tc>
        <w:tc>
          <w:tcPr>
            <w:tcW w:w="9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20" w:type="dxa"/>
            <w:gridSpan w:val="2"/>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935"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7430"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800" w:type="dxa"/>
            <w:tcBorders>
              <w:right w:val="single" w:sz="24" w:space="0" w:color="FFFFFF"/>
            </w:tcBorders>
            <w:shd w:fill="E5EBEE" w:val="clear"/>
            <w:tcMar>
              <w:right w:w="28" w:type="dxa"/>
            </w:tcMar>
            <w:vAlign w:val="center"/>
          </w:tcPr>
          <w:p>
            <w:pPr>
              <w:pStyle w:val="TableContents"/>
              <w:bidi w:val="0"/>
              <w:spacing w:before="0" w:after="283"/>
              <w:jc w:val="left"/>
              <w:rPr/>
            </w:pPr>
            <w:r>
              <w:rPr/>
              <w:t> </w:t>
            </w:r>
          </w:p>
        </w:tc>
        <w:tc>
          <w:tcPr>
            <w:tcW w:w="120" w:type="dxa"/>
            <w:tcBorders/>
            <w:shd w:fill="E5EBEE" w:val="clear"/>
            <w:vAlign w:val="center"/>
          </w:tcPr>
          <w:p>
            <w:pPr>
              <w:pStyle w:val="TableContents"/>
              <w:bidi w:val="0"/>
              <w:spacing w:before="0" w:after="283"/>
              <w:jc w:val="left"/>
              <w:rPr/>
            </w:pPr>
            <w:r>
              <w:rPr/>
              <w:t>  </w:t>
            </w:r>
          </w:p>
        </w:tc>
        <w:tc>
          <w:tcPr>
            <w:tcW w:w="815" w:type="dxa"/>
            <w:tcBorders/>
            <w:shd w:fill="E5EBEE" w:val="clear"/>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283"/>
              <w:jc w:val="left"/>
              <w:rPr>
                <w:sz w:val="4"/>
                <w:szCs w:val="4"/>
              </w:rPr>
            </w:pPr>
            <w:r>
              <w:rPr>
                <w:sz w:val="4"/>
                <w:szCs w:val="4"/>
              </w:rPr>
            </w:r>
          </w:p>
        </w:tc>
        <w:tc>
          <w:tcPr>
            <w:tcW w:w="92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920" w:type="dxa"/>
            <w:gridSpan w:val="2"/>
            <w:tcBorders>
              <w:left w:val="single" w:sz="24" w:space="0" w:color="FFFFFF"/>
              <w:right w:val="single" w:sz="24" w:space="0" w:color="FFFFFF"/>
            </w:tcBorders>
            <w:tcMar>
              <w:left w:w="28" w:type="dxa"/>
              <w:right w:w="28" w:type="dxa"/>
            </w:tcMar>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0"/>
              <w:jc w:val="left"/>
              <w:rPr>
                <w:rFonts w:ascii="arial" w:hAnsi="arial"/>
                <w:b/>
                <w:sz w:val="20"/>
              </w:rPr>
            </w:pPr>
            <w:r>
              <w:rPr>
                <w:rFonts w:ascii="arial" w:hAnsi="arial"/>
                <w:b/>
                <w:sz w:val="20"/>
              </w:rPr>
              <w:t>Adjusted efficiency ratio:</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right w:val="single" w:sz="24" w:space="0" w:color="FFFFFF"/>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r>
      <w:tr>
        <w:trPr/>
        <w:tc>
          <w:tcPr>
            <w:tcW w:w="7430" w:type="dxa"/>
            <w:tcBorders/>
            <w:shd w:fill="E5EBEE" w:val="clear"/>
            <w:vAlign w:val="center"/>
          </w:tcPr>
          <w:p>
            <w:pPr>
              <w:pStyle w:val="TableContents"/>
              <w:bidi w:val="0"/>
              <w:spacing w:before="0" w:after="283"/>
              <w:jc w:val="left"/>
              <w:rPr>
                <w:sz w:val="4"/>
                <w:szCs w:val="4"/>
              </w:rPr>
            </w:pPr>
            <w:r>
              <w:rPr>
                <w:sz w:val="4"/>
                <w:szCs w:val="4"/>
              </w:rPr>
            </w:r>
          </w:p>
        </w:tc>
        <w:tc>
          <w:tcPr>
            <w:tcW w:w="9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20" w:type="dxa"/>
            <w:gridSpan w:val="2"/>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935"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7430" w:type="dxa"/>
            <w:tcBorders/>
            <w:shd w:fill="E5EBEE" w:val="clear"/>
            <w:vAlign w:val="center"/>
          </w:tcPr>
          <w:p>
            <w:pPr>
              <w:pStyle w:val="TableContents"/>
              <w:bidi w:val="0"/>
              <w:spacing w:before="0" w:after="0"/>
              <w:jc w:val="left"/>
              <w:rPr>
                <w:rFonts w:ascii="arial" w:hAnsi="arial"/>
                <w:sz w:val="20"/>
              </w:rPr>
            </w:pPr>
            <w:r>
              <w:rPr>
                <w:rFonts w:ascii="arial" w:hAnsi="arial"/>
                <w:sz w:val="20"/>
              </w:rPr>
              <w:t>Non-interest expense (GAAP)</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$21,486</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800" w:type="dxa"/>
            <w:tcBorders>
              <w:right w:val="single" w:sz="24" w:space="0" w:color="FFFFFF"/>
            </w:tcBorders>
            <w:shd w:fill="E5EBEE" w:val="clear"/>
            <w:tcMar>
              <w:right w:w="28" w:type="dxa"/>
            </w:tcMar>
            <w:vAlign w:val="center"/>
          </w:tcPr>
          <w:p>
            <w:pPr>
              <w:pStyle w:val="TableContents"/>
              <w:bidi w:val="0"/>
              <w:spacing w:before="0" w:after="283"/>
              <w:jc w:val="center"/>
              <w:rPr/>
            </w:pPr>
            <w:r>
              <w:rPr/>
              <w:t>$20,316</w:t>
            </w:r>
          </w:p>
        </w:tc>
        <w:tc>
          <w:tcPr>
            <w:tcW w:w="120" w:type="dxa"/>
            <w:tcBorders/>
            <w:shd w:fill="E5EBEE" w:val="clear"/>
            <w:vAlign w:val="center"/>
          </w:tcPr>
          <w:p>
            <w:pPr>
              <w:pStyle w:val="TableContents"/>
              <w:bidi w:val="0"/>
              <w:spacing w:before="0" w:after="283"/>
              <w:jc w:val="left"/>
              <w:rPr/>
            </w:pPr>
            <w:r>
              <w:rPr/>
              <w:t>  </w:t>
            </w:r>
          </w:p>
        </w:tc>
        <w:tc>
          <w:tcPr>
            <w:tcW w:w="815" w:type="dxa"/>
            <w:tcBorders/>
            <w:shd w:fill="E5EBEE" w:val="clear"/>
            <w:vAlign w:val="center"/>
          </w:tcPr>
          <w:p>
            <w:pPr>
              <w:pStyle w:val="TableContents"/>
              <w:bidi w:val="0"/>
              <w:spacing w:before="0" w:after="283"/>
              <w:jc w:val="center"/>
              <w:rPr/>
            </w:pPr>
            <w:r>
              <w:rPr/>
              <w:t>$19,163</w:t>
            </w:r>
          </w:p>
        </w:tc>
      </w:tr>
      <w:tr>
        <w:trPr/>
        <w:tc>
          <w:tcPr>
            <w:tcW w:w="7430" w:type="dxa"/>
            <w:tcBorders/>
            <w:vAlign w:val="center"/>
          </w:tcPr>
          <w:p>
            <w:pPr>
              <w:pStyle w:val="TableContents"/>
              <w:bidi w:val="0"/>
              <w:spacing w:before="0" w:after="283"/>
              <w:jc w:val="left"/>
              <w:rPr>
                <w:sz w:val="4"/>
                <w:szCs w:val="4"/>
              </w:rPr>
            </w:pPr>
            <w:r>
              <w:rPr>
                <w:sz w:val="4"/>
                <w:szCs w:val="4"/>
              </w:rPr>
            </w:r>
          </w:p>
        </w:tc>
        <w:tc>
          <w:tcPr>
            <w:tcW w:w="92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92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935"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7430" w:type="dxa"/>
            <w:tcBorders/>
            <w:vAlign w:val="center"/>
          </w:tcPr>
          <w:p>
            <w:pPr>
              <w:pStyle w:val="TableContents"/>
              <w:bidi w:val="0"/>
              <w:spacing w:before="0" w:after="0"/>
              <w:jc w:val="left"/>
              <w:rPr>
                <w:rFonts w:ascii="arial" w:hAnsi="arial"/>
                <w:sz w:val="20"/>
              </w:rPr>
            </w:pPr>
            <w:r>
              <w:rPr>
                <w:rFonts w:ascii="arial" w:hAnsi="arial"/>
                <w:sz w:val="20"/>
              </w:rPr>
              <w:t>Discover integration Expenses</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(234)</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w:t>
            </w:r>
          </w:p>
        </w:tc>
      </w:tr>
    </w:tbl>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134 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right"/>
              <w:rPr>
                <w:b/>
                <w:color w:val="003A5D"/>
              </w:rPr>
            </w:pPr>
            <w:r>
              <w:rPr>
                <w:b/>
                <w:color w:val="003A5D"/>
              </w:rPr>
              <w:t>OTHER MATTERS</w:t>
            </w:r>
          </w:p>
        </w:tc>
      </w:tr>
    </w:tbl>
    <w:p>
      <w:pPr>
        <w:pStyle w:val="TextBody"/>
        <w:pBdr>
          <w:bottom w:val="single" w:sz="2" w:space="1" w:color="003A5D"/>
        </w:pBdr>
        <w:bidi w:val="0"/>
        <w:spacing w:lineRule="atLeast" w:line="142" w:before="0" w:after="40"/>
        <w:jc w:val="left"/>
        <w:rPr/>
      </w:pPr>
      <w:r>
        <w:rPr/>
        <w:t> </w:t>
      </w:r>
    </w:p>
    <w:tbl>
      <w:tblPr>
        <w:tblW w:w="7160" w:type="dxa"/>
        <w:jc w:val="left"/>
        <w:tblInd w:w="0" w:type="dxa"/>
        <w:tblLayout w:type="fixed"/>
        <w:tblCellMar>
          <w:top w:w="0" w:type="dxa"/>
          <w:left w:w="0" w:type="dxa"/>
          <w:bottom w:w="0" w:type="dxa"/>
          <w:right w:w="0" w:type="dxa"/>
        </w:tblCellMar>
      </w:tblPr>
      <w:tblGrid>
        <w:gridCol w:w="7160"/>
      </w:tblGrid>
      <w:tr>
        <w:trPr/>
        <w:tc>
          <w:tcPr>
            <w:tcW w:w="7160" w:type="dxa"/>
            <w:tcBorders/>
            <w:vAlign w:val="center"/>
          </w:tcPr>
          <w:p>
            <w:pPr>
              <w:pStyle w:val="TableContents"/>
              <w:bidi w:val="0"/>
              <w:spacing w:before="0" w:after="283"/>
              <w:jc w:val="left"/>
              <w:rPr>
                <w:sz w:val="4"/>
                <w:szCs w:val="4"/>
              </w:rPr>
            </w:pPr>
            <w:r>
              <w:rPr>
                <w:sz w:val="4"/>
                <w:szCs w:val="4"/>
              </w:rPr>
            </w:r>
          </w:p>
        </w:tc>
      </w:tr>
      <w:tr>
        <w:trPr/>
        <w:tc>
          <w:tcPr>
            <w:tcW w:w="7160" w:type="dxa"/>
            <w:tcBorders/>
            <w:vAlign w:val="center"/>
          </w:tcPr>
          <w:p>
            <w:pPr>
              <w:pStyle w:val="TableContents"/>
              <w:bidi w:val="0"/>
              <w:spacing w:before="0" w:after="283"/>
              <w:jc w:val="right"/>
              <w:rPr>
                <w:b/>
                <w:color w:val="003A5D"/>
              </w:rPr>
            </w:pPr>
            <w:r>
              <w:rPr>
                <w:b/>
                <w:color w:val="003A5D"/>
              </w:rPr>
              <w:t>Appendix A - Information Regarding Non-GAAP Financial Measures</w:t>
            </w:r>
          </w:p>
        </w:tc>
      </w:tr>
    </w:tbl>
    <w:p>
      <w:pPr>
        <w:pStyle w:val="TextBody"/>
        <w:bidi w:val="0"/>
        <w:spacing w:before="0" w:after="0"/>
        <w:jc w:val="left"/>
        <w:rPr/>
      </w:pPr>
      <w:r>
        <w:rPr/>
        <w:t> </w:t>
      </w:r>
    </w:p>
    <w:tbl>
      <w:tblPr>
        <w:tblW w:w="8915" w:type="dxa"/>
        <w:jc w:val="left"/>
        <w:tblInd w:w="0" w:type="dxa"/>
        <w:tblLayout w:type="fixed"/>
        <w:tblCellMar>
          <w:top w:w="0" w:type="dxa"/>
          <w:left w:w="0" w:type="dxa"/>
          <w:bottom w:w="0" w:type="dxa"/>
          <w:right w:w="0" w:type="dxa"/>
        </w:tblCellMar>
      </w:tblPr>
      <w:tblGrid>
        <w:gridCol w:w="5780"/>
        <w:gridCol w:w="120"/>
        <w:gridCol w:w="60"/>
        <w:gridCol w:w="800"/>
        <w:gridCol w:w="60"/>
        <w:gridCol w:w="120"/>
        <w:gridCol w:w="60"/>
        <w:gridCol w:w="800"/>
        <w:gridCol w:w="60"/>
        <w:gridCol w:w="120"/>
        <w:gridCol w:w="60"/>
        <w:gridCol w:w="800"/>
        <w:gridCol w:w="75"/>
      </w:tblGrid>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003A5D" w:val="clear"/>
            <w:vAlign w:val="center"/>
          </w:tcPr>
          <w:p>
            <w:pPr>
              <w:pStyle w:val="TableContents"/>
              <w:bidi w:val="0"/>
              <w:spacing w:before="0" w:after="283"/>
              <w:jc w:val="left"/>
              <w:rPr>
                <w:sz w:val="4"/>
                <w:szCs w:val="4"/>
              </w:rPr>
            </w:pPr>
            <w:r>
              <w:rPr>
                <w:sz w:val="4"/>
                <w:szCs w:val="4"/>
              </w:rPr>
            </w:r>
          </w:p>
        </w:tc>
        <w:tc>
          <w:tcPr>
            <w:tcW w:w="3135" w:type="dxa"/>
            <w:gridSpan w:val="12"/>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5780" w:type="dxa"/>
            <w:tcBorders/>
            <w:shd w:fill="003A5D" w:val="clear"/>
            <w:vAlign w:val="center"/>
          </w:tcPr>
          <w:p>
            <w:pPr>
              <w:pStyle w:val="TableContents"/>
              <w:bidi w:val="0"/>
              <w:spacing w:before="0" w:after="283"/>
              <w:jc w:val="left"/>
              <w:rPr/>
            </w:pPr>
            <w:r>
              <w:rPr/>
              <w:t> </w:t>
            </w:r>
          </w:p>
        </w:tc>
        <w:tc>
          <w:tcPr>
            <w:tcW w:w="120" w:type="dxa"/>
            <w:tcBorders>
              <w:left w:val="single" w:sz="24" w:space="0" w:color="FFFFFF"/>
              <w:bottom w:val="single" w:sz="24" w:space="0" w:color="FFFFFF"/>
            </w:tcBorders>
            <w:shd w:fill="003A5D" w:val="clear"/>
            <w:tcMar>
              <w:left w:w="28" w:type="dxa"/>
              <w:bottom w:w="28" w:type="dxa"/>
            </w:tcMar>
            <w:vAlign w:val="center"/>
          </w:tcPr>
          <w:p>
            <w:pPr>
              <w:pStyle w:val="TableContents"/>
              <w:bidi w:val="0"/>
              <w:spacing w:before="0" w:after="283"/>
              <w:jc w:val="left"/>
              <w:rPr/>
            </w:pPr>
            <w:r>
              <w:rPr/>
              <w:t>  </w:t>
            </w:r>
          </w:p>
        </w:tc>
        <w:tc>
          <w:tcPr>
            <w:tcW w:w="2940" w:type="dxa"/>
            <w:gridSpan w:val="10"/>
            <w:tcBorders>
              <w:bottom w:val="single" w:sz="24" w:space="0" w:color="FFFFFF"/>
            </w:tcBorders>
            <w:shd w:fill="003A5D" w:val="clear"/>
            <w:tcMar>
              <w:bottom w:w="60" w:type="dxa"/>
            </w:tcMar>
            <w:vAlign w:val="center"/>
          </w:tcPr>
          <w:p>
            <w:pPr>
              <w:pStyle w:val="TableContents"/>
              <w:bidi w:val="0"/>
              <w:spacing w:before="0" w:after="20"/>
              <w:jc w:val="center"/>
              <w:rPr>
                <w:rFonts w:ascii="arial" w:hAnsi="arial"/>
                <w:b/>
                <w:color w:val="FFFFFF"/>
                <w:sz w:val="18"/>
              </w:rPr>
            </w:pPr>
            <w:r>
              <w:rPr>
                <w:rFonts w:ascii="arial" w:hAnsi="arial"/>
                <w:b/>
                <w:color w:val="FFFFFF"/>
                <w:sz w:val="18"/>
              </w:rPr>
              <w:t>Year Ended December 31,</w:t>
            </w:r>
          </w:p>
        </w:tc>
        <w:tc>
          <w:tcPr>
            <w:tcW w:w="75" w:type="dxa"/>
            <w:tcBorders>
              <w:bottom w:val="single" w:sz="24" w:space="0" w:color="FFFFFF"/>
            </w:tcBorders>
            <w:shd w:fill="003A5D" w:val="clear"/>
            <w:tcMar>
              <w:bottom w:w="28" w:type="dxa"/>
            </w:tcMar>
            <w:vAlign w:val="center"/>
          </w:tcPr>
          <w:p>
            <w:pPr>
              <w:pStyle w:val="TableContents"/>
              <w:bidi w:val="0"/>
              <w:spacing w:before="0" w:after="283"/>
              <w:jc w:val="left"/>
              <w:rPr/>
            </w:pPr>
            <w:r>
              <w:rPr/>
              <w:t> </w:t>
            </w:r>
          </w:p>
        </w:tc>
      </w:tr>
      <w:tr>
        <w:trPr/>
        <w:tc>
          <w:tcPr>
            <w:tcW w:w="5780" w:type="dxa"/>
            <w:tcBorders/>
            <w:shd w:fill="003A5D"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right w:val="single" w:sz="24" w:space="0" w:color="FFFFFF"/>
            </w:tcBorders>
            <w:shd w:fill="003A5D" w:val="clear"/>
            <w:tcMar>
              <w:left w:w="28" w:type="dxa"/>
              <w:right w:w="28" w:type="dxa"/>
            </w:tcMar>
            <w:vAlign w:val="center"/>
          </w:tcPr>
          <w:p>
            <w:pPr>
              <w:pStyle w:val="TableContents"/>
              <w:bidi w:val="0"/>
              <w:spacing w:before="0" w:after="283"/>
              <w:jc w:val="left"/>
              <w:rPr/>
            </w:pPr>
            <w:r>
              <w:rPr/>
              <w:t> </w:t>
            </w:r>
          </w:p>
        </w:tc>
        <w:tc>
          <w:tcPr>
            <w:tcW w:w="1055" w:type="dxa"/>
            <w:gridSpan w:val="4"/>
            <w:tcBorders/>
            <w:shd w:fill="003A5D" w:val="clear"/>
            <w:vAlign w:val="center"/>
          </w:tcPr>
          <w:p>
            <w:pPr>
              <w:pStyle w:val="TableContents"/>
              <w:bidi w:val="0"/>
              <w:spacing w:before="0" w:after="283"/>
              <w:jc w:val="left"/>
              <w:rPr>
                <w:sz w:val="4"/>
                <w:szCs w:val="4"/>
              </w:rPr>
            </w:pPr>
            <w:r>
              <w:rPr>
                <w:sz w:val="4"/>
                <w:szCs w:val="4"/>
              </w:rPr>
            </w:r>
          </w:p>
        </w:tc>
      </w:tr>
      <w:tr>
        <w:trPr/>
        <w:tc>
          <w:tcPr>
            <w:tcW w:w="5780" w:type="dxa"/>
            <w:tcBorders/>
            <w:shd w:fill="003A5D" w:val="clear"/>
            <w:vAlign w:val="center"/>
          </w:tcPr>
          <w:p>
            <w:pPr>
              <w:pStyle w:val="TableContents"/>
              <w:bidi w:val="0"/>
              <w:spacing w:before="0" w:after="283"/>
              <w:jc w:val="left"/>
              <w:rPr>
                <w:color w:val="FFFFFF"/>
              </w:rPr>
            </w:pPr>
            <w:r>
              <w:rPr>
                <w:color w:val="FFFFFF"/>
              </w:rPr>
              <w:t> </w:t>
            </w:r>
            <w:r>
              <w:rPr>
                <w:b/>
                <w:color w:val="FFFFFF"/>
              </w:rPr>
              <w:t>(Dollars in millions, except per share data and as noted)</w:t>
            </w:r>
          </w:p>
        </w:tc>
        <w:tc>
          <w:tcPr>
            <w:tcW w:w="12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860" w:type="dxa"/>
            <w:gridSpan w:val="2"/>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2024</w:t>
            </w:r>
          </w:p>
        </w:tc>
        <w:tc>
          <w:tcPr>
            <w:tcW w:w="60" w:type="dxa"/>
            <w:tcBorders/>
            <w:shd w:fill="003A5D" w:val="clear"/>
            <w:vAlign w:val="center"/>
          </w:tcPr>
          <w:p>
            <w:pPr>
              <w:pStyle w:val="TableContents"/>
              <w:bidi w:val="0"/>
              <w:spacing w:before="0" w:after="283"/>
              <w:jc w:val="left"/>
              <w:rPr/>
            </w:pPr>
            <w:r>
              <w:rPr/>
              <w:t> </w:t>
            </w:r>
          </w:p>
        </w:tc>
        <w:tc>
          <w:tcPr>
            <w:tcW w:w="12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860" w:type="dxa"/>
            <w:gridSpan w:val="2"/>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2023</w:t>
            </w:r>
          </w:p>
        </w:tc>
        <w:tc>
          <w:tcPr>
            <w:tcW w:w="60" w:type="dxa"/>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20" w:type="dxa"/>
            <w:tcBorders/>
            <w:shd w:fill="003A5D" w:val="clear"/>
            <w:vAlign w:val="center"/>
          </w:tcPr>
          <w:p>
            <w:pPr>
              <w:pStyle w:val="TableContents"/>
              <w:bidi w:val="0"/>
              <w:spacing w:before="0" w:after="283"/>
              <w:jc w:val="left"/>
              <w:rPr/>
            </w:pPr>
            <w:r>
              <w:rPr/>
              <w:t>  </w:t>
            </w:r>
          </w:p>
        </w:tc>
        <w:tc>
          <w:tcPr>
            <w:tcW w:w="860" w:type="dxa"/>
            <w:gridSpan w:val="2"/>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2022</w:t>
            </w:r>
          </w:p>
        </w:tc>
        <w:tc>
          <w:tcPr>
            <w:tcW w:w="75" w:type="dxa"/>
            <w:tcBorders/>
            <w:shd w:fill="003A5D" w:val="clear"/>
            <w:vAlign w:val="center"/>
          </w:tcPr>
          <w:p>
            <w:pPr>
              <w:pStyle w:val="TableContents"/>
              <w:bidi w:val="0"/>
              <w:spacing w:before="0" w:after="283"/>
              <w:jc w:val="left"/>
              <w:rPr/>
            </w:pPr>
            <w:r>
              <w:rPr/>
              <w:t> </w:t>
            </w:r>
          </w:p>
        </w:tc>
      </w:tr>
      <w:tr>
        <w:trPr/>
        <w:tc>
          <w:tcPr>
            <w:tcW w:w="5780" w:type="dxa"/>
            <w:tcBorders/>
            <w:shd w:fill="E5EBEE"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780" w:type="dxa"/>
            <w:tcBorders/>
            <w:shd w:fill="E5EBEE" w:val="clear"/>
            <w:vAlign w:val="center"/>
          </w:tcPr>
          <w:p>
            <w:pPr>
              <w:pStyle w:val="TableContents"/>
              <w:bidi w:val="0"/>
              <w:spacing w:before="0" w:after="0"/>
              <w:jc w:val="left"/>
              <w:rPr>
                <w:rFonts w:ascii="arial" w:hAnsi="arial"/>
                <w:sz w:val="20"/>
              </w:rPr>
            </w:pPr>
            <w:r>
              <w:rPr>
                <w:rFonts w:ascii="arial" w:hAnsi="arial"/>
                <w:sz w:val="20"/>
              </w:rPr>
              <w:t>Legal reserve activity</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$(75)</w:t>
            </w:r>
          </w:p>
        </w:tc>
        <w:tc>
          <w:tcPr>
            <w:tcW w:w="60" w:type="dxa"/>
            <w:tcBorders/>
            <w:shd w:fill="E5EBEE" w:val="clear"/>
            <w:vAlign w:val="center"/>
          </w:tcPr>
          <w:p>
            <w:pPr>
              <w:pStyle w:val="TableContents"/>
              <w:bidi w:val="0"/>
              <w:spacing w:before="0" w:after="283"/>
              <w:jc w:val="left"/>
              <w:rPr/>
            </w:pPr>
            <w:r>
              <w:rPr/>
              <w:t> </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w:t>
            </w:r>
          </w:p>
        </w:tc>
        <w:tc>
          <w:tcPr>
            <w:tcW w:w="60" w:type="dxa"/>
            <w:tcBorders/>
            <w:shd w:fill="E5EBEE" w:val="clear"/>
            <w:vAlign w:val="center"/>
          </w:tcPr>
          <w:p>
            <w:pPr>
              <w:pStyle w:val="TableContents"/>
              <w:bidi w:val="0"/>
              <w:spacing w:before="0" w:after="283"/>
              <w:jc w:val="left"/>
              <w:rPr/>
            </w:pPr>
            <w:r>
              <w:rPr/>
              <w:t> </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w:t>
            </w:r>
          </w:p>
        </w:tc>
        <w:tc>
          <w:tcPr>
            <w:tcW w:w="75" w:type="dxa"/>
            <w:tcBorders/>
            <w:shd w:fill="E5EBEE" w:val="cle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0"/>
              <w:jc w:val="left"/>
              <w:rPr>
                <w:rFonts w:ascii="arial" w:hAnsi="arial"/>
                <w:sz w:val="20"/>
              </w:rPr>
            </w:pPr>
            <w:r>
              <w:rPr>
                <w:rFonts w:ascii="arial" w:hAnsi="arial"/>
                <w:sz w:val="20"/>
              </w:rPr>
              <w:t>FDIC Special Assessment</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(41)</w:t>
            </w:r>
          </w:p>
        </w:tc>
        <w:tc>
          <w:tcPr>
            <w:tcW w:w="60" w:type="dxa"/>
            <w:tcBorders/>
            <w:vAlign w:val="center"/>
          </w:tcPr>
          <w:p>
            <w:pPr>
              <w:pStyle w:val="TableContents"/>
              <w:bidi w:val="0"/>
              <w:spacing w:before="0" w:after="283"/>
              <w:jc w:val="left"/>
              <w:rPr/>
            </w:pPr>
            <w:r>
              <w:rPr/>
              <w:t> </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(289)</w:t>
            </w:r>
          </w:p>
        </w:tc>
        <w:tc>
          <w:tcPr>
            <w:tcW w:w="60" w:type="dxa"/>
            <w:tcBorders/>
            <w:vAlign w:val="center"/>
          </w:tcPr>
          <w:p>
            <w:pPr>
              <w:pStyle w:val="TableContents"/>
              <w:bidi w:val="0"/>
              <w:spacing w:before="0" w:after="283"/>
              <w:jc w:val="left"/>
              <w:rPr/>
            </w:pPr>
            <w:r>
              <w:rPr/>
              <w:t> </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5780" w:type="dxa"/>
            <w:tcBorders/>
            <w:shd w:fill="E5EBEE"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780" w:type="dxa"/>
            <w:tcBorders/>
            <w:shd w:fill="E5EBEE" w:val="clear"/>
            <w:vAlign w:val="center"/>
          </w:tcPr>
          <w:p>
            <w:pPr>
              <w:pStyle w:val="TableContents"/>
              <w:bidi w:val="0"/>
              <w:spacing w:before="0" w:after="0"/>
              <w:jc w:val="left"/>
              <w:rPr>
                <w:rFonts w:ascii="arial" w:hAnsi="arial"/>
                <w:sz w:val="20"/>
              </w:rPr>
            </w:pPr>
            <w:r>
              <w:rPr>
                <w:rFonts w:ascii="arial" w:hAnsi="arial"/>
                <w:sz w:val="20"/>
              </w:rPr>
              <w:t>Insurance recoveries and legal reserve activity</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w:t>
            </w:r>
          </w:p>
        </w:tc>
        <w:tc>
          <w:tcPr>
            <w:tcW w:w="60" w:type="dxa"/>
            <w:tcBorders/>
            <w:shd w:fill="E5EBEE" w:val="clear"/>
            <w:vAlign w:val="center"/>
          </w:tcPr>
          <w:p>
            <w:pPr>
              <w:pStyle w:val="TableContents"/>
              <w:bidi w:val="0"/>
              <w:spacing w:before="0" w:after="283"/>
              <w:jc w:val="left"/>
              <w:rPr/>
            </w:pPr>
            <w:r>
              <w:rPr/>
              <w:t> </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w:t>
            </w:r>
          </w:p>
        </w:tc>
        <w:tc>
          <w:tcPr>
            <w:tcW w:w="60" w:type="dxa"/>
            <w:tcBorders/>
            <w:shd w:fill="E5EBEE" w:val="clear"/>
            <w:vAlign w:val="center"/>
          </w:tcPr>
          <w:p>
            <w:pPr>
              <w:pStyle w:val="TableContents"/>
              <w:bidi w:val="0"/>
              <w:spacing w:before="0" w:after="283"/>
              <w:jc w:val="left"/>
              <w:rPr/>
            </w:pPr>
            <w:r>
              <w:rPr/>
              <w:t> </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177</w:t>
            </w:r>
          </w:p>
        </w:tc>
        <w:tc>
          <w:tcPr>
            <w:tcW w:w="75" w:type="dxa"/>
            <w:tcBorders/>
            <w:shd w:fill="E5EBEE" w:val="cle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0"/>
              <w:jc w:val="left"/>
              <w:rPr>
                <w:rFonts w:ascii="arial" w:hAnsi="arial"/>
                <w:sz w:val="20"/>
              </w:rPr>
            </w:pPr>
            <w:r>
              <w:rPr>
                <w:rFonts w:ascii="arial" w:hAnsi="arial"/>
                <w:sz w:val="20"/>
              </w:rPr>
              <w:t>Restructuring Charges</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tcMar>
              <w:bottom w:w="60" w:type="dxa"/>
            </w:tcMar>
            <w:vAlign w:val="center"/>
          </w:tcPr>
          <w:p>
            <w:pPr>
              <w:pStyle w:val="TableContents"/>
              <w:bidi w:val="0"/>
              <w:spacing w:before="0" w:after="283"/>
              <w:jc w:val="center"/>
              <w:rPr/>
            </w:pPr>
            <w:r>
              <w:rPr/>
              <w:t>(72)</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E5EBEE"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780" w:type="dxa"/>
            <w:tcBorders/>
            <w:shd w:fill="E5EBEE" w:val="clear"/>
            <w:vAlign w:val="center"/>
          </w:tcPr>
          <w:p>
            <w:pPr>
              <w:pStyle w:val="TableContents"/>
              <w:bidi w:val="0"/>
              <w:spacing w:before="0" w:after="0"/>
              <w:jc w:val="left"/>
              <w:rPr>
                <w:rFonts w:ascii="arial" w:hAnsi="arial"/>
                <w:sz w:val="20"/>
              </w:rPr>
            </w:pPr>
            <w:r>
              <w:rPr>
                <w:rFonts w:ascii="arial" w:hAnsi="arial"/>
                <w:sz w:val="20"/>
              </w:rPr>
              <w:t>Adjusted non-interest expense (non-GAAP)</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$21,136</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$20,027</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$19,268</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E5EBEE"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780" w:type="dxa"/>
            <w:tcBorders/>
            <w:shd w:fill="E5EBEE" w:val="clear"/>
            <w:vAlign w:val="center"/>
          </w:tcPr>
          <w:p>
            <w:pPr>
              <w:pStyle w:val="TableContents"/>
              <w:bidi w:val="0"/>
              <w:spacing w:before="0" w:after="0"/>
              <w:jc w:val="left"/>
              <w:rPr>
                <w:rFonts w:ascii="arial" w:hAnsi="arial"/>
                <w:sz w:val="20"/>
              </w:rPr>
            </w:pPr>
            <w:r>
              <w:rPr>
                <w:rFonts w:ascii="arial" w:hAnsi="arial"/>
                <w:sz w:val="20"/>
              </w:rPr>
              <w:t>Total net revenue (GAAP)</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$39,112</w:t>
            </w:r>
          </w:p>
        </w:tc>
        <w:tc>
          <w:tcPr>
            <w:tcW w:w="60" w:type="dxa"/>
            <w:tcBorders/>
            <w:shd w:fill="E5EBEE" w:val="clear"/>
            <w:vAlign w:val="center"/>
          </w:tcPr>
          <w:p>
            <w:pPr>
              <w:pStyle w:val="TableContents"/>
              <w:bidi w:val="0"/>
              <w:spacing w:before="0" w:after="283"/>
              <w:jc w:val="left"/>
              <w:rPr/>
            </w:pPr>
            <w:r>
              <w:rPr/>
              <w:t> </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$36,787</w:t>
            </w:r>
          </w:p>
        </w:tc>
        <w:tc>
          <w:tcPr>
            <w:tcW w:w="60" w:type="dxa"/>
            <w:tcBorders/>
            <w:shd w:fill="E5EBEE" w:val="clear"/>
            <w:vAlign w:val="center"/>
          </w:tcPr>
          <w:p>
            <w:pPr>
              <w:pStyle w:val="TableContents"/>
              <w:bidi w:val="0"/>
              <w:spacing w:before="0" w:after="283"/>
              <w:jc w:val="left"/>
              <w:rPr/>
            </w:pPr>
            <w:r>
              <w:rPr/>
              <w:t> </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$34,250</w:t>
            </w:r>
          </w:p>
        </w:tc>
        <w:tc>
          <w:tcPr>
            <w:tcW w:w="75" w:type="dxa"/>
            <w:tcBorders/>
            <w:shd w:fill="E5EBEE" w:val="cle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0"/>
              <w:jc w:val="left"/>
              <w:rPr>
                <w:rFonts w:ascii="arial" w:hAnsi="arial"/>
                <w:sz w:val="20"/>
              </w:rPr>
            </w:pPr>
            <w:r>
              <w:rPr>
                <w:rFonts w:ascii="arial" w:hAnsi="arial"/>
                <w:sz w:val="20"/>
              </w:rPr>
              <w:t>Walmart program agreement termination contra revenue impact</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tcMar>
              <w:bottom w:w="60" w:type="dxa"/>
            </w:tcMar>
            <w:vAlign w:val="center"/>
          </w:tcPr>
          <w:p>
            <w:pPr>
              <w:pStyle w:val="TableContents"/>
              <w:bidi w:val="0"/>
              <w:spacing w:before="0" w:after="283"/>
              <w:jc w:val="center"/>
              <w:rPr/>
            </w:pPr>
            <w:r>
              <w:rPr/>
              <w:t>27</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tcMar>
              <w:bottom w:w="60" w:type="dxa"/>
            </w:tcMar>
            <w:vAlign w:val="center"/>
          </w:tcPr>
          <w:p>
            <w:pPr>
              <w:pStyle w:val="TableContents"/>
              <w:bidi w:val="0"/>
              <w:spacing w:before="0" w:after="283"/>
              <w:jc w:val="center"/>
              <w:rPr/>
            </w:pPr>
            <w:r>
              <w:rPr/>
              <w:t>—</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E5EBEE"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780" w:type="dxa"/>
            <w:tcBorders/>
            <w:shd w:fill="E5EBEE" w:val="clear"/>
            <w:vAlign w:val="center"/>
          </w:tcPr>
          <w:p>
            <w:pPr>
              <w:pStyle w:val="TableContents"/>
              <w:bidi w:val="0"/>
              <w:spacing w:before="0" w:after="0"/>
              <w:jc w:val="left"/>
              <w:rPr>
                <w:rFonts w:ascii="arial" w:hAnsi="arial"/>
                <w:sz w:val="20"/>
              </w:rPr>
            </w:pPr>
            <w:r>
              <w:rPr>
                <w:rFonts w:ascii="arial" w:hAnsi="arial"/>
                <w:sz w:val="20"/>
              </w:rPr>
              <w:t>Adjusted net revenue (non-GAAP)</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$39,139</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$36,787</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$34,250</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80" w:type="dxa"/>
            <w:tcBorders>
              <w:right w:val="single" w:sz="32" w:space="0" w:color="FFFFFF"/>
            </w:tcBorders>
            <w:tcMar>
              <w:righ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780" w:type="dxa"/>
            <w:tcBorders>
              <w:right w:val="single" w:sz="32" w:space="0" w:color="FFFFFF"/>
            </w:tcBorders>
            <w:tcMar>
              <w:right w:w="28" w:type="dxa"/>
            </w:tcMar>
            <w:vAlign w:val="center"/>
          </w:tcPr>
          <w:p>
            <w:pPr>
              <w:pStyle w:val="TableContents"/>
              <w:bidi w:val="0"/>
              <w:spacing w:before="0" w:after="283"/>
              <w:jc w:val="left"/>
              <w:rPr/>
            </w:pPr>
            <w:r>
              <w:rPr/>
              <w:t> </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E5EBEE"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780" w:type="dxa"/>
            <w:tcBorders/>
            <w:shd w:fill="E5EBEE" w:val="clear"/>
            <w:vAlign w:val="center"/>
          </w:tcPr>
          <w:p>
            <w:pPr>
              <w:pStyle w:val="TableContents"/>
              <w:bidi w:val="0"/>
              <w:spacing w:before="0" w:after="0"/>
              <w:jc w:val="left"/>
              <w:rPr>
                <w:rFonts w:ascii="arial" w:hAnsi="arial"/>
                <w:sz w:val="20"/>
              </w:rPr>
            </w:pPr>
            <w:r>
              <w:rPr>
                <w:rFonts w:ascii="arial" w:hAnsi="arial"/>
                <w:sz w:val="20"/>
              </w:rPr>
              <w:t>Efficiency ratio(1) (GAAP)</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54.93%</w:t>
            </w:r>
          </w:p>
        </w:tc>
        <w:tc>
          <w:tcPr>
            <w:tcW w:w="60" w:type="dxa"/>
            <w:tcBorders/>
            <w:shd w:fill="E5EBEE" w:val="clear"/>
            <w:vAlign w:val="center"/>
          </w:tcPr>
          <w:p>
            <w:pPr>
              <w:pStyle w:val="TableContents"/>
              <w:bidi w:val="0"/>
              <w:spacing w:before="0" w:after="283"/>
              <w:jc w:val="left"/>
              <w:rPr/>
            </w:pPr>
            <w:r>
              <w:rPr/>
              <w:t> </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55.23%</w:t>
            </w:r>
          </w:p>
        </w:tc>
        <w:tc>
          <w:tcPr>
            <w:tcW w:w="60" w:type="dxa"/>
            <w:tcBorders/>
            <w:shd w:fill="E5EBEE" w:val="clear"/>
            <w:vAlign w:val="center"/>
          </w:tcPr>
          <w:p>
            <w:pPr>
              <w:pStyle w:val="TableContents"/>
              <w:bidi w:val="0"/>
              <w:spacing w:before="0" w:after="283"/>
              <w:jc w:val="left"/>
              <w:rPr/>
            </w:pPr>
            <w:r>
              <w:rPr/>
              <w:t> </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55.95%</w:t>
            </w:r>
          </w:p>
        </w:tc>
        <w:tc>
          <w:tcPr>
            <w:tcW w:w="75" w:type="dxa"/>
            <w:tcBorders/>
            <w:shd w:fill="E5EBEE" w:val="clear"/>
            <w:vAlign w:val="center"/>
          </w:tcPr>
          <w:p>
            <w:pPr>
              <w:pStyle w:val="TableContents"/>
              <w:bidi w:val="0"/>
              <w:spacing w:before="0" w:after="283"/>
              <w:jc w:val="left"/>
              <w:rPr/>
            </w:pPr>
            <w:r>
              <w:rPr/>
              <w:t> </w:t>
            </w:r>
          </w:p>
        </w:tc>
      </w:tr>
      <w:tr>
        <w:trPr/>
        <w:tc>
          <w:tcPr>
            <w:tcW w:w="5780" w:type="dxa"/>
            <w:tcBorders>
              <w:right w:val="single" w:sz="32" w:space="0" w:color="FFFFFF"/>
            </w:tcBorders>
            <w:tcMar>
              <w:righ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780" w:type="dxa"/>
            <w:tcBorders>
              <w:right w:val="single" w:sz="32" w:space="0" w:color="FFFFFF"/>
            </w:tcBorders>
            <w:tcMar>
              <w:right w:w="28" w:type="dxa"/>
            </w:tcMar>
            <w:vAlign w:val="center"/>
          </w:tcPr>
          <w:p>
            <w:pPr>
              <w:pStyle w:val="TableContents"/>
              <w:bidi w:val="0"/>
              <w:spacing w:before="0" w:after="283"/>
              <w:jc w:val="left"/>
              <w:rPr/>
            </w:pPr>
            <w:r>
              <w:rPr/>
              <w:t> </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E5EBEE"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780" w:type="dxa"/>
            <w:tcBorders/>
            <w:shd w:fill="E5EBEE" w:val="clear"/>
            <w:vAlign w:val="center"/>
          </w:tcPr>
          <w:p>
            <w:pPr>
              <w:pStyle w:val="TableContents"/>
              <w:bidi w:val="0"/>
              <w:spacing w:before="0" w:after="0"/>
              <w:jc w:val="left"/>
              <w:rPr>
                <w:rFonts w:ascii="arial" w:hAnsi="arial"/>
                <w:sz w:val="20"/>
              </w:rPr>
            </w:pPr>
            <w:r>
              <w:rPr>
                <w:rFonts w:ascii="arial" w:hAnsi="arial"/>
                <w:sz w:val="20"/>
              </w:rPr>
              <w:t>Impact of adjustments noted above</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(93) bps</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(79) bps</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31 bps</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0"/>
              <w:jc w:val="left"/>
              <w:rPr>
                <w:rFonts w:ascii="arial" w:hAnsi="arial"/>
                <w:b/>
                <w:sz w:val="20"/>
              </w:rPr>
            </w:pPr>
            <w:r>
              <w:rPr>
                <w:rFonts w:ascii="arial" w:hAnsi="arial"/>
                <w:b/>
                <w:sz w:val="20"/>
              </w:rPr>
              <w:t>Adjusted efficiency ratio (non-GAAP)</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tcMar>
              <w:bottom w:w="60" w:type="dxa"/>
            </w:tcMar>
            <w:vAlign w:val="center"/>
          </w:tcPr>
          <w:p>
            <w:pPr>
              <w:pStyle w:val="TableContents"/>
              <w:bidi w:val="0"/>
              <w:spacing w:before="0" w:after="283"/>
              <w:jc w:val="center"/>
              <w:rPr/>
            </w:pPr>
            <w:r>
              <w:rPr/>
              <w:t>54.00%</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tcMar>
              <w:bottom w:w="60" w:type="dxa"/>
            </w:tcMar>
            <w:vAlign w:val="center"/>
          </w:tcPr>
          <w:p>
            <w:pPr>
              <w:pStyle w:val="TableContents"/>
              <w:bidi w:val="0"/>
              <w:spacing w:before="0" w:after="283"/>
              <w:jc w:val="center"/>
              <w:rPr/>
            </w:pPr>
            <w:r>
              <w:rPr/>
              <w:t>54.44%</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tcMar>
              <w:bottom w:w="60" w:type="dxa"/>
            </w:tcMar>
            <w:vAlign w:val="center"/>
          </w:tcPr>
          <w:p>
            <w:pPr>
              <w:pStyle w:val="TableContents"/>
              <w:bidi w:val="0"/>
              <w:spacing w:before="0" w:after="283"/>
              <w:jc w:val="center"/>
              <w:rPr/>
            </w:pPr>
            <w:r>
              <w:rPr/>
              <w:t>56.26%</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E5EBEE"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780"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75" w:type="dxa"/>
            <w:tcBorders/>
            <w:shd w:fill="E5EBEE" w:val="clear"/>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0"/>
              <w:jc w:val="left"/>
              <w:rPr>
                <w:rFonts w:ascii="arial" w:hAnsi="arial"/>
                <w:b/>
                <w:sz w:val="20"/>
              </w:rPr>
            </w:pPr>
            <w:r>
              <w:rPr>
                <w:rFonts w:ascii="arial" w:hAnsi="arial"/>
                <w:b/>
                <w:sz w:val="20"/>
              </w:rPr>
              <w:t>Adjusted operating efficiency ratio:</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E5EBEE"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780" w:type="dxa"/>
            <w:tcBorders/>
            <w:shd w:fill="E5EBEE" w:val="clear"/>
            <w:vAlign w:val="center"/>
          </w:tcPr>
          <w:p>
            <w:pPr>
              <w:pStyle w:val="TableContents"/>
              <w:bidi w:val="0"/>
              <w:spacing w:before="0" w:after="0"/>
              <w:jc w:val="left"/>
              <w:rPr>
                <w:rFonts w:ascii="arial" w:hAnsi="arial"/>
                <w:sz w:val="20"/>
              </w:rPr>
            </w:pPr>
            <w:r>
              <w:rPr>
                <w:rFonts w:ascii="arial" w:hAnsi="arial"/>
                <w:sz w:val="20"/>
              </w:rPr>
              <w:t>Operating expense (GAAP)</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$16,924</w:t>
            </w:r>
          </w:p>
        </w:tc>
        <w:tc>
          <w:tcPr>
            <w:tcW w:w="60" w:type="dxa"/>
            <w:tcBorders/>
            <w:shd w:fill="E5EBEE" w:val="clear"/>
            <w:vAlign w:val="center"/>
          </w:tcPr>
          <w:p>
            <w:pPr>
              <w:pStyle w:val="TableContents"/>
              <w:bidi w:val="0"/>
              <w:spacing w:before="0" w:after="283"/>
              <w:jc w:val="left"/>
              <w:rPr/>
            </w:pPr>
            <w:r>
              <w:rPr/>
              <w:t> </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$16,307</w:t>
            </w:r>
          </w:p>
        </w:tc>
        <w:tc>
          <w:tcPr>
            <w:tcW w:w="60" w:type="dxa"/>
            <w:tcBorders/>
            <w:shd w:fill="E5EBEE" w:val="clear"/>
            <w:vAlign w:val="center"/>
          </w:tcPr>
          <w:p>
            <w:pPr>
              <w:pStyle w:val="TableContents"/>
              <w:bidi w:val="0"/>
              <w:spacing w:before="0" w:after="283"/>
              <w:jc w:val="left"/>
              <w:rPr/>
            </w:pPr>
            <w:r>
              <w:rPr/>
              <w:t> </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$15,146</w:t>
            </w:r>
          </w:p>
        </w:tc>
        <w:tc>
          <w:tcPr>
            <w:tcW w:w="75" w:type="dxa"/>
            <w:tcBorders/>
            <w:shd w:fill="E5EBEE" w:val="cle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0"/>
              <w:jc w:val="left"/>
              <w:rPr>
                <w:rFonts w:ascii="arial" w:hAnsi="arial"/>
                <w:sz w:val="20"/>
              </w:rPr>
            </w:pPr>
            <w:r>
              <w:rPr>
                <w:rFonts w:ascii="arial" w:hAnsi="arial"/>
                <w:sz w:val="20"/>
              </w:rPr>
              <w:t>Discover integration Expenses</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(234)</w:t>
            </w:r>
          </w:p>
        </w:tc>
        <w:tc>
          <w:tcPr>
            <w:tcW w:w="60" w:type="dxa"/>
            <w:tcBorders/>
            <w:vAlign w:val="center"/>
          </w:tcPr>
          <w:p>
            <w:pPr>
              <w:pStyle w:val="TableContents"/>
              <w:bidi w:val="0"/>
              <w:spacing w:before="0" w:after="283"/>
              <w:jc w:val="left"/>
              <w:rPr/>
            </w:pPr>
            <w:r>
              <w:rPr/>
              <w:t> </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E5EBEE"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780" w:type="dxa"/>
            <w:tcBorders/>
            <w:shd w:fill="E5EBEE" w:val="clear"/>
            <w:vAlign w:val="center"/>
          </w:tcPr>
          <w:p>
            <w:pPr>
              <w:pStyle w:val="TableContents"/>
              <w:bidi w:val="0"/>
              <w:spacing w:before="0" w:after="0"/>
              <w:jc w:val="left"/>
              <w:rPr>
                <w:rFonts w:ascii="arial" w:hAnsi="arial"/>
                <w:sz w:val="20"/>
              </w:rPr>
            </w:pPr>
            <w:r>
              <w:rPr>
                <w:rFonts w:ascii="arial" w:hAnsi="arial"/>
                <w:sz w:val="20"/>
              </w:rPr>
              <w:t>Legal reserve activity</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(75)</w:t>
            </w:r>
          </w:p>
        </w:tc>
        <w:tc>
          <w:tcPr>
            <w:tcW w:w="60" w:type="dxa"/>
            <w:tcBorders/>
            <w:shd w:fill="E5EBEE" w:val="clear"/>
            <w:vAlign w:val="center"/>
          </w:tcPr>
          <w:p>
            <w:pPr>
              <w:pStyle w:val="TableContents"/>
              <w:bidi w:val="0"/>
              <w:spacing w:before="0" w:after="283"/>
              <w:jc w:val="left"/>
              <w:rPr/>
            </w:pPr>
            <w:r>
              <w:rPr/>
              <w:t> </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75" w:type="dxa"/>
            <w:tcBorders/>
            <w:shd w:fill="E5EBEE" w:val="clear"/>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0"/>
              <w:jc w:val="left"/>
              <w:rPr>
                <w:rFonts w:ascii="arial" w:hAnsi="arial"/>
                <w:sz w:val="20"/>
              </w:rPr>
            </w:pPr>
            <w:r>
              <w:rPr>
                <w:rFonts w:ascii="arial" w:hAnsi="arial"/>
                <w:sz w:val="20"/>
              </w:rPr>
              <w:t>FDIC Special Assessment</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(41)</w:t>
            </w:r>
          </w:p>
        </w:tc>
        <w:tc>
          <w:tcPr>
            <w:tcW w:w="60" w:type="dxa"/>
            <w:tcBorders/>
            <w:vAlign w:val="center"/>
          </w:tcPr>
          <w:p>
            <w:pPr>
              <w:pStyle w:val="TableContents"/>
              <w:bidi w:val="0"/>
              <w:spacing w:before="0" w:after="283"/>
              <w:jc w:val="left"/>
              <w:rPr/>
            </w:pPr>
            <w:r>
              <w:rPr/>
              <w:t> </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(289)</w:t>
            </w:r>
          </w:p>
        </w:tc>
        <w:tc>
          <w:tcPr>
            <w:tcW w:w="60" w:type="dxa"/>
            <w:tcBorders/>
            <w:vAlign w:val="center"/>
          </w:tcPr>
          <w:p>
            <w:pPr>
              <w:pStyle w:val="TableContents"/>
              <w:bidi w:val="0"/>
              <w:spacing w:before="0" w:after="283"/>
              <w:jc w:val="left"/>
              <w:rPr/>
            </w:pPr>
            <w:r>
              <w:rPr/>
              <w:t> </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5780" w:type="dxa"/>
            <w:tcBorders/>
            <w:shd w:fill="E5EBEE"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780" w:type="dxa"/>
            <w:tcBorders/>
            <w:shd w:fill="E5EBEE" w:val="clear"/>
            <w:vAlign w:val="center"/>
          </w:tcPr>
          <w:p>
            <w:pPr>
              <w:pStyle w:val="TableContents"/>
              <w:bidi w:val="0"/>
              <w:spacing w:before="0" w:after="0"/>
              <w:jc w:val="left"/>
              <w:rPr>
                <w:rFonts w:ascii="arial" w:hAnsi="arial"/>
                <w:sz w:val="20"/>
              </w:rPr>
            </w:pPr>
            <w:r>
              <w:rPr>
                <w:rFonts w:ascii="arial" w:hAnsi="arial"/>
                <w:sz w:val="20"/>
              </w:rPr>
              <w:t>Insurance recoveries and legal reserve activity</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w:t>
            </w:r>
          </w:p>
        </w:tc>
        <w:tc>
          <w:tcPr>
            <w:tcW w:w="60" w:type="dxa"/>
            <w:tcBorders/>
            <w:shd w:fill="E5EBEE" w:val="clear"/>
            <w:vAlign w:val="center"/>
          </w:tcPr>
          <w:p>
            <w:pPr>
              <w:pStyle w:val="TableContents"/>
              <w:bidi w:val="0"/>
              <w:spacing w:before="0" w:after="283"/>
              <w:jc w:val="left"/>
              <w:rPr/>
            </w:pPr>
            <w:r>
              <w:rPr/>
              <w:t> </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w:t>
            </w:r>
          </w:p>
        </w:tc>
        <w:tc>
          <w:tcPr>
            <w:tcW w:w="60" w:type="dxa"/>
            <w:tcBorders/>
            <w:shd w:fill="E5EBEE" w:val="clear"/>
            <w:vAlign w:val="center"/>
          </w:tcPr>
          <w:p>
            <w:pPr>
              <w:pStyle w:val="TableContents"/>
              <w:bidi w:val="0"/>
              <w:spacing w:before="0" w:after="283"/>
              <w:jc w:val="left"/>
              <w:rPr/>
            </w:pPr>
            <w:r>
              <w:rPr/>
              <w:t> </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177</w:t>
            </w:r>
          </w:p>
        </w:tc>
        <w:tc>
          <w:tcPr>
            <w:tcW w:w="75" w:type="dxa"/>
            <w:tcBorders/>
            <w:shd w:fill="E5EBEE" w:val="cle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0"/>
              <w:jc w:val="left"/>
              <w:rPr>
                <w:rFonts w:ascii="arial" w:hAnsi="arial"/>
                <w:sz w:val="20"/>
              </w:rPr>
            </w:pPr>
            <w:r>
              <w:rPr>
                <w:rFonts w:ascii="arial" w:hAnsi="arial"/>
                <w:sz w:val="20"/>
              </w:rPr>
              <w:t>Restructuring Charges</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tcMar>
              <w:bottom w:w="60" w:type="dxa"/>
            </w:tcMar>
            <w:vAlign w:val="center"/>
          </w:tcPr>
          <w:p>
            <w:pPr>
              <w:pStyle w:val="TableContents"/>
              <w:bidi w:val="0"/>
              <w:spacing w:before="0" w:after="283"/>
              <w:jc w:val="center"/>
              <w:rPr/>
            </w:pPr>
            <w:r>
              <w:rPr/>
              <w:t>(72)</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E5EBEE"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780" w:type="dxa"/>
            <w:tcBorders/>
            <w:shd w:fill="E5EBEE" w:val="clear"/>
            <w:vAlign w:val="center"/>
          </w:tcPr>
          <w:p>
            <w:pPr>
              <w:pStyle w:val="TableContents"/>
              <w:bidi w:val="0"/>
              <w:spacing w:before="0" w:after="0"/>
              <w:jc w:val="left"/>
              <w:rPr>
                <w:rFonts w:ascii="arial" w:hAnsi="arial"/>
                <w:sz w:val="20"/>
              </w:rPr>
            </w:pPr>
            <w:r>
              <w:rPr>
                <w:rFonts w:ascii="arial" w:hAnsi="arial"/>
                <w:sz w:val="20"/>
              </w:rPr>
              <w:t>Adjusted operating expense (non-GAAP)</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$16,574</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$16,018</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$15,251</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E5EBEE"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780" w:type="dxa"/>
            <w:tcBorders/>
            <w:shd w:fill="E5EBEE" w:val="clear"/>
            <w:vAlign w:val="center"/>
          </w:tcPr>
          <w:p>
            <w:pPr>
              <w:pStyle w:val="TableContents"/>
              <w:bidi w:val="0"/>
              <w:spacing w:before="0" w:after="0"/>
              <w:jc w:val="left"/>
              <w:rPr>
                <w:rFonts w:ascii="arial" w:hAnsi="arial"/>
                <w:sz w:val="20"/>
              </w:rPr>
            </w:pPr>
            <w:r>
              <w:rPr>
                <w:rFonts w:ascii="arial" w:hAnsi="arial"/>
                <w:sz w:val="20"/>
              </w:rPr>
              <w:t>Total net revenue (GAAP)</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$39,112</w:t>
            </w:r>
          </w:p>
        </w:tc>
        <w:tc>
          <w:tcPr>
            <w:tcW w:w="60" w:type="dxa"/>
            <w:tcBorders/>
            <w:shd w:fill="E5EBEE" w:val="clear"/>
            <w:vAlign w:val="center"/>
          </w:tcPr>
          <w:p>
            <w:pPr>
              <w:pStyle w:val="TableContents"/>
              <w:bidi w:val="0"/>
              <w:spacing w:before="0" w:after="283"/>
              <w:jc w:val="left"/>
              <w:rPr/>
            </w:pPr>
            <w:r>
              <w:rPr/>
              <w:t> </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$36,787</w:t>
            </w:r>
          </w:p>
        </w:tc>
        <w:tc>
          <w:tcPr>
            <w:tcW w:w="60" w:type="dxa"/>
            <w:tcBorders/>
            <w:shd w:fill="E5EBEE" w:val="clear"/>
            <w:vAlign w:val="center"/>
          </w:tcPr>
          <w:p>
            <w:pPr>
              <w:pStyle w:val="TableContents"/>
              <w:bidi w:val="0"/>
              <w:spacing w:before="0" w:after="283"/>
              <w:jc w:val="left"/>
              <w:rPr/>
            </w:pPr>
            <w:r>
              <w:rPr/>
              <w:t> </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$34,250</w:t>
            </w:r>
          </w:p>
        </w:tc>
        <w:tc>
          <w:tcPr>
            <w:tcW w:w="75" w:type="dxa"/>
            <w:tcBorders/>
            <w:shd w:fill="E5EBEE" w:val="cle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0"/>
              <w:jc w:val="left"/>
              <w:rPr>
                <w:rFonts w:ascii="arial" w:hAnsi="arial"/>
                <w:sz w:val="20"/>
              </w:rPr>
            </w:pPr>
            <w:r>
              <w:rPr>
                <w:rFonts w:ascii="arial" w:hAnsi="arial"/>
                <w:sz w:val="20"/>
              </w:rPr>
              <w:t>Walmart program agreement termination contra revenue impact</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tcMar>
              <w:bottom w:w="60" w:type="dxa"/>
            </w:tcMar>
            <w:vAlign w:val="center"/>
          </w:tcPr>
          <w:p>
            <w:pPr>
              <w:pStyle w:val="TableContents"/>
              <w:bidi w:val="0"/>
              <w:spacing w:before="0" w:after="283"/>
              <w:jc w:val="center"/>
              <w:rPr/>
            </w:pPr>
            <w:r>
              <w:rPr/>
              <w:t>27</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tcMar>
              <w:bottom w:w="60" w:type="dxa"/>
            </w:tcMar>
            <w:vAlign w:val="center"/>
          </w:tcPr>
          <w:p>
            <w:pPr>
              <w:pStyle w:val="TableContents"/>
              <w:bidi w:val="0"/>
              <w:spacing w:before="0" w:after="283"/>
              <w:jc w:val="center"/>
              <w:rPr/>
            </w:pPr>
            <w:r>
              <w:rPr/>
              <w:t>—</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E5EBEE"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780" w:type="dxa"/>
            <w:tcBorders/>
            <w:shd w:fill="E5EBEE" w:val="clear"/>
            <w:vAlign w:val="center"/>
          </w:tcPr>
          <w:p>
            <w:pPr>
              <w:pStyle w:val="TableContents"/>
              <w:bidi w:val="0"/>
              <w:spacing w:before="0" w:after="0"/>
              <w:jc w:val="left"/>
              <w:rPr>
                <w:rFonts w:ascii="arial" w:hAnsi="arial"/>
                <w:sz w:val="20"/>
              </w:rPr>
            </w:pPr>
            <w:r>
              <w:rPr>
                <w:rFonts w:ascii="arial" w:hAnsi="arial"/>
                <w:sz w:val="20"/>
              </w:rPr>
              <w:t>Adjusted net revenue (non-GAAP)</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$39,139</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$36,787</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$34,250</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80" w:type="dxa"/>
            <w:tcBorders>
              <w:right w:val="single" w:sz="32" w:space="0" w:color="FFFFFF"/>
            </w:tcBorders>
            <w:tcMar>
              <w:righ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780" w:type="dxa"/>
            <w:tcBorders>
              <w:right w:val="single" w:sz="32" w:space="0" w:color="FFFFFF"/>
            </w:tcBorders>
            <w:tcMar>
              <w:right w:w="28" w:type="dxa"/>
            </w:tcMar>
            <w:vAlign w:val="center"/>
          </w:tcPr>
          <w:p>
            <w:pPr>
              <w:pStyle w:val="TableContents"/>
              <w:bidi w:val="0"/>
              <w:spacing w:before="0" w:after="283"/>
              <w:jc w:val="left"/>
              <w:rPr/>
            </w:pPr>
            <w:r>
              <w:rPr/>
              <w:t> </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E5EBEE"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780" w:type="dxa"/>
            <w:tcBorders/>
            <w:shd w:fill="E5EBEE" w:val="clear"/>
            <w:vAlign w:val="center"/>
          </w:tcPr>
          <w:p>
            <w:pPr>
              <w:pStyle w:val="TableContents"/>
              <w:bidi w:val="0"/>
              <w:spacing w:before="0" w:after="0"/>
              <w:jc w:val="left"/>
              <w:rPr>
                <w:rFonts w:ascii="arial" w:hAnsi="arial"/>
                <w:sz w:val="20"/>
              </w:rPr>
            </w:pPr>
            <w:r>
              <w:rPr>
                <w:rFonts w:ascii="arial" w:hAnsi="arial"/>
                <w:sz w:val="20"/>
              </w:rPr>
              <w:t>Operating efficiency ratio(2) (GAAP)</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43.27%</w:t>
            </w:r>
          </w:p>
        </w:tc>
        <w:tc>
          <w:tcPr>
            <w:tcW w:w="60" w:type="dxa"/>
            <w:tcBorders/>
            <w:shd w:fill="E5EBEE" w:val="clear"/>
            <w:vAlign w:val="center"/>
          </w:tcPr>
          <w:p>
            <w:pPr>
              <w:pStyle w:val="TableContents"/>
              <w:bidi w:val="0"/>
              <w:spacing w:before="0" w:after="283"/>
              <w:jc w:val="left"/>
              <w:rPr/>
            </w:pPr>
            <w:r>
              <w:rPr/>
              <w:t> </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44.33%</w:t>
            </w:r>
          </w:p>
        </w:tc>
        <w:tc>
          <w:tcPr>
            <w:tcW w:w="60" w:type="dxa"/>
            <w:tcBorders/>
            <w:shd w:fill="E5EBEE" w:val="clear"/>
            <w:vAlign w:val="center"/>
          </w:tcPr>
          <w:p>
            <w:pPr>
              <w:pStyle w:val="TableContents"/>
              <w:bidi w:val="0"/>
              <w:spacing w:before="0" w:after="283"/>
              <w:jc w:val="left"/>
              <w:rPr/>
            </w:pPr>
            <w:r>
              <w:rPr/>
              <w:t> </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44.22%</w:t>
            </w:r>
          </w:p>
        </w:tc>
        <w:tc>
          <w:tcPr>
            <w:tcW w:w="75" w:type="dxa"/>
            <w:tcBorders/>
            <w:shd w:fill="E5EBEE" w:val="cle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0"/>
              <w:jc w:val="left"/>
              <w:rPr>
                <w:rFonts w:ascii="arial" w:hAnsi="arial"/>
                <w:sz w:val="20"/>
              </w:rPr>
            </w:pPr>
            <w:r>
              <w:rPr>
                <w:rFonts w:ascii="arial" w:hAnsi="arial"/>
                <w:sz w:val="20"/>
              </w:rPr>
              <w:t>Impact of adjustments noted above</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tcMar>
              <w:bottom w:w="60" w:type="dxa"/>
            </w:tcMar>
            <w:vAlign w:val="center"/>
          </w:tcPr>
          <w:p>
            <w:pPr>
              <w:pStyle w:val="TableContents"/>
              <w:bidi w:val="0"/>
              <w:spacing w:before="0" w:after="283"/>
              <w:jc w:val="center"/>
              <w:rPr/>
            </w:pPr>
            <w:r>
              <w:rPr/>
              <w:t>(92) bps</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tcMar>
              <w:bottom w:w="60" w:type="dxa"/>
            </w:tcMar>
            <w:vAlign w:val="center"/>
          </w:tcPr>
          <w:p>
            <w:pPr>
              <w:pStyle w:val="TableContents"/>
              <w:bidi w:val="0"/>
              <w:spacing w:before="0" w:after="283"/>
              <w:jc w:val="center"/>
              <w:rPr/>
            </w:pPr>
            <w:r>
              <w:rPr/>
              <w:t>(79) bps</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tcMar>
              <w:bottom w:w="60" w:type="dxa"/>
            </w:tcMar>
            <w:vAlign w:val="center"/>
          </w:tcPr>
          <w:p>
            <w:pPr>
              <w:pStyle w:val="TableContents"/>
              <w:bidi w:val="0"/>
              <w:spacing w:before="0" w:after="283"/>
              <w:jc w:val="center"/>
              <w:rPr/>
            </w:pPr>
            <w:r>
              <w:rPr/>
              <w:t>31 bps</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80" w:type="dxa"/>
            <w:tcBorders/>
            <w:shd w:fill="E5EBEE"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5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780" w:type="dxa"/>
            <w:tcBorders/>
            <w:shd w:fill="E5EBEE" w:val="clear"/>
            <w:vAlign w:val="center"/>
          </w:tcPr>
          <w:p>
            <w:pPr>
              <w:pStyle w:val="TableContents"/>
              <w:bidi w:val="0"/>
              <w:spacing w:before="0" w:after="0"/>
              <w:jc w:val="left"/>
              <w:rPr>
                <w:rFonts w:ascii="arial" w:hAnsi="arial"/>
                <w:b/>
                <w:sz w:val="20"/>
              </w:rPr>
            </w:pPr>
            <w:r>
              <w:rPr>
                <w:rFonts w:ascii="arial" w:hAnsi="arial"/>
                <w:b/>
                <w:sz w:val="20"/>
              </w:rPr>
              <w:t>Adjusted operating efficiency ratio (non-GAAP)</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42.35%</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43.54%</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44.53%</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9145" w:type="dxa"/>
        <w:jc w:val="left"/>
        <w:tblInd w:w="0" w:type="dxa"/>
        <w:tblLayout w:type="fixed"/>
        <w:tblCellMar>
          <w:top w:w="0" w:type="dxa"/>
          <w:left w:w="0" w:type="dxa"/>
          <w:bottom w:w="0" w:type="dxa"/>
          <w:right w:w="0" w:type="dxa"/>
        </w:tblCellMar>
      </w:tblPr>
      <w:tblGrid>
        <w:gridCol w:w="305"/>
        <w:gridCol w:w="8840"/>
      </w:tblGrid>
      <w:tr>
        <w:trPr/>
        <w:tc>
          <w:tcPr>
            <w:tcW w:w="305" w:type="dxa"/>
            <w:tcBorders/>
            <w:vAlign w:val="center"/>
          </w:tcPr>
          <w:p>
            <w:pPr>
              <w:pStyle w:val="TableContents"/>
              <w:bidi w:val="0"/>
              <w:spacing w:before="0" w:after="283"/>
              <w:jc w:val="left"/>
              <w:rPr/>
            </w:pPr>
            <w:r>
              <w:rPr/>
              <w:t>(1)</w:t>
            </w:r>
          </w:p>
        </w:tc>
        <w:tc>
          <w:tcPr>
            <w:tcW w:w="8840" w:type="dxa"/>
            <w:tcBorders/>
            <w:vAlign w:val="center"/>
          </w:tcPr>
          <w:p>
            <w:pPr>
              <w:pStyle w:val="TableContents"/>
              <w:bidi w:val="0"/>
              <w:spacing w:before="0" w:after="0"/>
              <w:jc w:val="both"/>
              <w:rPr>
                <w:rFonts w:ascii="arial" w:hAnsi="arial"/>
                <w:sz w:val="16"/>
              </w:rPr>
            </w:pPr>
            <w:r>
              <w:rPr>
                <w:rFonts w:ascii="arial" w:hAnsi="arial"/>
                <w:sz w:val="16"/>
              </w:rPr>
              <w:t xml:space="preserve">Efficiency ratio is calculated based on total non-interest expense for the period divided by total net revenue for the period. </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305"/>
        <w:gridCol w:w="9005"/>
      </w:tblGrid>
      <w:tr>
        <w:trPr/>
        <w:tc>
          <w:tcPr>
            <w:tcW w:w="305" w:type="dxa"/>
            <w:tcBorders/>
            <w:vAlign w:val="center"/>
          </w:tcPr>
          <w:p>
            <w:pPr>
              <w:pStyle w:val="TableContents"/>
              <w:bidi w:val="0"/>
              <w:spacing w:before="0" w:after="283"/>
              <w:jc w:val="left"/>
              <w:rPr/>
            </w:pPr>
            <w:r>
              <w:rPr/>
              <w:t>(2)</w:t>
            </w:r>
          </w:p>
        </w:tc>
        <w:tc>
          <w:tcPr>
            <w:tcW w:w="9005" w:type="dxa"/>
            <w:tcBorders/>
            <w:vAlign w:val="center"/>
          </w:tcPr>
          <w:p>
            <w:pPr>
              <w:pStyle w:val="TableContents"/>
              <w:bidi w:val="0"/>
              <w:spacing w:before="0" w:after="0"/>
              <w:jc w:val="both"/>
              <w:rPr>
                <w:rFonts w:ascii="arial" w:hAnsi="arial"/>
                <w:sz w:val="16"/>
              </w:rPr>
            </w:pPr>
            <w:r>
              <w:rPr>
                <w:rFonts w:ascii="arial" w:hAnsi="arial"/>
                <w:sz w:val="16"/>
              </w:rPr>
              <w:t xml:space="preserve">Operating efficiency ratio is calculated based on operating expense for the period divided by total net revenue for the period </w:t>
            </w:r>
          </w:p>
        </w:tc>
      </w:tr>
    </w:tbl>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135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b/>
                <w:color w:val="003A5D"/>
              </w:rPr>
            </w:pPr>
            <w:r>
              <w:rPr>
                <w:b/>
                <w:color w:val="003A5D"/>
              </w:rPr>
              <w:t>OTHER MATTERS</w:t>
            </w:r>
          </w:p>
        </w:tc>
      </w:tr>
    </w:tbl>
    <w:p>
      <w:pPr>
        <w:pStyle w:val="TextBody"/>
        <w:pBdr>
          <w:bottom w:val="single" w:sz="2" w:space="1" w:color="003A5D"/>
        </w:pBdr>
        <w:bidi w:val="0"/>
        <w:spacing w:lineRule="atLeast" w:line="142" w:before="0" w:after="40"/>
        <w:jc w:val="left"/>
        <w:rPr/>
      </w:pPr>
      <w:r>
        <w:rPr/>
        <w:t> </w:t>
      </w:r>
    </w:p>
    <w:tbl>
      <w:tblPr>
        <w:tblW w:w="7160" w:type="dxa"/>
        <w:jc w:val="left"/>
        <w:tblInd w:w="0" w:type="dxa"/>
        <w:tblLayout w:type="fixed"/>
        <w:tblCellMar>
          <w:top w:w="0" w:type="dxa"/>
          <w:left w:w="0" w:type="dxa"/>
          <w:bottom w:w="0" w:type="dxa"/>
          <w:right w:w="0" w:type="dxa"/>
        </w:tblCellMar>
      </w:tblPr>
      <w:tblGrid>
        <w:gridCol w:w="7160"/>
      </w:tblGrid>
      <w:tr>
        <w:trPr/>
        <w:tc>
          <w:tcPr>
            <w:tcW w:w="7160" w:type="dxa"/>
            <w:tcBorders/>
            <w:vAlign w:val="center"/>
          </w:tcPr>
          <w:p>
            <w:pPr>
              <w:pStyle w:val="TableContents"/>
              <w:bidi w:val="0"/>
              <w:spacing w:before="0" w:after="283"/>
              <w:jc w:val="left"/>
              <w:rPr>
                <w:sz w:val="4"/>
                <w:szCs w:val="4"/>
              </w:rPr>
            </w:pPr>
            <w:r>
              <w:rPr>
                <w:sz w:val="4"/>
                <w:szCs w:val="4"/>
              </w:rPr>
            </w:r>
          </w:p>
        </w:tc>
      </w:tr>
      <w:tr>
        <w:trPr/>
        <w:tc>
          <w:tcPr>
            <w:tcW w:w="7160" w:type="dxa"/>
            <w:tcBorders/>
            <w:vAlign w:val="center"/>
          </w:tcPr>
          <w:p>
            <w:pPr>
              <w:pStyle w:val="TableContents"/>
              <w:bidi w:val="0"/>
              <w:spacing w:before="0" w:after="283"/>
              <w:jc w:val="left"/>
              <w:rPr>
                <w:b/>
                <w:color w:val="003A5D"/>
              </w:rPr>
            </w:pPr>
            <w:r>
              <w:rPr>
                <w:b/>
                <w:color w:val="003A5D"/>
              </w:rPr>
              <w:t>Appendix A - Information Regarding Non-GAAP Financial Measures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Our Compensation Committee believes that certain measures not defined by GAAP, including return on average tangible common equity and tangible book value per common share, provide alternate measurements of our performance. In addition, these non-GAAP measures are reviewed by the Compensation Committee and the other independent members of our Board as part of their assessment of the Company’s performance. We consider these metrics to be key financial performance measures that management uses in assessing capital adequacy and the level of returns generated. While these non-GAAP measures are widely used by investors, analysts and bank regulatory agencies to assess the operating performance and capital position of financial services companies, they may not be comparable to similarly-titled measures reported by other companies. The following table presents reconciliations of these non-GAAP measures to the applicable amounts measured in accordance with GAAP. </w:t>
      </w:r>
    </w:p>
    <w:p>
      <w:pPr>
        <w:pStyle w:val="TextBody"/>
        <w:bidi w:val="0"/>
        <w:spacing w:before="240" w:after="0"/>
        <w:jc w:val="left"/>
        <w:rPr>
          <w:rFonts w:ascii="arial" w:hAnsi="arial"/>
          <w:b/>
          <w:sz w:val="20"/>
        </w:rPr>
      </w:pPr>
      <w:r>
        <w:rPr>
          <w:rFonts w:ascii="arial" w:hAnsi="arial"/>
          <w:b/>
          <w:sz w:val="20"/>
        </w:rPr>
        <w:t xml:space="preserve">Table 2: Reconciliation of Return On Average Tangible Common Equity and Tangible Book Value Per Common Share </w:t>
      </w:r>
    </w:p>
    <w:p>
      <w:pPr>
        <w:pStyle w:val="TextBody"/>
        <w:bidi w:val="0"/>
        <w:spacing w:before="0" w:after="0"/>
        <w:jc w:val="left"/>
        <w:rPr/>
      </w:pPr>
      <w:r>
        <w:rPr/>
        <w:t> </w:t>
      </w:r>
    </w:p>
    <w:tbl>
      <w:tblPr>
        <w:tblW w:w="11825" w:type="dxa"/>
        <w:jc w:val="left"/>
        <w:tblInd w:w="0" w:type="dxa"/>
        <w:tblLayout w:type="fixed"/>
        <w:tblCellMar>
          <w:top w:w="0" w:type="dxa"/>
          <w:left w:w="0" w:type="dxa"/>
          <w:bottom w:w="0" w:type="dxa"/>
          <w:right w:w="0" w:type="dxa"/>
        </w:tblCellMar>
      </w:tblPr>
      <w:tblGrid>
        <w:gridCol w:w="5585"/>
        <w:gridCol w:w="60"/>
        <w:gridCol w:w="136"/>
        <w:gridCol w:w="1819"/>
        <w:gridCol w:w="60"/>
        <w:gridCol w:w="60"/>
        <w:gridCol w:w="136"/>
        <w:gridCol w:w="1819"/>
        <w:gridCol w:w="60"/>
        <w:gridCol w:w="60"/>
        <w:gridCol w:w="136"/>
        <w:gridCol w:w="1819"/>
        <w:gridCol w:w="75"/>
      </w:tblGrid>
      <w:tr>
        <w:trPr/>
        <w:tc>
          <w:tcPr>
            <w:tcW w:w="5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585" w:type="dxa"/>
            <w:tcBorders/>
            <w:shd w:fill="003A5D"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5585" w:type="dxa"/>
            <w:tcBorders/>
            <w:shd w:fill="003A5D" w:val="clear"/>
            <w:vAlign w:val="center"/>
          </w:tcPr>
          <w:p>
            <w:pPr>
              <w:pStyle w:val="TableContents"/>
              <w:bidi w:val="0"/>
              <w:spacing w:before="0" w:after="283"/>
              <w:jc w:val="left"/>
              <w:rPr>
                <w:color w:val="FFFFFF"/>
              </w:rPr>
            </w:pPr>
            <w:r>
              <w:rPr>
                <w:color w:val="FFFFFF"/>
              </w:rPr>
              <w:t> </w:t>
            </w:r>
            <w:r>
              <w:rPr>
                <w:b/>
                <w:color w:val="FFFFFF"/>
              </w:rPr>
              <w:t>(Dollars in millions, except per share data and as noted)</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955" w:type="dxa"/>
            <w:gridSpan w:val="2"/>
            <w:tcBorders/>
            <w:shd w:fill="003A5D" w:val="clear"/>
            <w:vAlign w:val="center"/>
          </w:tcPr>
          <w:p>
            <w:pPr>
              <w:pStyle w:val="TableContents"/>
              <w:bidi w:val="0"/>
              <w:spacing w:before="0" w:after="283"/>
              <w:jc w:val="center"/>
              <w:rPr>
                <w:b/>
                <w:color w:val="FFFFFF"/>
              </w:rPr>
            </w:pPr>
            <w:r>
              <w:rPr>
                <w:b/>
                <w:color w:val="FFFFFF"/>
              </w:rPr>
              <w:t>Year Ended</w:t>
              <w:br/>
              <w:t>December 31, 2024</w:t>
              <w:br/>
              <w:t>Reported Results</w:t>
            </w:r>
          </w:p>
        </w:tc>
        <w:tc>
          <w:tcPr>
            <w:tcW w:w="60" w:type="dxa"/>
            <w:tcBorders/>
            <w:shd w:fill="003A5D" w:val="clear"/>
            <w:vAlign w:val="center"/>
          </w:tcPr>
          <w:p>
            <w:pPr>
              <w:pStyle w:val="TableContents"/>
              <w:bidi w:val="0"/>
              <w:spacing w:before="0" w:after="283"/>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955" w:type="dxa"/>
            <w:gridSpan w:val="2"/>
            <w:tcBorders/>
            <w:shd w:fill="003A5D" w:val="clear"/>
            <w:vAlign w:val="center"/>
          </w:tcPr>
          <w:p>
            <w:pPr>
              <w:pStyle w:val="TableContents"/>
              <w:bidi w:val="0"/>
              <w:spacing w:before="0" w:after="283"/>
              <w:jc w:val="center"/>
              <w:rPr>
                <w:b/>
                <w:color w:val="FFFFFF"/>
              </w:rPr>
            </w:pPr>
            <w:r>
              <w:rPr>
                <w:b/>
                <w:color w:val="FFFFFF"/>
              </w:rPr>
              <w:t>Year Ended</w:t>
              <w:br/>
              <w:t>December 31, 2023</w:t>
              <w:br/>
              <w:t>Reported Results</w:t>
            </w:r>
          </w:p>
        </w:tc>
        <w:tc>
          <w:tcPr>
            <w:tcW w:w="60" w:type="dxa"/>
            <w:tcBorders/>
            <w:shd w:fill="003A5D" w:val="clear"/>
            <w:vAlign w:val="center"/>
          </w:tcPr>
          <w:p>
            <w:pPr>
              <w:pStyle w:val="TableContents"/>
              <w:bidi w:val="0"/>
              <w:spacing w:before="0" w:after="283"/>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955" w:type="dxa"/>
            <w:gridSpan w:val="2"/>
            <w:tcBorders/>
            <w:shd w:fill="003A5D" w:val="clear"/>
            <w:vAlign w:val="center"/>
          </w:tcPr>
          <w:p>
            <w:pPr>
              <w:pStyle w:val="TableContents"/>
              <w:bidi w:val="0"/>
              <w:spacing w:before="0" w:after="283"/>
              <w:jc w:val="center"/>
              <w:rPr>
                <w:b/>
                <w:color w:val="FFFFFF"/>
              </w:rPr>
            </w:pPr>
            <w:r>
              <w:rPr>
                <w:b/>
                <w:color w:val="FFFFFF"/>
              </w:rPr>
              <w:t>Year Ended</w:t>
              <w:br/>
              <w:t>December 31, 2022</w:t>
              <w:br/>
              <w:t>Reported Results</w:t>
            </w:r>
          </w:p>
        </w:tc>
        <w:tc>
          <w:tcPr>
            <w:tcW w:w="75" w:type="dxa"/>
            <w:tcBorders/>
            <w:shd w:fill="003A5D" w:val="clear"/>
            <w:vAlign w:val="center"/>
          </w:tcPr>
          <w:p>
            <w:pPr>
              <w:pStyle w:val="TableContents"/>
              <w:bidi w:val="0"/>
              <w:spacing w:before="0" w:after="283"/>
              <w:jc w:val="left"/>
              <w:rPr/>
            </w:pPr>
            <w:r>
              <w:rPr/>
              <w:t> </w:t>
            </w:r>
          </w:p>
        </w:tc>
      </w:tr>
      <w:tr>
        <w:trPr/>
        <w:tc>
          <w:tcPr>
            <w:tcW w:w="5585" w:type="dxa"/>
            <w:tcBorders>
              <w:top w:val="single" w:sz="8" w:space="0" w:color="FFFFFF"/>
            </w:tcBorders>
            <w:shd w:fill="E5EBEE" w:val="clear"/>
            <w:tcMar>
              <w:top w:w="28" w:type="dxa"/>
            </w:tcMar>
            <w:vAlign w:val="center"/>
          </w:tcPr>
          <w:p>
            <w:pPr>
              <w:pStyle w:val="TableContents"/>
              <w:bidi w:val="0"/>
              <w:spacing w:before="0" w:after="283"/>
              <w:jc w:val="left"/>
              <w:rPr/>
            </w:pPr>
            <w:r>
              <w:rPr/>
              <w:t> </w:t>
            </w:r>
          </w:p>
        </w:tc>
        <w:tc>
          <w:tcPr>
            <w:tcW w:w="2075" w:type="dxa"/>
            <w:gridSpan w:val="4"/>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pPr>
            <w:r>
              <w:rPr/>
              <w:t> </w:t>
            </w:r>
          </w:p>
        </w:tc>
        <w:tc>
          <w:tcPr>
            <w:tcW w:w="2075" w:type="dxa"/>
            <w:gridSpan w:val="4"/>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pPr>
            <w:r>
              <w:rPr/>
              <w:t> </w:t>
            </w:r>
          </w:p>
        </w:tc>
        <w:tc>
          <w:tcPr>
            <w:tcW w:w="2090" w:type="dxa"/>
            <w:gridSpan w:val="4"/>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0"/>
              <w:jc w:val="left"/>
              <w:rPr>
                <w:rFonts w:ascii="arial" w:hAnsi="arial"/>
                <w:b/>
                <w:sz w:val="20"/>
              </w:rPr>
            </w:pPr>
            <w:r>
              <w:rPr>
                <w:rFonts w:ascii="arial" w:hAnsi="arial"/>
                <w:b/>
                <w:sz w:val="20"/>
              </w:rPr>
              <w:t>Pre-Provision Earnings</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75" w:type="dxa"/>
            <w:tcBorders/>
            <w:shd w:fill="E5EBEE" w:val="clear"/>
            <w:vAlign w:val="center"/>
          </w:tcPr>
          <w:p>
            <w:pPr>
              <w:pStyle w:val="TableContents"/>
              <w:bidi w:val="0"/>
              <w:spacing w:before="0" w:after="283"/>
              <w:jc w:val="left"/>
              <w:rPr>
                <w:sz w:val="4"/>
                <w:szCs w:val="4"/>
              </w:rPr>
            </w:pPr>
            <w:r>
              <w:rPr>
                <w:sz w:val="4"/>
                <w:szCs w:val="4"/>
              </w:rPr>
            </w:r>
          </w:p>
        </w:tc>
      </w:tr>
      <w:tr>
        <w:trPr/>
        <w:tc>
          <w:tcPr>
            <w:tcW w:w="558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0"/>
              <w:jc w:val="left"/>
              <w:rPr>
                <w:rFonts w:ascii="arial" w:hAnsi="arial"/>
                <w:sz w:val="20"/>
              </w:rPr>
            </w:pPr>
            <w:r>
              <w:rPr>
                <w:rFonts w:ascii="arial" w:hAnsi="arial"/>
                <w:sz w:val="20"/>
              </w:rPr>
              <w:t>Total net revenue</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$39,112</w:t>
            </w:r>
          </w:p>
        </w:tc>
        <w:tc>
          <w:tcPr>
            <w:tcW w:w="60" w:type="dxa"/>
            <w:tcBorders/>
            <w:vAlign w:val="center"/>
          </w:tcPr>
          <w:p>
            <w:pPr>
              <w:pStyle w:val="TableContents"/>
              <w:bidi w:val="0"/>
              <w:spacing w:before="0" w:after="283"/>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$36,787</w:t>
            </w:r>
          </w:p>
        </w:tc>
        <w:tc>
          <w:tcPr>
            <w:tcW w:w="60" w:type="dxa"/>
            <w:tcBorders/>
            <w:vAlign w:val="center"/>
          </w:tcPr>
          <w:p>
            <w:pPr>
              <w:pStyle w:val="TableContents"/>
              <w:bidi w:val="0"/>
              <w:spacing w:before="0" w:after="283"/>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$34,250</w:t>
            </w:r>
          </w:p>
        </w:tc>
        <w:tc>
          <w:tcPr>
            <w:tcW w:w="75" w:type="dxa"/>
            <w:tcBorders/>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0"/>
              <w:jc w:val="left"/>
              <w:rPr>
                <w:rFonts w:ascii="arial" w:hAnsi="arial"/>
                <w:sz w:val="20"/>
              </w:rPr>
            </w:pPr>
            <w:r>
              <w:rPr>
                <w:rFonts w:ascii="arial" w:hAnsi="arial"/>
                <w:sz w:val="20"/>
              </w:rPr>
              <w:t>Non-interest expense</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(21,486)</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(20,316)</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(19,163)</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0"/>
              <w:jc w:val="left"/>
              <w:rPr>
                <w:rFonts w:ascii="arial" w:hAnsi="arial"/>
                <w:sz w:val="20"/>
              </w:rPr>
            </w:pPr>
            <w:r>
              <w:rPr>
                <w:rFonts w:ascii="arial" w:hAnsi="arial"/>
                <w:sz w:val="20"/>
              </w:rPr>
              <w:t>Pre-provision earnings(1)</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$17,626</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$16,471</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$15,087</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5585"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75" w:type="dxa"/>
            <w:tcBorders/>
            <w:shd w:fill="E5EBEE" w:val="clear"/>
            <w:vAlign w:val="center"/>
          </w:tcPr>
          <w:p>
            <w:pPr>
              <w:pStyle w:val="TableContents"/>
              <w:bidi w:val="0"/>
              <w:spacing w:before="0" w:after="283"/>
              <w:jc w:val="left"/>
              <w:rPr>
                <w:sz w:val="4"/>
                <w:szCs w:val="4"/>
              </w:rPr>
            </w:pPr>
            <w:r>
              <w:rPr>
                <w:sz w:val="4"/>
                <w:szCs w:val="4"/>
              </w:rPr>
            </w:r>
          </w:p>
        </w:tc>
      </w:tr>
      <w:tr>
        <w:trPr/>
        <w:tc>
          <w:tcPr>
            <w:tcW w:w="558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0"/>
              <w:jc w:val="left"/>
              <w:rPr>
                <w:rFonts w:ascii="arial" w:hAnsi="arial"/>
                <w:b/>
                <w:sz w:val="20"/>
              </w:rPr>
            </w:pPr>
            <w:r>
              <w:rPr>
                <w:rFonts w:ascii="arial" w:hAnsi="arial"/>
                <w:b/>
                <w:sz w:val="20"/>
              </w:rPr>
              <w:t>Tangible Common Equity (Period-End)</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0"/>
              <w:jc w:val="left"/>
              <w:rPr>
                <w:rFonts w:ascii="arial" w:hAnsi="arial"/>
                <w:sz w:val="20"/>
              </w:rPr>
            </w:pPr>
            <w:r>
              <w:rPr>
                <w:rFonts w:ascii="arial" w:hAnsi="arial"/>
                <w:sz w:val="20"/>
              </w:rPr>
              <w:t>Stockholders’ equity</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pPr>
            <w:r>
              <w:rPr/>
              <w:t> </w:t>
            </w:r>
          </w:p>
        </w:tc>
        <w:tc>
          <w:tcPr>
            <w:tcW w:w="1819" w:type="dxa"/>
            <w:tcBorders/>
            <w:shd w:fill="E5EBEE" w:val="clear"/>
            <w:vAlign w:val="center"/>
          </w:tcPr>
          <w:p>
            <w:pPr>
              <w:pStyle w:val="TableContents"/>
              <w:bidi w:val="0"/>
              <w:spacing w:before="0" w:after="283"/>
              <w:jc w:val="center"/>
              <w:rPr/>
            </w:pPr>
            <w:r>
              <w:rPr/>
              <w:t>$60,784</w:t>
            </w:r>
          </w:p>
        </w:tc>
        <w:tc>
          <w:tcPr>
            <w:tcW w:w="60" w:type="dxa"/>
            <w:tcBorders/>
            <w:shd w:fill="E5EBEE" w:val="clear"/>
            <w:vAlign w:val="center"/>
          </w:tcPr>
          <w:p>
            <w:pPr>
              <w:pStyle w:val="TableContents"/>
              <w:bidi w:val="0"/>
              <w:spacing w:before="0" w:after="283"/>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pPr>
            <w:r>
              <w:rPr/>
              <w:t> </w:t>
            </w:r>
          </w:p>
        </w:tc>
        <w:tc>
          <w:tcPr>
            <w:tcW w:w="1819" w:type="dxa"/>
            <w:tcBorders/>
            <w:shd w:fill="E5EBEE" w:val="clear"/>
            <w:vAlign w:val="center"/>
          </w:tcPr>
          <w:p>
            <w:pPr>
              <w:pStyle w:val="TableContents"/>
              <w:bidi w:val="0"/>
              <w:spacing w:before="0" w:after="283"/>
              <w:jc w:val="center"/>
              <w:rPr/>
            </w:pPr>
            <w:r>
              <w:rPr/>
              <w:t>$58,089</w:t>
            </w:r>
          </w:p>
        </w:tc>
        <w:tc>
          <w:tcPr>
            <w:tcW w:w="60" w:type="dxa"/>
            <w:tcBorders/>
            <w:shd w:fill="E5EBEE" w:val="clear"/>
            <w:vAlign w:val="center"/>
          </w:tcPr>
          <w:p>
            <w:pPr>
              <w:pStyle w:val="TableContents"/>
              <w:bidi w:val="0"/>
              <w:spacing w:before="0" w:after="283"/>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pPr>
            <w:r>
              <w:rPr/>
              <w:t> </w:t>
            </w:r>
          </w:p>
        </w:tc>
        <w:tc>
          <w:tcPr>
            <w:tcW w:w="1819" w:type="dxa"/>
            <w:tcBorders/>
            <w:shd w:fill="E5EBEE" w:val="clear"/>
            <w:vAlign w:val="center"/>
          </w:tcPr>
          <w:p>
            <w:pPr>
              <w:pStyle w:val="TableContents"/>
              <w:bidi w:val="0"/>
              <w:spacing w:before="0" w:after="283"/>
              <w:jc w:val="center"/>
              <w:rPr/>
            </w:pPr>
            <w:r>
              <w:rPr/>
              <w:t>$52,582</w:t>
            </w:r>
          </w:p>
        </w:tc>
        <w:tc>
          <w:tcPr>
            <w:tcW w:w="75" w:type="dxa"/>
            <w:tcBorders/>
            <w:shd w:fill="E5EBEE" w:val="cle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0"/>
              <w:jc w:val="left"/>
              <w:rPr>
                <w:rFonts w:ascii="arial" w:hAnsi="arial"/>
                <w:sz w:val="20"/>
              </w:rPr>
            </w:pPr>
            <w:r>
              <w:rPr>
                <w:rFonts w:ascii="arial" w:hAnsi="arial"/>
                <w:sz w:val="20"/>
              </w:rPr>
              <w:t>Goodwill and other intangible assets(2)</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(15,157)</w:t>
            </w:r>
          </w:p>
        </w:tc>
        <w:tc>
          <w:tcPr>
            <w:tcW w:w="60" w:type="dxa"/>
            <w:tcBorders/>
            <w:vAlign w:val="center"/>
          </w:tcPr>
          <w:p>
            <w:pPr>
              <w:pStyle w:val="TableContents"/>
              <w:bidi w:val="0"/>
              <w:spacing w:before="0" w:after="283"/>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(15,289)</w:t>
            </w:r>
          </w:p>
        </w:tc>
        <w:tc>
          <w:tcPr>
            <w:tcW w:w="60" w:type="dxa"/>
            <w:tcBorders/>
            <w:vAlign w:val="center"/>
          </w:tcPr>
          <w:p>
            <w:pPr>
              <w:pStyle w:val="TableContents"/>
              <w:bidi w:val="0"/>
              <w:spacing w:before="0" w:after="283"/>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(14,902)</w:t>
            </w:r>
          </w:p>
        </w:tc>
        <w:tc>
          <w:tcPr>
            <w:tcW w:w="75" w:type="dxa"/>
            <w:tcBorders/>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0"/>
              <w:jc w:val="left"/>
              <w:rPr>
                <w:rFonts w:ascii="arial" w:hAnsi="arial"/>
                <w:sz w:val="20"/>
              </w:rPr>
            </w:pPr>
            <w:r>
              <w:rPr>
                <w:rFonts w:ascii="arial" w:hAnsi="arial"/>
                <w:sz w:val="20"/>
              </w:rPr>
              <w:t>Noncumulative perpetual preferred stock</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(4,845)</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(4,845)</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(4,845)</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0"/>
              <w:jc w:val="left"/>
              <w:rPr>
                <w:rFonts w:ascii="arial" w:hAnsi="arial"/>
                <w:sz w:val="20"/>
              </w:rPr>
            </w:pPr>
            <w:r>
              <w:rPr>
                <w:rFonts w:ascii="arial" w:hAnsi="arial"/>
                <w:sz w:val="20"/>
              </w:rPr>
              <w:t>Tangible common equity(3)</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$40,782</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$37,955</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$32,835</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5585"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75" w:type="dxa"/>
            <w:tcBorders/>
            <w:shd w:fill="E5EBEE" w:val="clear"/>
            <w:vAlign w:val="center"/>
          </w:tcPr>
          <w:p>
            <w:pPr>
              <w:pStyle w:val="TableContents"/>
              <w:bidi w:val="0"/>
              <w:spacing w:before="0" w:after="283"/>
              <w:jc w:val="left"/>
              <w:rPr>
                <w:sz w:val="4"/>
                <w:szCs w:val="4"/>
              </w:rPr>
            </w:pPr>
            <w:r>
              <w:rPr>
                <w:sz w:val="4"/>
                <w:szCs w:val="4"/>
              </w:rPr>
            </w:r>
          </w:p>
        </w:tc>
      </w:tr>
      <w:tr>
        <w:trPr/>
        <w:tc>
          <w:tcPr>
            <w:tcW w:w="558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0"/>
              <w:jc w:val="left"/>
              <w:rPr>
                <w:rFonts w:ascii="arial" w:hAnsi="arial"/>
                <w:b/>
                <w:sz w:val="20"/>
              </w:rPr>
            </w:pPr>
            <w:r>
              <w:rPr>
                <w:rFonts w:ascii="arial" w:hAnsi="arial"/>
                <w:b/>
                <w:sz w:val="20"/>
              </w:rPr>
              <w:t>Tangible Common Equity (Average)</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0"/>
              <w:jc w:val="left"/>
              <w:rPr>
                <w:rFonts w:ascii="arial" w:hAnsi="arial"/>
                <w:sz w:val="20"/>
              </w:rPr>
            </w:pPr>
            <w:r>
              <w:rPr>
                <w:rFonts w:ascii="arial" w:hAnsi="arial"/>
                <w:sz w:val="20"/>
              </w:rPr>
              <w:t>Stockholders’ equity</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pPr>
            <w:r>
              <w:rPr/>
              <w:t> </w:t>
            </w:r>
          </w:p>
        </w:tc>
        <w:tc>
          <w:tcPr>
            <w:tcW w:w="1819" w:type="dxa"/>
            <w:tcBorders/>
            <w:shd w:fill="E5EBEE" w:val="clear"/>
            <w:vAlign w:val="center"/>
          </w:tcPr>
          <w:p>
            <w:pPr>
              <w:pStyle w:val="TableContents"/>
              <w:bidi w:val="0"/>
              <w:spacing w:before="0" w:after="283"/>
              <w:jc w:val="center"/>
              <w:rPr/>
            </w:pPr>
            <w:r>
              <w:rPr/>
              <w:t>$59,799</w:t>
            </w:r>
          </w:p>
        </w:tc>
        <w:tc>
          <w:tcPr>
            <w:tcW w:w="60" w:type="dxa"/>
            <w:tcBorders/>
            <w:shd w:fill="E5EBEE" w:val="clear"/>
            <w:vAlign w:val="center"/>
          </w:tcPr>
          <w:p>
            <w:pPr>
              <w:pStyle w:val="TableContents"/>
              <w:bidi w:val="0"/>
              <w:spacing w:before="0" w:after="283"/>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pPr>
            <w:r>
              <w:rPr/>
              <w:t> </w:t>
            </w:r>
          </w:p>
        </w:tc>
        <w:tc>
          <w:tcPr>
            <w:tcW w:w="1819" w:type="dxa"/>
            <w:tcBorders/>
            <w:shd w:fill="E5EBEE" w:val="clear"/>
            <w:vAlign w:val="center"/>
          </w:tcPr>
          <w:p>
            <w:pPr>
              <w:pStyle w:val="TableContents"/>
              <w:bidi w:val="0"/>
              <w:spacing w:before="0" w:after="283"/>
              <w:jc w:val="center"/>
              <w:rPr/>
            </w:pPr>
            <w:r>
              <w:rPr/>
              <w:t>$55,195</w:t>
            </w:r>
          </w:p>
        </w:tc>
        <w:tc>
          <w:tcPr>
            <w:tcW w:w="60" w:type="dxa"/>
            <w:tcBorders/>
            <w:shd w:fill="E5EBEE" w:val="clear"/>
            <w:vAlign w:val="center"/>
          </w:tcPr>
          <w:p>
            <w:pPr>
              <w:pStyle w:val="TableContents"/>
              <w:bidi w:val="0"/>
              <w:spacing w:before="0" w:after="283"/>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pPr>
            <w:r>
              <w:rPr/>
              <w:t> </w:t>
            </w:r>
          </w:p>
        </w:tc>
        <w:tc>
          <w:tcPr>
            <w:tcW w:w="1819" w:type="dxa"/>
            <w:tcBorders/>
            <w:shd w:fill="E5EBEE" w:val="clear"/>
            <w:vAlign w:val="center"/>
          </w:tcPr>
          <w:p>
            <w:pPr>
              <w:pStyle w:val="TableContents"/>
              <w:bidi w:val="0"/>
              <w:spacing w:before="0" w:after="283"/>
              <w:jc w:val="center"/>
              <w:rPr/>
            </w:pPr>
            <w:r>
              <w:rPr/>
              <w:t>$55,125</w:t>
            </w:r>
          </w:p>
        </w:tc>
        <w:tc>
          <w:tcPr>
            <w:tcW w:w="75" w:type="dxa"/>
            <w:tcBorders/>
            <w:shd w:fill="E5EBEE" w:val="cle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0"/>
              <w:jc w:val="left"/>
              <w:rPr>
                <w:rFonts w:ascii="arial" w:hAnsi="arial"/>
                <w:sz w:val="20"/>
              </w:rPr>
            </w:pPr>
            <w:r>
              <w:rPr>
                <w:rFonts w:ascii="arial" w:hAnsi="arial"/>
                <w:sz w:val="20"/>
              </w:rPr>
              <w:t>Goodwill and other intangible assets(2)</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(15,237)</w:t>
            </w:r>
          </w:p>
        </w:tc>
        <w:tc>
          <w:tcPr>
            <w:tcW w:w="60" w:type="dxa"/>
            <w:tcBorders/>
            <w:vAlign w:val="center"/>
          </w:tcPr>
          <w:p>
            <w:pPr>
              <w:pStyle w:val="TableContents"/>
              <w:bidi w:val="0"/>
              <w:spacing w:before="0" w:after="283"/>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(15,207)</w:t>
            </w:r>
          </w:p>
        </w:tc>
        <w:tc>
          <w:tcPr>
            <w:tcW w:w="60" w:type="dxa"/>
            <w:tcBorders/>
            <w:vAlign w:val="center"/>
          </w:tcPr>
          <w:p>
            <w:pPr>
              <w:pStyle w:val="TableContents"/>
              <w:bidi w:val="0"/>
              <w:spacing w:before="0" w:after="283"/>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(14,905)</w:t>
            </w:r>
          </w:p>
        </w:tc>
        <w:tc>
          <w:tcPr>
            <w:tcW w:w="75" w:type="dxa"/>
            <w:tcBorders/>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0"/>
              <w:jc w:val="left"/>
              <w:rPr>
                <w:rFonts w:ascii="arial" w:hAnsi="arial"/>
                <w:sz w:val="20"/>
              </w:rPr>
            </w:pPr>
            <w:r>
              <w:rPr>
                <w:rFonts w:ascii="arial" w:hAnsi="arial"/>
                <w:sz w:val="20"/>
              </w:rPr>
              <w:t>Noncumulative perpetual preferred stock</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(4,845)</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(4,845)</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(4,845)</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0"/>
              <w:jc w:val="left"/>
              <w:rPr>
                <w:rFonts w:ascii="arial" w:hAnsi="arial"/>
                <w:sz w:val="20"/>
              </w:rPr>
            </w:pPr>
            <w:r>
              <w:rPr>
                <w:rFonts w:ascii="arial" w:hAnsi="arial"/>
                <w:sz w:val="20"/>
              </w:rPr>
              <w:t>Tangible common equity(3)</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$39,717</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$35,143</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$35,375</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5585"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75" w:type="dxa"/>
            <w:tcBorders/>
            <w:shd w:fill="E5EBEE" w:val="clear"/>
            <w:vAlign w:val="center"/>
          </w:tcPr>
          <w:p>
            <w:pPr>
              <w:pStyle w:val="TableContents"/>
              <w:bidi w:val="0"/>
              <w:spacing w:before="0" w:after="283"/>
              <w:jc w:val="left"/>
              <w:rPr>
                <w:sz w:val="4"/>
                <w:szCs w:val="4"/>
              </w:rPr>
            </w:pPr>
            <w:r>
              <w:rPr>
                <w:sz w:val="4"/>
                <w:szCs w:val="4"/>
              </w:rPr>
            </w:r>
          </w:p>
        </w:tc>
      </w:tr>
      <w:tr>
        <w:trPr/>
        <w:tc>
          <w:tcPr>
            <w:tcW w:w="558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0"/>
              <w:jc w:val="left"/>
              <w:rPr>
                <w:rFonts w:ascii="arial" w:hAnsi="arial"/>
                <w:b/>
                <w:sz w:val="20"/>
              </w:rPr>
            </w:pPr>
            <w:r>
              <w:rPr>
                <w:rFonts w:ascii="arial" w:hAnsi="arial"/>
                <w:b/>
                <w:sz w:val="20"/>
              </w:rPr>
              <w:t>Return on Tangible Common Equity (Average):</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0"/>
              <w:jc w:val="left"/>
              <w:rPr>
                <w:rFonts w:ascii="arial" w:hAnsi="arial"/>
                <w:sz w:val="20"/>
              </w:rPr>
            </w:pPr>
            <w:r>
              <w:rPr>
                <w:rFonts w:ascii="arial" w:hAnsi="arial"/>
                <w:sz w:val="20"/>
              </w:rPr>
              <w:t>Net income available to common stockholders</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pPr>
            <w:r>
              <w:rPr/>
              <w:t> </w:t>
            </w:r>
          </w:p>
        </w:tc>
        <w:tc>
          <w:tcPr>
            <w:tcW w:w="1819" w:type="dxa"/>
            <w:tcBorders/>
            <w:shd w:fill="E5EBEE" w:val="clear"/>
            <w:vAlign w:val="center"/>
          </w:tcPr>
          <w:p>
            <w:pPr>
              <w:pStyle w:val="TableContents"/>
              <w:bidi w:val="0"/>
              <w:spacing w:before="0" w:after="283"/>
              <w:jc w:val="center"/>
              <w:rPr/>
            </w:pPr>
            <w:r>
              <w:rPr/>
              <w:t>$4,445</w:t>
            </w:r>
          </w:p>
        </w:tc>
        <w:tc>
          <w:tcPr>
            <w:tcW w:w="60" w:type="dxa"/>
            <w:tcBorders/>
            <w:shd w:fill="E5EBEE" w:val="clear"/>
            <w:vAlign w:val="center"/>
          </w:tcPr>
          <w:p>
            <w:pPr>
              <w:pStyle w:val="TableContents"/>
              <w:bidi w:val="0"/>
              <w:spacing w:before="0" w:after="283"/>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pPr>
            <w:r>
              <w:rPr/>
              <w:t> </w:t>
            </w:r>
          </w:p>
        </w:tc>
        <w:tc>
          <w:tcPr>
            <w:tcW w:w="1819" w:type="dxa"/>
            <w:tcBorders/>
            <w:shd w:fill="E5EBEE" w:val="clear"/>
            <w:vAlign w:val="center"/>
          </w:tcPr>
          <w:p>
            <w:pPr>
              <w:pStyle w:val="TableContents"/>
              <w:bidi w:val="0"/>
              <w:spacing w:before="0" w:after="283"/>
              <w:jc w:val="center"/>
              <w:rPr/>
            </w:pPr>
            <w:r>
              <w:rPr/>
              <w:t>$4,582</w:t>
            </w:r>
          </w:p>
        </w:tc>
        <w:tc>
          <w:tcPr>
            <w:tcW w:w="60" w:type="dxa"/>
            <w:tcBorders/>
            <w:shd w:fill="E5EBEE" w:val="clear"/>
            <w:vAlign w:val="center"/>
          </w:tcPr>
          <w:p>
            <w:pPr>
              <w:pStyle w:val="TableContents"/>
              <w:bidi w:val="0"/>
              <w:spacing w:before="0" w:after="283"/>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pPr>
            <w:r>
              <w:rPr/>
              <w:t> </w:t>
            </w:r>
          </w:p>
        </w:tc>
        <w:tc>
          <w:tcPr>
            <w:tcW w:w="1819" w:type="dxa"/>
            <w:tcBorders/>
            <w:shd w:fill="E5EBEE" w:val="clear"/>
            <w:vAlign w:val="center"/>
          </w:tcPr>
          <w:p>
            <w:pPr>
              <w:pStyle w:val="TableContents"/>
              <w:bidi w:val="0"/>
              <w:spacing w:before="0" w:after="283"/>
              <w:jc w:val="center"/>
              <w:rPr/>
            </w:pPr>
            <w:r>
              <w:rPr/>
              <w:t>$7,044</w:t>
            </w:r>
          </w:p>
        </w:tc>
        <w:tc>
          <w:tcPr>
            <w:tcW w:w="75" w:type="dxa"/>
            <w:tcBorders/>
            <w:shd w:fill="E5EBEE" w:val="cle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0"/>
              <w:jc w:val="left"/>
              <w:rPr>
                <w:rFonts w:ascii="arial" w:hAnsi="arial"/>
                <w:sz w:val="20"/>
              </w:rPr>
            </w:pPr>
            <w:r>
              <w:rPr>
                <w:rFonts w:ascii="arial" w:hAnsi="arial"/>
                <w:sz w:val="20"/>
              </w:rPr>
              <w:t>Tangible common equity (Average)</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39,717</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35,143</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35,375</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0"/>
              <w:jc w:val="left"/>
              <w:rPr>
                <w:rFonts w:ascii="arial" w:hAnsi="arial"/>
                <w:sz w:val="20"/>
              </w:rPr>
            </w:pPr>
            <w:r>
              <w:rPr>
                <w:rFonts w:ascii="arial" w:hAnsi="arial"/>
                <w:sz w:val="20"/>
              </w:rPr>
              <w:t>Return on tangible common equity(3)(4)</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11.18%</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13.04%</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19.91%</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5585"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585"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136 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2025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right"/>
              <w:rPr>
                <w:b/>
                <w:color w:val="003A5D"/>
              </w:rPr>
            </w:pPr>
            <w:r>
              <w:rPr>
                <w:b/>
                <w:color w:val="003A5D"/>
              </w:rPr>
              <w:t>OTHER MATTERS</w:t>
            </w:r>
          </w:p>
        </w:tc>
      </w:tr>
    </w:tbl>
    <w:p>
      <w:pPr>
        <w:pStyle w:val="TextBody"/>
        <w:pBdr>
          <w:bottom w:val="single" w:sz="2" w:space="1" w:color="003A5D"/>
        </w:pBdr>
        <w:bidi w:val="0"/>
        <w:spacing w:lineRule="atLeast" w:line="142" w:before="0" w:after="40"/>
        <w:jc w:val="left"/>
        <w:rPr/>
      </w:pPr>
      <w:r>
        <w:rPr/>
        <w:t> </w:t>
      </w:r>
    </w:p>
    <w:tbl>
      <w:tblPr>
        <w:tblW w:w="7160" w:type="dxa"/>
        <w:jc w:val="left"/>
        <w:tblInd w:w="0" w:type="dxa"/>
        <w:tblLayout w:type="fixed"/>
        <w:tblCellMar>
          <w:top w:w="0" w:type="dxa"/>
          <w:left w:w="0" w:type="dxa"/>
          <w:bottom w:w="0" w:type="dxa"/>
          <w:right w:w="0" w:type="dxa"/>
        </w:tblCellMar>
      </w:tblPr>
      <w:tblGrid>
        <w:gridCol w:w="7160"/>
      </w:tblGrid>
      <w:tr>
        <w:trPr/>
        <w:tc>
          <w:tcPr>
            <w:tcW w:w="7160" w:type="dxa"/>
            <w:tcBorders/>
            <w:vAlign w:val="center"/>
          </w:tcPr>
          <w:p>
            <w:pPr>
              <w:pStyle w:val="TableContents"/>
              <w:bidi w:val="0"/>
              <w:spacing w:before="0" w:after="283"/>
              <w:jc w:val="left"/>
              <w:rPr>
                <w:sz w:val="4"/>
                <w:szCs w:val="4"/>
              </w:rPr>
            </w:pPr>
            <w:r>
              <w:rPr>
                <w:sz w:val="4"/>
                <w:szCs w:val="4"/>
              </w:rPr>
            </w:r>
          </w:p>
        </w:tc>
      </w:tr>
      <w:tr>
        <w:trPr/>
        <w:tc>
          <w:tcPr>
            <w:tcW w:w="7160" w:type="dxa"/>
            <w:tcBorders/>
            <w:vAlign w:val="center"/>
          </w:tcPr>
          <w:p>
            <w:pPr>
              <w:pStyle w:val="TableContents"/>
              <w:bidi w:val="0"/>
              <w:spacing w:before="0" w:after="283"/>
              <w:jc w:val="right"/>
              <w:rPr>
                <w:b/>
                <w:color w:val="003A5D"/>
              </w:rPr>
            </w:pPr>
            <w:r>
              <w:rPr>
                <w:b/>
                <w:color w:val="003A5D"/>
              </w:rPr>
              <w:t>Appendix A - Information Regarding Non-GAAP Financial Measures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65"/>
        <w:gridCol w:w="60"/>
        <w:gridCol w:w="136"/>
        <w:gridCol w:w="1819"/>
        <w:gridCol w:w="60"/>
        <w:gridCol w:w="60"/>
        <w:gridCol w:w="136"/>
        <w:gridCol w:w="1819"/>
        <w:gridCol w:w="60"/>
        <w:gridCol w:w="60"/>
        <w:gridCol w:w="136"/>
        <w:gridCol w:w="1819"/>
        <w:gridCol w:w="75"/>
      </w:tblGrid>
      <w:tr>
        <w:trPr/>
        <w:tc>
          <w:tcPr>
            <w:tcW w:w="3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65" w:type="dxa"/>
            <w:tcBorders/>
            <w:shd w:fill="003A5D"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3965" w:type="dxa"/>
            <w:tcBorders/>
            <w:shd w:fill="003A5D" w:val="clear"/>
            <w:vAlign w:val="center"/>
          </w:tcPr>
          <w:p>
            <w:pPr>
              <w:pStyle w:val="TableContents"/>
              <w:bidi w:val="0"/>
              <w:spacing w:before="0" w:after="283"/>
              <w:jc w:val="left"/>
              <w:rPr>
                <w:color w:val="FFFFFF"/>
              </w:rPr>
            </w:pPr>
            <w:r>
              <w:rPr>
                <w:color w:val="FFFFFF"/>
              </w:rPr>
              <w:t> </w:t>
            </w:r>
            <w:r>
              <w:rPr>
                <w:b/>
                <w:color w:val="FFFFFF"/>
              </w:rPr>
              <w:t>(Dollars in millions, except per share data and as noted)</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955" w:type="dxa"/>
            <w:gridSpan w:val="2"/>
            <w:tcBorders/>
            <w:shd w:fill="003A5D" w:val="clear"/>
            <w:vAlign w:val="center"/>
          </w:tcPr>
          <w:p>
            <w:pPr>
              <w:pStyle w:val="TableContents"/>
              <w:bidi w:val="0"/>
              <w:spacing w:before="0" w:after="283"/>
              <w:jc w:val="center"/>
              <w:rPr>
                <w:b/>
                <w:color w:val="FFFFFF"/>
              </w:rPr>
            </w:pPr>
            <w:r>
              <w:rPr>
                <w:b/>
                <w:color w:val="FFFFFF"/>
              </w:rPr>
              <w:t>Year Ended</w:t>
              <w:br/>
              <w:t>December 31, 2024</w:t>
              <w:br/>
              <w:t>Reported Results</w:t>
            </w:r>
          </w:p>
        </w:tc>
        <w:tc>
          <w:tcPr>
            <w:tcW w:w="60" w:type="dxa"/>
            <w:tcBorders/>
            <w:shd w:fill="003A5D" w:val="clear"/>
            <w:vAlign w:val="center"/>
          </w:tcPr>
          <w:p>
            <w:pPr>
              <w:pStyle w:val="TableContents"/>
              <w:bidi w:val="0"/>
              <w:spacing w:before="0" w:after="283"/>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955" w:type="dxa"/>
            <w:gridSpan w:val="2"/>
            <w:tcBorders/>
            <w:shd w:fill="003A5D" w:val="clear"/>
            <w:vAlign w:val="center"/>
          </w:tcPr>
          <w:p>
            <w:pPr>
              <w:pStyle w:val="TableContents"/>
              <w:bidi w:val="0"/>
              <w:spacing w:before="0" w:after="283"/>
              <w:jc w:val="center"/>
              <w:rPr>
                <w:b/>
                <w:color w:val="FFFFFF"/>
              </w:rPr>
            </w:pPr>
            <w:r>
              <w:rPr>
                <w:b/>
                <w:color w:val="FFFFFF"/>
              </w:rPr>
              <w:t>Year Ended</w:t>
              <w:br/>
              <w:t>December 31, 2023</w:t>
              <w:br/>
              <w:t>Reported Results</w:t>
            </w:r>
          </w:p>
        </w:tc>
        <w:tc>
          <w:tcPr>
            <w:tcW w:w="60" w:type="dxa"/>
            <w:tcBorders/>
            <w:shd w:fill="003A5D" w:val="clear"/>
            <w:vAlign w:val="center"/>
          </w:tcPr>
          <w:p>
            <w:pPr>
              <w:pStyle w:val="TableContents"/>
              <w:bidi w:val="0"/>
              <w:spacing w:before="0" w:after="283"/>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955" w:type="dxa"/>
            <w:gridSpan w:val="2"/>
            <w:tcBorders/>
            <w:shd w:fill="003A5D" w:val="clear"/>
            <w:vAlign w:val="center"/>
          </w:tcPr>
          <w:p>
            <w:pPr>
              <w:pStyle w:val="TableContents"/>
              <w:bidi w:val="0"/>
              <w:spacing w:before="0" w:after="283"/>
              <w:jc w:val="center"/>
              <w:rPr>
                <w:b/>
                <w:color w:val="FFFFFF"/>
              </w:rPr>
            </w:pPr>
            <w:r>
              <w:rPr>
                <w:b/>
                <w:color w:val="FFFFFF"/>
              </w:rPr>
              <w:t>Year Ended</w:t>
              <w:br/>
              <w:t>December 31, 2022</w:t>
              <w:br/>
              <w:t>Reported Results</w:t>
            </w:r>
          </w:p>
        </w:tc>
        <w:tc>
          <w:tcPr>
            <w:tcW w:w="75" w:type="dxa"/>
            <w:tcBorders/>
            <w:shd w:fill="003A5D" w:val="clear"/>
            <w:vAlign w:val="center"/>
          </w:tcPr>
          <w:p>
            <w:pPr>
              <w:pStyle w:val="TableContents"/>
              <w:bidi w:val="0"/>
              <w:spacing w:before="0" w:after="283"/>
              <w:jc w:val="left"/>
              <w:rPr/>
            </w:pPr>
            <w:r>
              <w:rPr/>
              <w:t> </w:t>
            </w:r>
          </w:p>
        </w:tc>
      </w:tr>
      <w:tr>
        <w:trPr/>
        <w:tc>
          <w:tcPr>
            <w:tcW w:w="3965" w:type="dxa"/>
            <w:tcBorders>
              <w:top w:val="single" w:sz="8" w:space="0" w:color="FFFFFF"/>
            </w:tcBorders>
            <w:shd w:fill="E5EBEE" w:val="clear"/>
            <w:tcMar>
              <w:top w:w="28" w:type="dxa"/>
            </w:tcMar>
            <w:vAlign w:val="center"/>
          </w:tcPr>
          <w:p>
            <w:pPr>
              <w:pStyle w:val="TableContents"/>
              <w:bidi w:val="0"/>
              <w:spacing w:before="0" w:after="283"/>
              <w:jc w:val="left"/>
              <w:rPr/>
            </w:pPr>
            <w:r>
              <w:rPr/>
              <w:t> </w:t>
            </w:r>
          </w:p>
        </w:tc>
        <w:tc>
          <w:tcPr>
            <w:tcW w:w="2075" w:type="dxa"/>
            <w:gridSpan w:val="4"/>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pPr>
            <w:r>
              <w:rPr/>
              <w:t> </w:t>
            </w:r>
          </w:p>
        </w:tc>
        <w:tc>
          <w:tcPr>
            <w:tcW w:w="2075" w:type="dxa"/>
            <w:gridSpan w:val="4"/>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pPr>
            <w:r>
              <w:rPr/>
              <w:t> </w:t>
            </w:r>
          </w:p>
        </w:tc>
        <w:tc>
          <w:tcPr>
            <w:tcW w:w="2090" w:type="dxa"/>
            <w:gridSpan w:val="4"/>
            <w:tcBorders>
              <w:top w:val="single" w:sz="8" w:space="0" w:color="FFFFFF"/>
              <w:left w:val="single" w:sz="24" w:space="0" w:color="FFFFFF"/>
            </w:tcBorders>
            <w:shd w:fill="E5EBEE" w:val="clear"/>
            <w:tcMar>
              <w:top w:w="28" w:type="dxa"/>
              <w:left w:w="28" w:type="dxa"/>
            </w:tcMar>
            <w:vAlign w:val="center"/>
          </w:tcPr>
          <w:p>
            <w:pPr>
              <w:pStyle w:val="TableContents"/>
              <w:bidi w:val="0"/>
              <w:spacing w:before="0" w:after="283"/>
              <w:jc w:val="left"/>
              <w:rPr/>
            </w:pPr>
            <w:r>
              <w:rPr/>
              <w:t> </w:t>
            </w:r>
          </w:p>
        </w:tc>
      </w:tr>
      <w:tr>
        <w:trPr/>
        <w:tc>
          <w:tcPr>
            <w:tcW w:w="3965" w:type="dxa"/>
            <w:tcBorders/>
            <w:shd w:fill="E5EBEE" w:val="clear"/>
            <w:vAlign w:val="center"/>
          </w:tcPr>
          <w:p>
            <w:pPr>
              <w:pStyle w:val="TableContents"/>
              <w:bidi w:val="0"/>
              <w:spacing w:before="0" w:after="0"/>
              <w:jc w:val="left"/>
              <w:rPr>
                <w:rFonts w:ascii="arial" w:hAnsi="arial"/>
                <w:b/>
                <w:sz w:val="20"/>
              </w:rPr>
            </w:pPr>
            <w:r>
              <w:rPr>
                <w:rFonts w:ascii="arial" w:hAnsi="arial"/>
                <w:b/>
                <w:sz w:val="20"/>
              </w:rPr>
              <w:t>Tangible Book Value per Common Share:</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75" w:type="dxa"/>
            <w:tcBorders/>
            <w:shd w:fill="E5EBEE" w:val="clear"/>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arial" w:hAnsi="arial"/>
                <w:sz w:val="20"/>
              </w:rPr>
            </w:pPr>
            <w:r>
              <w:rPr>
                <w:rFonts w:ascii="arial" w:hAnsi="arial"/>
                <w:sz w:val="20"/>
              </w:rPr>
              <w:t>Tangible common equity (period-end)</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$40,782</w:t>
            </w:r>
          </w:p>
        </w:tc>
        <w:tc>
          <w:tcPr>
            <w:tcW w:w="60" w:type="dxa"/>
            <w:tcBorders/>
            <w:vAlign w:val="center"/>
          </w:tcPr>
          <w:p>
            <w:pPr>
              <w:pStyle w:val="TableContents"/>
              <w:bidi w:val="0"/>
              <w:spacing w:before="0" w:after="283"/>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$37,955</w:t>
            </w:r>
          </w:p>
        </w:tc>
        <w:tc>
          <w:tcPr>
            <w:tcW w:w="60" w:type="dxa"/>
            <w:tcBorders/>
            <w:vAlign w:val="center"/>
          </w:tcPr>
          <w:p>
            <w:pPr>
              <w:pStyle w:val="TableContents"/>
              <w:bidi w:val="0"/>
              <w:spacing w:before="0" w:after="283"/>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$32,835</w:t>
            </w:r>
          </w:p>
        </w:tc>
        <w:tc>
          <w:tcPr>
            <w:tcW w:w="75" w:type="dxa"/>
            <w:tcBorders/>
            <w:vAlign w:val="center"/>
          </w:tcPr>
          <w:p>
            <w:pPr>
              <w:pStyle w:val="TableContents"/>
              <w:bidi w:val="0"/>
              <w:spacing w:before="0" w:after="283"/>
              <w:jc w:val="left"/>
              <w:rPr/>
            </w:pPr>
            <w:r>
              <w:rPr/>
              <w:t> </w:t>
            </w:r>
          </w:p>
        </w:tc>
      </w:tr>
      <w:tr>
        <w:trPr/>
        <w:tc>
          <w:tcPr>
            <w:tcW w:w="3965" w:type="dxa"/>
            <w:tcBorders/>
            <w:shd w:fill="E5EBEE"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3965" w:type="dxa"/>
            <w:tcBorders/>
            <w:shd w:fill="E5EBEE" w:val="clear"/>
            <w:vAlign w:val="center"/>
          </w:tcPr>
          <w:p>
            <w:pPr>
              <w:pStyle w:val="TableContents"/>
              <w:bidi w:val="0"/>
              <w:spacing w:before="0" w:after="0"/>
              <w:jc w:val="left"/>
              <w:rPr>
                <w:rFonts w:ascii="arial" w:hAnsi="arial"/>
                <w:sz w:val="20"/>
              </w:rPr>
            </w:pPr>
            <w:r>
              <w:rPr>
                <w:rFonts w:ascii="arial" w:hAnsi="arial"/>
                <w:sz w:val="20"/>
              </w:rPr>
              <w:t>Outstanding Common Shares</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381</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380</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381</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arial" w:hAnsi="arial"/>
                <w:sz w:val="20"/>
              </w:rPr>
            </w:pPr>
            <w:r>
              <w:rPr>
                <w:rFonts w:ascii="arial" w:hAnsi="arial"/>
                <w:sz w:val="20"/>
              </w:rPr>
              <w:t>Tangible book value per common share(3)</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$106.97</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$99.78</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$86.11</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3965"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3965"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(1)</w:t>
            </w:r>
          </w:p>
        </w:tc>
        <w:tc>
          <w:tcPr>
            <w:tcW w:w="9914" w:type="dxa"/>
            <w:tcBorders/>
            <w:vAlign w:val="center"/>
          </w:tcPr>
          <w:p>
            <w:pPr>
              <w:pStyle w:val="TableContents"/>
              <w:bidi w:val="0"/>
              <w:spacing w:before="0" w:after="0"/>
              <w:jc w:val="both"/>
              <w:rPr>
                <w:rFonts w:ascii="arial" w:hAnsi="arial"/>
                <w:sz w:val="16"/>
              </w:rPr>
            </w:pPr>
            <w:r>
              <w:rPr>
                <w:rFonts w:ascii="arial" w:hAnsi="arial"/>
                <w:sz w:val="16"/>
              </w:rPr>
              <w:t xml:space="preserve">Management believes that this financial metric is useful in assessing the ability of a lending institution to generate income in excess of its provision for credit losses </w:t>
            </w:r>
          </w:p>
        </w:tc>
      </w:tr>
    </w:tbl>
    <w:p>
      <w:pPr>
        <w:pStyle w:val="TextBody"/>
        <w:bidi w:val="0"/>
        <w:spacing w:before="0" w:after="0"/>
        <w:jc w:val="left"/>
        <w:rPr/>
      </w:pPr>
      <w:r>
        <w:rPr/>
        <w:t> </w:t>
      </w:r>
    </w:p>
    <w:tbl>
      <w:tblPr>
        <w:tblW w:w="3400" w:type="dxa"/>
        <w:jc w:val="left"/>
        <w:tblInd w:w="0" w:type="dxa"/>
        <w:tblLayout w:type="fixed"/>
        <w:tblCellMar>
          <w:top w:w="0" w:type="dxa"/>
          <w:left w:w="0" w:type="dxa"/>
          <w:bottom w:w="0" w:type="dxa"/>
          <w:right w:w="0" w:type="dxa"/>
        </w:tblCellMar>
      </w:tblPr>
      <w:tblGrid>
        <w:gridCol w:w="305"/>
        <w:gridCol w:w="3095"/>
      </w:tblGrid>
      <w:tr>
        <w:trPr/>
        <w:tc>
          <w:tcPr>
            <w:tcW w:w="305" w:type="dxa"/>
            <w:tcBorders/>
            <w:vAlign w:val="center"/>
          </w:tcPr>
          <w:p>
            <w:pPr>
              <w:pStyle w:val="TableContents"/>
              <w:bidi w:val="0"/>
              <w:spacing w:before="0" w:after="283"/>
              <w:jc w:val="left"/>
              <w:rPr/>
            </w:pPr>
            <w:r>
              <w:rPr/>
              <w:t>(2)</w:t>
            </w:r>
          </w:p>
        </w:tc>
        <w:tc>
          <w:tcPr>
            <w:tcW w:w="3095" w:type="dxa"/>
            <w:tcBorders/>
            <w:vAlign w:val="center"/>
          </w:tcPr>
          <w:p>
            <w:pPr>
              <w:pStyle w:val="TableContents"/>
              <w:bidi w:val="0"/>
              <w:spacing w:before="0" w:after="0"/>
              <w:jc w:val="both"/>
              <w:rPr>
                <w:rFonts w:ascii="arial" w:hAnsi="arial"/>
                <w:sz w:val="16"/>
              </w:rPr>
            </w:pPr>
            <w:r>
              <w:rPr>
                <w:rFonts w:ascii="arial" w:hAnsi="arial"/>
                <w:sz w:val="16"/>
              </w:rPr>
              <w:t xml:space="preserve">Includes impact of related deferred taxes. </w:t>
            </w:r>
          </w:p>
        </w:tc>
      </w:tr>
    </w:tbl>
    <w:p>
      <w:pPr>
        <w:pStyle w:val="TextBody"/>
        <w:bidi w:val="0"/>
        <w:spacing w:before="0" w:after="0"/>
        <w:jc w:val="left"/>
        <w:rPr/>
      </w:pPr>
      <w:r>
        <w:rPr/>
        <w:t> </w:t>
      </w:r>
    </w:p>
    <w:tbl>
      <w:tblPr>
        <w:tblW w:w="9130" w:type="dxa"/>
        <w:jc w:val="left"/>
        <w:tblInd w:w="0" w:type="dxa"/>
        <w:tblLayout w:type="fixed"/>
        <w:tblCellMar>
          <w:top w:w="0" w:type="dxa"/>
          <w:left w:w="0" w:type="dxa"/>
          <w:bottom w:w="0" w:type="dxa"/>
          <w:right w:w="0" w:type="dxa"/>
        </w:tblCellMar>
      </w:tblPr>
      <w:tblGrid>
        <w:gridCol w:w="305"/>
        <w:gridCol w:w="8825"/>
      </w:tblGrid>
      <w:tr>
        <w:trPr/>
        <w:tc>
          <w:tcPr>
            <w:tcW w:w="305" w:type="dxa"/>
            <w:tcBorders/>
            <w:vAlign w:val="center"/>
          </w:tcPr>
          <w:p>
            <w:pPr>
              <w:pStyle w:val="TableContents"/>
              <w:bidi w:val="0"/>
              <w:spacing w:before="0" w:after="283"/>
              <w:jc w:val="left"/>
              <w:rPr/>
            </w:pPr>
            <w:r>
              <w:rPr/>
              <w:t>(3)</w:t>
            </w:r>
          </w:p>
        </w:tc>
        <w:tc>
          <w:tcPr>
            <w:tcW w:w="8825" w:type="dxa"/>
            <w:tcBorders/>
            <w:vAlign w:val="center"/>
          </w:tcPr>
          <w:p>
            <w:pPr>
              <w:pStyle w:val="TableContents"/>
              <w:bidi w:val="0"/>
              <w:spacing w:before="0" w:after="0"/>
              <w:jc w:val="both"/>
              <w:rPr>
                <w:rFonts w:ascii="arial" w:hAnsi="arial"/>
                <w:sz w:val="16"/>
              </w:rPr>
            </w:pPr>
            <w:r>
              <w:rPr>
                <w:rFonts w:ascii="arial" w:hAnsi="arial"/>
                <w:sz w:val="16"/>
              </w:rPr>
              <w:t xml:space="preserve">Management believes that this financial metric is useful in assessing capital adequacy and the level of returns generated.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(4)</w:t>
            </w:r>
          </w:p>
        </w:tc>
        <w:tc>
          <w:tcPr>
            <w:tcW w:w="9940" w:type="dxa"/>
            <w:tcBorders/>
            <w:vAlign w:val="center"/>
          </w:tcPr>
          <w:p>
            <w:pPr>
              <w:pStyle w:val="TableContents"/>
              <w:bidi w:val="0"/>
              <w:spacing w:before="0" w:after="0"/>
              <w:jc w:val="both"/>
              <w:rPr>
                <w:rFonts w:ascii="arial" w:hAnsi="arial"/>
                <w:sz w:val="16"/>
              </w:rPr>
            </w:pPr>
            <w:r>
              <w:rPr>
                <w:rFonts w:ascii="arial" w:hAnsi="arial"/>
                <w:sz w:val="16"/>
              </w:rPr>
              <w:t xml:space="preserve">Return on average tangible common equity is a non-GAAP measure calculated based on annualized net income (loss) available to common stockholders less income (loss) from discontinued operations, net of tax, for the period, divided by average Tangible Common Equity. </w:t>
            </w:r>
          </w:p>
        </w:tc>
      </w:tr>
    </w:tbl>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2025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137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jc w:val="both"/>
        <w:rPr>
          <w:color w:val="FFFFFF"/>
        </w:rPr>
      </w:pPr>
      <w:r>
        <w:rPr>
          <w:color w:val="FFFFFF"/>
        </w:rPr>
        <w:drawing>
          <wp:inline distT="0" distB="0" distL="0" distR="0">
            <wp:extent cx="8001000" cy="10287000"/>
            <wp:effectExtent l="0" t="0" r="0" b="0"/>
            <wp:docPr id="8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8" descr=""/>
                    <pic:cNvPicPr>
                      <a:picLocks noChangeAspect="1" noChangeArrowheads="1"/>
                    </pic:cNvPicPr>
                  </pic:nvPicPr>
                  <pic:blipFill>
                    <a:blip r:embed="rId69"/>
                    <a:stretch>
                      <a:fillRect/>
                    </a:stretch>
                  </pic:blipFill>
                  <pic:spPr bwMode="auto">
                    <a:xfrm>
                      <a:off x="0" y="0"/>
                      <a:ext cx="8001000" cy="10287000"/>
                    </a:xfrm>
                    <a:prstGeom prst="rect">
                      <a:avLst/>
                    </a:prstGeom>
                  </pic:spPr>
                </pic:pic>
              </a:graphicData>
            </a:graphic>
          </wp:inline>
        </w:drawing>
      </w:r>
      <w:r>
        <w:rPr>
          <w:color w:val="FFFFFF"/>
        </w:rPr>
        <w:t xml:space="preserve"> </w:t>
      </w:r>
      <w:r>
        <w:rPr>
          <w:rFonts w:ascii="arial" w:hAnsi="arial"/>
          <w:color w:val="FFFFFF"/>
          <w:sz w:val="2"/>
        </w:rPr>
        <w:t xml:space="preserve">1680 Capital One Drive McLean, VA 22102 (703) 720-1000 www.capitalone.com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jc w:val="left"/>
        <w:rPr/>
      </w:pPr>
      <w:r>
        <w:rPr/>
        <w:t>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3175000" cy="2848610"/>
                <wp:effectExtent l="0" t="0" r="0" b="0"/>
                <wp:wrapSquare wrapText="right"/>
                <wp:docPr id="83" name="Frame16"/>
                <a:graphic xmlns:a="http://schemas.openxmlformats.org/drawingml/2006/main">
                  <a:graphicData uri="http://schemas.microsoft.com/office/word/2010/wordprocessingShape">
                    <wps:wsp>
                      <wps:cNvSpPr txBox="1"/>
                      <wps:spPr>
                        <a:xfrm>
                          <a:off x="0" y="0"/>
                          <a:ext cx="3175000" cy="2848610"/>
                        </a:xfrm>
                        <a:prstGeom prst="rect"/>
                        <a:solidFill>
                          <a:srgbClr val="FFFFFF"/>
                        </a:solidFill>
                      </wps:spPr>
                      <wps:txbx>
                        <w:txbxContent>
                          <w:p>
                            <w:pPr>
                              <w:pStyle w:val="TextBody"/>
                              <w:bidi w:val="0"/>
                              <w:spacing w:before="0" w:after="0"/>
                              <w:jc w:val="left"/>
                              <w:rPr/>
                            </w:pPr>
                            <w:r>
                              <w:rPr/>
                              <w:t> </w:t>
                            </w:r>
                          </w:p>
                          <w:p>
                            <w:pPr>
                              <w:pStyle w:val="TextBody"/>
                              <w:bidi w:val="0"/>
                              <w:spacing w:before="0" w:after="0"/>
                              <w:jc w:val="left"/>
                              <w:rPr/>
                            </w:pPr>
                            <w:r>
                              <w:rPr/>
                              <w:t xml:space="preserve">  </w:t>
                            </w:r>
                            <w:r>
                              <w:rPr/>
                              <w:drawing>
                                <wp:inline distT="0" distB="0" distL="0" distR="0">
                                  <wp:extent cx="2054225" cy="481330"/>
                                  <wp:effectExtent l="0" t="0" r="0" b="0"/>
                                  <wp:docPr id="8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0" descr=""/>
                                          <pic:cNvPicPr>
                                            <a:picLocks noChangeAspect="1" noChangeArrowheads="1"/>
                                          </pic:cNvPicPr>
                                        </pic:nvPicPr>
                                        <pic:blipFill>
                                          <a:blip r:embed="rId70"/>
                                          <a:stretch>
                                            <a:fillRect/>
                                          </a:stretch>
                                        </pic:blipFill>
                                        <pic:spPr bwMode="auto">
                                          <a:xfrm>
                                            <a:off x="0" y="0"/>
                                            <a:ext cx="2054225" cy="481330"/>
                                          </a:xfrm>
                                          <a:prstGeom prst="rect">
                                            <a:avLst/>
                                          </a:prstGeom>
                                        </pic:spPr>
                                      </pic:pic>
                                    </a:graphicData>
                                  </a:graphic>
                                </wp:inline>
                              </w:drawing>
                            </w:r>
                            <w:r>
                              <w:rPr/>
                              <w:t xml:space="preserve"> </w:t>
                            </w:r>
                          </w:p>
                          <w:p>
                            <w:pPr>
                              <w:pStyle w:val="TextBody"/>
                              <w:bidi w:val="0"/>
                              <w:spacing w:before="0" w:after="0"/>
                              <w:jc w:val="left"/>
                              <w:rPr>
                                <w:rFonts w:ascii="ARIAL" w:hAnsi="ARIAL"/>
                                <w:b/>
                                <w:sz w:val="13"/>
                              </w:rPr>
                            </w:pPr>
                            <w:r>
                              <w:rPr>
                                <w:rFonts w:ascii="ARIAL" w:hAnsi="ARIAL"/>
                                <w:b/>
                                <w:sz w:val="13"/>
                              </w:rPr>
                              <w:t xml:space="preserve">VOTE BY INTERNET - </w:t>
                            </w:r>
                            <w:r>
                              <w:rPr>
                                <w:rFonts w:ascii="ARIAL" w:hAnsi="ARIAL"/>
                                <w:b/>
                                <w:sz w:val="13"/>
                                <w:u w:val="single"/>
                              </w:rPr>
                              <w:t>www.proxyvote.com</w:t>
                            </w:r>
                            <w:r>
                              <w:rPr>
                                <w:rFonts w:ascii="ARIAL" w:hAnsi="ARIAL"/>
                                <w:b/>
                                <w:sz w:val="13"/>
                              </w:rPr>
                              <w:t xml:space="preserve"> or scan the QR Barcode above </w:t>
                            </w:r>
                          </w:p>
                          <w:p>
                            <w:pPr>
                              <w:pStyle w:val="TextBody"/>
                              <w:bidi w:val="0"/>
                              <w:spacing w:before="80" w:after="0"/>
                              <w:ind w:left="0" w:right="400" w:hanging="0"/>
                              <w:jc w:val="both"/>
                              <w:rPr>
                                <w:rFonts w:ascii="ARIAL" w:hAnsi="ARIAL"/>
                                <w:sz w:val="12"/>
                              </w:rPr>
                            </w:pPr>
                            <w:r>
                              <w:rPr>
                                <w:rFonts w:ascii="ARIAL" w:hAnsi="ARIAL"/>
                                <w:sz w:val="12"/>
                              </w:rPr>
                              <w:t xml:space="preserve">Use the Internet to transmit your voting instructions and for electronic delivery of information. Vote by 11:59 p.m. ET on May 7, 2025 for shares held directly and by 11:59 p.m. ET on May 5, 2025 for shares held in a Plan. Have your proxy card in hand when you access the website and follow the instructions to obtain your records and to create an electronic voting instruction form. </w:t>
                            </w:r>
                          </w:p>
                          <w:p>
                            <w:pPr>
                              <w:pStyle w:val="TextBody"/>
                              <w:bidi w:val="0"/>
                              <w:spacing w:before="80" w:after="0"/>
                              <w:ind w:left="0" w:right="400" w:hanging="0"/>
                              <w:jc w:val="left"/>
                              <w:rPr>
                                <w:rFonts w:ascii="ARIAL" w:hAnsi="ARIAL"/>
                                <w:b/>
                                <w:sz w:val="13"/>
                              </w:rPr>
                            </w:pPr>
                            <w:r>
                              <w:rPr>
                                <w:rFonts w:ascii="ARIAL" w:hAnsi="ARIAL"/>
                                <w:b/>
                                <w:sz w:val="13"/>
                              </w:rPr>
                              <w:t xml:space="preserve">ELECTRONIC DELIVERY OF FUTURE PROXY MATERIALS </w:t>
                            </w:r>
                          </w:p>
                          <w:p>
                            <w:pPr>
                              <w:pStyle w:val="TextBody"/>
                              <w:bidi w:val="0"/>
                              <w:spacing w:before="0" w:after="0"/>
                              <w:ind w:left="0" w:right="400" w:hanging="0"/>
                              <w:jc w:val="both"/>
                              <w:rPr>
                                <w:rFonts w:ascii="ARIAL" w:hAnsi="ARIAL"/>
                                <w:sz w:val="12"/>
                              </w:rPr>
                            </w:pPr>
                            <w:r>
                              <w:rPr>
                                <w:rFonts w:ascii="ARIAL" w:hAnsi="ARIAL"/>
                                <w:sz w:val="12"/>
                              </w:rPr>
                              <w:t xml:space="preserve">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w:t>
                            </w:r>
                          </w:p>
                          <w:p>
                            <w:pPr>
                              <w:pStyle w:val="TextBody"/>
                              <w:bidi w:val="0"/>
                              <w:spacing w:before="80" w:after="0"/>
                              <w:ind w:left="0" w:right="400" w:hanging="0"/>
                              <w:jc w:val="left"/>
                              <w:rPr>
                                <w:rFonts w:ascii="ARIAL" w:hAnsi="ARIAL"/>
                                <w:b/>
                                <w:sz w:val="13"/>
                              </w:rPr>
                            </w:pPr>
                            <w:r>
                              <w:rPr>
                                <w:rFonts w:ascii="ARIAL" w:hAnsi="ARIAL"/>
                                <w:b/>
                                <w:sz w:val="13"/>
                              </w:rPr>
                              <w:t xml:space="preserve">VOTE BY PHONE - 1-800-690-6903 </w:t>
                            </w:r>
                          </w:p>
                          <w:p>
                            <w:pPr>
                              <w:pStyle w:val="TextBody"/>
                              <w:bidi w:val="0"/>
                              <w:spacing w:before="0" w:after="0"/>
                              <w:ind w:left="0" w:right="400" w:hanging="0"/>
                              <w:jc w:val="both"/>
                              <w:rPr>
                                <w:rFonts w:ascii="ARIAL" w:hAnsi="ARIAL"/>
                                <w:sz w:val="12"/>
                              </w:rPr>
                            </w:pPr>
                            <w:r>
                              <w:rPr>
                                <w:rFonts w:ascii="ARIAL" w:hAnsi="ARIAL"/>
                                <w:sz w:val="12"/>
                              </w:rPr>
                              <w:t xml:space="preserve">Use any touch-tone telephone to transmit your voting instructions. Vote by 11:59 p.m. ET on May 7, 2025 for shares held directly and by 11:59 p.m. ET on May 5, 2025 for shares held in a Plan. Have your proxy card in hand when you call and then follow the instructions. </w:t>
                            </w:r>
                          </w:p>
                          <w:p>
                            <w:pPr>
                              <w:pStyle w:val="TextBody"/>
                              <w:bidi w:val="0"/>
                              <w:spacing w:before="80" w:after="0"/>
                              <w:ind w:left="0" w:right="400" w:hanging="0"/>
                              <w:jc w:val="left"/>
                              <w:rPr>
                                <w:rFonts w:ascii="ARIAL" w:hAnsi="ARIAL"/>
                                <w:b/>
                                <w:sz w:val="13"/>
                              </w:rPr>
                            </w:pPr>
                            <w:r>
                              <w:rPr>
                                <w:rFonts w:ascii="ARIAL" w:hAnsi="ARIAL"/>
                                <w:b/>
                                <w:sz w:val="13"/>
                              </w:rPr>
                              <w:t xml:space="preserve">VOTE BY MAIL </w:t>
                            </w:r>
                          </w:p>
                          <w:p>
                            <w:pPr>
                              <w:pStyle w:val="TextBody"/>
                              <w:bidi w:val="0"/>
                              <w:spacing w:before="0" w:after="0"/>
                              <w:ind w:left="0" w:right="400" w:hanging="0"/>
                              <w:jc w:val="both"/>
                              <w:rPr>
                                <w:rFonts w:ascii="ARIAL" w:hAnsi="ARIAL"/>
                                <w:sz w:val="12"/>
                              </w:rPr>
                            </w:pPr>
                            <w:r>
                              <w:rPr>
                                <w:rFonts w:ascii="ARIAL" w:hAnsi="ARIAL"/>
                                <w:sz w:val="12"/>
                              </w:rPr>
                              <w:t xml:space="preserve">Mark, sign and date your proxy card and return it in the postage-paid envelope we have provided or return it to Vote Processing, c/o Broadridge, 51 Mercedes Way, Edgewood, NY 11717.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24.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w:t>
                      </w:r>
                    </w:p>
                    <w:p>
                      <w:pPr>
                        <w:pStyle w:val="TextBody"/>
                        <w:bidi w:val="0"/>
                        <w:spacing w:before="0" w:after="0"/>
                        <w:jc w:val="left"/>
                        <w:rPr/>
                      </w:pPr>
                      <w:r>
                        <w:rPr/>
                        <w:t xml:space="preserve">  </w:t>
                      </w:r>
                      <w:r>
                        <w:rPr/>
                        <w:drawing>
                          <wp:inline distT="0" distB="0" distL="0" distR="0">
                            <wp:extent cx="2054225" cy="481330"/>
                            <wp:effectExtent l="0" t="0" r="0" b="0"/>
                            <wp:docPr id="85"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0" descr=""/>
                                    <pic:cNvPicPr>
                                      <a:picLocks noChangeAspect="1" noChangeArrowheads="1"/>
                                    </pic:cNvPicPr>
                                  </pic:nvPicPr>
                                  <pic:blipFill>
                                    <a:blip r:embed="rId71"/>
                                    <a:stretch>
                                      <a:fillRect/>
                                    </a:stretch>
                                  </pic:blipFill>
                                  <pic:spPr bwMode="auto">
                                    <a:xfrm>
                                      <a:off x="0" y="0"/>
                                      <a:ext cx="2054225" cy="481330"/>
                                    </a:xfrm>
                                    <a:prstGeom prst="rect">
                                      <a:avLst/>
                                    </a:prstGeom>
                                  </pic:spPr>
                                </pic:pic>
                              </a:graphicData>
                            </a:graphic>
                          </wp:inline>
                        </w:drawing>
                      </w:r>
                      <w:r>
                        <w:rPr/>
                        <w:t xml:space="preserve"> </w:t>
                      </w:r>
                    </w:p>
                    <w:p>
                      <w:pPr>
                        <w:pStyle w:val="TextBody"/>
                        <w:bidi w:val="0"/>
                        <w:spacing w:before="0" w:after="0"/>
                        <w:jc w:val="left"/>
                        <w:rPr>
                          <w:rFonts w:ascii="ARIAL" w:hAnsi="ARIAL"/>
                          <w:b/>
                          <w:sz w:val="13"/>
                        </w:rPr>
                      </w:pPr>
                      <w:r>
                        <w:rPr>
                          <w:rFonts w:ascii="ARIAL" w:hAnsi="ARIAL"/>
                          <w:b/>
                          <w:sz w:val="13"/>
                        </w:rPr>
                        <w:t xml:space="preserve">VOTE BY INTERNET - </w:t>
                      </w:r>
                      <w:r>
                        <w:rPr>
                          <w:rFonts w:ascii="ARIAL" w:hAnsi="ARIAL"/>
                          <w:b/>
                          <w:sz w:val="13"/>
                          <w:u w:val="single"/>
                        </w:rPr>
                        <w:t>www.proxyvote.com</w:t>
                      </w:r>
                      <w:r>
                        <w:rPr>
                          <w:rFonts w:ascii="ARIAL" w:hAnsi="ARIAL"/>
                          <w:b/>
                          <w:sz w:val="13"/>
                        </w:rPr>
                        <w:t xml:space="preserve"> or scan the QR Barcode above </w:t>
                      </w:r>
                    </w:p>
                    <w:p>
                      <w:pPr>
                        <w:pStyle w:val="TextBody"/>
                        <w:bidi w:val="0"/>
                        <w:spacing w:before="80" w:after="0"/>
                        <w:ind w:left="0" w:right="400" w:hanging="0"/>
                        <w:jc w:val="both"/>
                        <w:rPr>
                          <w:rFonts w:ascii="ARIAL" w:hAnsi="ARIAL"/>
                          <w:sz w:val="12"/>
                        </w:rPr>
                      </w:pPr>
                      <w:r>
                        <w:rPr>
                          <w:rFonts w:ascii="ARIAL" w:hAnsi="ARIAL"/>
                          <w:sz w:val="12"/>
                        </w:rPr>
                        <w:t xml:space="preserve">Use the Internet to transmit your voting instructions and for electronic delivery of information. Vote by 11:59 p.m. ET on May 7, 2025 for shares held directly and by 11:59 p.m. ET on May 5, 2025 for shares held in a Plan. Have your proxy card in hand when you access the website and follow the instructions to obtain your records and to create an electronic voting instruction form. </w:t>
                      </w:r>
                    </w:p>
                    <w:p>
                      <w:pPr>
                        <w:pStyle w:val="TextBody"/>
                        <w:bidi w:val="0"/>
                        <w:spacing w:before="80" w:after="0"/>
                        <w:ind w:left="0" w:right="400" w:hanging="0"/>
                        <w:jc w:val="left"/>
                        <w:rPr>
                          <w:rFonts w:ascii="ARIAL" w:hAnsi="ARIAL"/>
                          <w:b/>
                          <w:sz w:val="13"/>
                        </w:rPr>
                      </w:pPr>
                      <w:r>
                        <w:rPr>
                          <w:rFonts w:ascii="ARIAL" w:hAnsi="ARIAL"/>
                          <w:b/>
                          <w:sz w:val="13"/>
                        </w:rPr>
                        <w:t xml:space="preserve">ELECTRONIC DELIVERY OF FUTURE PROXY MATERIALS </w:t>
                      </w:r>
                    </w:p>
                    <w:p>
                      <w:pPr>
                        <w:pStyle w:val="TextBody"/>
                        <w:bidi w:val="0"/>
                        <w:spacing w:before="0" w:after="0"/>
                        <w:ind w:left="0" w:right="400" w:hanging="0"/>
                        <w:jc w:val="both"/>
                        <w:rPr>
                          <w:rFonts w:ascii="ARIAL" w:hAnsi="ARIAL"/>
                          <w:sz w:val="12"/>
                        </w:rPr>
                      </w:pPr>
                      <w:r>
                        <w:rPr>
                          <w:rFonts w:ascii="ARIAL" w:hAnsi="ARIAL"/>
                          <w:sz w:val="12"/>
                        </w:rPr>
                        <w:t xml:space="preserve">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w:t>
                      </w:r>
                    </w:p>
                    <w:p>
                      <w:pPr>
                        <w:pStyle w:val="TextBody"/>
                        <w:bidi w:val="0"/>
                        <w:spacing w:before="80" w:after="0"/>
                        <w:ind w:left="0" w:right="400" w:hanging="0"/>
                        <w:jc w:val="left"/>
                        <w:rPr>
                          <w:rFonts w:ascii="ARIAL" w:hAnsi="ARIAL"/>
                          <w:b/>
                          <w:sz w:val="13"/>
                        </w:rPr>
                      </w:pPr>
                      <w:r>
                        <w:rPr>
                          <w:rFonts w:ascii="ARIAL" w:hAnsi="ARIAL"/>
                          <w:b/>
                          <w:sz w:val="13"/>
                        </w:rPr>
                        <w:t xml:space="preserve">VOTE BY PHONE - 1-800-690-6903 </w:t>
                      </w:r>
                    </w:p>
                    <w:p>
                      <w:pPr>
                        <w:pStyle w:val="TextBody"/>
                        <w:bidi w:val="0"/>
                        <w:spacing w:before="0" w:after="0"/>
                        <w:ind w:left="0" w:right="400" w:hanging="0"/>
                        <w:jc w:val="both"/>
                        <w:rPr>
                          <w:rFonts w:ascii="ARIAL" w:hAnsi="ARIAL"/>
                          <w:sz w:val="12"/>
                        </w:rPr>
                      </w:pPr>
                      <w:r>
                        <w:rPr>
                          <w:rFonts w:ascii="ARIAL" w:hAnsi="ARIAL"/>
                          <w:sz w:val="12"/>
                        </w:rPr>
                        <w:t xml:space="preserve">Use any touch-tone telephone to transmit your voting instructions. Vote by 11:59 p.m. ET on May 7, 2025 for shares held directly and by 11:59 p.m. ET on May 5, 2025 for shares held in a Plan. Have your proxy card in hand when you call and then follow the instructions. </w:t>
                      </w:r>
                    </w:p>
                    <w:p>
                      <w:pPr>
                        <w:pStyle w:val="TextBody"/>
                        <w:bidi w:val="0"/>
                        <w:spacing w:before="80" w:after="0"/>
                        <w:ind w:left="0" w:right="400" w:hanging="0"/>
                        <w:jc w:val="left"/>
                        <w:rPr>
                          <w:rFonts w:ascii="ARIAL" w:hAnsi="ARIAL"/>
                          <w:b/>
                          <w:sz w:val="13"/>
                        </w:rPr>
                      </w:pPr>
                      <w:r>
                        <w:rPr>
                          <w:rFonts w:ascii="ARIAL" w:hAnsi="ARIAL"/>
                          <w:b/>
                          <w:sz w:val="13"/>
                        </w:rPr>
                        <w:t xml:space="preserve">VOTE BY MAIL </w:t>
                      </w:r>
                    </w:p>
                    <w:p>
                      <w:pPr>
                        <w:pStyle w:val="TextBody"/>
                        <w:bidi w:val="0"/>
                        <w:spacing w:before="0" w:after="0"/>
                        <w:ind w:left="0" w:right="400" w:hanging="0"/>
                        <w:jc w:val="both"/>
                        <w:rPr>
                          <w:rFonts w:ascii="ARIAL" w:hAnsi="ARIAL"/>
                          <w:sz w:val="12"/>
                        </w:rPr>
                      </w:pPr>
                      <w:r>
                        <w:rPr>
                          <w:rFonts w:ascii="ARIAL" w:hAnsi="ARIAL"/>
                          <w:sz w:val="12"/>
                        </w:rPr>
                        <w:t xml:space="preserve">Mark, sign and date your proxy card and return it in the postage-paid envelope we have provided or return it to Vote Processing, c/o Broadridge, 51 Mercedes Way, Edgewood, NY 11717. </w:t>
                      </w:r>
                    </w:p>
                  </w:txbxContent>
                </v:textbox>
                <w10:wrap type="square" side="right"/>
              </v:rect>
            </w:pict>
          </mc:Fallback>
        </mc:AlternateConten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3110230" cy="1645285"/>
                <wp:effectExtent l="0" t="0" r="0" b="0"/>
                <wp:wrapSquare wrapText="right"/>
                <wp:docPr id="86" name="Frame15"/>
                <a:graphic xmlns:a="http://schemas.openxmlformats.org/drawingml/2006/main">
                  <a:graphicData uri="http://schemas.microsoft.com/office/word/2010/wordprocessingShape">
                    <wps:wsp>
                      <wps:cNvSpPr txBox="1"/>
                      <wps:spPr>
                        <a:xfrm>
                          <a:off x="0" y="0"/>
                          <a:ext cx="3110230" cy="1645285"/>
                        </a:xfrm>
                        <a:prstGeom prst="rect"/>
                        <a:solidFill>
                          <a:srgbClr val="FFFFFF"/>
                        </a:solidFill>
                      </wps:spPr>
                      <wps:txbx>
                        <w:txbxContent>
                          <w:p>
                            <w:pPr>
                              <w:pStyle w:val="TextBody"/>
                              <w:bidi w:val="0"/>
                              <w:spacing w:before="0" w:after="0"/>
                              <w:ind w:left="640" w:right="0" w:hanging="0"/>
                              <w:jc w:val="left"/>
                              <w:rPr/>
                            </w:pPr>
                            <w:r>
                              <w:rPr/>
                              <w:drawing>
                                <wp:inline distT="0" distB="0" distL="0" distR="0">
                                  <wp:extent cx="1423670" cy="527050"/>
                                  <wp:effectExtent l="0" t="0" r="0" b="0"/>
                                  <wp:docPr id="8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9" descr=""/>
                                          <pic:cNvPicPr>
                                            <a:picLocks noChangeAspect="1" noChangeArrowheads="1"/>
                                          </pic:cNvPicPr>
                                        </pic:nvPicPr>
                                        <pic:blipFill>
                                          <a:blip r:embed="rId72"/>
                                          <a:stretch>
                                            <a:fillRect/>
                                          </a:stretch>
                                        </pic:blipFill>
                                        <pic:spPr bwMode="auto">
                                          <a:xfrm>
                                            <a:off x="0" y="0"/>
                                            <a:ext cx="1423670" cy="527050"/>
                                          </a:xfrm>
                                          <a:prstGeom prst="rect">
                                            <a:avLst/>
                                          </a:prstGeom>
                                        </pic:spPr>
                                      </pic:pic>
                                    </a:graphicData>
                                  </a:graphic>
                                </wp:inline>
                              </w:drawing>
                            </w:r>
                            <w:r>
                              <w:rPr/>
                              <w:t xml:space="preserve"> </w:t>
                            </w:r>
                          </w:p>
                          <w:tbl>
                            <w:tblPr>
                              <w:tblW w:w="3170" w:type="dxa"/>
                              <w:jc w:val="left"/>
                              <w:tblInd w:w="0" w:type="dxa"/>
                              <w:tblLayout w:type="fixed"/>
                              <w:tblCellMar>
                                <w:top w:w="0" w:type="dxa"/>
                                <w:left w:w="0" w:type="dxa"/>
                                <w:bottom w:w="0" w:type="dxa"/>
                                <w:right w:w="0" w:type="dxa"/>
                              </w:tblCellMar>
                            </w:tblPr>
                            <w:tblGrid>
                              <w:gridCol w:w="3170"/>
                            </w:tblGrid>
                            <w:tr>
                              <w:trPr/>
                              <w:tc>
                                <w:tcPr>
                                  <w:tcW w:w="3170"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0"/>
                                    <w:jc w:val="both"/>
                                    <w:rPr/>
                                  </w:pPr>
                                  <w:r>
                                    <w:rPr/>
                                    <w:t>  </w:t>
                                  </w:r>
                                  <w:r>
                                    <w:rPr>
                                      <w:rFonts w:ascii="ARIAL" w:hAnsi="ARIAL"/>
                                      <w:i/>
                                      <w:sz w:val="13"/>
                                    </w:rPr>
                                    <w:t>CAPITAL ONE FINANCIAL CORPORATION</w:t>
                                  </w:r>
                                </w:p>
                              </w:tc>
                            </w:tr>
                            <w:tr>
                              <w:trPr/>
                              <w:tc>
                                <w:tcPr>
                                  <w:tcW w:w="3170" w:type="dxa"/>
                                  <w:tcBorders/>
                                  <w:vAlign w:val="center"/>
                                </w:tcPr>
                                <w:p>
                                  <w:pPr>
                                    <w:pStyle w:val="TableContents"/>
                                    <w:bidi w:val="0"/>
                                    <w:spacing w:before="0" w:after="0"/>
                                    <w:jc w:val="both"/>
                                    <w:rPr/>
                                  </w:pPr>
                                  <w:r>
                                    <w:rPr/>
                                    <w:t>  </w:t>
                                  </w:r>
                                  <w:r>
                                    <w:rPr>
                                      <w:rFonts w:ascii="ARIAL" w:hAnsi="ARIAL"/>
                                      <w:i/>
                                      <w:sz w:val="13"/>
                                    </w:rPr>
                                    <w:t>1680 CAPITAL ONE DRIVE</w:t>
                                  </w:r>
                                </w:p>
                              </w:tc>
                            </w:tr>
                            <w:tr>
                              <w:trPr/>
                              <w:tc>
                                <w:tcPr>
                                  <w:tcW w:w="3170" w:type="dxa"/>
                                  <w:tcBorders/>
                                  <w:vAlign w:val="center"/>
                                </w:tcPr>
                                <w:p>
                                  <w:pPr>
                                    <w:pStyle w:val="TableContents"/>
                                    <w:bidi w:val="0"/>
                                    <w:spacing w:before="0" w:after="0"/>
                                    <w:jc w:val="both"/>
                                    <w:rPr/>
                                  </w:pPr>
                                  <w:r>
                                    <w:rPr/>
                                    <w:t>  </w:t>
                                  </w:r>
                                  <w:r>
                                    <w:rPr>
                                      <w:rFonts w:ascii="ARIAL" w:hAnsi="ARIAL"/>
                                      <w:i/>
                                      <w:sz w:val="13"/>
                                    </w:rPr>
                                    <w:t>MCLEAN, VA 22102-3491</w:t>
                                  </w:r>
                                </w:p>
                              </w:tc>
                            </w:tr>
                          </w:tbl>
                          <w:p>
                            <w:pPr>
                              <w:pStyle w:val="TextBody"/>
                              <w:bidi w:val="0"/>
                              <w:spacing w:before="0" w:after="0"/>
                              <w:jc w:val="left"/>
                              <w:rPr/>
                            </w:pPr>
                            <w:r>
                              <w:rPr/>
                              <w:t> </w:t>
                            </w:r>
                          </w:p>
                          <w:p>
                            <w:pPr>
                              <w:pStyle w:val="TextBody"/>
                              <w:bidi w:val="0"/>
                              <w:spacing w:before="0" w:after="0"/>
                              <w:jc w:val="left"/>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29.5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ind w:left="640" w:right="0" w:hanging="0"/>
                        <w:jc w:val="left"/>
                        <w:rPr/>
                      </w:pPr>
                      <w:r>
                        <w:rPr/>
                        <w:drawing>
                          <wp:inline distT="0" distB="0" distL="0" distR="0">
                            <wp:extent cx="1423670" cy="527050"/>
                            <wp:effectExtent l="0" t="0" r="0" b="0"/>
                            <wp:docPr id="8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9" descr=""/>
                                    <pic:cNvPicPr>
                                      <a:picLocks noChangeAspect="1" noChangeArrowheads="1"/>
                                    </pic:cNvPicPr>
                                  </pic:nvPicPr>
                                  <pic:blipFill>
                                    <a:blip r:embed="rId73"/>
                                    <a:stretch>
                                      <a:fillRect/>
                                    </a:stretch>
                                  </pic:blipFill>
                                  <pic:spPr bwMode="auto">
                                    <a:xfrm>
                                      <a:off x="0" y="0"/>
                                      <a:ext cx="1423670" cy="527050"/>
                                    </a:xfrm>
                                    <a:prstGeom prst="rect">
                                      <a:avLst/>
                                    </a:prstGeom>
                                  </pic:spPr>
                                </pic:pic>
                              </a:graphicData>
                            </a:graphic>
                          </wp:inline>
                        </w:drawing>
                      </w:r>
                      <w:r>
                        <w:rPr/>
                        <w:t xml:space="preserve"> </w:t>
                      </w:r>
                    </w:p>
                    <w:tbl>
                      <w:tblPr>
                        <w:tblW w:w="3170" w:type="dxa"/>
                        <w:jc w:val="left"/>
                        <w:tblInd w:w="0" w:type="dxa"/>
                        <w:tblLayout w:type="fixed"/>
                        <w:tblCellMar>
                          <w:top w:w="0" w:type="dxa"/>
                          <w:left w:w="0" w:type="dxa"/>
                          <w:bottom w:w="0" w:type="dxa"/>
                          <w:right w:w="0" w:type="dxa"/>
                        </w:tblCellMar>
                      </w:tblPr>
                      <w:tblGrid>
                        <w:gridCol w:w="3170"/>
                      </w:tblGrid>
                      <w:tr>
                        <w:trPr/>
                        <w:tc>
                          <w:tcPr>
                            <w:tcW w:w="3170"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0"/>
                              <w:jc w:val="both"/>
                              <w:rPr/>
                            </w:pPr>
                            <w:r>
                              <w:rPr/>
                              <w:t>  </w:t>
                            </w:r>
                            <w:r>
                              <w:rPr>
                                <w:rFonts w:ascii="ARIAL" w:hAnsi="ARIAL"/>
                                <w:i/>
                                <w:sz w:val="13"/>
                              </w:rPr>
                              <w:t>CAPITAL ONE FINANCIAL CORPORATION</w:t>
                            </w:r>
                          </w:p>
                        </w:tc>
                      </w:tr>
                      <w:tr>
                        <w:trPr/>
                        <w:tc>
                          <w:tcPr>
                            <w:tcW w:w="3170" w:type="dxa"/>
                            <w:tcBorders/>
                            <w:vAlign w:val="center"/>
                          </w:tcPr>
                          <w:p>
                            <w:pPr>
                              <w:pStyle w:val="TableContents"/>
                              <w:bidi w:val="0"/>
                              <w:spacing w:before="0" w:after="0"/>
                              <w:jc w:val="both"/>
                              <w:rPr/>
                            </w:pPr>
                            <w:r>
                              <w:rPr/>
                              <w:t>  </w:t>
                            </w:r>
                            <w:r>
                              <w:rPr>
                                <w:rFonts w:ascii="ARIAL" w:hAnsi="ARIAL"/>
                                <w:i/>
                                <w:sz w:val="13"/>
                              </w:rPr>
                              <w:t>1680 CAPITAL ONE DRIVE</w:t>
                            </w:r>
                          </w:p>
                        </w:tc>
                      </w:tr>
                      <w:tr>
                        <w:trPr/>
                        <w:tc>
                          <w:tcPr>
                            <w:tcW w:w="3170" w:type="dxa"/>
                            <w:tcBorders/>
                            <w:vAlign w:val="center"/>
                          </w:tcPr>
                          <w:p>
                            <w:pPr>
                              <w:pStyle w:val="TableContents"/>
                              <w:bidi w:val="0"/>
                              <w:spacing w:before="0" w:after="0"/>
                              <w:jc w:val="both"/>
                              <w:rPr/>
                            </w:pPr>
                            <w:r>
                              <w:rPr/>
                              <w:t>  </w:t>
                            </w:r>
                            <w:r>
                              <w:rPr>
                                <w:rFonts w:ascii="ARIAL" w:hAnsi="ARIAL"/>
                                <w:i/>
                                <w:sz w:val="13"/>
                              </w:rPr>
                              <w:t>MCLEAN, VA 22102-3491</w:t>
                            </w:r>
                          </w:p>
                        </w:tc>
                      </w:tr>
                    </w:tbl>
                    <w:p>
                      <w:pPr>
                        <w:pStyle w:val="TextBody"/>
                        <w:bidi w:val="0"/>
                        <w:spacing w:before="0" w:after="0"/>
                        <w:jc w:val="left"/>
                        <w:rPr/>
                      </w:pPr>
                      <w:r>
                        <w:rPr/>
                        <w:t> </w:t>
                      </w:r>
                    </w:p>
                    <w:p>
                      <w:pPr>
                        <w:pStyle w:val="TextBody"/>
                        <w:bidi w:val="0"/>
                        <w:spacing w:before="0" w:after="0"/>
                        <w:jc w:val="left"/>
                        <w:rPr/>
                      </w:pPr>
                      <w:r>
                        <w:rPr/>
                        <w:t> </w:t>
                      </w:r>
                    </w:p>
                  </w:txbxContent>
                </v:textbox>
                <w10:wrap type="square" side="right"/>
              </v:rect>
            </w:pict>
          </mc:Fallback>
        </mc:AlternateContent>
      </w:r>
    </w:p>
    <w:p>
      <w:pPr>
        <w:pStyle w:val="TextBody"/>
        <w:bidi w:val="0"/>
        <w:spacing w:before="0" w:after="0"/>
        <w:jc w:val="left"/>
        <w:rPr/>
      </w:pPr>
      <w:r>
        <w:rPr/>
        <w:t> </w:t>
      </w:r>
    </w:p>
    <w:tbl>
      <w:tblPr>
        <w:tblW w:w="8808" w:type="dxa"/>
        <w:jc w:val="left"/>
        <w:tblInd w:w="0" w:type="dxa"/>
        <w:tblLayout w:type="fixed"/>
        <w:tblCellMar>
          <w:top w:w="0" w:type="dxa"/>
          <w:left w:w="0" w:type="dxa"/>
          <w:bottom w:w="0" w:type="dxa"/>
          <w:right w:w="0" w:type="dxa"/>
        </w:tblCellMar>
      </w:tblPr>
      <w:tblGrid>
        <w:gridCol w:w="3377"/>
        <w:gridCol w:w="2039"/>
        <w:gridCol w:w="3392"/>
      </w:tblGrid>
      <w:tr>
        <w:trPr/>
        <w:tc>
          <w:tcPr>
            <w:tcW w:w="3377"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3392" w:type="dxa"/>
            <w:tcBorders/>
            <w:vAlign w:val="center"/>
          </w:tcPr>
          <w:p>
            <w:pPr>
              <w:pStyle w:val="TableContents"/>
              <w:bidi w:val="0"/>
              <w:spacing w:before="0" w:after="283"/>
              <w:jc w:val="left"/>
              <w:rPr>
                <w:sz w:val="4"/>
                <w:szCs w:val="4"/>
              </w:rPr>
            </w:pPr>
            <w:r>
              <w:rPr>
                <w:sz w:val="4"/>
                <w:szCs w:val="4"/>
              </w:rPr>
            </w:r>
          </w:p>
        </w:tc>
      </w:tr>
      <w:tr>
        <w:trPr/>
        <w:tc>
          <w:tcPr>
            <w:tcW w:w="8808" w:type="dxa"/>
            <w:gridSpan w:val="3"/>
            <w:tcBorders/>
            <w:vAlign w:val="center"/>
          </w:tcPr>
          <w:p>
            <w:pPr>
              <w:pStyle w:val="TableContents"/>
              <w:bidi w:val="0"/>
              <w:spacing w:before="0" w:after="283"/>
              <w:jc w:val="left"/>
              <w:rPr/>
            </w:pPr>
            <w:r>
              <w:rPr/>
              <w:t>TO VOTE, MARK BLOCKS BELOW IN BLUE OR BLACK INK AS FOLLOWS:</w:t>
            </w:r>
          </w:p>
        </w:tc>
      </w:tr>
      <w:tr>
        <w:trPr/>
        <w:tc>
          <w:tcPr>
            <w:tcW w:w="8808" w:type="dxa"/>
            <w:gridSpan w:val="3"/>
            <w:tcBorders/>
            <w:vAlign w:val="center"/>
          </w:tcPr>
          <w:p>
            <w:pPr>
              <w:pStyle w:val="TableContents"/>
              <w:bidi w:val="0"/>
              <w:spacing w:before="0" w:after="283"/>
              <w:jc w:val="right"/>
              <w:rPr/>
            </w:pPr>
            <w:r>
              <w:rPr/>
              <w:t>V64329-Z89484-P27280       KEEP THIS PORTION FOR YOUR RECORDS</w:t>
            </w:r>
          </w:p>
        </w:tc>
      </w:tr>
    </w:tbl>
    <w:p>
      <w:pPr>
        <w:pStyle w:val="TextBody"/>
        <w:bidi w:val="0"/>
        <w:spacing w:before="0" w:after="0"/>
        <w:jc w:val="both"/>
        <w:rPr/>
      </w:pPr>
      <w:r>
        <w:rPr/>
        <w:t xml:space="preserve">— — — — — — — — — — — — — — — — — — — — — — — — — — — — — — — — — — — — — — — — — — — — — — — — — — — — — — — — — — — — — — — —  — — —  </w:t>
      </w:r>
    </w:p>
    <w:tbl>
      <w:tblPr>
        <w:tblW w:w="5323" w:type="dxa"/>
        <w:jc w:val="left"/>
        <w:tblInd w:w="0" w:type="dxa"/>
        <w:tblLayout w:type="fixed"/>
        <w:tblCellMar>
          <w:top w:w="0" w:type="dxa"/>
          <w:left w:w="0" w:type="dxa"/>
          <w:bottom w:w="0" w:type="dxa"/>
          <w:right w:w="0" w:type="dxa"/>
        </w:tblCellMar>
      </w:tblPr>
      <w:tblGrid>
        <w:gridCol w:w="38"/>
        <w:gridCol w:w="12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right"/>
              <w:rPr/>
            </w:pPr>
            <w:r>
              <w:rPr/>
              <w:t>DETACH AND RETURN THIS PORTION ONLY</w:t>
            </w:r>
          </w:p>
        </w:tc>
      </w:tr>
    </w:tbl>
    <w:p>
      <w:pPr>
        <w:pStyle w:val="TextBody"/>
        <w:bidi w:val="0"/>
        <w:spacing w:before="0" w:after="0"/>
        <w:jc w:val="center"/>
        <w:rPr>
          <w:rFonts w:ascii="ARIAL" w:hAnsi="ARIAL"/>
          <w:b/>
          <w:sz w:val="15"/>
        </w:rPr>
      </w:pPr>
      <w:r>
        <w:rPr>
          <w:rFonts w:ascii="ARIAL" w:hAnsi="ARIAL"/>
          <w:b/>
          <w:sz w:val="15"/>
        </w:rPr>
        <w:t xml:space="preserve">THIS PROXY CARD IS VALID ONLY WHEN SIGNED AND DATED. </w:t>
      </w:r>
    </w:p>
    <w:p>
      <w:pPr>
        <w:pStyle w:val="TextBody"/>
        <w:bidi w:val="0"/>
        <w:spacing w:before="0" w:after="0"/>
        <w:jc w:val="left"/>
        <w:rPr/>
      </w:pPr>
      <w:r>
        <w:rPr/>
        <w:t> </w:t>
      </w:r>
    </w:p>
    <w:p>
      <w:pPr>
        <w:pStyle w:val="TextBody"/>
        <w:bidi w:val="0"/>
        <w:jc w:val="left"/>
        <w:rPr>
          <w:bdr w:val="single" w:sz="16" w:space="2" w:color="000000"/>
        </w:rPr>
      </w:pPr>
      <w:r>
        <w:rPr>
          <w:bdr w:val="single" w:sz="16" w:space="2" w:color="000000"/>
        </w:rPr>
        <w:t> </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3110230" cy="9385300"/>
                <wp:effectExtent l="0" t="0" r="0" b="0"/>
                <wp:wrapSquare wrapText="right"/>
                <wp:docPr id="89" name="Frame17"/>
                <a:graphic xmlns:a="http://schemas.openxmlformats.org/drawingml/2006/main">
                  <a:graphicData uri="http://schemas.microsoft.com/office/word/2010/wordprocessingShape">
                    <wps:wsp>
                      <wps:cNvSpPr txBox="1"/>
                      <wps:spPr>
                        <a:xfrm>
                          <a:off x="0" y="0"/>
                          <a:ext cx="3110230" cy="9385300"/>
                        </a:xfrm>
                        <a:prstGeom prst="rect"/>
                        <a:solidFill>
                          <a:srgbClr val="FFFFFF"/>
                        </a:solidFill>
                      </wps:spPr>
                      <wps:txbx>
                        <w:txbxContent>
                          <w:p>
                            <w:pPr>
                              <w:pStyle w:val="TextBody"/>
                              <w:bidi w:val="0"/>
                              <w:spacing w:before="80" w:after="0"/>
                              <w:jc w:val="left"/>
                              <w:rPr/>
                            </w:pPr>
                            <w:r>
                              <w:rPr/>
                              <w:t> </w:t>
                            </w:r>
                            <w:r>
                              <w:rPr>
                                <w:rFonts w:ascii="ARIAL" w:hAnsi="ARIAL"/>
                                <w:b/>
                                <w:sz w:val="13"/>
                              </w:rPr>
                              <w:t xml:space="preserve">CAPITAL ONE FINANCIAL CORPORATION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60"/>
                              <w:gridCol w:w="1214"/>
                              <w:gridCol w:w="166"/>
                              <w:gridCol w:w="5473"/>
                              <w:gridCol w:w="166"/>
                              <w:gridCol w:w="1098"/>
                              <w:gridCol w:w="60"/>
                              <w:gridCol w:w="800"/>
                              <w:gridCol w:w="60"/>
                              <w:gridCol w:w="833"/>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17" w:type="dxa"/>
                                  <w:gridSpan w:val="5"/>
                                  <w:tcBorders/>
                                  <w:vAlign w:val="center"/>
                                </w:tcPr>
                                <w:p>
                                  <w:pPr>
                                    <w:pStyle w:val="TableContents"/>
                                    <w:bidi w:val="0"/>
                                    <w:spacing w:before="0" w:after="283"/>
                                    <w:jc w:val="left"/>
                                    <w:rPr>
                                      <w:b/>
                                    </w:rPr>
                                  </w:pPr>
                                  <w:r>
                                    <w:rPr>
                                      <w:b/>
                                    </w:rPr>
                                    <w:t>The Board of Directors recommends you vote FOR each of the following nominees:</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pPr>
                                  <w:r>
                                    <w:rPr/>
                                    <w:t>1. </w:t>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283"/>
                                    <w:jc w:val="left"/>
                                    <w:rPr/>
                                  </w:pPr>
                                  <w:r>
                                    <w:rPr/>
                                    <w:t>Election of Directors</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283"/>
                                    <w:jc w:val="left"/>
                                    <w:rPr>
                                      <w:b/>
                                    </w:rPr>
                                  </w:pPr>
                                  <w:r>
                                    <w:rPr>
                                      <w:b/>
                                    </w:rPr>
                                    <w:t>Nominees:</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b/>
                                    </w:rPr>
                                  </w:pPr>
                                  <w:r>
                                    <w:rPr>
                                      <w:b/>
                                    </w:rPr>
                                    <w:t>Abstain</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1a. Richard D. Fairbank</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1b. Ime Archibong</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1c. Christine Detrick</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1d. Ann Fritz Hackett</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1e. Suni P. Harford</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1f.  Peter Thomas Killalea</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1g. Cornelis (“Eli”) Leenaars</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1h. François Locoh-Donou</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1i.   Peter E. Raskind</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1j.   Eileen Serra</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1k. Mayo A. Shattuck III</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1l.   Craig Anthony Williams</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3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80" w:after="0"/>
                        <w:jc w:val="left"/>
                        <w:rPr/>
                      </w:pPr>
                      <w:r>
                        <w:rPr/>
                        <w:t> </w:t>
                      </w:r>
                      <w:r>
                        <w:rPr>
                          <w:rFonts w:ascii="ARIAL" w:hAnsi="ARIAL"/>
                          <w:b/>
                          <w:sz w:val="13"/>
                        </w:rPr>
                        <w:t xml:space="preserve">CAPITAL ONE FINANCIAL CORPORATION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60"/>
                        <w:gridCol w:w="1214"/>
                        <w:gridCol w:w="166"/>
                        <w:gridCol w:w="5473"/>
                        <w:gridCol w:w="166"/>
                        <w:gridCol w:w="1098"/>
                        <w:gridCol w:w="60"/>
                        <w:gridCol w:w="800"/>
                        <w:gridCol w:w="60"/>
                        <w:gridCol w:w="833"/>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17" w:type="dxa"/>
                            <w:gridSpan w:val="5"/>
                            <w:tcBorders/>
                            <w:vAlign w:val="center"/>
                          </w:tcPr>
                          <w:p>
                            <w:pPr>
                              <w:pStyle w:val="TableContents"/>
                              <w:bidi w:val="0"/>
                              <w:spacing w:before="0" w:after="283"/>
                              <w:jc w:val="left"/>
                              <w:rPr>
                                <w:b/>
                              </w:rPr>
                            </w:pPr>
                            <w:r>
                              <w:rPr>
                                <w:b/>
                              </w:rPr>
                              <w:t>The Board of Directors recommends you vote FOR each of the following nominees:</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pPr>
                            <w:r>
                              <w:rPr/>
                              <w:t>1. </w:t>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283"/>
                              <w:jc w:val="left"/>
                              <w:rPr/>
                            </w:pPr>
                            <w:r>
                              <w:rPr/>
                              <w:t>Election of Directors</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283"/>
                              <w:jc w:val="left"/>
                              <w:rPr>
                                <w:b/>
                              </w:rPr>
                            </w:pPr>
                            <w:r>
                              <w:rPr>
                                <w:b/>
                              </w:rPr>
                              <w:t>Nominees:</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b/>
                              </w:rPr>
                            </w:pPr>
                            <w:r>
                              <w:rPr>
                                <w:b/>
                              </w:rPr>
                              <w:t>Abstain</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1a. Richard D. Fairbank</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1b. Ime Archibong</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1c. Christine Detrick</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1d. Ann Fritz Hackett</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1e. Suni P. Harford</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1f.  Peter Thomas Killalea</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1g. Cornelis (“Eli”) Leenaars</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1h. François Locoh-Donou</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1i.   Peter E. Raskind</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1j.   Eileen Serra</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1k. Mayo A. Shattuck III</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1l.   Craig Anthony Williams</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3175000" cy="5430520"/>
                <wp:effectExtent l="0" t="0" r="0" b="0"/>
                <wp:wrapSquare wrapText="right"/>
                <wp:docPr id="90" name="Frame18"/>
                <a:graphic xmlns:a="http://schemas.openxmlformats.org/drawingml/2006/main">
                  <a:graphicData uri="http://schemas.microsoft.com/office/word/2010/wordprocessingShape">
                    <wps:wsp>
                      <wps:cNvSpPr txBox="1"/>
                      <wps:spPr>
                        <a:xfrm>
                          <a:off x="0" y="0"/>
                          <a:ext cx="3175000" cy="5430520"/>
                        </a:xfrm>
                        <a:prstGeom prst="rect"/>
                        <a:solidFill>
                          <a:srgbClr val="FFFFFF"/>
                        </a:solidFill>
                      </wps:spPr>
                      <wps:txbx>
                        <w:txbxContent>
                          <w:p>
                            <w:pPr>
                              <w:pStyle w:val="TextBody"/>
                              <w:bidi w:val="0"/>
                              <w:spacing w:before="0" w:after="0"/>
                              <w:jc w:val="left"/>
                              <w:rPr/>
                            </w:pPr>
                            <w:r>
                              <w:rPr/>
                              <w:t> </w:t>
                            </w:r>
                          </w:p>
                          <w:tbl>
                            <w:tblPr>
                              <w:tblW w:w="50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60" w:type="dxa"/>
                                  <w:tcBorders>
                                    <w:top w:val="single" w:sz="16" w:space="0" w:color="000000"/>
                                    <w:right w:val="single" w:sz="16" w:space="0" w:color="000000"/>
                                  </w:tcBorders>
                                  <w:tcMar>
                                    <w:top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right w:val="single" w:sz="1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4"/>
                              <w:gridCol w:w="319"/>
                              <w:gridCol w:w="1517"/>
                              <w:gridCol w:w="1505"/>
                              <w:gridCol w:w="1661"/>
                              <w:gridCol w:w="60"/>
                              <w:gridCol w:w="542"/>
                              <w:gridCol w:w="60"/>
                              <w:gridCol w:w="800"/>
                              <w:gridCol w:w="60"/>
                              <w:gridCol w:w="907"/>
                            </w:tblGrid>
                            <w:tr>
                              <w:trPr/>
                              <w:tc>
                                <w:tcPr>
                                  <w:tcW w:w="277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7776" w:type="dxa"/>
                                  <w:gridSpan w:val="5"/>
                                  <w:tcBorders/>
                                  <w:vAlign w:val="center"/>
                                </w:tcPr>
                                <w:p>
                                  <w:pPr>
                                    <w:pStyle w:val="TableContents"/>
                                    <w:bidi w:val="0"/>
                                    <w:spacing w:before="0" w:after="283"/>
                                    <w:jc w:val="left"/>
                                    <w:rPr>
                                      <w:sz w:val="4"/>
                                      <w:szCs w:val="4"/>
                                    </w:rPr>
                                  </w:pPr>
                                  <w:r>
                                    <w:rPr>
                                      <w:sz w:val="4"/>
                                      <w:szCs w:val="4"/>
                                    </w:rPr>
                                  </w:r>
                                </w:p>
                              </w:tc>
                              <w:tc>
                                <w:tcPr>
                                  <w:tcW w:w="602"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7" w:type="dxa"/>
                                  <w:gridSpan w:val="2"/>
                                  <w:tcBorders/>
                                  <w:vAlign w:val="center"/>
                                </w:tcPr>
                                <w:p>
                                  <w:pPr>
                                    <w:pStyle w:val="TableContents"/>
                                    <w:bidi w:val="0"/>
                                    <w:spacing w:before="0" w:after="283"/>
                                    <w:jc w:val="left"/>
                                    <w:rPr>
                                      <w:sz w:val="4"/>
                                      <w:szCs w:val="4"/>
                                    </w:rPr>
                                  </w:pPr>
                                  <w:r>
                                    <w:rPr>
                                      <w:sz w:val="4"/>
                                      <w:szCs w:val="4"/>
                                    </w:rPr>
                                  </w:r>
                                </w:p>
                              </w:tc>
                            </w:tr>
                            <w:tr>
                              <w:trPr/>
                              <w:tc>
                                <w:tcPr>
                                  <w:tcW w:w="7776" w:type="dxa"/>
                                  <w:gridSpan w:val="5"/>
                                  <w:tcBorders/>
                                  <w:vAlign w:val="center"/>
                                </w:tcPr>
                                <w:p>
                                  <w:pPr>
                                    <w:pStyle w:val="TableContents"/>
                                    <w:bidi w:val="0"/>
                                    <w:spacing w:before="0" w:after="0"/>
                                    <w:jc w:val="both"/>
                                    <w:rPr>
                                      <w:rFonts w:ascii="ARIAL" w:hAnsi="ARIAL"/>
                                      <w:b/>
                                      <w:sz w:val="14"/>
                                    </w:rPr>
                                  </w:pPr>
                                  <w:r>
                                    <w:rPr>
                                      <w:rFonts w:ascii="ARIAL" w:hAnsi="ARIAL"/>
                                      <w:b/>
                                      <w:sz w:val="14"/>
                                    </w:rPr>
                                    <w:t>The Board of Directors recommends you vote FOR the following items 2 and 3.</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center"/>
                                    <w:rPr/>
                                  </w:pPr>
                                  <w:r>
                                    <w:rPr/>
                                    <w:t> </w:t>
                                  </w: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center"/>
                                    <w:rPr>
                                      <w:b/>
                                    </w:rPr>
                                  </w:pPr>
                                  <w:r>
                                    <w:rPr>
                                      <w:b/>
                                    </w:rPr>
                                    <w:t>Abstain </w:t>
                                  </w:r>
                                </w:p>
                              </w:tc>
                            </w:tr>
                            <w:tr>
                              <w:trPr/>
                              <w:tc>
                                <w:tcPr>
                                  <w:tcW w:w="2774" w:type="dxa"/>
                                  <w:tcBorders/>
                                  <w:vAlign w:val="center"/>
                                </w:tcPr>
                                <w:p>
                                  <w:pPr>
                                    <w:pStyle w:val="TableContents"/>
                                    <w:bidi w:val="0"/>
                                    <w:spacing w:before="0" w:after="283"/>
                                    <w:jc w:val="left"/>
                                    <w:rPr>
                                      <w:sz w:val="4"/>
                                      <w:szCs w:val="4"/>
                                    </w:rPr>
                                  </w:pPr>
                                  <w:r>
                                    <w:rPr>
                                      <w:sz w:val="4"/>
                                      <w:szCs w:val="4"/>
                                    </w:rPr>
                                  </w:r>
                                </w:p>
                              </w:tc>
                              <w:tc>
                                <w:tcPr>
                                  <w:tcW w:w="5002" w:type="dxa"/>
                                  <w:gridSpan w:val="4"/>
                                  <w:tcBorders/>
                                  <w:vAlign w:val="center"/>
                                </w:tcPr>
                                <w:p>
                                  <w:pPr>
                                    <w:pStyle w:val="TableContents"/>
                                    <w:bidi w:val="0"/>
                                    <w:spacing w:before="0" w:after="283"/>
                                    <w:jc w:val="left"/>
                                    <w:rPr>
                                      <w:sz w:val="4"/>
                                      <w:szCs w:val="4"/>
                                    </w:rPr>
                                  </w:pPr>
                                  <w:r>
                                    <w:rPr>
                                      <w:sz w:val="4"/>
                                      <w:szCs w:val="4"/>
                                    </w:rPr>
                                  </w:r>
                                </w:p>
                              </w:tc>
                              <w:tc>
                                <w:tcPr>
                                  <w:tcW w:w="602"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7" w:type="dxa"/>
                                  <w:gridSpan w:val="2"/>
                                  <w:tcBorders/>
                                  <w:vAlign w:val="center"/>
                                </w:tcPr>
                                <w:p>
                                  <w:pPr>
                                    <w:pStyle w:val="TableContents"/>
                                    <w:bidi w:val="0"/>
                                    <w:spacing w:before="0" w:after="283"/>
                                    <w:jc w:val="left"/>
                                    <w:rPr>
                                      <w:sz w:val="4"/>
                                      <w:szCs w:val="4"/>
                                    </w:rPr>
                                  </w:pPr>
                                  <w:r>
                                    <w:rPr>
                                      <w:sz w:val="4"/>
                                      <w:szCs w:val="4"/>
                                    </w:rPr>
                                  </w:r>
                                </w:p>
                              </w:tc>
                            </w:tr>
                            <w:tr>
                              <w:trPr/>
                              <w:tc>
                                <w:tcPr>
                                  <w:tcW w:w="2774" w:type="dxa"/>
                                  <w:tcBorders/>
                                  <w:vAlign w:val="center"/>
                                </w:tcPr>
                                <w:p>
                                  <w:pPr>
                                    <w:pStyle w:val="TableContents"/>
                                    <w:bidi w:val="0"/>
                                    <w:spacing w:before="0" w:after="283"/>
                                    <w:jc w:val="left"/>
                                    <w:rPr/>
                                  </w:pPr>
                                  <w:r>
                                    <w:rPr/>
                                    <w:t>2.  </w:t>
                                  </w:r>
                                </w:p>
                              </w:tc>
                              <w:tc>
                                <w:tcPr>
                                  <w:tcW w:w="319" w:type="dxa"/>
                                  <w:tcBorders/>
                                  <w:vAlign w:val="center"/>
                                </w:tcPr>
                                <w:p>
                                  <w:pPr>
                                    <w:pStyle w:val="TableContents"/>
                                    <w:bidi w:val="0"/>
                                    <w:spacing w:before="0" w:after="283"/>
                                    <w:jc w:val="left"/>
                                    <w:rPr/>
                                  </w:pPr>
                                  <w:r>
                                    <w:rPr/>
                                    <w:t> </w:t>
                                  </w:r>
                                </w:p>
                              </w:tc>
                              <w:tc>
                                <w:tcPr>
                                  <w:tcW w:w="4683" w:type="dxa"/>
                                  <w:gridSpan w:val="3"/>
                                  <w:tcBorders/>
                                  <w:vAlign w:val="center"/>
                                </w:tcPr>
                                <w:p>
                                  <w:pPr>
                                    <w:pStyle w:val="TableContents"/>
                                    <w:bidi w:val="0"/>
                                    <w:spacing w:before="0" w:after="0"/>
                                    <w:jc w:val="both"/>
                                    <w:rPr>
                                      <w:rFonts w:ascii="ARIAL" w:hAnsi="ARIAL"/>
                                      <w:sz w:val="14"/>
                                    </w:rPr>
                                  </w:pPr>
                                  <w:r>
                                    <w:rPr>
                                      <w:rFonts w:ascii="ARIAL" w:hAnsi="ARIAL"/>
                                      <w:sz w:val="14"/>
                                    </w:rPr>
                                    <w:t>Advisory vote on our Named Executive Officer compensation (“Say on Pay”).</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center"/>
                                    <w:rPr/>
                                  </w:pPr>
                                  <w:r>
                                    <w:rPr/>
                                    <w:t>☐ </w:t>
                                  </w:r>
                                </w:p>
                              </w:tc>
                            </w:tr>
                            <w:tr>
                              <w:trPr/>
                              <w:tc>
                                <w:tcPr>
                                  <w:tcW w:w="2774" w:type="dxa"/>
                                  <w:tcBorders/>
                                  <w:vAlign w:val="center"/>
                                </w:tcPr>
                                <w:p>
                                  <w:pPr>
                                    <w:pStyle w:val="TableContents"/>
                                    <w:bidi w:val="0"/>
                                    <w:spacing w:before="0" w:after="283"/>
                                    <w:jc w:val="left"/>
                                    <w:rPr>
                                      <w:sz w:val="4"/>
                                      <w:szCs w:val="4"/>
                                    </w:rPr>
                                  </w:pPr>
                                  <w:r>
                                    <w:rPr>
                                      <w:sz w:val="4"/>
                                      <w:szCs w:val="4"/>
                                    </w:rPr>
                                  </w:r>
                                </w:p>
                              </w:tc>
                              <w:tc>
                                <w:tcPr>
                                  <w:tcW w:w="5002" w:type="dxa"/>
                                  <w:gridSpan w:val="4"/>
                                  <w:tcBorders/>
                                  <w:vAlign w:val="center"/>
                                </w:tcPr>
                                <w:p>
                                  <w:pPr>
                                    <w:pStyle w:val="TableContents"/>
                                    <w:bidi w:val="0"/>
                                    <w:spacing w:before="0" w:after="283"/>
                                    <w:jc w:val="left"/>
                                    <w:rPr>
                                      <w:sz w:val="4"/>
                                      <w:szCs w:val="4"/>
                                    </w:rPr>
                                  </w:pPr>
                                  <w:r>
                                    <w:rPr>
                                      <w:sz w:val="4"/>
                                      <w:szCs w:val="4"/>
                                    </w:rPr>
                                  </w:r>
                                </w:p>
                              </w:tc>
                              <w:tc>
                                <w:tcPr>
                                  <w:tcW w:w="602"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7" w:type="dxa"/>
                                  <w:gridSpan w:val="2"/>
                                  <w:tcBorders/>
                                  <w:vAlign w:val="center"/>
                                </w:tcPr>
                                <w:p>
                                  <w:pPr>
                                    <w:pStyle w:val="TableContents"/>
                                    <w:bidi w:val="0"/>
                                    <w:spacing w:before="0" w:after="283"/>
                                    <w:jc w:val="left"/>
                                    <w:rPr>
                                      <w:sz w:val="4"/>
                                      <w:szCs w:val="4"/>
                                    </w:rPr>
                                  </w:pPr>
                                  <w:r>
                                    <w:rPr>
                                      <w:sz w:val="4"/>
                                      <w:szCs w:val="4"/>
                                    </w:rPr>
                                  </w:r>
                                </w:p>
                              </w:tc>
                            </w:tr>
                            <w:tr>
                              <w:trPr/>
                              <w:tc>
                                <w:tcPr>
                                  <w:tcW w:w="2774" w:type="dxa"/>
                                  <w:tcBorders/>
                                  <w:vAlign w:val="center"/>
                                </w:tcPr>
                                <w:p>
                                  <w:pPr>
                                    <w:pStyle w:val="TableContents"/>
                                    <w:bidi w:val="0"/>
                                    <w:spacing w:before="0" w:after="283"/>
                                    <w:jc w:val="left"/>
                                    <w:rPr/>
                                  </w:pPr>
                                  <w:r>
                                    <w:rPr/>
                                    <w:t>3.  </w:t>
                                  </w:r>
                                </w:p>
                              </w:tc>
                              <w:tc>
                                <w:tcPr>
                                  <w:tcW w:w="319" w:type="dxa"/>
                                  <w:tcBorders/>
                                  <w:vAlign w:val="center"/>
                                </w:tcPr>
                                <w:p>
                                  <w:pPr>
                                    <w:pStyle w:val="TableContents"/>
                                    <w:bidi w:val="0"/>
                                    <w:spacing w:before="0" w:after="283"/>
                                    <w:jc w:val="left"/>
                                    <w:rPr/>
                                  </w:pPr>
                                  <w:r>
                                    <w:rPr/>
                                    <w:t> </w:t>
                                  </w:r>
                                </w:p>
                              </w:tc>
                              <w:tc>
                                <w:tcPr>
                                  <w:tcW w:w="4683" w:type="dxa"/>
                                  <w:gridSpan w:val="3"/>
                                  <w:tcBorders/>
                                  <w:vAlign w:val="center"/>
                                </w:tcPr>
                                <w:p>
                                  <w:pPr>
                                    <w:pStyle w:val="TableContents"/>
                                    <w:bidi w:val="0"/>
                                    <w:spacing w:before="0" w:after="0"/>
                                    <w:jc w:val="both"/>
                                    <w:rPr>
                                      <w:rFonts w:ascii="ARIAL" w:hAnsi="ARIAL"/>
                                      <w:sz w:val="14"/>
                                    </w:rPr>
                                  </w:pPr>
                                  <w:r>
                                    <w:rPr>
                                      <w:rFonts w:ascii="ARIAL" w:hAnsi="ARIAL"/>
                                      <w:sz w:val="14"/>
                                    </w:rPr>
                                    <w:t>Ratification of the selection of Ernst &amp; Young LLP, as our independent registered public accounting firm for 2025.</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center"/>
                                    <w:rPr/>
                                  </w:pPr>
                                  <w:r>
                                    <w:rPr/>
                                    <w:t>☐ </w:t>
                                  </w:r>
                                </w:p>
                              </w:tc>
                            </w:tr>
                            <w:tr>
                              <w:trPr/>
                              <w:tc>
                                <w:tcPr>
                                  <w:tcW w:w="7776" w:type="dxa"/>
                                  <w:gridSpan w:val="5"/>
                                  <w:tcBorders/>
                                  <w:vAlign w:val="center"/>
                                </w:tcPr>
                                <w:p>
                                  <w:pPr>
                                    <w:pStyle w:val="TableContents"/>
                                    <w:bidi w:val="0"/>
                                    <w:spacing w:before="0" w:after="283"/>
                                    <w:jc w:val="left"/>
                                    <w:rPr>
                                      <w:sz w:val="4"/>
                                      <w:szCs w:val="4"/>
                                    </w:rPr>
                                  </w:pPr>
                                  <w:r>
                                    <w:rPr>
                                      <w:sz w:val="4"/>
                                      <w:szCs w:val="4"/>
                                    </w:rPr>
                                  </w:r>
                                </w:p>
                              </w:tc>
                              <w:tc>
                                <w:tcPr>
                                  <w:tcW w:w="602"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7" w:type="dxa"/>
                                  <w:gridSpan w:val="2"/>
                                  <w:tcBorders/>
                                  <w:vAlign w:val="center"/>
                                </w:tcPr>
                                <w:p>
                                  <w:pPr>
                                    <w:pStyle w:val="TableContents"/>
                                    <w:bidi w:val="0"/>
                                    <w:spacing w:before="0" w:after="283"/>
                                    <w:jc w:val="left"/>
                                    <w:rPr>
                                      <w:sz w:val="4"/>
                                      <w:szCs w:val="4"/>
                                    </w:rPr>
                                  </w:pPr>
                                  <w:r>
                                    <w:rPr>
                                      <w:sz w:val="4"/>
                                      <w:szCs w:val="4"/>
                                    </w:rPr>
                                  </w:r>
                                </w:p>
                              </w:tc>
                            </w:tr>
                            <w:tr>
                              <w:trPr/>
                              <w:tc>
                                <w:tcPr>
                                  <w:tcW w:w="7776" w:type="dxa"/>
                                  <w:gridSpan w:val="5"/>
                                  <w:tcBorders/>
                                  <w:vAlign w:val="center"/>
                                </w:tcPr>
                                <w:p>
                                  <w:pPr>
                                    <w:pStyle w:val="TableContents"/>
                                    <w:bidi w:val="0"/>
                                    <w:spacing w:before="0" w:after="0"/>
                                    <w:jc w:val="both"/>
                                    <w:rPr>
                                      <w:rFonts w:ascii="ARIAL" w:hAnsi="ARIAL"/>
                                      <w:b/>
                                      <w:sz w:val="14"/>
                                    </w:rPr>
                                  </w:pPr>
                                  <w:r>
                                    <w:rPr>
                                      <w:rFonts w:ascii="ARIAL" w:hAnsi="ARIAL"/>
                                      <w:b/>
                                      <w:sz w:val="14"/>
                                    </w:rPr>
                                    <w:t>The Board of Directors recommends you vote AGAINST the following item 4.</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center"/>
                                    <w:rPr/>
                                  </w:pPr>
                                  <w:r>
                                    <w:rPr/>
                                    <w:t> </w:t>
                                  </w: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center"/>
                                    <w:rPr>
                                      <w:b/>
                                    </w:rPr>
                                  </w:pPr>
                                  <w:r>
                                    <w:rPr>
                                      <w:b/>
                                    </w:rPr>
                                    <w:t>Abstain </w:t>
                                  </w:r>
                                </w:p>
                              </w:tc>
                            </w:tr>
                            <w:tr>
                              <w:trPr/>
                              <w:tc>
                                <w:tcPr>
                                  <w:tcW w:w="2774" w:type="dxa"/>
                                  <w:tcBorders/>
                                  <w:vAlign w:val="center"/>
                                </w:tcPr>
                                <w:p>
                                  <w:pPr>
                                    <w:pStyle w:val="TableContents"/>
                                    <w:bidi w:val="0"/>
                                    <w:spacing w:before="0" w:after="283"/>
                                    <w:jc w:val="left"/>
                                    <w:rPr>
                                      <w:sz w:val="4"/>
                                      <w:szCs w:val="4"/>
                                    </w:rPr>
                                  </w:pPr>
                                  <w:r>
                                    <w:rPr>
                                      <w:sz w:val="4"/>
                                      <w:szCs w:val="4"/>
                                    </w:rPr>
                                  </w:r>
                                </w:p>
                              </w:tc>
                              <w:tc>
                                <w:tcPr>
                                  <w:tcW w:w="5002" w:type="dxa"/>
                                  <w:gridSpan w:val="4"/>
                                  <w:tcBorders/>
                                  <w:vAlign w:val="center"/>
                                </w:tcPr>
                                <w:p>
                                  <w:pPr>
                                    <w:pStyle w:val="TableContents"/>
                                    <w:bidi w:val="0"/>
                                    <w:spacing w:before="0" w:after="283"/>
                                    <w:jc w:val="left"/>
                                    <w:rPr>
                                      <w:sz w:val="4"/>
                                      <w:szCs w:val="4"/>
                                    </w:rPr>
                                  </w:pPr>
                                  <w:r>
                                    <w:rPr>
                                      <w:sz w:val="4"/>
                                      <w:szCs w:val="4"/>
                                    </w:rPr>
                                  </w:r>
                                </w:p>
                              </w:tc>
                              <w:tc>
                                <w:tcPr>
                                  <w:tcW w:w="602"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7" w:type="dxa"/>
                                  <w:gridSpan w:val="2"/>
                                  <w:tcBorders/>
                                  <w:vAlign w:val="center"/>
                                </w:tcPr>
                                <w:p>
                                  <w:pPr>
                                    <w:pStyle w:val="TableContents"/>
                                    <w:bidi w:val="0"/>
                                    <w:spacing w:before="0" w:after="283"/>
                                    <w:jc w:val="left"/>
                                    <w:rPr>
                                      <w:sz w:val="4"/>
                                      <w:szCs w:val="4"/>
                                    </w:rPr>
                                  </w:pPr>
                                  <w:r>
                                    <w:rPr>
                                      <w:sz w:val="4"/>
                                      <w:szCs w:val="4"/>
                                    </w:rPr>
                                  </w:r>
                                </w:p>
                              </w:tc>
                            </w:tr>
                            <w:tr>
                              <w:trPr/>
                              <w:tc>
                                <w:tcPr>
                                  <w:tcW w:w="2774" w:type="dxa"/>
                                  <w:tcBorders/>
                                  <w:vAlign w:val="center"/>
                                </w:tcPr>
                                <w:p>
                                  <w:pPr>
                                    <w:pStyle w:val="TableContents"/>
                                    <w:bidi w:val="0"/>
                                    <w:spacing w:before="0" w:after="283"/>
                                    <w:jc w:val="left"/>
                                    <w:rPr/>
                                  </w:pPr>
                                  <w:r>
                                    <w:rPr/>
                                    <w:t>4.</w:t>
                                  </w:r>
                                </w:p>
                              </w:tc>
                              <w:tc>
                                <w:tcPr>
                                  <w:tcW w:w="319" w:type="dxa"/>
                                  <w:tcBorders/>
                                  <w:vAlign w:val="center"/>
                                </w:tcPr>
                                <w:p>
                                  <w:pPr>
                                    <w:pStyle w:val="TableContents"/>
                                    <w:bidi w:val="0"/>
                                    <w:spacing w:before="0" w:after="283"/>
                                    <w:jc w:val="left"/>
                                    <w:rPr/>
                                  </w:pPr>
                                  <w:r>
                                    <w:rPr/>
                                    <w:t> </w:t>
                                  </w:r>
                                </w:p>
                              </w:tc>
                              <w:tc>
                                <w:tcPr>
                                  <w:tcW w:w="4683" w:type="dxa"/>
                                  <w:gridSpan w:val="3"/>
                                  <w:tcBorders/>
                                  <w:vAlign w:val="center"/>
                                </w:tcPr>
                                <w:p>
                                  <w:pPr>
                                    <w:pStyle w:val="TableContents"/>
                                    <w:bidi w:val="0"/>
                                    <w:spacing w:before="0" w:after="0"/>
                                    <w:jc w:val="both"/>
                                    <w:rPr>
                                      <w:rFonts w:ascii="ARIAL" w:hAnsi="ARIAL"/>
                                      <w:sz w:val="14"/>
                                    </w:rPr>
                                  </w:pPr>
                                  <w:r>
                                    <w:rPr>
                                      <w:rFonts w:ascii="ARIAL" w:hAnsi="ARIAL"/>
                                      <w:sz w:val="14"/>
                                    </w:rPr>
                                    <w:t>Stockholder proposal to require a shareholder vote on golden parachute arrangements.</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center"/>
                                    <w:rPr/>
                                  </w:pPr>
                                  <w:r>
                                    <w:rPr/>
                                    <w:t>☐ </w:t>
                                  </w:r>
                                </w:p>
                              </w:tc>
                            </w:tr>
                            <w:tr>
                              <w:trPr/>
                              <w:tc>
                                <w:tcPr>
                                  <w:tcW w:w="7776" w:type="dxa"/>
                                  <w:gridSpan w:val="5"/>
                                  <w:tcBorders/>
                                  <w:vAlign w:val="center"/>
                                </w:tcPr>
                                <w:p>
                                  <w:pPr>
                                    <w:pStyle w:val="TableContents"/>
                                    <w:bidi w:val="0"/>
                                    <w:spacing w:before="0" w:after="283"/>
                                    <w:jc w:val="left"/>
                                    <w:rPr>
                                      <w:sz w:val="4"/>
                                      <w:szCs w:val="4"/>
                                    </w:rPr>
                                  </w:pPr>
                                  <w:r>
                                    <w:rPr>
                                      <w:sz w:val="4"/>
                                      <w:szCs w:val="4"/>
                                    </w:rPr>
                                  </w:r>
                                </w:p>
                              </w:tc>
                              <w:tc>
                                <w:tcPr>
                                  <w:tcW w:w="602"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7" w:type="dxa"/>
                                  <w:gridSpan w:val="2"/>
                                  <w:tcBorders/>
                                  <w:vAlign w:val="center"/>
                                </w:tcPr>
                                <w:p>
                                  <w:pPr>
                                    <w:pStyle w:val="TableContents"/>
                                    <w:bidi w:val="0"/>
                                    <w:spacing w:before="0" w:after="283"/>
                                    <w:jc w:val="left"/>
                                    <w:rPr>
                                      <w:sz w:val="4"/>
                                      <w:szCs w:val="4"/>
                                    </w:rPr>
                                  </w:pPr>
                                  <w:r>
                                    <w:rPr>
                                      <w:sz w:val="4"/>
                                      <w:szCs w:val="4"/>
                                    </w:rPr>
                                  </w:r>
                                </w:p>
                              </w:tc>
                            </w:tr>
                            <w:tr>
                              <w:trPr/>
                              <w:tc>
                                <w:tcPr>
                                  <w:tcW w:w="7776" w:type="dxa"/>
                                  <w:gridSpan w:val="5"/>
                                  <w:tcBorders/>
                                  <w:vAlign w:val="center"/>
                                </w:tcPr>
                                <w:p>
                                  <w:pPr>
                                    <w:pStyle w:val="TableContents"/>
                                    <w:bidi w:val="0"/>
                                    <w:spacing w:before="0" w:after="0"/>
                                    <w:jc w:val="both"/>
                                    <w:rPr>
                                      <w:rFonts w:ascii="ARIAL" w:hAnsi="ARIAL"/>
                                      <w:sz w:val="14"/>
                                    </w:rPr>
                                  </w:pPr>
                                  <w:r>
                                    <w:rPr>
                                      <w:rFonts w:ascii="ARIAL" w:hAnsi="ARIAL"/>
                                      <w:b/>
                                      <w:sz w:val="14"/>
                                    </w:rPr>
                                    <w:t xml:space="preserve">NOTE: </w:t>
                                  </w:r>
                                  <w:r>
                                    <w:rPr>
                                      <w:rFonts w:ascii="ARIAL" w:hAnsi="ARIAL"/>
                                      <w:sz w:val="14"/>
                                    </w:rPr>
                                    <w:t>Such other business as may properly come before the meeting or any adjournment or postponement thereof.</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27.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w:t>
                      </w:r>
                    </w:p>
                    <w:tbl>
                      <w:tblPr>
                        <w:tblW w:w="50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60" w:type="dxa"/>
                            <w:tcBorders>
                              <w:top w:val="single" w:sz="16" w:space="0" w:color="000000"/>
                              <w:right w:val="single" w:sz="16" w:space="0" w:color="000000"/>
                            </w:tcBorders>
                            <w:tcMar>
                              <w:top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right w:val="single" w:sz="1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4"/>
                        <w:gridCol w:w="319"/>
                        <w:gridCol w:w="1517"/>
                        <w:gridCol w:w="1505"/>
                        <w:gridCol w:w="1661"/>
                        <w:gridCol w:w="60"/>
                        <w:gridCol w:w="542"/>
                        <w:gridCol w:w="60"/>
                        <w:gridCol w:w="800"/>
                        <w:gridCol w:w="60"/>
                        <w:gridCol w:w="907"/>
                      </w:tblGrid>
                      <w:tr>
                        <w:trPr/>
                        <w:tc>
                          <w:tcPr>
                            <w:tcW w:w="277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7776" w:type="dxa"/>
                            <w:gridSpan w:val="5"/>
                            <w:tcBorders/>
                            <w:vAlign w:val="center"/>
                          </w:tcPr>
                          <w:p>
                            <w:pPr>
                              <w:pStyle w:val="TableContents"/>
                              <w:bidi w:val="0"/>
                              <w:spacing w:before="0" w:after="283"/>
                              <w:jc w:val="left"/>
                              <w:rPr>
                                <w:sz w:val="4"/>
                                <w:szCs w:val="4"/>
                              </w:rPr>
                            </w:pPr>
                            <w:r>
                              <w:rPr>
                                <w:sz w:val="4"/>
                                <w:szCs w:val="4"/>
                              </w:rPr>
                            </w:r>
                          </w:p>
                        </w:tc>
                        <w:tc>
                          <w:tcPr>
                            <w:tcW w:w="602"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7" w:type="dxa"/>
                            <w:gridSpan w:val="2"/>
                            <w:tcBorders/>
                            <w:vAlign w:val="center"/>
                          </w:tcPr>
                          <w:p>
                            <w:pPr>
                              <w:pStyle w:val="TableContents"/>
                              <w:bidi w:val="0"/>
                              <w:spacing w:before="0" w:after="283"/>
                              <w:jc w:val="left"/>
                              <w:rPr>
                                <w:sz w:val="4"/>
                                <w:szCs w:val="4"/>
                              </w:rPr>
                            </w:pPr>
                            <w:r>
                              <w:rPr>
                                <w:sz w:val="4"/>
                                <w:szCs w:val="4"/>
                              </w:rPr>
                            </w:r>
                          </w:p>
                        </w:tc>
                      </w:tr>
                      <w:tr>
                        <w:trPr/>
                        <w:tc>
                          <w:tcPr>
                            <w:tcW w:w="7776" w:type="dxa"/>
                            <w:gridSpan w:val="5"/>
                            <w:tcBorders/>
                            <w:vAlign w:val="center"/>
                          </w:tcPr>
                          <w:p>
                            <w:pPr>
                              <w:pStyle w:val="TableContents"/>
                              <w:bidi w:val="0"/>
                              <w:spacing w:before="0" w:after="0"/>
                              <w:jc w:val="both"/>
                              <w:rPr>
                                <w:rFonts w:ascii="ARIAL" w:hAnsi="ARIAL"/>
                                <w:b/>
                                <w:sz w:val="14"/>
                              </w:rPr>
                            </w:pPr>
                            <w:r>
                              <w:rPr>
                                <w:rFonts w:ascii="ARIAL" w:hAnsi="ARIAL"/>
                                <w:b/>
                                <w:sz w:val="14"/>
                              </w:rPr>
                              <w:t>The Board of Directors recommends you vote FOR the following items 2 and 3.</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center"/>
                              <w:rPr/>
                            </w:pPr>
                            <w:r>
                              <w:rPr/>
                              <w:t> </w:t>
                            </w: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center"/>
                              <w:rPr>
                                <w:b/>
                              </w:rPr>
                            </w:pPr>
                            <w:r>
                              <w:rPr>
                                <w:b/>
                              </w:rPr>
                              <w:t>Abstain </w:t>
                            </w:r>
                          </w:p>
                        </w:tc>
                      </w:tr>
                      <w:tr>
                        <w:trPr/>
                        <w:tc>
                          <w:tcPr>
                            <w:tcW w:w="2774" w:type="dxa"/>
                            <w:tcBorders/>
                            <w:vAlign w:val="center"/>
                          </w:tcPr>
                          <w:p>
                            <w:pPr>
                              <w:pStyle w:val="TableContents"/>
                              <w:bidi w:val="0"/>
                              <w:spacing w:before="0" w:after="283"/>
                              <w:jc w:val="left"/>
                              <w:rPr>
                                <w:sz w:val="4"/>
                                <w:szCs w:val="4"/>
                              </w:rPr>
                            </w:pPr>
                            <w:r>
                              <w:rPr>
                                <w:sz w:val="4"/>
                                <w:szCs w:val="4"/>
                              </w:rPr>
                            </w:r>
                          </w:p>
                        </w:tc>
                        <w:tc>
                          <w:tcPr>
                            <w:tcW w:w="5002" w:type="dxa"/>
                            <w:gridSpan w:val="4"/>
                            <w:tcBorders/>
                            <w:vAlign w:val="center"/>
                          </w:tcPr>
                          <w:p>
                            <w:pPr>
                              <w:pStyle w:val="TableContents"/>
                              <w:bidi w:val="0"/>
                              <w:spacing w:before="0" w:after="283"/>
                              <w:jc w:val="left"/>
                              <w:rPr>
                                <w:sz w:val="4"/>
                                <w:szCs w:val="4"/>
                              </w:rPr>
                            </w:pPr>
                            <w:r>
                              <w:rPr>
                                <w:sz w:val="4"/>
                                <w:szCs w:val="4"/>
                              </w:rPr>
                            </w:r>
                          </w:p>
                        </w:tc>
                        <w:tc>
                          <w:tcPr>
                            <w:tcW w:w="602"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7" w:type="dxa"/>
                            <w:gridSpan w:val="2"/>
                            <w:tcBorders/>
                            <w:vAlign w:val="center"/>
                          </w:tcPr>
                          <w:p>
                            <w:pPr>
                              <w:pStyle w:val="TableContents"/>
                              <w:bidi w:val="0"/>
                              <w:spacing w:before="0" w:after="283"/>
                              <w:jc w:val="left"/>
                              <w:rPr>
                                <w:sz w:val="4"/>
                                <w:szCs w:val="4"/>
                              </w:rPr>
                            </w:pPr>
                            <w:r>
                              <w:rPr>
                                <w:sz w:val="4"/>
                                <w:szCs w:val="4"/>
                              </w:rPr>
                            </w:r>
                          </w:p>
                        </w:tc>
                      </w:tr>
                      <w:tr>
                        <w:trPr/>
                        <w:tc>
                          <w:tcPr>
                            <w:tcW w:w="2774" w:type="dxa"/>
                            <w:tcBorders/>
                            <w:vAlign w:val="center"/>
                          </w:tcPr>
                          <w:p>
                            <w:pPr>
                              <w:pStyle w:val="TableContents"/>
                              <w:bidi w:val="0"/>
                              <w:spacing w:before="0" w:after="283"/>
                              <w:jc w:val="left"/>
                              <w:rPr/>
                            </w:pPr>
                            <w:r>
                              <w:rPr/>
                              <w:t>2.  </w:t>
                            </w:r>
                          </w:p>
                        </w:tc>
                        <w:tc>
                          <w:tcPr>
                            <w:tcW w:w="319" w:type="dxa"/>
                            <w:tcBorders/>
                            <w:vAlign w:val="center"/>
                          </w:tcPr>
                          <w:p>
                            <w:pPr>
                              <w:pStyle w:val="TableContents"/>
                              <w:bidi w:val="0"/>
                              <w:spacing w:before="0" w:after="283"/>
                              <w:jc w:val="left"/>
                              <w:rPr/>
                            </w:pPr>
                            <w:r>
                              <w:rPr/>
                              <w:t> </w:t>
                            </w:r>
                          </w:p>
                        </w:tc>
                        <w:tc>
                          <w:tcPr>
                            <w:tcW w:w="4683" w:type="dxa"/>
                            <w:gridSpan w:val="3"/>
                            <w:tcBorders/>
                            <w:vAlign w:val="center"/>
                          </w:tcPr>
                          <w:p>
                            <w:pPr>
                              <w:pStyle w:val="TableContents"/>
                              <w:bidi w:val="0"/>
                              <w:spacing w:before="0" w:after="0"/>
                              <w:jc w:val="both"/>
                              <w:rPr>
                                <w:rFonts w:ascii="ARIAL" w:hAnsi="ARIAL"/>
                                <w:sz w:val="14"/>
                              </w:rPr>
                            </w:pPr>
                            <w:r>
                              <w:rPr>
                                <w:rFonts w:ascii="ARIAL" w:hAnsi="ARIAL"/>
                                <w:sz w:val="14"/>
                              </w:rPr>
                              <w:t>Advisory vote on our Named Executive Officer compensation (“Say on Pay”).</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center"/>
                              <w:rPr/>
                            </w:pPr>
                            <w:r>
                              <w:rPr/>
                              <w:t>☐ </w:t>
                            </w:r>
                          </w:p>
                        </w:tc>
                      </w:tr>
                      <w:tr>
                        <w:trPr/>
                        <w:tc>
                          <w:tcPr>
                            <w:tcW w:w="2774" w:type="dxa"/>
                            <w:tcBorders/>
                            <w:vAlign w:val="center"/>
                          </w:tcPr>
                          <w:p>
                            <w:pPr>
                              <w:pStyle w:val="TableContents"/>
                              <w:bidi w:val="0"/>
                              <w:spacing w:before="0" w:after="283"/>
                              <w:jc w:val="left"/>
                              <w:rPr>
                                <w:sz w:val="4"/>
                                <w:szCs w:val="4"/>
                              </w:rPr>
                            </w:pPr>
                            <w:r>
                              <w:rPr>
                                <w:sz w:val="4"/>
                                <w:szCs w:val="4"/>
                              </w:rPr>
                            </w:r>
                          </w:p>
                        </w:tc>
                        <w:tc>
                          <w:tcPr>
                            <w:tcW w:w="5002" w:type="dxa"/>
                            <w:gridSpan w:val="4"/>
                            <w:tcBorders/>
                            <w:vAlign w:val="center"/>
                          </w:tcPr>
                          <w:p>
                            <w:pPr>
                              <w:pStyle w:val="TableContents"/>
                              <w:bidi w:val="0"/>
                              <w:spacing w:before="0" w:after="283"/>
                              <w:jc w:val="left"/>
                              <w:rPr>
                                <w:sz w:val="4"/>
                                <w:szCs w:val="4"/>
                              </w:rPr>
                            </w:pPr>
                            <w:r>
                              <w:rPr>
                                <w:sz w:val="4"/>
                                <w:szCs w:val="4"/>
                              </w:rPr>
                            </w:r>
                          </w:p>
                        </w:tc>
                        <w:tc>
                          <w:tcPr>
                            <w:tcW w:w="602"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7" w:type="dxa"/>
                            <w:gridSpan w:val="2"/>
                            <w:tcBorders/>
                            <w:vAlign w:val="center"/>
                          </w:tcPr>
                          <w:p>
                            <w:pPr>
                              <w:pStyle w:val="TableContents"/>
                              <w:bidi w:val="0"/>
                              <w:spacing w:before="0" w:after="283"/>
                              <w:jc w:val="left"/>
                              <w:rPr>
                                <w:sz w:val="4"/>
                                <w:szCs w:val="4"/>
                              </w:rPr>
                            </w:pPr>
                            <w:r>
                              <w:rPr>
                                <w:sz w:val="4"/>
                                <w:szCs w:val="4"/>
                              </w:rPr>
                            </w:r>
                          </w:p>
                        </w:tc>
                      </w:tr>
                      <w:tr>
                        <w:trPr/>
                        <w:tc>
                          <w:tcPr>
                            <w:tcW w:w="2774" w:type="dxa"/>
                            <w:tcBorders/>
                            <w:vAlign w:val="center"/>
                          </w:tcPr>
                          <w:p>
                            <w:pPr>
                              <w:pStyle w:val="TableContents"/>
                              <w:bidi w:val="0"/>
                              <w:spacing w:before="0" w:after="283"/>
                              <w:jc w:val="left"/>
                              <w:rPr/>
                            </w:pPr>
                            <w:r>
                              <w:rPr/>
                              <w:t>3.  </w:t>
                            </w:r>
                          </w:p>
                        </w:tc>
                        <w:tc>
                          <w:tcPr>
                            <w:tcW w:w="319" w:type="dxa"/>
                            <w:tcBorders/>
                            <w:vAlign w:val="center"/>
                          </w:tcPr>
                          <w:p>
                            <w:pPr>
                              <w:pStyle w:val="TableContents"/>
                              <w:bidi w:val="0"/>
                              <w:spacing w:before="0" w:after="283"/>
                              <w:jc w:val="left"/>
                              <w:rPr/>
                            </w:pPr>
                            <w:r>
                              <w:rPr/>
                              <w:t> </w:t>
                            </w:r>
                          </w:p>
                        </w:tc>
                        <w:tc>
                          <w:tcPr>
                            <w:tcW w:w="4683" w:type="dxa"/>
                            <w:gridSpan w:val="3"/>
                            <w:tcBorders/>
                            <w:vAlign w:val="center"/>
                          </w:tcPr>
                          <w:p>
                            <w:pPr>
                              <w:pStyle w:val="TableContents"/>
                              <w:bidi w:val="0"/>
                              <w:spacing w:before="0" w:after="0"/>
                              <w:jc w:val="both"/>
                              <w:rPr>
                                <w:rFonts w:ascii="ARIAL" w:hAnsi="ARIAL"/>
                                <w:sz w:val="14"/>
                              </w:rPr>
                            </w:pPr>
                            <w:r>
                              <w:rPr>
                                <w:rFonts w:ascii="ARIAL" w:hAnsi="ARIAL"/>
                                <w:sz w:val="14"/>
                              </w:rPr>
                              <w:t>Ratification of the selection of Ernst &amp; Young LLP, as our independent registered public accounting firm for 2025.</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center"/>
                              <w:rPr/>
                            </w:pPr>
                            <w:r>
                              <w:rPr/>
                              <w:t>☐ </w:t>
                            </w:r>
                          </w:p>
                        </w:tc>
                      </w:tr>
                      <w:tr>
                        <w:trPr/>
                        <w:tc>
                          <w:tcPr>
                            <w:tcW w:w="7776" w:type="dxa"/>
                            <w:gridSpan w:val="5"/>
                            <w:tcBorders/>
                            <w:vAlign w:val="center"/>
                          </w:tcPr>
                          <w:p>
                            <w:pPr>
                              <w:pStyle w:val="TableContents"/>
                              <w:bidi w:val="0"/>
                              <w:spacing w:before="0" w:after="283"/>
                              <w:jc w:val="left"/>
                              <w:rPr>
                                <w:sz w:val="4"/>
                                <w:szCs w:val="4"/>
                              </w:rPr>
                            </w:pPr>
                            <w:r>
                              <w:rPr>
                                <w:sz w:val="4"/>
                                <w:szCs w:val="4"/>
                              </w:rPr>
                            </w:r>
                          </w:p>
                        </w:tc>
                        <w:tc>
                          <w:tcPr>
                            <w:tcW w:w="602"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7" w:type="dxa"/>
                            <w:gridSpan w:val="2"/>
                            <w:tcBorders/>
                            <w:vAlign w:val="center"/>
                          </w:tcPr>
                          <w:p>
                            <w:pPr>
                              <w:pStyle w:val="TableContents"/>
                              <w:bidi w:val="0"/>
                              <w:spacing w:before="0" w:after="283"/>
                              <w:jc w:val="left"/>
                              <w:rPr>
                                <w:sz w:val="4"/>
                                <w:szCs w:val="4"/>
                              </w:rPr>
                            </w:pPr>
                            <w:r>
                              <w:rPr>
                                <w:sz w:val="4"/>
                                <w:szCs w:val="4"/>
                              </w:rPr>
                            </w:r>
                          </w:p>
                        </w:tc>
                      </w:tr>
                      <w:tr>
                        <w:trPr/>
                        <w:tc>
                          <w:tcPr>
                            <w:tcW w:w="7776" w:type="dxa"/>
                            <w:gridSpan w:val="5"/>
                            <w:tcBorders/>
                            <w:vAlign w:val="center"/>
                          </w:tcPr>
                          <w:p>
                            <w:pPr>
                              <w:pStyle w:val="TableContents"/>
                              <w:bidi w:val="0"/>
                              <w:spacing w:before="0" w:after="0"/>
                              <w:jc w:val="both"/>
                              <w:rPr>
                                <w:rFonts w:ascii="ARIAL" w:hAnsi="ARIAL"/>
                                <w:b/>
                                <w:sz w:val="14"/>
                              </w:rPr>
                            </w:pPr>
                            <w:r>
                              <w:rPr>
                                <w:rFonts w:ascii="ARIAL" w:hAnsi="ARIAL"/>
                                <w:b/>
                                <w:sz w:val="14"/>
                              </w:rPr>
                              <w:t>The Board of Directors recommends you vote AGAINST the following item 4.</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center"/>
                              <w:rPr/>
                            </w:pPr>
                            <w:r>
                              <w:rPr/>
                              <w:t> </w:t>
                            </w: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center"/>
                              <w:rPr>
                                <w:b/>
                              </w:rPr>
                            </w:pPr>
                            <w:r>
                              <w:rPr>
                                <w:b/>
                              </w:rPr>
                              <w:t>Abstain </w:t>
                            </w:r>
                          </w:p>
                        </w:tc>
                      </w:tr>
                      <w:tr>
                        <w:trPr/>
                        <w:tc>
                          <w:tcPr>
                            <w:tcW w:w="2774" w:type="dxa"/>
                            <w:tcBorders/>
                            <w:vAlign w:val="center"/>
                          </w:tcPr>
                          <w:p>
                            <w:pPr>
                              <w:pStyle w:val="TableContents"/>
                              <w:bidi w:val="0"/>
                              <w:spacing w:before="0" w:after="283"/>
                              <w:jc w:val="left"/>
                              <w:rPr>
                                <w:sz w:val="4"/>
                                <w:szCs w:val="4"/>
                              </w:rPr>
                            </w:pPr>
                            <w:r>
                              <w:rPr>
                                <w:sz w:val="4"/>
                                <w:szCs w:val="4"/>
                              </w:rPr>
                            </w:r>
                          </w:p>
                        </w:tc>
                        <w:tc>
                          <w:tcPr>
                            <w:tcW w:w="5002" w:type="dxa"/>
                            <w:gridSpan w:val="4"/>
                            <w:tcBorders/>
                            <w:vAlign w:val="center"/>
                          </w:tcPr>
                          <w:p>
                            <w:pPr>
                              <w:pStyle w:val="TableContents"/>
                              <w:bidi w:val="0"/>
                              <w:spacing w:before="0" w:after="283"/>
                              <w:jc w:val="left"/>
                              <w:rPr>
                                <w:sz w:val="4"/>
                                <w:szCs w:val="4"/>
                              </w:rPr>
                            </w:pPr>
                            <w:r>
                              <w:rPr>
                                <w:sz w:val="4"/>
                                <w:szCs w:val="4"/>
                              </w:rPr>
                            </w:r>
                          </w:p>
                        </w:tc>
                        <w:tc>
                          <w:tcPr>
                            <w:tcW w:w="602"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7" w:type="dxa"/>
                            <w:gridSpan w:val="2"/>
                            <w:tcBorders/>
                            <w:vAlign w:val="center"/>
                          </w:tcPr>
                          <w:p>
                            <w:pPr>
                              <w:pStyle w:val="TableContents"/>
                              <w:bidi w:val="0"/>
                              <w:spacing w:before="0" w:after="283"/>
                              <w:jc w:val="left"/>
                              <w:rPr>
                                <w:sz w:val="4"/>
                                <w:szCs w:val="4"/>
                              </w:rPr>
                            </w:pPr>
                            <w:r>
                              <w:rPr>
                                <w:sz w:val="4"/>
                                <w:szCs w:val="4"/>
                              </w:rPr>
                            </w:r>
                          </w:p>
                        </w:tc>
                      </w:tr>
                      <w:tr>
                        <w:trPr/>
                        <w:tc>
                          <w:tcPr>
                            <w:tcW w:w="2774" w:type="dxa"/>
                            <w:tcBorders/>
                            <w:vAlign w:val="center"/>
                          </w:tcPr>
                          <w:p>
                            <w:pPr>
                              <w:pStyle w:val="TableContents"/>
                              <w:bidi w:val="0"/>
                              <w:spacing w:before="0" w:after="283"/>
                              <w:jc w:val="left"/>
                              <w:rPr/>
                            </w:pPr>
                            <w:r>
                              <w:rPr/>
                              <w:t>4.</w:t>
                            </w:r>
                          </w:p>
                        </w:tc>
                        <w:tc>
                          <w:tcPr>
                            <w:tcW w:w="319" w:type="dxa"/>
                            <w:tcBorders/>
                            <w:vAlign w:val="center"/>
                          </w:tcPr>
                          <w:p>
                            <w:pPr>
                              <w:pStyle w:val="TableContents"/>
                              <w:bidi w:val="0"/>
                              <w:spacing w:before="0" w:after="283"/>
                              <w:jc w:val="left"/>
                              <w:rPr/>
                            </w:pPr>
                            <w:r>
                              <w:rPr/>
                              <w:t> </w:t>
                            </w:r>
                          </w:p>
                        </w:tc>
                        <w:tc>
                          <w:tcPr>
                            <w:tcW w:w="4683" w:type="dxa"/>
                            <w:gridSpan w:val="3"/>
                            <w:tcBorders/>
                            <w:vAlign w:val="center"/>
                          </w:tcPr>
                          <w:p>
                            <w:pPr>
                              <w:pStyle w:val="TableContents"/>
                              <w:bidi w:val="0"/>
                              <w:spacing w:before="0" w:after="0"/>
                              <w:jc w:val="both"/>
                              <w:rPr>
                                <w:rFonts w:ascii="ARIAL" w:hAnsi="ARIAL"/>
                                <w:sz w:val="14"/>
                              </w:rPr>
                            </w:pPr>
                            <w:r>
                              <w:rPr>
                                <w:rFonts w:ascii="ARIAL" w:hAnsi="ARIAL"/>
                                <w:sz w:val="14"/>
                              </w:rPr>
                              <w:t>Stockholder proposal to require a shareholder vote on golden parachute arrangements.</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center"/>
                              <w:rPr/>
                            </w:pPr>
                            <w:r>
                              <w:rPr/>
                              <w:t>☐ </w:t>
                            </w:r>
                          </w:p>
                        </w:tc>
                      </w:tr>
                      <w:tr>
                        <w:trPr/>
                        <w:tc>
                          <w:tcPr>
                            <w:tcW w:w="7776" w:type="dxa"/>
                            <w:gridSpan w:val="5"/>
                            <w:tcBorders/>
                            <w:vAlign w:val="center"/>
                          </w:tcPr>
                          <w:p>
                            <w:pPr>
                              <w:pStyle w:val="TableContents"/>
                              <w:bidi w:val="0"/>
                              <w:spacing w:before="0" w:after="283"/>
                              <w:jc w:val="left"/>
                              <w:rPr>
                                <w:sz w:val="4"/>
                                <w:szCs w:val="4"/>
                              </w:rPr>
                            </w:pPr>
                            <w:r>
                              <w:rPr>
                                <w:sz w:val="4"/>
                                <w:szCs w:val="4"/>
                              </w:rPr>
                            </w:r>
                          </w:p>
                        </w:tc>
                        <w:tc>
                          <w:tcPr>
                            <w:tcW w:w="602"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7" w:type="dxa"/>
                            <w:gridSpan w:val="2"/>
                            <w:tcBorders/>
                            <w:vAlign w:val="center"/>
                          </w:tcPr>
                          <w:p>
                            <w:pPr>
                              <w:pStyle w:val="TableContents"/>
                              <w:bidi w:val="0"/>
                              <w:spacing w:before="0" w:after="283"/>
                              <w:jc w:val="left"/>
                              <w:rPr>
                                <w:sz w:val="4"/>
                                <w:szCs w:val="4"/>
                              </w:rPr>
                            </w:pPr>
                            <w:r>
                              <w:rPr>
                                <w:sz w:val="4"/>
                                <w:szCs w:val="4"/>
                              </w:rPr>
                            </w:r>
                          </w:p>
                        </w:tc>
                      </w:tr>
                      <w:tr>
                        <w:trPr/>
                        <w:tc>
                          <w:tcPr>
                            <w:tcW w:w="7776" w:type="dxa"/>
                            <w:gridSpan w:val="5"/>
                            <w:tcBorders/>
                            <w:vAlign w:val="center"/>
                          </w:tcPr>
                          <w:p>
                            <w:pPr>
                              <w:pStyle w:val="TableContents"/>
                              <w:bidi w:val="0"/>
                              <w:spacing w:before="0" w:after="0"/>
                              <w:jc w:val="both"/>
                              <w:rPr>
                                <w:rFonts w:ascii="ARIAL" w:hAnsi="ARIAL"/>
                                <w:sz w:val="14"/>
                              </w:rPr>
                            </w:pPr>
                            <w:r>
                              <w:rPr>
                                <w:rFonts w:ascii="ARIAL" w:hAnsi="ARIAL"/>
                                <w:b/>
                                <w:sz w:val="14"/>
                              </w:rPr>
                              <w:t xml:space="preserve">NOTE: </w:t>
                            </w:r>
                            <w:r>
                              <w:rPr>
                                <w:rFonts w:ascii="ARIAL" w:hAnsi="ARIAL"/>
                                <w:sz w:val="14"/>
                              </w:rPr>
                              <w:t>Such other business as may properly come before the meeting or any adjournment or postponement thereof.</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bdr w:val="single" w:sz="16" w:space="2" w:color="000000"/>
        </w:rPr>
      </w:pPr>
      <w:r>
        <w:rPr>
          <w:bdr w:val="single" w:sz="16" w:space="2" w:color="000000"/>
        </w:rPr>
        <w:t> </w:t>
      </w:r>
    </w:p>
    <w:tbl>
      <w:tblPr>
        <w:tblW w:w="10205" w:type="dxa"/>
        <w:jc w:val="left"/>
        <w:tblInd w:w="0" w:type="dxa"/>
        <w:tblLayout w:type="fixed"/>
        <w:tblCellMar>
          <w:top w:w="0" w:type="dxa"/>
          <w:left w:w="0" w:type="dxa"/>
          <w:bottom w:w="0" w:type="dxa"/>
          <w:right w:w="0" w:type="dxa"/>
        </w:tblCellMar>
      </w:tblPr>
      <w:tblGrid>
        <w:gridCol w:w="10107"/>
        <w:gridCol w:w="60"/>
        <w:gridCol w:w="38"/>
      </w:tblGrid>
      <w:tr>
        <w:trPr/>
        <w:tc>
          <w:tcPr>
            <w:tcW w:w="10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0107" w:type="dxa"/>
            <w:tcBorders/>
            <w:vAlign w:val="center"/>
          </w:tcPr>
          <w:p>
            <w:pPr>
              <w:pStyle w:val="TableContents"/>
              <w:bidi w:val="0"/>
              <w:spacing w:before="0" w:after="0"/>
              <w:jc w:val="both"/>
              <w:rPr>
                <w:rFonts w:ascii="ARIAL" w:hAnsi="ARIAL"/>
                <w:sz w:val="14"/>
              </w:rPr>
            </w:pPr>
            <w:r>
              <w:rPr>
                <w:rFonts w:ascii="ARIAL" w:hAnsi="ARIAL"/>
                <w:sz w:val="14"/>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16" w:space="2" w:color="000000"/>
        </w:rPr>
      </w:pPr>
      <w:r>
        <w:rPr>
          <w:bdr w:val="single" w:sz="16" w:space="2" w:color="000000"/>
        </w:rPr>
        <w:t> </w:t>
      </w:r>
    </w:p>
    <w:tbl>
      <w:tblPr>
        <w:tblW w:w="10205" w:type="dxa"/>
        <w:jc w:val="left"/>
        <w:tblInd w:w="0" w:type="dxa"/>
        <w:tblLayout w:type="fixed"/>
        <w:tblCellMar>
          <w:top w:w="0" w:type="dxa"/>
          <w:left w:w="0" w:type="dxa"/>
          <w:bottom w:w="0" w:type="dxa"/>
          <w:right w:w="0" w:type="dxa"/>
        </w:tblCellMar>
      </w:tblPr>
      <w:tblGrid>
        <w:gridCol w:w="4753"/>
        <w:gridCol w:w="60"/>
        <w:gridCol w:w="688"/>
        <w:gridCol w:w="60"/>
        <w:gridCol w:w="23"/>
        <w:gridCol w:w="60"/>
        <w:gridCol w:w="3714"/>
        <w:gridCol w:w="60"/>
        <w:gridCol w:w="688"/>
        <w:gridCol w:w="60"/>
        <w:gridCol w:w="39"/>
      </w:tblGrid>
      <w:tr>
        <w:trPr/>
        <w:tc>
          <w:tcPr>
            <w:tcW w:w="47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4753" w:type="dxa"/>
            <w:tcBorders>
              <w:top w:val="single" w:sz="6" w:space="0" w:color="000000"/>
              <w:left w:val="single" w:sz="6" w:space="0" w:color="000000"/>
              <w:bottom w:val="single" w:sz="12" w:space="0" w:color="000000"/>
              <w:right w:val="single" w:sz="6" w:space="0" w:color="000000"/>
            </w:tcBorders>
            <w:tcMar>
              <w:top w:w="28" w:type="dxa"/>
              <w:left w:w="160"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88"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3714"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88"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753" w:type="dxa"/>
            <w:tcBorders/>
            <w:vAlign w:val="center"/>
          </w:tcPr>
          <w:p>
            <w:pPr>
              <w:pStyle w:val="TableContents"/>
              <w:bidi w:val="0"/>
              <w:spacing w:before="0" w:after="283"/>
              <w:jc w:val="left"/>
              <w:rPr/>
            </w:pPr>
            <w:r>
              <w:rPr/>
              <w:t>Signature [PLEASE SIGN WITHIN BOX]   </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jc w:val="left"/>
              <w:rPr>
                <w:rFonts w:ascii="ARIAL" w:hAnsi="ARIAL"/>
                <w:sz w:val="14"/>
              </w:rPr>
            </w:pPr>
            <w:r>
              <w:rPr>
                <w:rFonts w:ascii="ARIAL" w:hAnsi="ARIAL"/>
                <w:sz w:val="14"/>
              </w:rPr>
              <w:t>Date   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14" w:type="dxa"/>
            <w:tcBorders/>
            <w:vAlign w:val="center"/>
          </w:tcPr>
          <w:p>
            <w:pPr>
              <w:pStyle w:val="TableContents"/>
              <w:bidi w:val="0"/>
              <w:spacing w:before="0" w:after="283"/>
              <w:jc w:val="left"/>
              <w:rPr/>
            </w:pPr>
            <w:r>
              <w:rPr/>
              <w:t>Signature (Joint Owners)      </w:t>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0"/>
              <w:jc w:val="left"/>
              <w:rPr>
                <w:rFonts w:ascii="ARIAL" w:hAnsi="ARIAL"/>
                <w:sz w:val="14"/>
              </w:rPr>
            </w:pPr>
            <w:r>
              <w:rPr>
                <w:rFonts w:ascii="ARIAL" w:hAnsi="ARIAL"/>
                <w:sz w:val="14"/>
              </w:rPr>
              <w:t>Date   </w:t>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480" w:after="0"/>
        <w:jc w:val="center"/>
        <w:rPr>
          <w:rFonts w:ascii="ARIAL" w:hAnsi="ARIAL"/>
          <w:b/>
          <w:sz w:val="20"/>
        </w:rPr>
      </w:pPr>
      <w:r>
        <w:rPr>
          <w:rFonts w:ascii="ARIAL" w:hAnsi="ARIAL"/>
          <w:b/>
          <w:sz w:val="20"/>
        </w:rPr>
        <w:t xml:space="preserve">Important Notice Regarding the Availability of Proxy Materials for the Annual Stockholder Meeting: </w:t>
      </w:r>
    </w:p>
    <w:p>
      <w:pPr>
        <w:pStyle w:val="TextBody"/>
        <w:bidi w:val="0"/>
        <w:spacing w:before="0" w:after="0"/>
        <w:jc w:val="center"/>
        <w:rPr>
          <w:rFonts w:ascii="ARIAL" w:hAnsi="ARIAL"/>
          <w:sz w:val="20"/>
        </w:rPr>
      </w:pPr>
      <w:r>
        <w:rPr>
          <w:rFonts w:ascii="ARIAL" w:hAnsi="ARIAL"/>
          <w:sz w:val="20"/>
        </w:rPr>
        <w:t xml:space="preserve">The Proxy Statement and Annual Report to Stockholders/10-K are available at www.proxyvote.com.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560" w:after="0"/>
        <w:jc w:val="both"/>
        <w:rPr/>
      </w:pPr>
      <w:r>
        <w:rPr/>
        <w:t xml:space="preserve">— — — — — — — — — — — — — — — — — — — — — — — — — — — — — — — — — — — — — — — — — — — — — — — — — — — — — — — — — — — — — — — —  — — —  </w:t>
      </w:r>
    </w:p>
    <w:p>
      <w:pPr>
        <w:pStyle w:val="TextBody"/>
        <w:bidi w:val="0"/>
        <w:spacing w:before="120" w:after="0"/>
        <w:jc w:val="right"/>
        <w:rPr>
          <w:rFonts w:ascii="ARIAL" w:hAnsi="ARIAL"/>
          <w:sz w:val="14"/>
        </w:rPr>
      </w:pPr>
      <w:r>
        <w:rPr>
          <w:rFonts w:ascii="ARIAL" w:hAnsi="ARIAL"/>
          <w:sz w:val="14"/>
        </w:rPr>
        <w:t xml:space="preserve">V64330-Z89484-P27280 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9935"/>
        <w:gridCol w:w="6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top w:val="single" w:sz="12" w:space="0" w:color="000000"/>
              <w:left w:val="single" w:sz="12" w:space="0" w:color="000000"/>
              <w:bottom w:val="single" w:sz="12" w:space="0" w:color="000000"/>
            </w:tcBorders>
            <w:tcMar>
              <w:top w:w="28" w:type="dxa"/>
              <w:left w:w="160" w:type="dxa"/>
              <w:bottom w:w="28" w:type="dxa"/>
            </w:tcMar>
            <w:vAlign w:val="center"/>
          </w:tcPr>
          <w:p>
            <w:pPr>
              <w:pStyle w:val="TableContents"/>
              <w:bidi w:val="0"/>
              <w:spacing w:before="0" w:after="283"/>
              <w:jc w:val="left"/>
              <w:rPr/>
            </w:pPr>
            <w:r>
              <w:rPr/>
              <w:t> </w:t>
            </w:r>
          </w:p>
        </w:tc>
        <w:tc>
          <w:tcPr>
            <w:tcW w:w="60"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9935"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sz w:val="24"/>
              </w:rPr>
            </w:pPr>
            <w:r>
              <w:rPr>
                <w:rFonts w:ascii="ARIAL" w:hAnsi="ARIAL"/>
                <w:b/>
                <w:sz w:val="24"/>
              </w:rPr>
              <w:t>CAPITAL ONE FINANCIAL CORPORATION</w:t>
            </w:r>
          </w:p>
          <w:p>
            <w:pPr>
              <w:pStyle w:val="TableContents"/>
              <w:bidi w:val="0"/>
              <w:spacing w:before="0" w:after="0"/>
              <w:jc w:val="center"/>
              <w:rPr>
                <w:rFonts w:ascii="ARIAL" w:hAnsi="ARIAL"/>
                <w:b/>
                <w:sz w:val="24"/>
              </w:rPr>
            </w:pPr>
            <w:r>
              <w:rPr>
                <w:rFonts w:ascii="ARIAL" w:hAnsi="ARIAL"/>
                <w:b/>
                <w:sz w:val="24"/>
              </w:rPr>
              <w:t>Annual Stockholder Meeting</w:t>
            </w:r>
          </w:p>
          <w:p>
            <w:pPr>
              <w:pStyle w:val="TableContents"/>
              <w:bidi w:val="0"/>
              <w:spacing w:before="0" w:after="0"/>
              <w:jc w:val="center"/>
              <w:rPr>
                <w:rFonts w:ascii="ARIAL" w:hAnsi="ARIAL"/>
                <w:b/>
                <w:sz w:val="24"/>
              </w:rPr>
            </w:pPr>
            <w:r>
              <w:rPr>
                <w:rFonts w:ascii="ARIAL" w:hAnsi="ARIAL"/>
                <w:b/>
                <w:sz w:val="24"/>
              </w:rPr>
              <w:t>Thursday, May 8, 2025 10:00 a.m. Eastern Time</w:t>
            </w:r>
          </w:p>
          <w:p>
            <w:pPr>
              <w:pStyle w:val="TableContents"/>
              <w:bidi w:val="0"/>
              <w:spacing w:before="0" w:after="0"/>
              <w:jc w:val="left"/>
              <w:rPr/>
            </w:pPr>
            <w:r>
              <w:rPr/>
              <w:t> </w:t>
            </w:r>
          </w:p>
          <w:p>
            <w:pPr>
              <w:pStyle w:val="TableContents"/>
              <w:bidi w:val="0"/>
              <w:spacing w:before="0" w:after="0"/>
              <w:jc w:val="center"/>
              <w:rPr>
                <w:rFonts w:ascii="ARIAL" w:hAnsi="ARIAL"/>
                <w:b/>
                <w:sz w:val="24"/>
              </w:rPr>
            </w:pPr>
            <w:r>
              <w:rPr>
                <w:rFonts w:ascii="ARIAL" w:hAnsi="ARIAL"/>
                <w:b/>
                <w:sz w:val="24"/>
              </w:rPr>
              <w:t>Capital One’s Campus</w:t>
            </w:r>
          </w:p>
          <w:p>
            <w:pPr>
              <w:pStyle w:val="TableContents"/>
              <w:bidi w:val="0"/>
              <w:spacing w:before="0" w:after="0"/>
              <w:jc w:val="center"/>
              <w:rPr>
                <w:rFonts w:ascii="ARIAL" w:hAnsi="ARIAL"/>
                <w:b/>
                <w:sz w:val="24"/>
              </w:rPr>
            </w:pPr>
            <w:r>
              <w:rPr>
                <w:rFonts w:ascii="ARIAL" w:hAnsi="ARIAL"/>
                <w:b/>
                <w:sz w:val="24"/>
              </w:rPr>
              <w:t>1600 Capital One Drive</w:t>
            </w:r>
          </w:p>
          <w:p>
            <w:pPr>
              <w:pStyle w:val="TableContents"/>
              <w:bidi w:val="0"/>
              <w:spacing w:before="0" w:after="0"/>
              <w:jc w:val="center"/>
              <w:rPr>
                <w:rFonts w:ascii="ARIAL" w:hAnsi="ARIAL"/>
                <w:b/>
                <w:sz w:val="24"/>
              </w:rPr>
            </w:pPr>
            <w:r>
              <w:rPr>
                <w:rFonts w:ascii="ARIAL" w:hAnsi="ARIAL"/>
                <w:b/>
                <w:sz w:val="24"/>
              </w:rPr>
              <w:t>McLean, Virginia 22102</w:t>
            </w:r>
          </w:p>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THIS PROXY IS SOLICITED ON BEHALF OF THE BOARD OF DIRECTORS</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The undersigned hereby appoints Richard D. Fairbank and Matthew W. Cooper, and either of them, proxies of the undersigned, with full power of substitution, to vote all the shares of Common Stock of Capital One Financial Corporation, a Delaware corporation, held of record by the undersigned on March 12, 2025, at the Annual Stockholder Meeting to be held on May 8, 2025, and at any postponement or adjournment thereof (including, if applicable, on any matter which the Board of Directors did not know would be presented at the Annual Stockholder Meeting by a reasonable time before the proxy solicitation was made or for the election of a person to the Board of Directors if any nominee named in Item 1 becomes unavailable to serve).</w:t>
            </w:r>
          </w:p>
          <w:p>
            <w:pPr>
              <w:pStyle w:val="TableContents"/>
              <w:bidi w:val="0"/>
              <w:spacing w:before="0" w:after="0"/>
              <w:jc w:val="left"/>
              <w:rPr/>
            </w:pPr>
            <w:r>
              <w:rPr/>
              <w:t> </w:t>
            </w:r>
          </w:p>
          <w:p>
            <w:pPr>
              <w:pStyle w:val="TableContents"/>
              <w:bidi w:val="0"/>
              <w:spacing w:before="0" w:after="0"/>
              <w:jc w:val="both"/>
              <w:rPr>
                <w:rFonts w:ascii="ARIAL" w:hAnsi="ARIAL"/>
                <w:b/>
                <w:sz w:val="20"/>
              </w:rPr>
            </w:pPr>
            <w:r>
              <w:rPr>
                <w:rFonts w:ascii="ARIAL" w:hAnsi="ARIAL"/>
                <w:b/>
                <w:sz w:val="20"/>
              </w:rPr>
              <w:t>THIS PROXY, WHEN PROPERLY EXECUTED, WILL BE VOTED AS SPECIFIED BY THE UNDERSIGNED STOCKHOLDER. IF NO CHOICE IS SPECIFIED BY THE STOCKHOLDER, THIS PROXY WILL BE VOTED “FOR” ALL PORTIONS OF ITEMS (1), (2) AND (3) AND “AGAINST” FOR ITEM (4) AND, IN THE PROXIES’ DISCRETION, ON ANY OTHER MATTERS COMING BEFORE THE MEETING OR ANY ADJOURNMENT OR POSTPONEMENT THEREOF.</w:t>
            </w:r>
          </w:p>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Continued and to be signed on reverse side</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75" w:type="dxa"/>
            <w:tcBorders>
              <w:top w:val="single" w:sz="12" w:space="0" w:color="000000"/>
              <w:bottom w:val="single" w:sz="12" w:space="0" w:color="000000"/>
              <w:right w:val="single" w:sz="12" w:space="0" w:color="000000"/>
            </w:tcBorders>
            <w:tcMar>
              <w:top w:w="28" w:type="dxa"/>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arial">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8.jpeg"/><Relationship Id="rId31" Type="http://schemas.openxmlformats.org/officeDocument/2006/relationships/image" Target="media/image27.jpeg"/><Relationship Id="rId32" Type="http://schemas.openxmlformats.org/officeDocument/2006/relationships/image" Target="media/image29.jpeg"/><Relationship Id="rId33" Type="http://schemas.openxmlformats.org/officeDocument/2006/relationships/image" Target="media/image27.jpeg"/><Relationship Id="rId34" Type="http://schemas.openxmlformats.org/officeDocument/2006/relationships/image" Target="media/image28.jpeg"/><Relationship Id="rId35" Type="http://schemas.openxmlformats.org/officeDocument/2006/relationships/image" Target="media/image28.jpeg"/><Relationship Id="rId36" Type="http://schemas.openxmlformats.org/officeDocument/2006/relationships/image" Target="media/image27.jpeg"/><Relationship Id="rId37" Type="http://schemas.openxmlformats.org/officeDocument/2006/relationships/image" Target="media/image27.jpeg"/><Relationship Id="rId38" Type="http://schemas.openxmlformats.org/officeDocument/2006/relationships/image" Target="media/image28.jpeg"/><Relationship Id="rId39" Type="http://schemas.openxmlformats.org/officeDocument/2006/relationships/image" Target="media/image28.jpeg"/><Relationship Id="rId40" Type="http://schemas.openxmlformats.org/officeDocument/2006/relationships/image" Target="media/image30.jpeg"/><Relationship Id="rId41" Type="http://schemas.openxmlformats.org/officeDocument/2006/relationships/image" Target="media/image29.jpeg"/><Relationship Id="rId42" Type="http://schemas.openxmlformats.org/officeDocument/2006/relationships/image" Target="media/image27.jpeg"/><Relationship Id="rId43" Type="http://schemas.openxmlformats.org/officeDocument/2006/relationships/image" Target="media/image28.jpeg"/><Relationship Id="rId44" Type="http://schemas.openxmlformats.org/officeDocument/2006/relationships/image" Target="media/image28.jpeg"/><Relationship Id="rId45" Type="http://schemas.openxmlformats.org/officeDocument/2006/relationships/image" Target="media/image29.jpeg"/><Relationship Id="rId46" Type="http://schemas.openxmlformats.org/officeDocument/2006/relationships/image" Target="media/image27.jpeg"/><Relationship Id="rId47" Type="http://schemas.openxmlformats.org/officeDocument/2006/relationships/image" Target="media/image28.jpeg"/><Relationship Id="rId48" Type="http://schemas.openxmlformats.org/officeDocument/2006/relationships/image" Target="media/image28.jpeg"/><Relationship Id="rId49" Type="http://schemas.openxmlformats.org/officeDocument/2006/relationships/image" Target="media/image27.jpeg"/><Relationship Id="rId50" Type="http://schemas.openxmlformats.org/officeDocument/2006/relationships/image" Target="media/image27.jpeg"/><Relationship Id="rId51" Type="http://schemas.openxmlformats.org/officeDocument/2006/relationships/image" Target="media/image29.jpeg"/><Relationship Id="rId52" Type="http://schemas.openxmlformats.org/officeDocument/2006/relationships/image" Target="media/image27.jpeg"/><Relationship Id="rId53" Type="http://schemas.openxmlformats.org/officeDocument/2006/relationships/image" Target="media/image31.jpeg"/><Relationship Id="rId54" Type="http://schemas.openxmlformats.org/officeDocument/2006/relationships/image" Target="media/image32.jpeg"/><Relationship Id="rId55" Type="http://schemas.openxmlformats.org/officeDocument/2006/relationships/image" Target="media/image33.jpeg"/><Relationship Id="rId56" Type="http://schemas.openxmlformats.org/officeDocument/2006/relationships/image" Target="media/image34.jpeg"/><Relationship Id="rId57" Type="http://schemas.openxmlformats.org/officeDocument/2006/relationships/image" Target="media/image35.jpeg"/><Relationship Id="rId58" Type="http://schemas.openxmlformats.org/officeDocument/2006/relationships/image" Target="media/image36.jpeg"/><Relationship Id="rId59" Type="http://schemas.openxmlformats.org/officeDocument/2006/relationships/image" Target="media/image37.jpeg"/><Relationship Id="rId60" Type="http://schemas.openxmlformats.org/officeDocument/2006/relationships/image" Target="media/image38.jpeg"/><Relationship Id="rId61" Type="http://schemas.openxmlformats.org/officeDocument/2006/relationships/image" Target="media/image39.jpeg"/><Relationship Id="rId62" Type="http://schemas.openxmlformats.org/officeDocument/2006/relationships/image" Target="media/image40.jpeg"/><Relationship Id="rId63" Type="http://schemas.openxmlformats.org/officeDocument/2006/relationships/image" Target="media/image41.jpeg"/><Relationship Id="rId64" Type="http://schemas.openxmlformats.org/officeDocument/2006/relationships/image" Target="media/image42.jpeg"/><Relationship Id="rId65" Type="http://schemas.openxmlformats.org/officeDocument/2006/relationships/image" Target="media/image43.jpeg"/><Relationship Id="rId66" Type="http://schemas.openxmlformats.org/officeDocument/2006/relationships/image" Target="media/image44.jpeg"/><Relationship Id="rId67" Type="http://schemas.openxmlformats.org/officeDocument/2006/relationships/image" Target="media/image45.jpeg"/><Relationship Id="rId68" Type="http://schemas.openxmlformats.org/officeDocument/2006/relationships/image" Target="media/image46.jpeg"/><Relationship Id="rId69" Type="http://schemas.openxmlformats.org/officeDocument/2006/relationships/image" Target="media/image47.jpeg"/><Relationship Id="rId70" Type="http://schemas.openxmlformats.org/officeDocument/2006/relationships/image" Target="media/image48.jpeg"/><Relationship Id="rId71" Type="http://schemas.openxmlformats.org/officeDocument/2006/relationships/image" Target="media/image48.jpeg"/><Relationship Id="rId72" Type="http://schemas.openxmlformats.org/officeDocument/2006/relationships/image" Target="media/image49.jpeg"/><Relationship Id="rId73" Type="http://schemas.openxmlformats.org/officeDocument/2006/relationships/image" Target="media/image49.jpeg"/><Relationship Id="rId74" Type="http://schemas.openxmlformats.org/officeDocument/2006/relationships/fontTable" Target="fontTable.xml"/><Relationship Id="rId7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134</Pages>
  <Words>65451</Words>
  <Characters>374086</Characters>
  <CharactersWithSpaces>446091</CharactersWithSpaces>
  <Paragraphs>13413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