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Sanjiv Yajnik</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7"/>
                <w:szCs w:val="17"/>
                <w:color w:val="0000FF"/>
              </w:rPr>
              <w:t>1680 CAPITAL ONE DRIVE</w:t>
            </w:r>
          </w:p>
        </w:tc>
        <w:tc>
          <w:tcPr>
            <w:tcW w:w="13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MCLEAN</w:t>
            </w:r>
          </w:p>
        </w:tc>
        <w:tc>
          <w:tcPr>
            <w:tcW w:w="1280" w:type="dxa"/>
            <w:vAlign w:val="bottom"/>
          </w:tcPr>
          <w:p>
            <w:pPr>
              <w:ind w:left="240"/>
              <w:spacing w:after="0"/>
              <w:rPr>
                <w:sz w:val="20"/>
                <w:szCs w:val="20"/>
                <w:color w:val="auto"/>
              </w:rPr>
            </w:pPr>
            <w:r>
              <w:rPr>
                <w:rFonts w:ascii="Arial" w:cs="Arial" w:eastAsia="Arial" w:hAnsi="Arial"/>
                <w:sz w:val="17"/>
                <w:szCs w:val="17"/>
                <w:color w:val="0000FF"/>
              </w:rPr>
              <w:t>VA</w:t>
            </w:r>
          </w:p>
        </w:tc>
        <w:tc>
          <w:tcPr>
            <w:tcW w:w="1380" w:type="dxa"/>
            <w:vAlign w:val="bottom"/>
          </w:tcPr>
          <w:p>
            <w:pPr>
              <w:ind w:left="180"/>
              <w:spacing w:after="0"/>
              <w:rPr>
                <w:sz w:val="20"/>
                <w:szCs w:val="20"/>
                <w:color w:val="auto"/>
              </w:rPr>
            </w:pPr>
            <w:r>
              <w:rPr>
                <w:rFonts w:ascii="Arial" w:cs="Arial" w:eastAsia="Arial" w:hAnsi="Arial"/>
                <w:sz w:val="17"/>
                <w:szCs w:val="17"/>
                <w:color w:val="0000FF"/>
              </w:rPr>
              <w:t>22102</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4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CAPITAL ONE FINANCIAL CORP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COF </w:t>
            </w:r>
            <w:r>
              <w:rPr>
                <w:rFonts w:ascii="Arial" w:cs="Arial" w:eastAsia="Arial" w:hAnsi="Arial"/>
                <w:sz w:val="21"/>
                <w:szCs w:val="21"/>
                <w:color w:val="000000"/>
              </w:rPr>
              <w:t>]</w:t>
            </w: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President, Financial Services</w:t>
            </w:r>
          </w:p>
        </w:tc>
        <w:tc>
          <w:tcPr>
            <w:tcW w:w="0" w:type="dxa"/>
            <w:vAlign w:val="bottom"/>
          </w:tcPr>
          <w:p>
            <w:pPr>
              <w:spacing w:after="0"/>
              <w:rPr>
                <w:sz w:val="1"/>
                <w:szCs w:val="1"/>
                <w:color w:val="auto"/>
              </w:rPr>
            </w:pPr>
          </w:p>
        </w:tc>
      </w:tr>
      <w:tr>
        <w:trPr>
          <w:trHeight w:val="114"/>
        </w:trPr>
        <w:tc>
          <w:tcPr>
            <w:tcW w:w="32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03/11/2022</w:t>
            </w: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26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03/11/2022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32,837</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80"/>
              <w:spacing w:after="0"/>
              <w:rPr>
                <w:sz w:val="20"/>
                <w:szCs w:val="20"/>
                <w:color w:val="auto"/>
              </w:rPr>
            </w:pPr>
            <w:r>
              <w:rPr>
                <w:rFonts w:ascii="Arial" w:cs="Arial" w:eastAsia="Arial" w:hAnsi="Arial"/>
                <w:sz w:val="17"/>
                <w:szCs w:val="17"/>
                <w:color w:val="0000FF"/>
              </w:rPr>
              <w:t>93,920</w:t>
            </w:r>
            <w:r>
              <w:rPr>
                <w:rFonts w:ascii="Arial" w:cs="Arial" w:eastAsia="Arial" w:hAnsi="Arial"/>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03/11/2022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(4)</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14,810</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130.09</w:t>
            </w:r>
          </w:p>
        </w:tc>
        <w:tc>
          <w:tcPr>
            <w:tcW w:w="12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79,110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earned pursuant to an award of performance shares granted on January 31, 2019 based on the Company's Common Dividends + Growth of Tangible Book Value per Share and Adjusted ROTCE against a peer group of companies over a three-year performance period. These shares represent the number of shares paid out based on actual performance plus the dividend shares accrued under the same grant.</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acquired by the reporting person through the Company's Associate Stock Purchase Plan since the last reported transaction.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number of shares reported as direct holdings reflects the correction of a past understatement of 3 shares arising from an administrative error.</w:t>
      </w:r>
    </w:p>
    <w:p>
      <w:pPr>
        <w:spacing w:after="0" w:line="50" w:lineRule="exact"/>
        <w:rPr>
          <w:rFonts w:ascii="Arial" w:cs="Arial" w:eastAsia="Arial" w:hAnsi="Arial"/>
          <w:sz w:val="13"/>
          <w:szCs w:val="13"/>
          <w:color w:val="008000"/>
        </w:rPr>
      </w:pPr>
    </w:p>
    <w:p>
      <w:pPr>
        <w:ind w:left="40" w:right="7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automatically withheld by the Company to satisfy the reporting person's tax obligation associated with the settlement of the performance shares. This share withholding was authorized in the performance share award agreement.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Cleo Belmonte (POA on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03/15/2022</w:t>
            </w:r>
          </w:p>
        </w:tc>
        <w:tc>
          <w:tcPr>
            <w:tcW w:w="0" w:type="dxa"/>
            <w:vAlign w:val="bottom"/>
          </w:tcPr>
          <w:p>
            <w:pPr>
              <w:spacing w:after="0"/>
              <w:rPr>
                <w:sz w:val="1"/>
                <w:szCs w:val="1"/>
                <w:color w:val="auto"/>
              </w:rPr>
            </w:pPr>
          </w:p>
        </w:tc>
      </w:tr>
      <w:tr>
        <w:trPr>
          <w:trHeight w:val="87"/>
        </w:trPr>
        <w:tc>
          <w:tcPr>
            <w:tcW w:w="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rPr>
              <w:t>file)</w:t>
            </w:r>
          </w:p>
        </w:tc>
        <w:tc>
          <w:tcPr>
            <w:tcW w:w="1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00" w:type="dxa"/>
            <w:vAlign w:val="bottom"/>
            <w:tcBorders>
              <w:top w:val="single" w:sz="8" w:color="auto"/>
              <w:bottom w:val="single" w:sz="8" w:color="auto"/>
            </w:tcBorders>
            <w:vMerge w:val="continue"/>
          </w:tcPr>
          <w:p>
            <w:pPr>
              <w:spacing w:after="0"/>
              <w:rPr>
                <w:sz w:val="7"/>
                <w:szCs w:val="7"/>
                <w:color w:val="auto"/>
              </w:rPr>
            </w:pPr>
          </w:p>
        </w:tc>
        <w:tc>
          <w:tcPr>
            <w:tcW w:w="1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66919" TargetMode="External"/><Relationship Id="rId13"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2022-03-15T15:20:28Z</dcterms:created>
  <dcterms:modified xsi:type="dcterms:W3CDTF">2022-03-15T15:20:28Z</dcterms:modified>
</cp:coreProperties>
</file>