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LaPrade,III Frank G.</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Chief Enterprise Srvcs Officer</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30,393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2"/>
              </w:rPr>
              <w:t>80,359</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14,680</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2"/>
              </w:rPr>
              <w:t>65,679</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2"/>
              </w:rPr>
              <w:t>771</w:t>
            </w:r>
            <w:r>
              <w:rPr>
                <w:rFonts w:ascii="Arial" w:cs="Arial" w:eastAsia="Arial" w:hAnsi="Arial"/>
                <w:sz w:val="22"/>
                <w:szCs w:val="22"/>
                <w:color w:val="008000"/>
                <w:w w:val="82"/>
                <w:vertAlign w:val="superscript"/>
              </w:rPr>
              <w:t>(3)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earned pursuant to an award of performance shares granted on January 31, 2019 based on the Company's Common Dividends + Growth of Tangible Book Value per Share and</w:t>
      </w:r>
    </w:p>
    <w:p>
      <w:pPr>
        <w:spacing w:after="0" w:line="18" w:lineRule="exact"/>
        <w:rPr>
          <w:rFonts w:ascii="Arial" w:cs="Arial" w:eastAsia="Arial" w:hAnsi="Arial"/>
          <w:sz w:val="12"/>
          <w:szCs w:val="12"/>
          <w:color w:val="008000"/>
        </w:rPr>
      </w:pPr>
    </w:p>
    <w:p>
      <w:pPr>
        <w:ind w:left="40" w:right="440"/>
        <w:spacing w:after="0" w:line="250" w:lineRule="auto"/>
        <w:rPr>
          <w:rFonts w:ascii="Arial" w:cs="Arial" w:eastAsia="Arial" w:hAnsi="Arial"/>
          <w:sz w:val="12"/>
          <w:szCs w:val="12"/>
          <w:color w:val="008000"/>
        </w:rPr>
      </w:pPr>
      <w:r>
        <w:rPr>
          <w:rFonts w:ascii="Arial" w:cs="Arial" w:eastAsia="Arial" w:hAnsi="Arial"/>
          <w:sz w:val="13"/>
          <w:szCs w:val="13"/>
          <w:color w:val="008000"/>
        </w:rPr>
        <w:t>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2"/>
          <w:szCs w:val="12"/>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reporting person's equivalent share ownership in the Company's 401(k) Plan, a unitized plan, as of the date of the latest transaction.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97948"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2022-03-15T15:17:22Z</dcterms:created>
  <dcterms:modified xsi:type="dcterms:W3CDTF">2022-03-15T15:17:22Z</dcterms:modified>
</cp:coreProperties>
</file>