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3"/>
        <w:spacing w:after="0"/>
        <w:rPr>
          <w:sz w:val="20"/>
          <w:szCs w:val="20"/>
          <w:color w:val="auto"/>
        </w:rPr>
      </w:pPr>
      <w:r>
        <w:rPr>
          <w:rFonts w:ascii="Arial" w:cs="Arial" w:eastAsia="Arial" w:hAnsi="Arial"/>
          <w:sz w:val="18"/>
          <w:szCs w:val="18"/>
          <w:b w:val="1"/>
          <w:bCs w:val="1"/>
          <w:color w:val="auto"/>
        </w:rPr>
        <w:t>Washington, D.C. 20549</w:t>
      </w:r>
    </w:p>
    <w:p>
      <w:pPr>
        <w:spacing w:after="0" w:line="19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SCHEDULE 14A</w:t>
      </w:r>
    </w:p>
    <w:p>
      <w:pPr>
        <w:spacing w:after="0" w:line="229"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Proxy Statement Pursuant to Section 14(a) of the</w:t>
      </w:r>
    </w:p>
    <w:p>
      <w:pPr>
        <w:jc w:val="center"/>
        <w:ind w:right="16"/>
        <w:spacing w:after="0"/>
        <w:tabs>
          <w:tab w:leader="none" w:pos="180" w:val="left"/>
        </w:tabs>
        <w:rPr>
          <w:sz w:val="20"/>
          <w:szCs w:val="20"/>
          <w:color w:val="auto"/>
        </w:rPr>
      </w:pPr>
      <w:r>
        <w:rPr>
          <w:rFonts w:ascii="Arial" w:cs="Arial" w:eastAsia="Arial" w:hAnsi="Arial"/>
          <w:sz w:val="18"/>
          <w:szCs w:val="18"/>
          <w:color w:val="auto"/>
        </w:rPr>
        <w:t>Securities Exchange Act of 1934 (Amendment No.</w:t>
        <w:tab/>
        <w:t>)</w:t>
      </w:r>
    </w:p>
    <w:p>
      <w:pPr>
        <w:spacing w:after="0" w:line="99" w:lineRule="exact"/>
        <w:rPr>
          <w:sz w:val="24"/>
          <w:szCs w:val="24"/>
          <w:color w:val="auto"/>
        </w:rPr>
      </w:pPr>
    </w:p>
    <w:p>
      <w:pPr>
        <w:ind w:left="4"/>
        <w:spacing w:after="0"/>
        <w:rPr>
          <w:sz w:val="20"/>
          <w:szCs w:val="20"/>
          <w:color w:val="auto"/>
        </w:rPr>
      </w:pPr>
      <w:r>
        <w:rPr>
          <w:rFonts w:ascii="Arial" w:cs="Arial" w:eastAsia="Arial" w:hAnsi="Arial"/>
          <w:sz w:val="18"/>
          <w:szCs w:val="18"/>
          <w:color w:val="auto"/>
        </w:rPr>
        <w:t>Filed by the Registrant [X]</w:t>
      </w:r>
    </w:p>
    <w:p>
      <w:pPr>
        <w:ind w:left="4"/>
        <w:spacing w:after="0"/>
        <w:tabs>
          <w:tab w:leader="none" w:pos="3544" w:val="left"/>
        </w:tabs>
        <w:rPr>
          <w:sz w:val="20"/>
          <w:szCs w:val="20"/>
          <w:color w:val="auto"/>
        </w:rPr>
      </w:pPr>
      <w:r>
        <w:rPr>
          <w:rFonts w:ascii="Arial" w:cs="Arial" w:eastAsia="Arial" w:hAnsi="Arial"/>
          <w:sz w:val="18"/>
          <w:szCs w:val="18"/>
          <w:color w:val="auto"/>
        </w:rPr>
        <w:t>Filed by a party other than the Registrant [</w:t>
      </w:r>
      <w:r>
        <w:rPr>
          <w:sz w:val="20"/>
          <w:szCs w:val="20"/>
          <w:color w:val="auto"/>
        </w:rPr>
        <w:tab/>
      </w:r>
      <w:r>
        <w:rPr>
          <w:rFonts w:ascii="Arial" w:cs="Arial" w:eastAsia="Arial" w:hAnsi="Arial"/>
          <w:sz w:val="13"/>
          <w:szCs w:val="13"/>
          <w:color w:val="auto"/>
        </w:rPr>
        <w:t>]</w:t>
      </w:r>
    </w:p>
    <w:p>
      <w:pPr>
        <w:spacing w:after="0" w:line="207"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ind w:left="4"/>
        <w:spacing w:after="0"/>
        <w:tabs>
          <w:tab w:leader="none" w:pos="744"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Preliminary Proxy Statement</w:t>
      </w:r>
    </w:p>
    <w:p>
      <w:pPr>
        <w:ind w:left="144" w:hanging="144"/>
        <w:spacing w:after="0"/>
        <w:tabs>
          <w:tab w:leader="none" w:pos="144"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Confidential, for Use of the Commission Only (as permitted by Rule 14a-6(e)(2))</w:t>
      </w:r>
    </w:p>
    <w:p>
      <w:pPr>
        <w:ind w:left="144" w:hanging="144"/>
        <w:spacing w:after="0"/>
        <w:tabs>
          <w:tab w:leader="none" w:pos="144"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Definitive Proxy Statement</w:t>
      </w:r>
    </w:p>
    <w:p>
      <w:pPr>
        <w:ind w:left="764" w:hanging="764"/>
        <w:spacing w:after="0" w:line="235" w:lineRule="auto"/>
        <w:tabs>
          <w:tab w:leader="none" w:pos="764"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 w:lineRule="exact"/>
        <w:rPr>
          <w:sz w:val="24"/>
          <w:szCs w:val="24"/>
          <w:color w:val="auto"/>
        </w:rPr>
      </w:pPr>
    </w:p>
    <w:p>
      <w:pPr>
        <w:ind w:left="4"/>
        <w:spacing w:after="0"/>
        <w:tabs>
          <w:tab w:leader="none" w:pos="744"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Soliciting Material Under §240.14a-12</w:t>
      </w:r>
    </w:p>
    <w:p>
      <w:pPr>
        <w:spacing w:after="0" w:line="19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Capital One Financial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06"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186055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7" w:lineRule="exact"/>
        <w:rPr>
          <w:sz w:val="24"/>
          <w:szCs w:val="24"/>
          <w:color w:val="auto"/>
        </w:rPr>
      </w:pPr>
    </w:p>
    <w:p>
      <w:pPr>
        <w:ind w:left="2644"/>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2"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39" w:lineRule="exact"/>
        <w:rPr>
          <w:sz w:val="24"/>
          <w:szCs w:val="24"/>
          <w:color w:val="auto"/>
        </w:rPr>
      </w:pPr>
    </w:p>
    <w:p>
      <w:pPr>
        <w:ind w:left="764" w:hanging="764"/>
        <w:spacing w:after="0"/>
        <w:tabs>
          <w:tab w:leader="none" w:pos="764"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39" w:lineRule="exact"/>
        <w:rPr>
          <w:sz w:val="24"/>
          <w:szCs w:val="24"/>
          <w:color w:val="auto"/>
        </w:rPr>
      </w:pPr>
    </w:p>
    <w:p>
      <w:pPr>
        <w:ind w:left="144" w:hanging="144"/>
        <w:spacing w:after="0"/>
        <w:tabs>
          <w:tab w:leader="none" w:pos="144"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Fee computed on table below per Exchange Act Rules 14a-6(i)(1) and 0-11.</w:t>
      </w:r>
    </w:p>
    <w:p>
      <w:pPr>
        <w:spacing w:after="0" w:line="238" w:lineRule="exact"/>
        <w:rPr>
          <w:rFonts w:ascii="Arial" w:cs="Arial" w:eastAsia="Arial" w:hAnsi="Arial"/>
          <w:sz w:val="18"/>
          <w:szCs w:val="18"/>
          <w:color w:val="auto"/>
        </w:rPr>
      </w:pPr>
    </w:p>
    <w:p>
      <w:pPr>
        <w:ind w:left="1544" w:hanging="775"/>
        <w:spacing w:after="0"/>
        <w:tabs>
          <w:tab w:leader="none" w:pos="1544"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544" w:hanging="775"/>
        <w:spacing w:after="0"/>
        <w:tabs>
          <w:tab w:leader="none" w:pos="1544"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544" w:right="20" w:hanging="775"/>
        <w:spacing w:after="0" w:line="246" w:lineRule="auto"/>
        <w:tabs>
          <w:tab w:leader="none" w:pos="1544"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34" w:lineRule="exact"/>
        <w:rPr>
          <w:rFonts w:ascii="Arial" w:cs="Arial" w:eastAsia="Arial" w:hAnsi="Arial"/>
          <w:sz w:val="18"/>
          <w:szCs w:val="18"/>
          <w:color w:val="auto"/>
        </w:rPr>
      </w:pPr>
    </w:p>
    <w:p>
      <w:pPr>
        <w:ind w:left="1544" w:hanging="775"/>
        <w:spacing w:after="0"/>
        <w:tabs>
          <w:tab w:leader="none" w:pos="1544"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544" w:hanging="775"/>
        <w:spacing w:after="0"/>
        <w:tabs>
          <w:tab w:leader="none" w:pos="1544"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137160</wp:posOffset>
            </wp:positionH>
            <wp:positionV relativeFrom="paragraph">
              <wp:posOffset>-1887855</wp:posOffset>
            </wp:positionV>
            <wp:extent cx="66522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52260" cy="8255"/>
                    </a:xfrm>
                    <a:prstGeom prst="rect">
                      <a:avLst/>
                    </a:prstGeom>
                    <a:noFill/>
                  </pic:spPr>
                </pic:pic>
              </a:graphicData>
            </a:graphic>
          </wp:anchor>
        </w:drawing>
        <w:drawing>
          <wp:anchor simplePos="0" relativeHeight="251657728" behindDoc="1" locked="0" layoutInCell="0" allowOverlap="1">
            <wp:simplePos x="0" y="0"/>
            <wp:positionH relativeFrom="column">
              <wp:posOffset>137160</wp:posOffset>
            </wp:positionH>
            <wp:positionV relativeFrom="paragraph">
              <wp:posOffset>-1407795</wp:posOffset>
            </wp:positionV>
            <wp:extent cx="66522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52260" cy="8890"/>
                    </a:xfrm>
                    <a:prstGeom prst="rect">
                      <a:avLst/>
                    </a:prstGeom>
                    <a:noFill/>
                  </pic:spPr>
                </pic:pic>
              </a:graphicData>
            </a:graphic>
          </wp:anchor>
        </w:drawing>
        <w:drawing>
          <wp:anchor simplePos="0" relativeHeight="251657728" behindDoc="1" locked="0" layoutInCell="0" allowOverlap="1">
            <wp:simplePos x="0" y="0"/>
            <wp:positionH relativeFrom="column">
              <wp:posOffset>137160</wp:posOffset>
            </wp:positionH>
            <wp:positionV relativeFrom="paragraph">
              <wp:posOffset>-798830</wp:posOffset>
            </wp:positionV>
            <wp:extent cx="6652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52260" cy="8890"/>
                    </a:xfrm>
                    <a:prstGeom prst="rect">
                      <a:avLst/>
                    </a:prstGeom>
                    <a:noFill/>
                  </pic:spPr>
                </pic:pic>
              </a:graphicData>
            </a:graphic>
          </wp:anchor>
        </w:drawing>
        <w:drawing>
          <wp:anchor simplePos="0" relativeHeight="251657728" behindDoc="1" locked="0" layoutInCell="0" allowOverlap="1">
            <wp:simplePos x="0" y="0"/>
            <wp:positionH relativeFrom="column">
              <wp:posOffset>137160</wp:posOffset>
            </wp:positionH>
            <wp:positionV relativeFrom="paragraph">
              <wp:posOffset>-318770</wp:posOffset>
            </wp:positionV>
            <wp:extent cx="6652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52260" cy="8255"/>
                    </a:xfrm>
                    <a:prstGeom prst="rect">
                      <a:avLst/>
                    </a:prstGeom>
                    <a:noFill/>
                  </pic:spPr>
                </pic:pic>
              </a:graphicData>
            </a:graphic>
          </wp:anchor>
        </w:drawing>
        <w:drawing>
          <wp:anchor simplePos="0" relativeHeight="251657728" behindDoc="1" locked="0" layoutInCell="0" allowOverlap="1">
            <wp:simplePos x="0" y="0"/>
            <wp:positionH relativeFrom="column">
              <wp:posOffset>137160</wp:posOffset>
            </wp:positionH>
            <wp:positionV relativeFrom="paragraph">
              <wp:posOffset>160655</wp:posOffset>
            </wp:positionV>
            <wp:extent cx="66522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52260" cy="825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ind w:left="4"/>
        <w:spacing w:after="0"/>
        <w:tabs>
          <w:tab w:leader="none" w:pos="744"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Fee paid previously with preliminary materials.</w:t>
      </w:r>
    </w:p>
    <w:p>
      <w:pPr>
        <w:spacing w:after="0" w:line="239" w:lineRule="exact"/>
        <w:rPr>
          <w:sz w:val="24"/>
          <w:szCs w:val="24"/>
          <w:color w:val="auto"/>
        </w:rPr>
      </w:pPr>
    </w:p>
    <w:p>
      <w:pPr>
        <w:ind w:left="764" w:hanging="764"/>
        <w:spacing w:after="0"/>
        <w:tabs>
          <w:tab w:leader="none" w:pos="14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9" w:lineRule="exact"/>
        <w:rPr>
          <w:rFonts w:ascii="Arial" w:cs="Arial" w:eastAsia="Arial" w:hAnsi="Arial"/>
          <w:sz w:val="18"/>
          <w:szCs w:val="18"/>
          <w:color w:val="auto"/>
        </w:rPr>
      </w:pPr>
    </w:p>
    <w:p>
      <w:pPr>
        <w:ind w:left="1544" w:hanging="775"/>
        <w:spacing w:after="0"/>
        <w:tabs>
          <w:tab w:leader="none" w:pos="154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544" w:hanging="775"/>
        <w:spacing w:after="0"/>
        <w:tabs>
          <w:tab w:leader="none" w:pos="154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544" w:hanging="775"/>
        <w:spacing w:after="0"/>
        <w:tabs>
          <w:tab w:leader="none" w:pos="1544"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1544" w:hanging="775"/>
        <w:spacing w:after="0"/>
        <w:tabs>
          <w:tab w:leader="none" w:pos="1544"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137160</wp:posOffset>
            </wp:positionH>
            <wp:positionV relativeFrom="paragraph">
              <wp:posOffset>-1278890</wp:posOffset>
            </wp:positionV>
            <wp:extent cx="66522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52260" cy="8890"/>
                    </a:xfrm>
                    <a:prstGeom prst="rect">
                      <a:avLst/>
                    </a:prstGeom>
                    <a:noFill/>
                  </pic:spPr>
                </pic:pic>
              </a:graphicData>
            </a:graphic>
          </wp:anchor>
        </w:drawing>
        <w:drawing>
          <wp:anchor simplePos="0" relativeHeight="251657728" behindDoc="1" locked="0" layoutInCell="0" allowOverlap="1">
            <wp:simplePos x="0" y="0"/>
            <wp:positionH relativeFrom="column">
              <wp:posOffset>137160</wp:posOffset>
            </wp:positionH>
            <wp:positionV relativeFrom="paragraph">
              <wp:posOffset>-798830</wp:posOffset>
            </wp:positionV>
            <wp:extent cx="66522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52260" cy="8890"/>
                    </a:xfrm>
                    <a:prstGeom prst="rect">
                      <a:avLst/>
                    </a:prstGeom>
                    <a:noFill/>
                  </pic:spPr>
                </pic:pic>
              </a:graphicData>
            </a:graphic>
          </wp:anchor>
        </w:drawing>
        <w:drawing>
          <wp:anchor simplePos="0" relativeHeight="251657728" behindDoc="1" locked="0" layoutInCell="0" allowOverlap="1">
            <wp:simplePos x="0" y="0"/>
            <wp:positionH relativeFrom="column">
              <wp:posOffset>137160</wp:posOffset>
            </wp:positionH>
            <wp:positionV relativeFrom="paragraph">
              <wp:posOffset>-318770</wp:posOffset>
            </wp:positionV>
            <wp:extent cx="66522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52260" cy="8890"/>
                    </a:xfrm>
                    <a:prstGeom prst="rect">
                      <a:avLst/>
                    </a:prstGeom>
                    <a:noFill/>
                  </pic:spPr>
                </pic:pic>
              </a:graphicData>
            </a:graphic>
          </wp:anchor>
        </w:drawing>
        <w:drawing>
          <wp:anchor simplePos="0" relativeHeight="251657728" behindDoc="1" locked="0" layoutInCell="0" allowOverlap="1">
            <wp:simplePos x="0" y="0"/>
            <wp:positionH relativeFrom="column">
              <wp:posOffset>137160</wp:posOffset>
            </wp:positionH>
            <wp:positionV relativeFrom="paragraph">
              <wp:posOffset>160655</wp:posOffset>
            </wp:positionV>
            <wp:extent cx="66522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52260" cy="8255"/>
                    </a:xfrm>
                    <a:prstGeom prst="rect">
                      <a:avLst/>
                    </a:prstGeom>
                    <a:noFill/>
                  </pic:spPr>
                </pic:pic>
              </a:graphicData>
            </a:graphic>
          </wp:anchor>
        </w:drawing>
      </w:r>
    </w:p>
    <w:p>
      <w:pPr>
        <w:sectPr>
          <w:pgSz w:w="11900" w:h="16838" w:orient="portrait"/>
          <w:cols w:equalWidth="0" w:num="1">
            <w:col w:w="11024"/>
          </w:cols>
          <w:pgMar w:left="436" w:top="225" w:right="439" w:bottom="1440" w:gutter="0" w:footer="0" w:header="0"/>
        </w:sectPr>
      </w:pPr>
    </w:p>
    <w:bookmarkStart w:id="1" w:name="page2"/>
    <w:bookmarkEnd w:id="1"/>
    <w:p>
      <w:pPr>
        <w:ind w:left="6320"/>
        <w:spacing w:after="0"/>
        <w:rPr>
          <w:sz w:val="20"/>
          <w:szCs w:val="20"/>
          <w:color w:val="auto"/>
        </w:rPr>
      </w:pPr>
      <w:r>
        <w:rPr>
          <w:rFonts w:ascii="Arial" w:cs="Arial" w:eastAsia="Arial" w:hAnsi="Arial"/>
          <w:sz w:val="47"/>
          <w:szCs w:val="47"/>
          <w:color w:val="004877"/>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737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737610"/>
                    </a:xfrm>
                    <a:prstGeom prst="rect">
                      <a:avLst/>
                    </a:prstGeom>
                    <a:noFill/>
                  </pic:spPr>
                </pic:pic>
              </a:graphicData>
            </a:graphic>
          </wp:anchor>
        </w:drawing>
        <w:t xml:space="preserve">Your </w:t>
      </w:r>
      <w:r>
        <w:rPr>
          <w:rFonts w:ascii="Arial" w:cs="Arial" w:eastAsia="Arial" w:hAnsi="Arial"/>
          <w:sz w:val="47"/>
          <w:szCs w:val="47"/>
          <w:b w:val="1"/>
          <w:bCs w:val="1"/>
          <w:color w:val="004877"/>
        </w:rPr>
        <w:t>Vote</w:t>
      </w:r>
      <w:r>
        <w:rPr>
          <w:rFonts w:ascii="Arial" w:cs="Arial" w:eastAsia="Arial" w:hAnsi="Arial"/>
          <w:sz w:val="47"/>
          <w:szCs w:val="47"/>
          <w:color w:val="004877"/>
        </w:rPr>
        <w:t xml:space="preserve"> Counts!</w:t>
      </w:r>
    </w:p>
    <w:p>
      <w:pPr>
        <w:spacing w:after="0" w:line="124" w:lineRule="exact"/>
        <w:rPr>
          <w:sz w:val="20"/>
          <w:szCs w:val="20"/>
          <w:color w:val="auto"/>
        </w:rPr>
      </w:pPr>
    </w:p>
    <w:p>
      <w:pPr>
        <w:jc w:val="center"/>
        <w:ind w:left="5400"/>
        <w:spacing w:after="0"/>
        <w:rPr>
          <w:sz w:val="20"/>
          <w:szCs w:val="20"/>
          <w:color w:val="auto"/>
        </w:rPr>
      </w:pPr>
      <w:r>
        <w:rPr>
          <w:rFonts w:ascii="Arial" w:cs="Arial" w:eastAsia="Arial" w:hAnsi="Arial"/>
          <w:sz w:val="20"/>
          <w:szCs w:val="20"/>
          <w:b w:val="1"/>
          <w:bCs w:val="1"/>
          <w:color w:val="004877"/>
        </w:rPr>
        <w:t>CAPITAL ONE FINANCIAL CORPORATION</w:t>
      </w:r>
    </w:p>
    <w:p>
      <w:pPr>
        <w:spacing w:after="0" w:line="195" w:lineRule="exact"/>
        <w:rPr>
          <w:sz w:val="20"/>
          <w:szCs w:val="20"/>
          <w:color w:val="auto"/>
        </w:rPr>
      </w:pPr>
    </w:p>
    <w:p>
      <w:pPr>
        <w:jc w:val="center"/>
        <w:ind w:left="5400"/>
        <w:spacing w:after="0"/>
        <w:rPr>
          <w:sz w:val="20"/>
          <w:szCs w:val="20"/>
          <w:color w:val="auto"/>
        </w:rPr>
      </w:pPr>
      <w:r>
        <w:rPr>
          <w:rFonts w:ascii="Arial" w:cs="Arial" w:eastAsia="Arial" w:hAnsi="Arial"/>
          <w:sz w:val="20"/>
          <w:szCs w:val="20"/>
          <w:color w:val="004877"/>
        </w:rPr>
        <w:t>2022 Annual Stockholder Meeting</w:t>
      </w:r>
    </w:p>
    <w:p>
      <w:pPr>
        <w:spacing w:after="0" w:line="20" w:lineRule="exact"/>
        <w:rPr>
          <w:sz w:val="20"/>
          <w:szCs w:val="20"/>
          <w:color w:val="auto"/>
        </w:rPr>
      </w:pPr>
    </w:p>
    <w:p>
      <w:pPr>
        <w:jc w:val="center"/>
        <w:ind w:left="5440"/>
        <w:spacing w:after="0"/>
        <w:rPr>
          <w:sz w:val="20"/>
          <w:szCs w:val="20"/>
          <w:color w:val="auto"/>
        </w:rPr>
      </w:pPr>
      <w:r>
        <w:rPr>
          <w:rFonts w:ascii="Arial" w:cs="Arial" w:eastAsia="Arial" w:hAnsi="Arial"/>
          <w:sz w:val="16"/>
          <w:szCs w:val="16"/>
          <w:color w:val="004877"/>
        </w:rPr>
        <w:t>Vote by May 4, 2022 11:59 PM ET. For shares held in a Plan,</w:t>
      </w:r>
    </w:p>
    <w:p>
      <w:pPr>
        <w:spacing w:after="0" w:line="9" w:lineRule="exact"/>
        <w:rPr>
          <w:sz w:val="20"/>
          <w:szCs w:val="20"/>
          <w:color w:val="auto"/>
        </w:rPr>
      </w:pPr>
    </w:p>
    <w:p>
      <w:pPr>
        <w:jc w:val="center"/>
        <w:ind w:left="5440"/>
        <w:spacing w:after="0"/>
        <w:rPr>
          <w:sz w:val="20"/>
          <w:szCs w:val="20"/>
          <w:color w:val="auto"/>
        </w:rPr>
      </w:pPr>
      <w:r>
        <w:rPr>
          <w:rFonts w:ascii="Arial" w:cs="Arial" w:eastAsia="Arial" w:hAnsi="Arial"/>
          <w:sz w:val="16"/>
          <w:szCs w:val="16"/>
          <w:color w:val="004877"/>
        </w:rPr>
        <w:t>vote by May 2, 2022 11:59 PM 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-9525</wp:posOffset>
            </wp:positionV>
            <wp:extent cx="1423035" cy="539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000000"/>
                        </a:clrFrom>
                        <a:clrTo>
                          <a:srgbClr val="000000">
                            <a:alpha val="0"/>
                          </a:srgbClr>
                        </a:clrTo>
                      </a:clrChange>
                      <a:extLst>
                        <a:ext uri="{28A0092B-C50C-407E-A947-70E740481C1C}"/>
                      </a:extLst>
                    </a:blip>
                    <a:srcRect/>
                    <a:stretch>
                      <a:fillRect/>
                    </a:stretch>
                  </pic:blipFill>
                  <pic:spPr bwMode="auto">
                    <a:xfrm>
                      <a:off x="0" y="0"/>
                      <a:ext cx="1423035" cy="539750"/>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-9525</wp:posOffset>
            </wp:positionV>
            <wp:extent cx="1423035" cy="5397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2303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80"/>
        <w:spacing w:after="0"/>
        <w:rPr>
          <w:sz w:val="20"/>
          <w:szCs w:val="20"/>
          <w:color w:val="auto"/>
        </w:rPr>
      </w:pPr>
      <w:r>
        <w:rPr>
          <w:rFonts w:ascii="Arial" w:cs="Arial" w:eastAsia="Arial" w:hAnsi="Arial"/>
          <w:sz w:val="9"/>
          <w:szCs w:val="9"/>
          <w:color w:val="004877"/>
        </w:rPr>
        <w:t>CAPITAL ONE FINANCIAL CORPORATION</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9"/>
          <w:szCs w:val="9"/>
          <w:color w:val="004877"/>
        </w:rPr>
        <w:t>1680 CAPITAL ONE DR.</w:t>
      </w:r>
    </w:p>
    <w:p>
      <w:pPr>
        <w:spacing w:after="0" w:line="32" w:lineRule="exact"/>
        <w:rPr>
          <w:sz w:val="20"/>
          <w:szCs w:val="20"/>
          <w:color w:val="auto"/>
        </w:rPr>
      </w:pPr>
    </w:p>
    <w:p>
      <w:pPr>
        <w:ind w:left="1080"/>
        <w:spacing w:after="0"/>
        <w:rPr>
          <w:sz w:val="20"/>
          <w:szCs w:val="20"/>
          <w:color w:val="auto"/>
        </w:rPr>
      </w:pPr>
      <w:r>
        <w:rPr>
          <w:rFonts w:ascii="Arial" w:cs="Arial" w:eastAsia="Arial" w:hAnsi="Arial"/>
          <w:sz w:val="9"/>
          <w:szCs w:val="9"/>
          <w:color w:val="004877"/>
        </w:rPr>
        <w:t>MCLEAN, VA 22102-3491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D73709-P62951-Z81181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1071245"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71245" cy="6858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100"/>
        <w:spacing w:after="0"/>
        <w:rPr>
          <w:sz w:val="20"/>
          <w:szCs w:val="20"/>
          <w:color w:val="auto"/>
        </w:rPr>
      </w:pPr>
      <w:r>
        <w:rPr>
          <w:rFonts w:ascii="Arial" w:cs="Arial" w:eastAsia="Arial" w:hAnsi="Arial"/>
          <w:sz w:val="27"/>
          <w:szCs w:val="27"/>
          <w:color w:val="004877"/>
        </w:rPr>
        <w:t>You invested in CAPITAL ONE FINANCIAL CORPORATION and it’s time to vote!</w:t>
      </w:r>
    </w:p>
    <w:p>
      <w:pPr>
        <w:spacing w:after="0" w:line="23" w:lineRule="exact"/>
        <w:rPr>
          <w:sz w:val="20"/>
          <w:szCs w:val="20"/>
          <w:color w:val="auto"/>
        </w:rPr>
      </w:pPr>
    </w:p>
    <w:p>
      <w:pPr>
        <w:ind w:left="100" w:right="180"/>
        <w:spacing w:after="0" w:line="258" w:lineRule="auto"/>
        <w:rPr>
          <w:sz w:val="20"/>
          <w:szCs w:val="20"/>
          <w:color w:val="auto"/>
        </w:rPr>
      </w:pPr>
      <w:r>
        <w:rPr>
          <w:rFonts w:ascii="Arial" w:cs="Arial" w:eastAsia="Arial" w:hAnsi="Arial"/>
          <w:sz w:val="18"/>
          <w:szCs w:val="18"/>
          <w:color w:val="004877"/>
        </w:rPr>
        <w:t xml:space="preserve">You have the right to vote on proposals being presented at the Annual Stockholder Meeting. </w:t>
      </w:r>
      <w:r>
        <w:rPr>
          <w:rFonts w:ascii="Arial" w:cs="Arial" w:eastAsia="Arial" w:hAnsi="Arial"/>
          <w:sz w:val="18"/>
          <w:szCs w:val="18"/>
          <w:b w:val="1"/>
          <w:bCs w:val="1"/>
          <w:color w:val="004877"/>
        </w:rPr>
        <w:t>This is an important notice regarding the availability</w:t>
      </w:r>
      <w:r>
        <w:rPr>
          <w:rFonts w:ascii="Arial" w:cs="Arial" w:eastAsia="Arial" w:hAnsi="Arial"/>
          <w:sz w:val="18"/>
          <w:szCs w:val="18"/>
          <w:color w:val="004877"/>
        </w:rPr>
        <w:t xml:space="preserve"> </w:t>
      </w:r>
      <w:r>
        <w:rPr>
          <w:rFonts w:ascii="Arial" w:cs="Arial" w:eastAsia="Arial" w:hAnsi="Arial"/>
          <w:sz w:val="18"/>
          <w:szCs w:val="18"/>
          <w:b w:val="1"/>
          <w:bCs w:val="1"/>
          <w:color w:val="004877"/>
        </w:rPr>
        <w:t>of proxy material for the stockholder meeting to be held on May 5, 2022.</w:t>
      </w:r>
    </w:p>
    <w:p>
      <w:pPr>
        <w:spacing w:after="0" w:line="234" w:lineRule="exact"/>
        <w:rPr>
          <w:sz w:val="20"/>
          <w:szCs w:val="20"/>
          <w:color w:val="auto"/>
        </w:rPr>
      </w:pPr>
    </w:p>
    <w:p>
      <w:pPr>
        <w:ind w:left="100"/>
        <w:spacing w:after="0"/>
        <w:rPr>
          <w:sz w:val="20"/>
          <w:szCs w:val="20"/>
          <w:color w:val="auto"/>
        </w:rPr>
      </w:pPr>
      <w:r>
        <w:rPr>
          <w:rFonts w:ascii="Arial" w:cs="Arial" w:eastAsia="Arial" w:hAnsi="Arial"/>
          <w:sz w:val="27"/>
          <w:szCs w:val="27"/>
          <w:color w:val="004877"/>
        </w:rPr>
        <w:t>Get informed before you vote</w:t>
      </w:r>
    </w:p>
    <w:p>
      <w:pPr>
        <w:spacing w:after="0" w:line="23" w:lineRule="exact"/>
        <w:rPr>
          <w:sz w:val="20"/>
          <w:szCs w:val="20"/>
          <w:color w:val="auto"/>
        </w:rPr>
      </w:pPr>
    </w:p>
    <w:p>
      <w:pPr>
        <w:ind w:left="100" w:right="160"/>
        <w:spacing w:after="0" w:line="272" w:lineRule="auto"/>
        <w:rPr>
          <w:sz w:val="20"/>
          <w:szCs w:val="20"/>
          <w:color w:val="auto"/>
        </w:rPr>
      </w:pPr>
      <w:r>
        <w:rPr>
          <w:rFonts w:ascii="Arial" w:cs="Arial" w:eastAsia="Arial" w:hAnsi="Arial"/>
          <w:sz w:val="17"/>
          <w:szCs w:val="17"/>
          <w:color w:val="004877"/>
        </w:rPr>
        <w:t>View the Proxy Statement and Annual Report to Stockholders/10-K online OR you can receive a free paper or email copy of the material(s) by requesting prior to April 21, 2022.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182245</wp:posOffset>
            </wp:positionV>
            <wp:extent cx="6960870" cy="8572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6087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31"/>
        </w:trPr>
        <w:tc>
          <w:tcPr>
            <w:tcW w:w="5400" w:type="dxa"/>
            <w:vAlign w:val="bottom"/>
            <w:vMerge w:val="restart"/>
          </w:tcPr>
          <w:p>
            <w:pPr>
              <w:jc w:val="center"/>
              <w:ind w:left="32"/>
              <w:spacing w:after="0"/>
              <w:rPr>
                <w:sz w:val="20"/>
                <w:szCs w:val="20"/>
                <w:color w:val="auto"/>
              </w:rPr>
            </w:pPr>
            <w:r>
              <w:rPr>
                <w:rFonts w:ascii="Arial" w:cs="Arial" w:eastAsia="Arial" w:hAnsi="Arial"/>
                <w:sz w:val="22"/>
                <w:szCs w:val="22"/>
                <w:b w:val="1"/>
                <w:bCs w:val="1"/>
                <w:color w:val="004877"/>
                <w:w w:val="85"/>
              </w:rPr>
              <w:t>Smartphone users</w:t>
            </w:r>
          </w:p>
        </w:tc>
        <w:tc>
          <w:tcPr>
            <w:tcW w:w="20" w:type="dxa"/>
            <w:vAlign w:val="bottom"/>
          </w:tcPr>
          <w:p>
            <w:pPr>
              <w:spacing w:after="0"/>
              <w:rPr>
                <w:sz w:val="2"/>
                <w:szCs w:val="2"/>
                <w:color w:val="auto"/>
              </w:rPr>
            </w:pPr>
          </w:p>
        </w:tc>
        <w:tc>
          <w:tcPr>
            <w:tcW w:w="5600" w:type="dxa"/>
            <w:vAlign w:val="bottom"/>
            <w:vMerge w:val="restart"/>
          </w:tcPr>
          <w:p>
            <w:pPr>
              <w:ind w:left="1740"/>
              <w:spacing w:after="0"/>
              <w:rPr>
                <w:sz w:val="20"/>
                <w:szCs w:val="20"/>
                <w:color w:val="auto"/>
              </w:rPr>
            </w:pPr>
            <w:r>
              <w:rPr>
                <w:rFonts w:ascii="Arial" w:cs="Arial" w:eastAsia="Arial" w:hAnsi="Arial"/>
                <w:sz w:val="22"/>
                <w:szCs w:val="22"/>
                <w:b w:val="1"/>
                <w:bCs w:val="1"/>
                <w:color w:val="004877"/>
              </w:rPr>
              <w:t>Vote Virtually at the Meeting*</w:t>
            </w:r>
          </w:p>
        </w:tc>
        <w:tc>
          <w:tcPr>
            <w:tcW w:w="0" w:type="dxa"/>
            <w:vAlign w:val="bottom"/>
          </w:tcPr>
          <w:p>
            <w:pPr>
              <w:spacing w:after="0" w:line="20" w:lineRule="exact"/>
              <w:rPr>
                <w:sz w:val="1"/>
                <w:szCs w:val="1"/>
                <w:color w:val="auto"/>
              </w:rPr>
            </w:pPr>
          </w:p>
        </w:tc>
      </w:tr>
      <w:tr>
        <w:trPr>
          <w:trHeight w:val="222"/>
        </w:trPr>
        <w:tc>
          <w:tcPr>
            <w:tcW w:w="5400" w:type="dxa"/>
            <w:vAlign w:val="bottom"/>
            <w:vMerge w:val="continue"/>
          </w:tcPr>
          <w:p>
            <w:pPr>
              <w:spacing w:after="0"/>
              <w:rPr>
                <w:sz w:val="19"/>
                <w:szCs w:val="19"/>
                <w:color w:val="auto"/>
              </w:rPr>
            </w:pPr>
          </w:p>
        </w:tc>
        <w:tc>
          <w:tcPr>
            <w:tcW w:w="20" w:type="dxa"/>
            <w:vAlign w:val="bottom"/>
            <w:shd w:val="clear" w:color="auto" w:fill="004877"/>
          </w:tcPr>
          <w:p>
            <w:pPr>
              <w:spacing w:after="0"/>
              <w:rPr>
                <w:sz w:val="19"/>
                <w:szCs w:val="19"/>
                <w:color w:val="auto"/>
              </w:rPr>
            </w:pPr>
          </w:p>
        </w:tc>
        <w:tc>
          <w:tcPr>
            <w:tcW w:w="5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00" w:type="dxa"/>
            <w:vAlign w:val="bottom"/>
          </w:tcPr>
          <w:p>
            <w:pPr>
              <w:jc w:val="center"/>
              <w:ind w:left="32"/>
              <w:spacing w:after="0" w:line="243" w:lineRule="exact"/>
              <w:rPr>
                <w:sz w:val="20"/>
                <w:szCs w:val="20"/>
                <w:color w:val="auto"/>
              </w:rPr>
            </w:pPr>
            <w:r>
              <w:rPr>
                <w:rFonts w:ascii="Arial" w:cs="Arial" w:eastAsia="Arial" w:hAnsi="Arial"/>
                <w:sz w:val="22"/>
                <w:szCs w:val="22"/>
                <w:color w:val="004877"/>
                <w:w w:val="87"/>
              </w:rPr>
              <w:t>Point your camera here and</w:t>
            </w:r>
          </w:p>
        </w:tc>
        <w:tc>
          <w:tcPr>
            <w:tcW w:w="20" w:type="dxa"/>
            <w:vAlign w:val="bottom"/>
            <w:shd w:val="clear" w:color="auto" w:fill="004877"/>
          </w:tcPr>
          <w:p>
            <w:pPr>
              <w:spacing w:after="0"/>
              <w:rPr>
                <w:sz w:val="21"/>
                <w:szCs w:val="21"/>
                <w:color w:val="auto"/>
              </w:rPr>
            </w:pPr>
          </w:p>
        </w:tc>
        <w:tc>
          <w:tcPr>
            <w:tcW w:w="5600" w:type="dxa"/>
            <w:vAlign w:val="bottom"/>
          </w:tcPr>
          <w:p>
            <w:pPr>
              <w:ind w:left="1740"/>
              <w:spacing w:after="0"/>
              <w:rPr>
                <w:sz w:val="20"/>
                <w:szCs w:val="20"/>
                <w:color w:val="auto"/>
              </w:rPr>
            </w:pPr>
            <w:r>
              <w:rPr>
                <w:rFonts w:ascii="Arial" w:cs="Arial" w:eastAsia="Arial" w:hAnsi="Arial"/>
                <w:sz w:val="16"/>
                <w:szCs w:val="16"/>
                <w:color w:val="004877"/>
              </w:rPr>
              <w:t>May 5, 2022</w:t>
            </w:r>
          </w:p>
        </w:tc>
        <w:tc>
          <w:tcPr>
            <w:tcW w:w="0" w:type="dxa"/>
            <w:vAlign w:val="bottom"/>
          </w:tcPr>
          <w:p>
            <w:pPr>
              <w:spacing w:after="0"/>
              <w:rPr>
                <w:sz w:val="1"/>
                <w:szCs w:val="1"/>
                <w:color w:val="auto"/>
              </w:rPr>
            </w:pPr>
          </w:p>
        </w:tc>
      </w:tr>
      <w:tr>
        <w:trPr>
          <w:trHeight w:val="243"/>
        </w:trPr>
        <w:tc>
          <w:tcPr>
            <w:tcW w:w="5400" w:type="dxa"/>
            <w:vAlign w:val="bottom"/>
          </w:tcPr>
          <w:p>
            <w:pPr>
              <w:jc w:val="center"/>
              <w:ind w:left="12"/>
              <w:spacing w:after="0" w:line="243" w:lineRule="exact"/>
              <w:rPr>
                <w:sz w:val="20"/>
                <w:szCs w:val="20"/>
                <w:color w:val="auto"/>
              </w:rPr>
            </w:pPr>
            <w:r>
              <w:rPr>
                <w:rFonts w:ascii="Arial" w:cs="Arial" w:eastAsia="Arial" w:hAnsi="Arial"/>
                <w:sz w:val="22"/>
                <w:szCs w:val="22"/>
                <w:color w:val="004877"/>
                <w:w w:val="90"/>
              </w:rPr>
              <w:t>vote without entering a</w:t>
            </w:r>
          </w:p>
        </w:tc>
        <w:tc>
          <w:tcPr>
            <w:tcW w:w="20" w:type="dxa"/>
            <w:vAlign w:val="bottom"/>
            <w:shd w:val="clear" w:color="auto" w:fill="004877"/>
          </w:tcPr>
          <w:p>
            <w:pPr>
              <w:spacing w:after="0"/>
              <w:rPr>
                <w:sz w:val="21"/>
                <w:szCs w:val="21"/>
                <w:color w:val="auto"/>
              </w:rPr>
            </w:pPr>
          </w:p>
        </w:tc>
        <w:tc>
          <w:tcPr>
            <w:tcW w:w="5600" w:type="dxa"/>
            <w:vAlign w:val="bottom"/>
          </w:tcPr>
          <w:p>
            <w:pPr>
              <w:ind w:left="1740"/>
              <w:spacing w:after="0"/>
              <w:rPr>
                <w:sz w:val="20"/>
                <w:szCs w:val="20"/>
                <w:color w:val="auto"/>
              </w:rPr>
            </w:pPr>
            <w:r>
              <w:rPr>
                <w:rFonts w:ascii="Arial" w:cs="Arial" w:eastAsia="Arial" w:hAnsi="Arial"/>
                <w:sz w:val="18"/>
                <w:szCs w:val="18"/>
                <w:color w:val="004877"/>
              </w:rPr>
              <w:t>10:00 a.m. Eastern Time</w:t>
            </w:r>
          </w:p>
        </w:tc>
        <w:tc>
          <w:tcPr>
            <w:tcW w:w="0" w:type="dxa"/>
            <w:vAlign w:val="bottom"/>
          </w:tcPr>
          <w:p>
            <w:pPr>
              <w:spacing w:after="0"/>
              <w:rPr>
                <w:sz w:val="1"/>
                <w:szCs w:val="1"/>
                <w:color w:val="auto"/>
              </w:rPr>
            </w:pPr>
          </w:p>
        </w:tc>
      </w:tr>
      <w:tr>
        <w:trPr>
          <w:trHeight w:val="274"/>
        </w:trPr>
        <w:tc>
          <w:tcPr>
            <w:tcW w:w="5400" w:type="dxa"/>
            <w:vAlign w:val="bottom"/>
          </w:tcPr>
          <w:p>
            <w:pPr>
              <w:jc w:val="center"/>
              <w:ind w:left="32"/>
              <w:spacing w:after="0"/>
              <w:rPr>
                <w:sz w:val="20"/>
                <w:szCs w:val="20"/>
                <w:color w:val="auto"/>
              </w:rPr>
            </w:pPr>
            <w:r>
              <w:rPr>
                <w:rFonts w:ascii="Arial" w:cs="Arial" w:eastAsia="Arial" w:hAnsi="Arial"/>
                <w:sz w:val="22"/>
                <w:szCs w:val="22"/>
                <w:color w:val="004877"/>
                <w:w w:val="91"/>
              </w:rPr>
              <w:t>control number</w:t>
            </w:r>
          </w:p>
        </w:tc>
        <w:tc>
          <w:tcPr>
            <w:tcW w:w="20" w:type="dxa"/>
            <w:vAlign w:val="bottom"/>
            <w:shd w:val="clear" w:color="auto" w:fill="004877"/>
          </w:tcPr>
          <w:p>
            <w:pPr>
              <w:spacing w:after="0"/>
              <w:rPr>
                <w:sz w:val="23"/>
                <w:szCs w:val="23"/>
                <w:color w:val="auto"/>
              </w:rPr>
            </w:pPr>
          </w:p>
        </w:tc>
        <w:tc>
          <w:tcPr>
            <w:tcW w:w="5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6"/>
        </w:trPr>
        <w:tc>
          <w:tcPr>
            <w:tcW w:w="5400" w:type="dxa"/>
            <w:vAlign w:val="bottom"/>
          </w:tcPr>
          <w:p>
            <w:pPr>
              <w:spacing w:after="0"/>
              <w:rPr>
                <w:sz w:val="24"/>
                <w:szCs w:val="24"/>
                <w:color w:val="auto"/>
              </w:rPr>
            </w:pPr>
          </w:p>
        </w:tc>
        <w:tc>
          <w:tcPr>
            <w:tcW w:w="20" w:type="dxa"/>
            <w:vAlign w:val="bottom"/>
            <w:shd w:val="clear" w:color="auto" w:fill="004877"/>
          </w:tcPr>
          <w:p>
            <w:pPr>
              <w:spacing w:after="0"/>
              <w:rPr>
                <w:sz w:val="24"/>
                <w:szCs w:val="24"/>
                <w:color w:val="auto"/>
              </w:rPr>
            </w:pPr>
          </w:p>
        </w:tc>
        <w:tc>
          <w:tcPr>
            <w:tcW w:w="5600" w:type="dxa"/>
            <w:vAlign w:val="bottom"/>
          </w:tcPr>
          <w:p>
            <w:pPr>
              <w:ind w:left="540"/>
              <w:spacing w:after="0"/>
              <w:rPr>
                <w:sz w:val="20"/>
                <w:szCs w:val="20"/>
                <w:color w:val="auto"/>
              </w:rPr>
            </w:pPr>
            <w:r>
              <w:rPr>
                <w:rFonts w:ascii="Arial" w:cs="Arial" w:eastAsia="Arial" w:hAnsi="Arial"/>
                <w:sz w:val="16"/>
                <w:szCs w:val="16"/>
                <w:color w:val="004877"/>
              </w:rPr>
              <w:t>Virtually at:</w:t>
            </w:r>
          </w:p>
        </w:tc>
        <w:tc>
          <w:tcPr>
            <w:tcW w:w="0" w:type="dxa"/>
            <w:vAlign w:val="bottom"/>
          </w:tcPr>
          <w:p>
            <w:pPr>
              <w:spacing w:after="0"/>
              <w:rPr>
                <w:sz w:val="1"/>
                <w:szCs w:val="1"/>
                <w:color w:val="auto"/>
              </w:rPr>
            </w:pPr>
          </w:p>
        </w:tc>
      </w:tr>
      <w:tr>
        <w:trPr>
          <w:trHeight w:val="206"/>
        </w:trPr>
        <w:tc>
          <w:tcPr>
            <w:tcW w:w="5400" w:type="dxa"/>
            <w:vAlign w:val="bottom"/>
          </w:tcPr>
          <w:p>
            <w:pPr>
              <w:spacing w:after="0"/>
              <w:rPr>
                <w:sz w:val="17"/>
                <w:szCs w:val="17"/>
                <w:color w:val="auto"/>
              </w:rPr>
            </w:pPr>
          </w:p>
        </w:tc>
        <w:tc>
          <w:tcPr>
            <w:tcW w:w="20" w:type="dxa"/>
            <w:vAlign w:val="bottom"/>
            <w:shd w:val="clear" w:color="auto" w:fill="004877"/>
          </w:tcPr>
          <w:p>
            <w:pPr>
              <w:spacing w:after="0"/>
              <w:rPr>
                <w:sz w:val="17"/>
                <w:szCs w:val="17"/>
                <w:color w:val="auto"/>
              </w:rPr>
            </w:pPr>
          </w:p>
        </w:tc>
        <w:tc>
          <w:tcPr>
            <w:tcW w:w="5600" w:type="dxa"/>
            <w:vAlign w:val="bottom"/>
          </w:tcPr>
          <w:p>
            <w:pPr>
              <w:ind w:left="540"/>
              <w:spacing w:after="0"/>
              <w:rPr>
                <w:sz w:val="20"/>
                <w:szCs w:val="20"/>
                <w:color w:val="auto"/>
              </w:rPr>
            </w:pPr>
            <w:r>
              <w:rPr>
                <w:rFonts w:ascii="Arial" w:cs="Arial" w:eastAsia="Arial" w:hAnsi="Arial"/>
                <w:sz w:val="16"/>
                <w:szCs w:val="16"/>
                <w:color w:val="004877"/>
              </w:rPr>
              <w:t>www.virtualshareholdermeeting.com/COF2022</w:t>
            </w:r>
          </w:p>
        </w:tc>
        <w:tc>
          <w:tcPr>
            <w:tcW w:w="0" w:type="dxa"/>
            <w:vAlign w:val="bottom"/>
          </w:tcPr>
          <w:p>
            <w:pPr>
              <w:spacing w:after="0"/>
              <w:rPr>
                <w:sz w:val="1"/>
                <w:szCs w:val="1"/>
                <w:color w:val="auto"/>
              </w:rPr>
            </w:pPr>
          </w:p>
        </w:tc>
      </w:tr>
      <w:tr>
        <w:trPr>
          <w:trHeight w:val="384"/>
        </w:trPr>
        <w:tc>
          <w:tcPr>
            <w:tcW w:w="5400" w:type="dxa"/>
            <w:vAlign w:val="bottom"/>
          </w:tcPr>
          <w:p>
            <w:pPr>
              <w:spacing w:after="0"/>
              <w:rPr>
                <w:sz w:val="24"/>
                <w:szCs w:val="24"/>
                <w:color w:val="auto"/>
              </w:rPr>
            </w:pPr>
          </w:p>
        </w:tc>
        <w:tc>
          <w:tcPr>
            <w:tcW w:w="20" w:type="dxa"/>
            <w:vAlign w:val="bottom"/>
            <w:shd w:val="clear" w:color="auto" w:fill="004877"/>
          </w:tcPr>
          <w:p>
            <w:pPr>
              <w:spacing w:after="0"/>
              <w:rPr>
                <w:sz w:val="24"/>
                <w:szCs w:val="24"/>
                <w:color w:val="auto"/>
              </w:rPr>
            </w:pPr>
          </w:p>
        </w:tc>
        <w:tc>
          <w:tcPr>
            <w:tcW w:w="5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0" w:type="dxa"/>
            <w:vAlign w:val="bottom"/>
            <w:tcBorders>
              <w:bottom w:val="single" w:sz="8" w:color="007BB6"/>
            </w:tcBorders>
          </w:tcPr>
          <w:p>
            <w:pPr>
              <w:spacing w:after="0"/>
              <w:rPr>
                <w:sz w:val="24"/>
                <w:szCs w:val="24"/>
                <w:color w:val="auto"/>
              </w:rPr>
            </w:pPr>
          </w:p>
        </w:tc>
        <w:tc>
          <w:tcPr>
            <w:tcW w:w="20" w:type="dxa"/>
            <w:vAlign w:val="bottom"/>
            <w:tcBorders>
              <w:bottom w:val="single" w:sz="8" w:color="007BB6"/>
            </w:tcBorders>
          </w:tcPr>
          <w:p>
            <w:pPr>
              <w:spacing w:after="0"/>
              <w:rPr>
                <w:sz w:val="24"/>
                <w:szCs w:val="24"/>
                <w:color w:val="auto"/>
              </w:rPr>
            </w:pPr>
          </w:p>
        </w:tc>
        <w:tc>
          <w:tcPr>
            <w:tcW w:w="5600" w:type="dxa"/>
            <w:vAlign w:val="bottom"/>
            <w:tcBorders>
              <w:bottom w:val="single" w:sz="8" w:color="007BB6"/>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-1439545</wp:posOffset>
            </wp:positionV>
            <wp:extent cx="600075" cy="5397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0075" cy="539750"/>
                    </a:xfrm>
                    <a:prstGeom prst="rect">
                      <a:avLst/>
                    </a:prstGeom>
                    <a:noFill/>
                  </pic:spPr>
                </pic:pic>
              </a:graphicData>
            </a:graphic>
          </wp:anchor>
        </w:drawing>
        <w:drawing>
          <wp:anchor simplePos="0" relativeHeight="251657728" behindDoc="1" locked="0" layoutInCell="0" allowOverlap="1">
            <wp:simplePos x="0" y="0"/>
            <wp:positionH relativeFrom="column">
              <wp:posOffset>528955</wp:posOffset>
            </wp:positionH>
            <wp:positionV relativeFrom="paragraph">
              <wp:posOffset>-856615</wp:posOffset>
            </wp:positionV>
            <wp:extent cx="1183005" cy="44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83005" cy="445770"/>
                    </a:xfrm>
                    <a:prstGeom prst="rect">
                      <a:avLst/>
                    </a:prstGeom>
                    <a:noFill/>
                  </pic:spPr>
                </pic:pic>
              </a:graphicData>
            </a:graphic>
          </wp:anchor>
        </w:drawing>
      </w:r>
    </w:p>
    <w:p>
      <w:pPr>
        <w:spacing w:after="0" w:line="123" w:lineRule="exact"/>
        <w:rPr>
          <w:sz w:val="20"/>
          <w:szCs w:val="20"/>
          <w:color w:val="auto"/>
        </w:rPr>
      </w:pPr>
    </w:p>
    <w:p>
      <w:pPr>
        <w:ind w:left="100"/>
        <w:spacing w:after="0"/>
        <w:rPr>
          <w:sz w:val="20"/>
          <w:szCs w:val="20"/>
          <w:color w:val="auto"/>
        </w:rPr>
      </w:pPr>
      <w:r>
        <w:rPr>
          <w:rFonts w:ascii="Arial" w:cs="Arial" w:eastAsia="Arial" w:hAnsi="Arial"/>
          <w:sz w:val="14"/>
          <w:szCs w:val="14"/>
          <w:color w:val="004877"/>
        </w:rPr>
        <w:t>* Many stockholder meetings have attendance requirements. Please check the meeting materials for any special requirements for meeting attendance.</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9"/>
          <w:szCs w:val="9"/>
          <w:color w:val="auto"/>
        </w:rPr>
        <w:t>V1</w:t>
      </w:r>
    </w:p>
    <w:p>
      <w:pPr>
        <w:sectPr>
          <w:pgSz w:w="11900" w:h="16838" w:orient="portrait"/>
          <w:cols w:equalWidth="0" w:num="1">
            <w:col w:w="11020"/>
          </w:cols>
          <w:pgMar w:left="440" w:top="749" w:right="439" w:bottom="1440" w:gutter="0" w:footer="0" w:header="0"/>
        </w:sectPr>
      </w:pPr>
    </w:p>
    <w:bookmarkStart w:id="2" w:name="page3"/>
    <w:bookmarkEnd w:id="2"/>
    <w:p>
      <w:pPr>
        <w:ind w:left="100"/>
        <w:spacing w:after="0"/>
        <w:rPr>
          <w:sz w:val="20"/>
          <w:szCs w:val="20"/>
          <w:color w:val="auto"/>
        </w:rPr>
      </w:pPr>
      <w:r>
        <w:rPr>
          <w:rFonts w:ascii="Arial" w:cs="Arial" w:eastAsia="Arial" w:hAnsi="Arial"/>
          <w:sz w:val="27"/>
          <w:szCs w:val="27"/>
          <w:b w:val="1"/>
          <w:bCs w:val="1"/>
          <w:color w:val="007BB6"/>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Vote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6995160" cy="685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6858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00"/>
        <w:spacing w:after="0"/>
        <w:rPr>
          <w:sz w:val="20"/>
          <w:szCs w:val="20"/>
          <w:color w:val="auto"/>
        </w:rPr>
      </w:pPr>
      <w:r>
        <w:rPr>
          <w:rFonts w:ascii="Arial" w:cs="Arial" w:eastAsia="Arial" w:hAnsi="Arial"/>
          <w:sz w:val="29"/>
          <w:szCs w:val="29"/>
          <w:b w:val="1"/>
          <w:bCs w:val="1"/>
          <w:color w:val="004877"/>
        </w:rPr>
        <w:t>THIS IS NOT A VOTABLE BALLOT</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004877"/>
        </w:rPr>
        <w:t>This is an overview of the proposals being presented at the upcoming</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004877"/>
        </w:rPr>
        <w:t>stockholder meeting. Please follow the instructions on the reverse side to</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004877"/>
        </w:rPr>
        <w:t>vote these important matters.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0240"/>
        <w:spacing w:after="0"/>
        <w:rPr>
          <w:sz w:val="20"/>
          <w:szCs w:val="20"/>
          <w:color w:val="auto"/>
        </w:rPr>
      </w:pPr>
      <w:r>
        <w:rPr>
          <w:rFonts w:ascii="Arial" w:cs="Arial" w:eastAsia="Arial" w:hAnsi="Arial"/>
          <w:sz w:val="16"/>
          <w:szCs w:val="16"/>
          <w:b w:val="1"/>
          <w:bCs w:val="1"/>
          <w:color w:val="004877"/>
        </w:rPr>
        <w:t>Board</w:t>
      </w:r>
    </w:p>
    <w:p>
      <w:pPr>
        <w:spacing w:after="0" w:line="26" w:lineRule="exact"/>
        <w:rPr>
          <w:sz w:val="20"/>
          <w:szCs w:val="20"/>
          <w:color w:val="auto"/>
        </w:rPr>
      </w:pPr>
    </w:p>
    <w:p>
      <w:pPr>
        <w:ind w:left="200"/>
        <w:spacing w:after="0"/>
        <w:tabs>
          <w:tab w:leader="none" w:pos="9980" w:val="left"/>
        </w:tabs>
        <w:rPr>
          <w:sz w:val="20"/>
          <w:szCs w:val="20"/>
          <w:color w:val="auto"/>
        </w:rPr>
      </w:pPr>
      <w:r>
        <w:rPr>
          <w:rFonts w:ascii="Arial" w:cs="Arial" w:eastAsia="Arial" w:hAnsi="Arial"/>
          <w:sz w:val="16"/>
          <w:szCs w:val="16"/>
          <w:b w:val="1"/>
          <w:bCs w:val="1"/>
          <w:color w:val="004877"/>
        </w:rPr>
        <w:t>Voting Items</w:t>
      </w:r>
      <w:r>
        <w:rPr>
          <w:sz w:val="20"/>
          <w:szCs w:val="20"/>
          <w:color w:val="auto"/>
        </w:rPr>
        <w:tab/>
      </w:r>
      <w:r>
        <w:rPr>
          <w:rFonts w:ascii="Arial" w:cs="Arial" w:eastAsia="Arial" w:hAnsi="Arial"/>
          <w:sz w:val="14"/>
          <w:szCs w:val="14"/>
          <w:b w:val="1"/>
          <w:bCs w:val="1"/>
          <w:color w:val="004877"/>
        </w:rPr>
        <w:t>Recommends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6995160" cy="60350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6035040"/>
                    </a:xfrm>
                    <a:prstGeom prst="rect">
                      <a:avLst/>
                    </a:prstGeom>
                    <a:noFill/>
                  </pic:spPr>
                </pic:pic>
              </a:graphicData>
            </a:graphic>
          </wp:anchor>
        </w:drawing>
      </w:r>
    </w:p>
    <w:p>
      <w:pPr>
        <w:spacing w:after="0" w:line="58" w:lineRule="exact"/>
        <w:rPr>
          <w:sz w:val="20"/>
          <w:szCs w:val="20"/>
          <w:color w:val="auto"/>
        </w:rPr>
      </w:pPr>
    </w:p>
    <w:p>
      <w:pPr>
        <w:ind w:left="600" w:hanging="402"/>
        <w:spacing w:after="0"/>
        <w:tabs>
          <w:tab w:leader="none" w:pos="600" w:val="left"/>
        </w:tabs>
        <w:numPr>
          <w:ilvl w:val="0"/>
          <w:numId w:val="6"/>
        </w:numPr>
        <w:rPr>
          <w:rFonts w:ascii="Arial" w:cs="Arial" w:eastAsia="Arial" w:hAnsi="Arial"/>
          <w:sz w:val="18"/>
          <w:szCs w:val="18"/>
          <w:color w:val="004877"/>
        </w:rPr>
      </w:pPr>
      <w:r>
        <w:rPr>
          <w:rFonts w:ascii="Arial" w:cs="Arial" w:eastAsia="Arial" w:hAnsi="Arial"/>
          <w:sz w:val="18"/>
          <w:szCs w:val="18"/>
          <w:color w:val="004877"/>
        </w:rPr>
        <w:t>Election of Directors</w:t>
      </w:r>
    </w:p>
    <w:p>
      <w:pPr>
        <w:spacing w:after="0" w:line="72" w:lineRule="exact"/>
        <w:rPr>
          <w:rFonts w:ascii="Arial" w:cs="Arial" w:eastAsia="Arial" w:hAnsi="Arial"/>
          <w:sz w:val="18"/>
          <w:szCs w:val="18"/>
          <w:color w:val="004877"/>
        </w:rPr>
      </w:pPr>
    </w:p>
    <w:p>
      <w:pPr>
        <w:ind w:left="600"/>
        <w:spacing w:after="0"/>
        <w:rPr>
          <w:rFonts w:ascii="Arial" w:cs="Arial" w:eastAsia="Arial" w:hAnsi="Arial"/>
          <w:sz w:val="18"/>
          <w:szCs w:val="18"/>
          <w:color w:val="004877"/>
        </w:rPr>
      </w:pPr>
      <w:r>
        <w:rPr>
          <w:rFonts w:ascii="Arial" w:cs="Arial" w:eastAsia="Arial" w:hAnsi="Arial"/>
          <w:sz w:val="18"/>
          <w:szCs w:val="18"/>
          <w:b w:val="1"/>
          <w:bCs w:val="1"/>
          <w:color w:val="004877"/>
        </w:rPr>
        <w:t>Nominees: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00" w:type="dxa"/>
            <w:vAlign w:val="bottom"/>
          </w:tcPr>
          <w:p>
            <w:pPr>
              <w:spacing w:after="0"/>
              <w:rPr>
                <w:sz w:val="24"/>
                <w:szCs w:val="24"/>
                <w:color w:val="auto"/>
              </w:rPr>
            </w:pPr>
          </w:p>
        </w:tc>
        <w:tc>
          <w:tcPr>
            <w:tcW w:w="380" w:type="dxa"/>
            <w:vAlign w:val="bottom"/>
            <w:tcBorders>
              <w:bottom w:val="single" w:sz="8" w:color="F0EFF7"/>
            </w:tcBorders>
            <w:shd w:val="clear" w:color="auto" w:fill="F0EFF7"/>
          </w:tcPr>
          <w:p>
            <w:pPr>
              <w:ind w:left="100"/>
              <w:spacing w:after="0"/>
              <w:rPr>
                <w:sz w:val="20"/>
                <w:szCs w:val="20"/>
                <w:color w:val="auto"/>
              </w:rPr>
            </w:pPr>
            <w:r>
              <w:rPr>
                <w:rFonts w:ascii="Arial" w:cs="Arial" w:eastAsia="Arial" w:hAnsi="Arial"/>
                <w:sz w:val="18"/>
                <w:szCs w:val="18"/>
                <w:color w:val="004877"/>
              </w:rPr>
              <w:t>1a.</w:t>
            </w:r>
          </w:p>
        </w:tc>
        <w:tc>
          <w:tcPr>
            <w:tcW w:w="9440" w:type="dxa"/>
            <w:vAlign w:val="bottom"/>
            <w:tcBorders>
              <w:bottom w:val="single" w:sz="8" w:color="F0EFF7"/>
            </w:tcBorders>
            <w:shd w:val="clear" w:color="auto" w:fill="F0EFF7"/>
          </w:tcPr>
          <w:p>
            <w:pPr>
              <w:ind w:left="120"/>
              <w:spacing w:after="0"/>
              <w:rPr>
                <w:sz w:val="20"/>
                <w:szCs w:val="20"/>
                <w:color w:val="auto"/>
              </w:rPr>
            </w:pPr>
            <w:r>
              <w:rPr>
                <w:rFonts w:ascii="Arial" w:cs="Arial" w:eastAsia="Arial" w:hAnsi="Arial"/>
                <w:sz w:val="18"/>
                <w:szCs w:val="18"/>
                <w:color w:val="004877"/>
              </w:rPr>
              <w:t>Richard D. Fairbank</w:t>
            </w:r>
          </w:p>
        </w:tc>
        <w:tc>
          <w:tcPr>
            <w:tcW w:w="1100" w:type="dxa"/>
            <w:vAlign w:val="bottom"/>
            <w:tcBorders>
              <w:bottom w:val="single" w:sz="8" w:color="F0EFF7"/>
            </w:tcBorders>
            <w:shd w:val="clear" w:color="auto" w:fill="F0EFF7"/>
          </w:tcPr>
          <w:p>
            <w:pPr>
              <w:ind w:left="280"/>
              <w:spacing w:after="0"/>
              <w:rPr>
                <w:sz w:val="20"/>
                <w:szCs w:val="20"/>
                <w:color w:val="auto"/>
              </w:rPr>
            </w:pPr>
            <w:r>
              <w:rPr>
                <w:rFonts w:ascii="Arial" w:cs="Arial" w:eastAsia="Arial" w:hAnsi="Arial"/>
                <w:sz w:val="18"/>
                <w:szCs w:val="18"/>
                <w:b w:val="1"/>
                <w:bCs w:val="1"/>
                <w:color w:val="004877"/>
              </w:rPr>
              <w:t>For</w:t>
            </w:r>
          </w:p>
        </w:tc>
        <w:tc>
          <w:tcPr>
            <w:tcW w:w="0" w:type="dxa"/>
            <w:vAlign w:val="bottom"/>
          </w:tcPr>
          <w:p>
            <w:pPr>
              <w:spacing w:after="0"/>
              <w:rPr>
                <w:sz w:val="1"/>
                <w:szCs w:val="1"/>
                <w:color w:val="auto"/>
              </w:rPr>
            </w:pPr>
          </w:p>
        </w:tc>
      </w:tr>
      <w:tr>
        <w:trPr>
          <w:trHeight w:val="264"/>
        </w:trPr>
        <w:tc>
          <w:tcPr>
            <w:tcW w:w="100" w:type="dxa"/>
            <w:vAlign w:val="bottom"/>
            <w:tcBorders>
              <w:top w:val="single" w:sz="8" w:color="004877"/>
            </w:tcBorders>
          </w:tcPr>
          <w:p>
            <w:pPr>
              <w:spacing w:after="0"/>
              <w:rPr>
                <w:sz w:val="22"/>
                <w:szCs w:val="22"/>
                <w:color w:val="auto"/>
              </w:rPr>
            </w:pPr>
          </w:p>
        </w:tc>
        <w:tc>
          <w:tcPr>
            <w:tcW w:w="380" w:type="dxa"/>
            <w:vAlign w:val="bottom"/>
            <w:tcBorders>
              <w:top w:val="single" w:sz="8" w:color="004877"/>
            </w:tcBorders>
            <w:shd w:val="clear" w:color="auto" w:fill="F0EFF7"/>
          </w:tcPr>
          <w:p>
            <w:pPr>
              <w:ind w:left="100"/>
              <w:spacing w:after="0"/>
              <w:rPr>
                <w:sz w:val="20"/>
                <w:szCs w:val="20"/>
                <w:color w:val="auto"/>
              </w:rPr>
            </w:pPr>
            <w:r>
              <w:rPr>
                <w:rFonts w:ascii="Arial" w:cs="Arial" w:eastAsia="Arial" w:hAnsi="Arial"/>
                <w:sz w:val="18"/>
                <w:szCs w:val="18"/>
                <w:color w:val="004877"/>
              </w:rPr>
              <w:t>1b.</w:t>
            </w:r>
          </w:p>
        </w:tc>
        <w:tc>
          <w:tcPr>
            <w:tcW w:w="9440" w:type="dxa"/>
            <w:vAlign w:val="bottom"/>
            <w:tcBorders>
              <w:top w:val="single" w:sz="8" w:color="004877"/>
            </w:tcBorders>
            <w:shd w:val="clear" w:color="auto" w:fill="F0EFF7"/>
          </w:tcPr>
          <w:p>
            <w:pPr>
              <w:ind w:left="120"/>
              <w:spacing w:after="0"/>
              <w:rPr>
                <w:sz w:val="20"/>
                <w:szCs w:val="20"/>
                <w:color w:val="auto"/>
              </w:rPr>
            </w:pPr>
            <w:r>
              <w:rPr>
                <w:rFonts w:ascii="Arial" w:cs="Arial" w:eastAsia="Arial" w:hAnsi="Arial"/>
                <w:sz w:val="18"/>
                <w:szCs w:val="18"/>
                <w:color w:val="004877"/>
              </w:rPr>
              <w:t>Ime Archibong</w:t>
            </w:r>
          </w:p>
        </w:tc>
        <w:tc>
          <w:tcPr>
            <w:tcW w:w="1100" w:type="dxa"/>
            <w:vAlign w:val="bottom"/>
            <w:tcBorders>
              <w:top w:val="single" w:sz="8" w:color="004877"/>
            </w:tcBorders>
            <w:vMerge w:val="restart"/>
            <w:shd w:val="clear" w:color="auto" w:fill="F0EFF7"/>
          </w:tcPr>
          <w:p>
            <w:pPr>
              <w:ind w:left="280"/>
              <w:spacing w:after="0"/>
              <w:rPr>
                <w:sz w:val="20"/>
                <w:szCs w:val="20"/>
                <w:color w:val="auto"/>
              </w:rPr>
            </w:pPr>
            <w:r>
              <w:rPr>
                <w:rFonts w:ascii="Arial" w:cs="Arial" w:eastAsia="Arial" w:hAnsi="Arial"/>
                <w:sz w:val="18"/>
                <w:szCs w:val="18"/>
                <w:b w:val="1"/>
                <w:bCs w:val="1"/>
                <w:color w:val="004877"/>
              </w:rPr>
              <w:t>For</w:t>
            </w:r>
          </w:p>
        </w:tc>
        <w:tc>
          <w:tcPr>
            <w:tcW w:w="0" w:type="dxa"/>
            <w:vAlign w:val="bottom"/>
          </w:tcPr>
          <w:p>
            <w:pPr>
              <w:spacing w:after="0"/>
              <w:rPr>
                <w:sz w:val="1"/>
                <w:szCs w:val="1"/>
                <w:color w:val="auto"/>
              </w:rPr>
            </w:pPr>
          </w:p>
        </w:tc>
      </w:tr>
      <w:tr>
        <w:trPr>
          <w:trHeight w:val="68"/>
        </w:trPr>
        <w:tc>
          <w:tcPr>
            <w:tcW w:w="100" w:type="dxa"/>
            <w:vAlign w:val="bottom"/>
            <w:tcBorders>
              <w:bottom w:val="single" w:sz="8" w:color="004877"/>
            </w:tcBorders>
          </w:tcPr>
          <w:p>
            <w:pPr>
              <w:spacing w:after="0"/>
              <w:rPr>
                <w:sz w:val="5"/>
                <w:szCs w:val="5"/>
                <w:color w:val="auto"/>
              </w:rPr>
            </w:pPr>
          </w:p>
        </w:tc>
        <w:tc>
          <w:tcPr>
            <w:tcW w:w="380" w:type="dxa"/>
            <w:vAlign w:val="bottom"/>
            <w:tcBorders>
              <w:bottom w:val="single" w:sz="8" w:color="004877"/>
            </w:tcBorders>
            <w:shd w:val="clear" w:color="auto" w:fill="F0EFF7"/>
          </w:tcPr>
          <w:p>
            <w:pPr>
              <w:spacing w:after="0"/>
              <w:rPr>
                <w:sz w:val="5"/>
                <w:szCs w:val="5"/>
                <w:color w:val="auto"/>
              </w:rPr>
            </w:pPr>
          </w:p>
        </w:tc>
        <w:tc>
          <w:tcPr>
            <w:tcW w:w="9440" w:type="dxa"/>
            <w:vAlign w:val="bottom"/>
            <w:tcBorders>
              <w:bottom w:val="single" w:sz="8" w:color="004877"/>
            </w:tcBorders>
            <w:shd w:val="clear" w:color="auto" w:fill="F0EFF7"/>
          </w:tcPr>
          <w:p>
            <w:pPr>
              <w:spacing w:after="0"/>
              <w:rPr>
                <w:sz w:val="5"/>
                <w:szCs w:val="5"/>
                <w:color w:val="auto"/>
              </w:rPr>
            </w:pPr>
          </w:p>
        </w:tc>
        <w:tc>
          <w:tcPr>
            <w:tcW w:w="1100" w:type="dxa"/>
            <w:vAlign w:val="bottom"/>
            <w:tcBorders>
              <w:bottom w:val="single" w:sz="8" w:color="004877"/>
            </w:tcBorders>
            <w:vMerge w:val="continue"/>
            <w:shd w:val="clear" w:color="auto" w:fill="F0EFF7"/>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00" w:type="dxa"/>
            <w:vAlign w:val="bottom"/>
          </w:tcPr>
          <w:p>
            <w:pPr>
              <w:spacing w:after="0"/>
              <w:rPr>
                <w:sz w:val="22"/>
                <w:szCs w:val="22"/>
                <w:color w:val="auto"/>
              </w:rPr>
            </w:pPr>
          </w:p>
        </w:tc>
        <w:tc>
          <w:tcPr>
            <w:tcW w:w="380" w:type="dxa"/>
            <w:vAlign w:val="bottom"/>
            <w:shd w:val="clear" w:color="auto" w:fill="F0EFF7"/>
          </w:tcPr>
          <w:p>
            <w:pPr>
              <w:ind w:left="100"/>
              <w:spacing w:after="0"/>
              <w:rPr>
                <w:sz w:val="20"/>
                <w:szCs w:val="20"/>
                <w:color w:val="auto"/>
              </w:rPr>
            </w:pPr>
            <w:r>
              <w:rPr>
                <w:rFonts w:ascii="Arial" w:cs="Arial" w:eastAsia="Arial" w:hAnsi="Arial"/>
                <w:sz w:val="18"/>
                <w:szCs w:val="18"/>
                <w:color w:val="004877"/>
              </w:rPr>
              <w:t>1c.</w:t>
            </w:r>
          </w:p>
        </w:tc>
        <w:tc>
          <w:tcPr>
            <w:tcW w:w="9440" w:type="dxa"/>
            <w:vAlign w:val="bottom"/>
            <w:shd w:val="clear" w:color="auto" w:fill="F0EFF7"/>
          </w:tcPr>
          <w:p>
            <w:pPr>
              <w:ind w:left="120"/>
              <w:spacing w:after="0"/>
              <w:rPr>
                <w:sz w:val="20"/>
                <w:szCs w:val="20"/>
                <w:color w:val="auto"/>
              </w:rPr>
            </w:pPr>
            <w:r>
              <w:rPr>
                <w:rFonts w:ascii="Arial" w:cs="Arial" w:eastAsia="Arial" w:hAnsi="Arial"/>
                <w:sz w:val="18"/>
                <w:szCs w:val="18"/>
                <w:color w:val="004877"/>
              </w:rPr>
              <w:t>Christine Detrick</w:t>
            </w:r>
          </w:p>
        </w:tc>
        <w:tc>
          <w:tcPr>
            <w:tcW w:w="1100" w:type="dxa"/>
            <w:vAlign w:val="bottom"/>
            <w:vMerge w:val="restart"/>
            <w:shd w:val="clear" w:color="auto" w:fill="F0EFF7"/>
          </w:tcPr>
          <w:p>
            <w:pPr>
              <w:ind w:left="280"/>
              <w:spacing w:after="0"/>
              <w:rPr>
                <w:sz w:val="20"/>
                <w:szCs w:val="20"/>
                <w:color w:val="auto"/>
              </w:rPr>
            </w:pPr>
            <w:r>
              <w:rPr>
                <w:rFonts w:ascii="Arial" w:cs="Arial" w:eastAsia="Arial" w:hAnsi="Arial"/>
                <w:sz w:val="18"/>
                <w:szCs w:val="18"/>
                <w:b w:val="1"/>
                <w:bCs w:val="1"/>
                <w:color w:val="004877"/>
              </w:rPr>
              <w:t>For</w:t>
            </w:r>
          </w:p>
        </w:tc>
        <w:tc>
          <w:tcPr>
            <w:tcW w:w="0" w:type="dxa"/>
            <w:vAlign w:val="bottom"/>
          </w:tcPr>
          <w:p>
            <w:pPr>
              <w:spacing w:after="0"/>
              <w:rPr>
                <w:sz w:val="1"/>
                <w:szCs w:val="1"/>
                <w:color w:val="auto"/>
              </w:rPr>
            </w:pPr>
          </w:p>
        </w:tc>
      </w:tr>
      <w:tr>
        <w:trPr>
          <w:trHeight w:val="67"/>
        </w:trPr>
        <w:tc>
          <w:tcPr>
            <w:tcW w:w="100" w:type="dxa"/>
            <w:vAlign w:val="bottom"/>
            <w:tcBorders>
              <w:bottom w:val="single" w:sz="8" w:color="004877"/>
            </w:tcBorders>
          </w:tcPr>
          <w:p>
            <w:pPr>
              <w:spacing w:after="0"/>
              <w:rPr>
                <w:sz w:val="5"/>
                <w:szCs w:val="5"/>
                <w:color w:val="auto"/>
              </w:rPr>
            </w:pPr>
          </w:p>
        </w:tc>
        <w:tc>
          <w:tcPr>
            <w:tcW w:w="380" w:type="dxa"/>
            <w:vAlign w:val="bottom"/>
            <w:tcBorders>
              <w:bottom w:val="single" w:sz="8" w:color="004877"/>
            </w:tcBorders>
            <w:shd w:val="clear" w:color="auto" w:fill="F0EFF7"/>
          </w:tcPr>
          <w:p>
            <w:pPr>
              <w:spacing w:after="0"/>
              <w:rPr>
                <w:sz w:val="5"/>
                <w:szCs w:val="5"/>
                <w:color w:val="auto"/>
              </w:rPr>
            </w:pPr>
          </w:p>
        </w:tc>
        <w:tc>
          <w:tcPr>
            <w:tcW w:w="9440" w:type="dxa"/>
            <w:vAlign w:val="bottom"/>
            <w:tcBorders>
              <w:bottom w:val="single" w:sz="8" w:color="004877"/>
            </w:tcBorders>
            <w:shd w:val="clear" w:color="auto" w:fill="F0EFF7"/>
          </w:tcPr>
          <w:p>
            <w:pPr>
              <w:spacing w:after="0"/>
              <w:rPr>
                <w:sz w:val="5"/>
                <w:szCs w:val="5"/>
                <w:color w:val="auto"/>
              </w:rPr>
            </w:pPr>
          </w:p>
        </w:tc>
        <w:tc>
          <w:tcPr>
            <w:tcW w:w="1100" w:type="dxa"/>
            <w:vAlign w:val="bottom"/>
            <w:tcBorders>
              <w:bottom w:val="single" w:sz="8" w:color="004877"/>
            </w:tcBorders>
            <w:vMerge w:val="continue"/>
            <w:shd w:val="clear" w:color="auto" w:fill="F0EFF7"/>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380" w:type="dxa"/>
            <w:vAlign w:val="bottom"/>
            <w:shd w:val="clear" w:color="auto" w:fill="F0EFF7"/>
          </w:tcPr>
          <w:p>
            <w:pPr>
              <w:ind w:left="100"/>
              <w:spacing w:after="0"/>
              <w:rPr>
                <w:sz w:val="20"/>
                <w:szCs w:val="20"/>
                <w:color w:val="auto"/>
              </w:rPr>
            </w:pPr>
            <w:r>
              <w:rPr>
                <w:rFonts w:ascii="Arial" w:cs="Arial" w:eastAsia="Arial" w:hAnsi="Arial"/>
                <w:sz w:val="18"/>
                <w:szCs w:val="18"/>
                <w:color w:val="004877"/>
              </w:rPr>
              <w:t>1d.</w:t>
            </w:r>
          </w:p>
        </w:tc>
        <w:tc>
          <w:tcPr>
            <w:tcW w:w="9440" w:type="dxa"/>
            <w:vAlign w:val="bottom"/>
            <w:shd w:val="clear" w:color="auto" w:fill="F0EFF7"/>
          </w:tcPr>
          <w:p>
            <w:pPr>
              <w:ind w:left="120"/>
              <w:spacing w:after="0"/>
              <w:rPr>
                <w:sz w:val="20"/>
                <w:szCs w:val="20"/>
                <w:color w:val="auto"/>
              </w:rPr>
            </w:pPr>
            <w:r>
              <w:rPr>
                <w:rFonts w:ascii="Arial" w:cs="Arial" w:eastAsia="Arial" w:hAnsi="Arial"/>
                <w:sz w:val="18"/>
                <w:szCs w:val="18"/>
                <w:color w:val="004877"/>
              </w:rPr>
              <w:t>Ann Fritz Hackett</w:t>
            </w:r>
          </w:p>
        </w:tc>
        <w:tc>
          <w:tcPr>
            <w:tcW w:w="1100" w:type="dxa"/>
            <w:vAlign w:val="bottom"/>
            <w:vMerge w:val="restart"/>
            <w:shd w:val="clear" w:color="auto" w:fill="F0EFF7"/>
          </w:tcPr>
          <w:p>
            <w:pPr>
              <w:ind w:left="280"/>
              <w:spacing w:after="0"/>
              <w:rPr>
                <w:sz w:val="20"/>
                <w:szCs w:val="20"/>
                <w:color w:val="auto"/>
              </w:rPr>
            </w:pPr>
            <w:r>
              <w:rPr>
                <w:rFonts w:ascii="Arial" w:cs="Arial" w:eastAsia="Arial" w:hAnsi="Arial"/>
                <w:sz w:val="18"/>
                <w:szCs w:val="18"/>
                <w:b w:val="1"/>
                <w:bCs w:val="1"/>
                <w:color w:val="004877"/>
              </w:rPr>
              <w:t>For</w:t>
            </w:r>
          </w:p>
        </w:tc>
        <w:tc>
          <w:tcPr>
            <w:tcW w:w="0" w:type="dxa"/>
            <w:vAlign w:val="bottom"/>
          </w:tcPr>
          <w:p>
            <w:pPr>
              <w:spacing w:after="0"/>
              <w:rPr>
                <w:sz w:val="1"/>
                <w:szCs w:val="1"/>
                <w:color w:val="auto"/>
              </w:rPr>
            </w:pPr>
          </w:p>
        </w:tc>
      </w:tr>
      <w:tr>
        <w:trPr>
          <w:trHeight w:val="68"/>
        </w:trPr>
        <w:tc>
          <w:tcPr>
            <w:tcW w:w="100" w:type="dxa"/>
            <w:vAlign w:val="bottom"/>
            <w:tcBorders>
              <w:bottom w:val="single" w:sz="8" w:color="004877"/>
            </w:tcBorders>
          </w:tcPr>
          <w:p>
            <w:pPr>
              <w:spacing w:after="0"/>
              <w:rPr>
                <w:sz w:val="5"/>
                <w:szCs w:val="5"/>
                <w:color w:val="auto"/>
              </w:rPr>
            </w:pPr>
          </w:p>
        </w:tc>
        <w:tc>
          <w:tcPr>
            <w:tcW w:w="380" w:type="dxa"/>
            <w:vAlign w:val="bottom"/>
            <w:tcBorders>
              <w:bottom w:val="single" w:sz="8" w:color="004877"/>
            </w:tcBorders>
            <w:shd w:val="clear" w:color="auto" w:fill="F0EFF7"/>
          </w:tcPr>
          <w:p>
            <w:pPr>
              <w:spacing w:after="0"/>
              <w:rPr>
                <w:sz w:val="5"/>
                <w:szCs w:val="5"/>
                <w:color w:val="auto"/>
              </w:rPr>
            </w:pPr>
          </w:p>
        </w:tc>
        <w:tc>
          <w:tcPr>
            <w:tcW w:w="9440" w:type="dxa"/>
            <w:vAlign w:val="bottom"/>
            <w:tcBorders>
              <w:bottom w:val="single" w:sz="8" w:color="004877"/>
            </w:tcBorders>
            <w:shd w:val="clear" w:color="auto" w:fill="F0EFF7"/>
          </w:tcPr>
          <w:p>
            <w:pPr>
              <w:spacing w:after="0"/>
              <w:rPr>
                <w:sz w:val="5"/>
                <w:szCs w:val="5"/>
                <w:color w:val="auto"/>
              </w:rPr>
            </w:pPr>
          </w:p>
        </w:tc>
        <w:tc>
          <w:tcPr>
            <w:tcW w:w="1100" w:type="dxa"/>
            <w:vAlign w:val="bottom"/>
            <w:tcBorders>
              <w:bottom w:val="single" w:sz="8" w:color="004877"/>
            </w:tcBorders>
            <w:vMerge w:val="continue"/>
            <w:shd w:val="clear" w:color="auto" w:fill="F0EFF7"/>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00" w:type="dxa"/>
            <w:vAlign w:val="bottom"/>
          </w:tcPr>
          <w:p>
            <w:pPr>
              <w:spacing w:after="0"/>
              <w:rPr>
                <w:sz w:val="22"/>
                <w:szCs w:val="22"/>
                <w:color w:val="auto"/>
              </w:rPr>
            </w:pPr>
          </w:p>
        </w:tc>
        <w:tc>
          <w:tcPr>
            <w:tcW w:w="380" w:type="dxa"/>
            <w:vAlign w:val="bottom"/>
            <w:shd w:val="clear" w:color="auto" w:fill="F0EFF7"/>
          </w:tcPr>
          <w:p>
            <w:pPr>
              <w:ind w:left="100"/>
              <w:spacing w:after="0"/>
              <w:rPr>
                <w:sz w:val="20"/>
                <w:szCs w:val="20"/>
                <w:color w:val="auto"/>
              </w:rPr>
            </w:pPr>
            <w:r>
              <w:rPr>
                <w:rFonts w:ascii="Arial" w:cs="Arial" w:eastAsia="Arial" w:hAnsi="Arial"/>
                <w:sz w:val="18"/>
                <w:szCs w:val="18"/>
                <w:color w:val="004877"/>
              </w:rPr>
              <w:t>1e.</w:t>
            </w:r>
          </w:p>
        </w:tc>
        <w:tc>
          <w:tcPr>
            <w:tcW w:w="9440" w:type="dxa"/>
            <w:vAlign w:val="bottom"/>
            <w:shd w:val="clear" w:color="auto" w:fill="F0EFF7"/>
          </w:tcPr>
          <w:p>
            <w:pPr>
              <w:ind w:left="120"/>
              <w:spacing w:after="0"/>
              <w:rPr>
                <w:sz w:val="20"/>
                <w:szCs w:val="20"/>
                <w:color w:val="auto"/>
              </w:rPr>
            </w:pPr>
            <w:r>
              <w:rPr>
                <w:rFonts w:ascii="Arial" w:cs="Arial" w:eastAsia="Arial" w:hAnsi="Arial"/>
                <w:sz w:val="18"/>
                <w:szCs w:val="18"/>
                <w:color w:val="004877"/>
              </w:rPr>
              <w:t>Peter Thomas Killalea</w:t>
            </w:r>
          </w:p>
        </w:tc>
        <w:tc>
          <w:tcPr>
            <w:tcW w:w="1100" w:type="dxa"/>
            <w:vAlign w:val="bottom"/>
            <w:vMerge w:val="restart"/>
            <w:shd w:val="clear" w:color="auto" w:fill="F0EFF7"/>
          </w:tcPr>
          <w:p>
            <w:pPr>
              <w:ind w:left="280"/>
              <w:spacing w:after="0"/>
              <w:rPr>
                <w:sz w:val="20"/>
                <w:szCs w:val="20"/>
                <w:color w:val="auto"/>
              </w:rPr>
            </w:pPr>
            <w:r>
              <w:rPr>
                <w:rFonts w:ascii="Arial" w:cs="Arial" w:eastAsia="Arial" w:hAnsi="Arial"/>
                <w:sz w:val="18"/>
                <w:szCs w:val="18"/>
                <w:b w:val="1"/>
                <w:bCs w:val="1"/>
                <w:color w:val="004877"/>
              </w:rPr>
              <w:t>For</w:t>
            </w:r>
          </w:p>
        </w:tc>
        <w:tc>
          <w:tcPr>
            <w:tcW w:w="0" w:type="dxa"/>
            <w:vAlign w:val="bottom"/>
          </w:tcPr>
          <w:p>
            <w:pPr>
              <w:spacing w:after="0"/>
              <w:rPr>
                <w:sz w:val="1"/>
                <w:szCs w:val="1"/>
                <w:color w:val="auto"/>
              </w:rPr>
            </w:pPr>
          </w:p>
        </w:tc>
      </w:tr>
      <w:tr>
        <w:trPr>
          <w:trHeight w:val="67"/>
        </w:trPr>
        <w:tc>
          <w:tcPr>
            <w:tcW w:w="100" w:type="dxa"/>
            <w:vAlign w:val="bottom"/>
            <w:tcBorders>
              <w:bottom w:val="single" w:sz="8" w:color="004877"/>
            </w:tcBorders>
          </w:tcPr>
          <w:p>
            <w:pPr>
              <w:spacing w:after="0"/>
              <w:rPr>
                <w:sz w:val="5"/>
                <w:szCs w:val="5"/>
                <w:color w:val="auto"/>
              </w:rPr>
            </w:pPr>
          </w:p>
        </w:tc>
        <w:tc>
          <w:tcPr>
            <w:tcW w:w="380" w:type="dxa"/>
            <w:vAlign w:val="bottom"/>
            <w:tcBorders>
              <w:bottom w:val="single" w:sz="8" w:color="004877"/>
            </w:tcBorders>
            <w:shd w:val="clear" w:color="auto" w:fill="F0EFF7"/>
          </w:tcPr>
          <w:p>
            <w:pPr>
              <w:spacing w:after="0"/>
              <w:rPr>
                <w:sz w:val="5"/>
                <w:szCs w:val="5"/>
                <w:color w:val="auto"/>
              </w:rPr>
            </w:pPr>
          </w:p>
        </w:tc>
        <w:tc>
          <w:tcPr>
            <w:tcW w:w="9440" w:type="dxa"/>
            <w:vAlign w:val="bottom"/>
            <w:tcBorders>
              <w:bottom w:val="single" w:sz="8" w:color="004877"/>
            </w:tcBorders>
            <w:shd w:val="clear" w:color="auto" w:fill="F0EFF7"/>
          </w:tcPr>
          <w:p>
            <w:pPr>
              <w:spacing w:after="0"/>
              <w:rPr>
                <w:sz w:val="5"/>
                <w:szCs w:val="5"/>
                <w:color w:val="auto"/>
              </w:rPr>
            </w:pPr>
          </w:p>
        </w:tc>
        <w:tc>
          <w:tcPr>
            <w:tcW w:w="1100" w:type="dxa"/>
            <w:vAlign w:val="bottom"/>
            <w:tcBorders>
              <w:bottom w:val="single" w:sz="8" w:color="004877"/>
            </w:tcBorders>
            <w:vMerge w:val="continue"/>
            <w:shd w:val="clear" w:color="auto" w:fill="F0EFF7"/>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380" w:type="dxa"/>
            <w:vAlign w:val="bottom"/>
            <w:shd w:val="clear" w:color="auto" w:fill="F0EFF7"/>
          </w:tcPr>
          <w:p>
            <w:pPr>
              <w:ind w:left="100"/>
              <w:spacing w:after="0"/>
              <w:rPr>
                <w:sz w:val="20"/>
                <w:szCs w:val="20"/>
                <w:color w:val="auto"/>
              </w:rPr>
            </w:pPr>
            <w:r>
              <w:rPr>
                <w:rFonts w:ascii="Arial" w:cs="Arial" w:eastAsia="Arial" w:hAnsi="Arial"/>
                <w:sz w:val="18"/>
                <w:szCs w:val="18"/>
                <w:color w:val="004877"/>
              </w:rPr>
              <w:t>1f.</w:t>
            </w:r>
          </w:p>
        </w:tc>
        <w:tc>
          <w:tcPr>
            <w:tcW w:w="9440" w:type="dxa"/>
            <w:vAlign w:val="bottom"/>
            <w:shd w:val="clear" w:color="auto" w:fill="F0EFF7"/>
          </w:tcPr>
          <w:p>
            <w:pPr>
              <w:ind w:left="120"/>
              <w:spacing w:after="0"/>
              <w:rPr>
                <w:sz w:val="20"/>
                <w:szCs w:val="20"/>
                <w:color w:val="auto"/>
              </w:rPr>
            </w:pPr>
            <w:r>
              <w:rPr>
                <w:rFonts w:ascii="Arial" w:cs="Arial" w:eastAsia="Arial" w:hAnsi="Arial"/>
                <w:sz w:val="18"/>
                <w:szCs w:val="18"/>
                <w:color w:val="004877"/>
              </w:rPr>
              <w:t>Cornelis “Eli” Leenaars</w:t>
            </w:r>
          </w:p>
        </w:tc>
        <w:tc>
          <w:tcPr>
            <w:tcW w:w="1100" w:type="dxa"/>
            <w:vAlign w:val="bottom"/>
            <w:vMerge w:val="restart"/>
            <w:shd w:val="clear" w:color="auto" w:fill="F0EFF7"/>
          </w:tcPr>
          <w:p>
            <w:pPr>
              <w:ind w:left="280"/>
              <w:spacing w:after="0"/>
              <w:rPr>
                <w:sz w:val="20"/>
                <w:szCs w:val="20"/>
                <w:color w:val="auto"/>
              </w:rPr>
            </w:pPr>
            <w:r>
              <w:rPr>
                <w:rFonts w:ascii="Arial" w:cs="Arial" w:eastAsia="Arial" w:hAnsi="Arial"/>
                <w:sz w:val="18"/>
                <w:szCs w:val="18"/>
                <w:b w:val="1"/>
                <w:bCs w:val="1"/>
                <w:color w:val="004877"/>
              </w:rPr>
              <w:t>For</w:t>
            </w:r>
          </w:p>
        </w:tc>
        <w:tc>
          <w:tcPr>
            <w:tcW w:w="0" w:type="dxa"/>
            <w:vAlign w:val="bottom"/>
          </w:tcPr>
          <w:p>
            <w:pPr>
              <w:spacing w:after="0"/>
              <w:rPr>
                <w:sz w:val="1"/>
                <w:szCs w:val="1"/>
                <w:color w:val="auto"/>
              </w:rPr>
            </w:pPr>
          </w:p>
        </w:tc>
      </w:tr>
      <w:tr>
        <w:trPr>
          <w:trHeight w:val="68"/>
        </w:trPr>
        <w:tc>
          <w:tcPr>
            <w:tcW w:w="100" w:type="dxa"/>
            <w:vAlign w:val="bottom"/>
            <w:tcBorders>
              <w:bottom w:val="single" w:sz="8" w:color="004877"/>
            </w:tcBorders>
          </w:tcPr>
          <w:p>
            <w:pPr>
              <w:spacing w:after="0"/>
              <w:rPr>
                <w:sz w:val="5"/>
                <w:szCs w:val="5"/>
                <w:color w:val="auto"/>
              </w:rPr>
            </w:pPr>
          </w:p>
        </w:tc>
        <w:tc>
          <w:tcPr>
            <w:tcW w:w="380" w:type="dxa"/>
            <w:vAlign w:val="bottom"/>
            <w:tcBorders>
              <w:bottom w:val="single" w:sz="8" w:color="004877"/>
            </w:tcBorders>
            <w:shd w:val="clear" w:color="auto" w:fill="F0EFF7"/>
          </w:tcPr>
          <w:p>
            <w:pPr>
              <w:spacing w:after="0"/>
              <w:rPr>
                <w:sz w:val="5"/>
                <w:szCs w:val="5"/>
                <w:color w:val="auto"/>
              </w:rPr>
            </w:pPr>
          </w:p>
        </w:tc>
        <w:tc>
          <w:tcPr>
            <w:tcW w:w="9440" w:type="dxa"/>
            <w:vAlign w:val="bottom"/>
            <w:tcBorders>
              <w:bottom w:val="single" w:sz="8" w:color="004877"/>
            </w:tcBorders>
            <w:shd w:val="clear" w:color="auto" w:fill="F0EFF7"/>
          </w:tcPr>
          <w:p>
            <w:pPr>
              <w:spacing w:after="0"/>
              <w:rPr>
                <w:sz w:val="5"/>
                <w:szCs w:val="5"/>
                <w:color w:val="auto"/>
              </w:rPr>
            </w:pPr>
          </w:p>
        </w:tc>
        <w:tc>
          <w:tcPr>
            <w:tcW w:w="1100" w:type="dxa"/>
            <w:vAlign w:val="bottom"/>
            <w:tcBorders>
              <w:bottom w:val="single" w:sz="8" w:color="004877"/>
            </w:tcBorders>
            <w:vMerge w:val="continue"/>
            <w:shd w:val="clear" w:color="auto" w:fill="F0EFF7"/>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380" w:type="dxa"/>
            <w:vAlign w:val="bottom"/>
            <w:shd w:val="clear" w:color="auto" w:fill="F0EFF7"/>
          </w:tcPr>
          <w:p>
            <w:pPr>
              <w:ind w:left="100"/>
              <w:spacing w:after="0"/>
              <w:rPr>
                <w:sz w:val="20"/>
                <w:szCs w:val="20"/>
                <w:color w:val="auto"/>
              </w:rPr>
            </w:pPr>
            <w:r>
              <w:rPr>
                <w:rFonts w:ascii="Arial" w:cs="Arial" w:eastAsia="Arial" w:hAnsi="Arial"/>
                <w:sz w:val="18"/>
                <w:szCs w:val="18"/>
                <w:color w:val="004877"/>
              </w:rPr>
              <w:t>1g.</w:t>
            </w:r>
          </w:p>
        </w:tc>
        <w:tc>
          <w:tcPr>
            <w:tcW w:w="9440" w:type="dxa"/>
            <w:vAlign w:val="bottom"/>
            <w:shd w:val="clear" w:color="auto" w:fill="F0EFF7"/>
          </w:tcPr>
          <w:p>
            <w:pPr>
              <w:ind w:left="120"/>
              <w:spacing w:after="0"/>
              <w:rPr>
                <w:sz w:val="20"/>
                <w:szCs w:val="20"/>
                <w:color w:val="auto"/>
              </w:rPr>
            </w:pPr>
            <w:r>
              <w:rPr>
                <w:rFonts w:ascii="Arial" w:cs="Arial" w:eastAsia="Arial" w:hAnsi="Arial"/>
                <w:sz w:val="18"/>
                <w:szCs w:val="18"/>
                <w:color w:val="004877"/>
              </w:rPr>
              <w:t>François Locoh-Donou</w:t>
            </w:r>
          </w:p>
        </w:tc>
        <w:tc>
          <w:tcPr>
            <w:tcW w:w="1100" w:type="dxa"/>
            <w:vAlign w:val="bottom"/>
            <w:vMerge w:val="restart"/>
            <w:shd w:val="clear" w:color="auto" w:fill="F0EFF7"/>
          </w:tcPr>
          <w:p>
            <w:pPr>
              <w:ind w:left="280"/>
              <w:spacing w:after="0"/>
              <w:rPr>
                <w:sz w:val="20"/>
                <w:szCs w:val="20"/>
                <w:color w:val="auto"/>
              </w:rPr>
            </w:pPr>
            <w:r>
              <w:rPr>
                <w:rFonts w:ascii="Arial" w:cs="Arial" w:eastAsia="Arial" w:hAnsi="Arial"/>
                <w:sz w:val="18"/>
                <w:szCs w:val="18"/>
                <w:b w:val="1"/>
                <w:bCs w:val="1"/>
                <w:color w:val="004877"/>
              </w:rPr>
              <w:t>For</w:t>
            </w:r>
          </w:p>
        </w:tc>
        <w:tc>
          <w:tcPr>
            <w:tcW w:w="0" w:type="dxa"/>
            <w:vAlign w:val="bottom"/>
          </w:tcPr>
          <w:p>
            <w:pPr>
              <w:spacing w:after="0"/>
              <w:rPr>
                <w:sz w:val="1"/>
                <w:szCs w:val="1"/>
                <w:color w:val="auto"/>
              </w:rPr>
            </w:pPr>
          </w:p>
        </w:tc>
      </w:tr>
      <w:tr>
        <w:trPr>
          <w:trHeight w:val="67"/>
        </w:trPr>
        <w:tc>
          <w:tcPr>
            <w:tcW w:w="100" w:type="dxa"/>
            <w:vAlign w:val="bottom"/>
            <w:tcBorders>
              <w:bottom w:val="single" w:sz="8" w:color="004877"/>
            </w:tcBorders>
          </w:tcPr>
          <w:p>
            <w:pPr>
              <w:spacing w:after="0"/>
              <w:rPr>
                <w:sz w:val="5"/>
                <w:szCs w:val="5"/>
                <w:color w:val="auto"/>
              </w:rPr>
            </w:pPr>
          </w:p>
        </w:tc>
        <w:tc>
          <w:tcPr>
            <w:tcW w:w="380" w:type="dxa"/>
            <w:vAlign w:val="bottom"/>
            <w:tcBorders>
              <w:bottom w:val="single" w:sz="8" w:color="004877"/>
            </w:tcBorders>
            <w:shd w:val="clear" w:color="auto" w:fill="F0EFF7"/>
          </w:tcPr>
          <w:p>
            <w:pPr>
              <w:spacing w:after="0"/>
              <w:rPr>
                <w:sz w:val="5"/>
                <w:szCs w:val="5"/>
                <w:color w:val="auto"/>
              </w:rPr>
            </w:pPr>
          </w:p>
        </w:tc>
        <w:tc>
          <w:tcPr>
            <w:tcW w:w="9440" w:type="dxa"/>
            <w:vAlign w:val="bottom"/>
            <w:tcBorders>
              <w:bottom w:val="single" w:sz="8" w:color="004877"/>
            </w:tcBorders>
            <w:shd w:val="clear" w:color="auto" w:fill="F0EFF7"/>
          </w:tcPr>
          <w:p>
            <w:pPr>
              <w:spacing w:after="0"/>
              <w:rPr>
                <w:sz w:val="5"/>
                <w:szCs w:val="5"/>
                <w:color w:val="auto"/>
              </w:rPr>
            </w:pPr>
          </w:p>
        </w:tc>
        <w:tc>
          <w:tcPr>
            <w:tcW w:w="1100" w:type="dxa"/>
            <w:vAlign w:val="bottom"/>
            <w:tcBorders>
              <w:bottom w:val="single" w:sz="8" w:color="004877"/>
            </w:tcBorders>
            <w:vMerge w:val="continue"/>
            <w:shd w:val="clear" w:color="auto" w:fill="F0EFF7"/>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380" w:type="dxa"/>
            <w:vAlign w:val="bottom"/>
            <w:shd w:val="clear" w:color="auto" w:fill="F0EFF7"/>
          </w:tcPr>
          <w:p>
            <w:pPr>
              <w:ind w:left="100"/>
              <w:spacing w:after="0"/>
              <w:rPr>
                <w:sz w:val="20"/>
                <w:szCs w:val="20"/>
                <w:color w:val="auto"/>
              </w:rPr>
            </w:pPr>
            <w:r>
              <w:rPr>
                <w:rFonts w:ascii="Arial" w:cs="Arial" w:eastAsia="Arial" w:hAnsi="Arial"/>
                <w:sz w:val="18"/>
                <w:szCs w:val="18"/>
                <w:color w:val="004877"/>
              </w:rPr>
              <w:t>1h.</w:t>
            </w:r>
          </w:p>
        </w:tc>
        <w:tc>
          <w:tcPr>
            <w:tcW w:w="9440" w:type="dxa"/>
            <w:vAlign w:val="bottom"/>
            <w:shd w:val="clear" w:color="auto" w:fill="F0EFF7"/>
          </w:tcPr>
          <w:p>
            <w:pPr>
              <w:ind w:left="120"/>
              <w:spacing w:after="0"/>
              <w:rPr>
                <w:sz w:val="20"/>
                <w:szCs w:val="20"/>
                <w:color w:val="auto"/>
              </w:rPr>
            </w:pPr>
            <w:r>
              <w:rPr>
                <w:rFonts w:ascii="Arial" w:cs="Arial" w:eastAsia="Arial" w:hAnsi="Arial"/>
                <w:sz w:val="18"/>
                <w:szCs w:val="18"/>
                <w:color w:val="004877"/>
              </w:rPr>
              <w:t>Peter E. Raskind</w:t>
            </w:r>
          </w:p>
        </w:tc>
        <w:tc>
          <w:tcPr>
            <w:tcW w:w="1100" w:type="dxa"/>
            <w:vAlign w:val="bottom"/>
            <w:vMerge w:val="restart"/>
            <w:shd w:val="clear" w:color="auto" w:fill="F0EFF7"/>
          </w:tcPr>
          <w:p>
            <w:pPr>
              <w:ind w:left="280"/>
              <w:spacing w:after="0"/>
              <w:rPr>
                <w:sz w:val="20"/>
                <w:szCs w:val="20"/>
                <w:color w:val="auto"/>
              </w:rPr>
            </w:pPr>
            <w:r>
              <w:rPr>
                <w:rFonts w:ascii="Arial" w:cs="Arial" w:eastAsia="Arial" w:hAnsi="Arial"/>
                <w:sz w:val="18"/>
                <w:szCs w:val="18"/>
                <w:b w:val="1"/>
                <w:bCs w:val="1"/>
                <w:color w:val="004877"/>
              </w:rPr>
              <w:t>For</w:t>
            </w:r>
          </w:p>
        </w:tc>
        <w:tc>
          <w:tcPr>
            <w:tcW w:w="0" w:type="dxa"/>
            <w:vAlign w:val="bottom"/>
          </w:tcPr>
          <w:p>
            <w:pPr>
              <w:spacing w:after="0"/>
              <w:rPr>
                <w:sz w:val="1"/>
                <w:szCs w:val="1"/>
                <w:color w:val="auto"/>
              </w:rPr>
            </w:pPr>
          </w:p>
        </w:tc>
      </w:tr>
      <w:tr>
        <w:trPr>
          <w:trHeight w:val="67"/>
        </w:trPr>
        <w:tc>
          <w:tcPr>
            <w:tcW w:w="100" w:type="dxa"/>
            <w:vAlign w:val="bottom"/>
            <w:tcBorders>
              <w:bottom w:val="single" w:sz="8" w:color="004877"/>
            </w:tcBorders>
          </w:tcPr>
          <w:p>
            <w:pPr>
              <w:spacing w:after="0"/>
              <w:rPr>
                <w:sz w:val="5"/>
                <w:szCs w:val="5"/>
                <w:color w:val="auto"/>
              </w:rPr>
            </w:pPr>
          </w:p>
        </w:tc>
        <w:tc>
          <w:tcPr>
            <w:tcW w:w="380" w:type="dxa"/>
            <w:vAlign w:val="bottom"/>
            <w:tcBorders>
              <w:bottom w:val="single" w:sz="8" w:color="004877"/>
            </w:tcBorders>
            <w:shd w:val="clear" w:color="auto" w:fill="F0EFF7"/>
          </w:tcPr>
          <w:p>
            <w:pPr>
              <w:spacing w:after="0"/>
              <w:rPr>
                <w:sz w:val="5"/>
                <w:szCs w:val="5"/>
                <w:color w:val="auto"/>
              </w:rPr>
            </w:pPr>
          </w:p>
        </w:tc>
        <w:tc>
          <w:tcPr>
            <w:tcW w:w="9440" w:type="dxa"/>
            <w:vAlign w:val="bottom"/>
            <w:tcBorders>
              <w:bottom w:val="single" w:sz="8" w:color="004877"/>
            </w:tcBorders>
            <w:shd w:val="clear" w:color="auto" w:fill="F0EFF7"/>
          </w:tcPr>
          <w:p>
            <w:pPr>
              <w:spacing w:after="0"/>
              <w:rPr>
                <w:sz w:val="5"/>
                <w:szCs w:val="5"/>
                <w:color w:val="auto"/>
              </w:rPr>
            </w:pPr>
          </w:p>
        </w:tc>
        <w:tc>
          <w:tcPr>
            <w:tcW w:w="1100" w:type="dxa"/>
            <w:vAlign w:val="bottom"/>
            <w:tcBorders>
              <w:bottom w:val="single" w:sz="8" w:color="004877"/>
            </w:tcBorders>
            <w:vMerge w:val="continue"/>
            <w:shd w:val="clear" w:color="auto" w:fill="F0EFF7"/>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380" w:type="dxa"/>
            <w:vAlign w:val="bottom"/>
            <w:shd w:val="clear" w:color="auto" w:fill="F0EFF7"/>
          </w:tcPr>
          <w:p>
            <w:pPr>
              <w:ind w:left="100"/>
              <w:spacing w:after="0"/>
              <w:rPr>
                <w:sz w:val="20"/>
                <w:szCs w:val="20"/>
                <w:color w:val="auto"/>
              </w:rPr>
            </w:pPr>
            <w:r>
              <w:rPr>
                <w:rFonts w:ascii="Arial" w:cs="Arial" w:eastAsia="Arial" w:hAnsi="Arial"/>
                <w:sz w:val="18"/>
                <w:szCs w:val="18"/>
                <w:color w:val="004877"/>
              </w:rPr>
              <w:t>1i.</w:t>
            </w:r>
          </w:p>
        </w:tc>
        <w:tc>
          <w:tcPr>
            <w:tcW w:w="9440" w:type="dxa"/>
            <w:vAlign w:val="bottom"/>
            <w:shd w:val="clear" w:color="auto" w:fill="F0EFF7"/>
          </w:tcPr>
          <w:p>
            <w:pPr>
              <w:ind w:left="120"/>
              <w:spacing w:after="0"/>
              <w:rPr>
                <w:sz w:val="20"/>
                <w:szCs w:val="20"/>
                <w:color w:val="auto"/>
              </w:rPr>
            </w:pPr>
            <w:r>
              <w:rPr>
                <w:rFonts w:ascii="Arial" w:cs="Arial" w:eastAsia="Arial" w:hAnsi="Arial"/>
                <w:sz w:val="18"/>
                <w:szCs w:val="18"/>
                <w:color w:val="004877"/>
              </w:rPr>
              <w:t>Eileen Serra</w:t>
            </w:r>
          </w:p>
        </w:tc>
        <w:tc>
          <w:tcPr>
            <w:tcW w:w="1100" w:type="dxa"/>
            <w:vAlign w:val="bottom"/>
            <w:vMerge w:val="restart"/>
            <w:shd w:val="clear" w:color="auto" w:fill="F0EFF7"/>
          </w:tcPr>
          <w:p>
            <w:pPr>
              <w:ind w:left="280"/>
              <w:spacing w:after="0"/>
              <w:rPr>
                <w:sz w:val="20"/>
                <w:szCs w:val="20"/>
                <w:color w:val="auto"/>
              </w:rPr>
            </w:pPr>
            <w:r>
              <w:rPr>
                <w:rFonts w:ascii="Arial" w:cs="Arial" w:eastAsia="Arial" w:hAnsi="Arial"/>
                <w:sz w:val="18"/>
                <w:szCs w:val="18"/>
                <w:b w:val="1"/>
                <w:bCs w:val="1"/>
                <w:color w:val="004877"/>
              </w:rPr>
              <w:t>For</w:t>
            </w:r>
          </w:p>
        </w:tc>
        <w:tc>
          <w:tcPr>
            <w:tcW w:w="0" w:type="dxa"/>
            <w:vAlign w:val="bottom"/>
          </w:tcPr>
          <w:p>
            <w:pPr>
              <w:spacing w:after="0"/>
              <w:rPr>
                <w:sz w:val="1"/>
                <w:szCs w:val="1"/>
                <w:color w:val="auto"/>
              </w:rPr>
            </w:pPr>
          </w:p>
        </w:tc>
      </w:tr>
      <w:tr>
        <w:trPr>
          <w:trHeight w:val="68"/>
        </w:trPr>
        <w:tc>
          <w:tcPr>
            <w:tcW w:w="100" w:type="dxa"/>
            <w:vAlign w:val="bottom"/>
            <w:tcBorders>
              <w:bottom w:val="single" w:sz="8" w:color="004877"/>
            </w:tcBorders>
          </w:tcPr>
          <w:p>
            <w:pPr>
              <w:spacing w:after="0"/>
              <w:rPr>
                <w:sz w:val="5"/>
                <w:szCs w:val="5"/>
                <w:color w:val="auto"/>
              </w:rPr>
            </w:pPr>
          </w:p>
        </w:tc>
        <w:tc>
          <w:tcPr>
            <w:tcW w:w="380" w:type="dxa"/>
            <w:vAlign w:val="bottom"/>
            <w:tcBorders>
              <w:bottom w:val="single" w:sz="8" w:color="004877"/>
            </w:tcBorders>
            <w:shd w:val="clear" w:color="auto" w:fill="F0EFF7"/>
          </w:tcPr>
          <w:p>
            <w:pPr>
              <w:spacing w:after="0"/>
              <w:rPr>
                <w:sz w:val="5"/>
                <w:szCs w:val="5"/>
                <w:color w:val="auto"/>
              </w:rPr>
            </w:pPr>
          </w:p>
        </w:tc>
        <w:tc>
          <w:tcPr>
            <w:tcW w:w="9440" w:type="dxa"/>
            <w:vAlign w:val="bottom"/>
            <w:tcBorders>
              <w:bottom w:val="single" w:sz="8" w:color="004877"/>
            </w:tcBorders>
            <w:shd w:val="clear" w:color="auto" w:fill="F0EFF7"/>
          </w:tcPr>
          <w:p>
            <w:pPr>
              <w:spacing w:after="0"/>
              <w:rPr>
                <w:sz w:val="5"/>
                <w:szCs w:val="5"/>
                <w:color w:val="auto"/>
              </w:rPr>
            </w:pPr>
          </w:p>
        </w:tc>
        <w:tc>
          <w:tcPr>
            <w:tcW w:w="1100" w:type="dxa"/>
            <w:vAlign w:val="bottom"/>
            <w:tcBorders>
              <w:bottom w:val="single" w:sz="8" w:color="004877"/>
            </w:tcBorders>
            <w:vMerge w:val="continue"/>
            <w:shd w:val="clear" w:color="auto" w:fill="F0EFF7"/>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00" w:type="dxa"/>
            <w:vAlign w:val="bottom"/>
          </w:tcPr>
          <w:p>
            <w:pPr>
              <w:spacing w:after="0"/>
              <w:rPr>
                <w:sz w:val="22"/>
                <w:szCs w:val="22"/>
                <w:color w:val="auto"/>
              </w:rPr>
            </w:pPr>
          </w:p>
        </w:tc>
        <w:tc>
          <w:tcPr>
            <w:tcW w:w="380" w:type="dxa"/>
            <w:vAlign w:val="bottom"/>
            <w:shd w:val="clear" w:color="auto" w:fill="F0EFF7"/>
          </w:tcPr>
          <w:p>
            <w:pPr>
              <w:ind w:left="100"/>
              <w:spacing w:after="0"/>
              <w:rPr>
                <w:sz w:val="20"/>
                <w:szCs w:val="20"/>
                <w:color w:val="auto"/>
              </w:rPr>
            </w:pPr>
            <w:r>
              <w:rPr>
                <w:rFonts w:ascii="Arial" w:cs="Arial" w:eastAsia="Arial" w:hAnsi="Arial"/>
                <w:sz w:val="18"/>
                <w:szCs w:val="18"/>
                <w:color w:val="004877"/>
              </w:rPr>
              <w:t>1j.</w:t>
            </w:r>
          </w:p>
        </w:tc>
        <w:tc>
          <w:tcPr>
            <w:tcW w:w="9440" w:type="dxa"/>
            <w:vAlign w:val="bottom"/>
            <w:shd w:val="clear" w:color="auto" w:fill="F0EFF7"/>
          </w:tcPr>
          <w:p>
            <w:pPr>
              <w:ind w:left="120"/>
              <w:spacing w:after="0"/>
              <w:rPr>
                <w:sz w:val="20"/>
                <w:szCs w:val="20"/>
                <w:color w:val="auto"/>
              </w:rPr>
            </w:pPr>
            <w:r>
              <w:rPr>
                <w:rFonts w:ascii="Arial" w:cs="Arial" w:eastAsia="Arial" w:hAnsi="Arial"/>
                <w:sz w:val="18"/>
                <w:szCs w:val="18"/>
                <w:color w:val="004877"/>
              </w:rPr>
              <w:t>Mayo A. Shattuck III</w:t>
            </w:r>
          </w:p>
        </w:tc>
        <w:tc>
          <w:tcPr>
            <w:tcW w:w="1100" w:type="dxa"/>
            <w:vAlign w:val="bottom"/>
            <w:vMerge w:val="restart"/>
            <w:shd w:val="clear" w:color="auto" w:fill="F0EFF7"/>
          </w:tcPr>
          <w:p>
            <w:pPr>
              <w:ind w:left="280"/>
              <w:spacing w:after="0"/>
              <w:rPr>
                <w:sz w:val="20"/>
                <w:szCs w:val="20"/>
                <w:color w:val="auto"/>
              </w:rPr>
            </w:pPr>
            <w:r>
              <w:rPr>
                <w:rFonts w:ascii="Arial" w:cs="Arial" w:eastAsia="Arial" w:hAnsi="Arial"/>
                <w:sz w:val="18"/>
                <w:szCs w:val="18"/>
                <w:b w:val="1"/>
                <w:bCs w:val="1"/>
                <w:color w:val="004877"/>
              </w:rPr>
              <w:t>For</w:t>
            </w:r>
          </w:p>
        </w:tc>
        <w:tc>
          <w:tcPr>
            <w:tcW w:w="0" w:type="dxa"/>
            <w:vAlign w:val="bottom"/>
          </w:tcPr>
          <w:p>
            <w:pPr>
              <w:spacing w:after="0"/>
              <w:rPr>
                <w:sz w:val="1"/>
                <w:szCs w:val="1"/>
                <w:color w:val="auto"/>
              </w:rPr>
            </w:pPr>
          </w:p>
        </w:tc>
      </w:tr>
      <w:tr>
        <w:trPr>
          <w:trHeight w:val="68"/>
        </w:trPr>
        <w:tc>
          <w:tcPr>
            <w:tcW w:w="100" w:type="dxa"/>
            <w:vAlign w:val="bottom"/>
            <w:tcBorders>
              <w:bottom w:val="single" w:sz="8" w:color="004877"/>
            </w:tcBorders>
          </w:tcPr>
          <w:p>
            <w:pPr>
              <w:spacing w:after="0"/>
              <w:rPr>
                <w:sz w:val="5"/>
                <w:szCs w:val="5"/>
                <w:color w:val="auto"/>
              </w:rPr>
            </w:pPr>
          </w:p>
        </w:tc>
        <w:tc>
          <w:tcPr>
            <w:tcW w:w="380" w:type="dxa"/>
            <w:vAlign w:val="bottom"/>
            <w:tcBorders>
              <w:bottom w:val="single" w:sz="8" w:color="004877"/>
            </w:tcBorders>
            <w:shd w:val="clear" w:color="auto" w:fill="F0EFF7"/>
          </w:tcPr>
          <w:p>
            <w:pPr>
              <w:spacing w:after="0"/>
              <w:rPr>
                <w:sz w:val="5"/>
                <w:szCs w:val="5"/>
                <w:color w:val="auto"/>
              </w:rPr>
            </w:pPr>
          </w:p>
        </w:tc>
        <w:tc>
          <w:tcPr>
            <w:tcW w:w="9440" w:type="dxa"/>
            <w:vAlign w:val="bottom"/>
            <w:tcBorders>
              <w:bottom w:val="single" w:sz="8" w:color="004877"/>
            </w:tcBorders>
            <w:shd w:val="clear" w:color="auto" w:fill="F0EFF7"/>
          </w:tcPr>
          <w:p>
            <w:pPr>
              <w:spacing w:after="0"/>
              <w:rPr>
                <w:sz w:val="5"/>
                <w:szCs w:val="5"/>
                <w:color w:val="auto"/>
              </w:rPr>
            </w:pPr>
          </w:p>
        </w:tc>
        <w:tc>
          <w:tcPr>
            <w:tcW w:w="1100" w:type="dxa"/>
            <w:vAlign w:val="bottom"/>
            <w:tcBorders>
              <w:bottom w:val="single" w:sz="8" w:color="004877"/>
            </w:tcBorders>
            <w:vMerge w:val="continue"/>
            <w:shd w:val="clear" w:color="auto" w:fill="F0EFF7"/>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380" w:type="dxa"/>
            <w:vAlign w:val="bottom"/>
            <w:shd w:val="clear" w:color="auto" w:fill="F0EFF7"/>
          </w:tcPr>
          <w:p>
            <w:pPr>
              <w:ind w:left="100"/>
              <w:spacing w:after="0"/>
              <w:rPr>
                <w:sz w:val="20"/>
                <w:szCs w:val="20"/>
                <w:color w:val="auto"/>
              </w:rPr>
            </w:pPr>
            <w:r>
              <w:rPr>
                <w:rFonts w:ascii="Arial" w:cs="Arial" w:eastAsia="Arial" w:hAnsi="Arial"/>
                <w:sz w:val="18"/>
                <w:szCs w:val="18"/>
                <w:color w:val="004877"/>
              </w:rPr>
              <w:t>1k.</w:t>
            </w:r>
          </w:p>
        </w:tc>
        <w:tc>
          <w:tcPr>
            <w:tcW w:w="9440" w:type="dxa"/>
            <w:vAlign w:val="bottom"/>
            <w:shd w:val="clear" w:color="auto" w:fill="F0EFF7"/>
          </w:tcPr>
          <w:p>
            <w:pPr>
              <w:ind w:left="120"/>
              <w:spacing w:after="0"/>
              <w:rPr>
                <w:sz w:val="20"/>
                <w:szCs w:val="20"/>
                <w:color w:val="auto"/>
              </w:rPr>
            </w:pPr>
            <w:r>
              <w:rPr>
                <w:rFonts w:ascii="Arial" w:cs="Arial" w:eastAsia="Arial" w:hAnsi="Arial"/>
                <w:sz w:val="18"/>
                <w:szCs w:val="18"/>
                <w:color w:val="004877"/>
              </w:rPr>
              <w:t>Bradford H. Warner</w:t>
            </w:r>
          </w:p>
        </w:tc>
        <w:tc>
          <w:tcPr>
            <w:tcW w:w="1100" w:type="dxa"/>
            <w:vAlign w:val="bottom"/>
            <w:vMerge w:val="restart"/>
            <w:shd w:val="clear" w:color="auto" w:fill="F0EFF7"/>
          </w:tcPr>
          <w:p>
            <w:pPr>
              <w:ind w:left="280"/>
              <w:spacing w:after="0"/>
              <w:rPr>
                <w:sz w:val="20"/>
                <w:szCs w:val="20"/>
                <w:color w:val="auto"/>
              </w:rPr>
            </w:pPr>
            <w:r>
              <w:rPr>
                <w:rFonts w:ascii="Arial" w:cs="Arial" w:eastAsia="Arial" w:hAnsi="Arial"/>
                <w:sz w:val="18"/>
                <w:szCs w:val="18"/>
                <w:b w:val="1"/>
                <w:bCs w:val="1"/>
                <w:color w:val="004877"/>
              </w:rPr>
              <w:t>For</w:t>
            </w:r>
          </w:p>
        </w:tc>
        <w:tc>
          <w:tcPr>
            <w:tcW w:w="0" w:type="dxa"/>
            <w:vAlign w:val="bottom"/>
          </w:tcPr>
          <w:p>
            <w:pPr>
              <w:spacing w:after="0"/>
              <w:rPr>
                <w:sz w:val="1"/>
                <w:szCs w:val="1"/>
                <w:color w:val="auto"/>
              </w:rPr>
            </w:pPr>
          </w:p>
        </w:tc>
      </w:tr>
      <w:tr>
        <w:trPr>
          <w:trHeight w:val="67"/>
        </w:trPr>
        <w:tc>
          <w:tcPr>
            <w:tcW w:w="100" w:type="dxa"/>
            <w:vAlign w:val="bottom"/>
            <w:tcBorders>
              <w:bottom w:val="single" w:sz="8" w:color="004877"/>
            </w:tcBorders>
          </w:tcPr>
          <w:p>
            <w:pPr>
              <w:spacing w:after="0"/>
              <w:rPr>
                <w:sz w:val="5"/>
                <w:szCs w:val="5"/>
                <w:color w:val="auto"/>
              </w:rPr>
            </w:pPr>
          </w:p>
        </w:tc>
        <w:tc>
          <w:tcPr>
            <w:tcW w:w="380" w:type="dxa"/>
            <w:vAlign w:val="bottom"/>
            <w:tcBorders>
              <w:bottom w:val="single" w:sz="8" w:color="004877"/>
            </w:tcBorders>
            <w:shd w:val="clear" w:color="auto" w:fill="F0EFF7"/>
          </w:tcPr>
          <w:p>
            <w:pPr>
              <w:spacing w:after="0"/>
              <w:rPr>
                <w:sz w:val="5"/>
                <w:szCs w:val="5"/>
                <w:color w:val="auto"/>
              </w:rPr>
            </w:pPr>
          </w:p>
        </w:tc>
        <w:tc>
          <w:tcPr>
            <w:tcW w:w="9440" w:type="dxa"/>
            <w:vAlign w:val="bottom"/>
            <w:tcBorders>
              <w:bottom w:val="single" w:sz="8" w:color="004877"/>
            </w:tcBorders>
            <w:shd w:val="clear" w:color="auto" w:fill="F0EFF7"/>
          </w:tcPr>
          <w:p>
            <w:pPr>
              <w:spacing w:after="0"/>
              <w:rPr>
                <w:sz w:val="5"/>
                <w:szCs w:val="5"/>
                <w:color w:val="auto"/>
              </w:rPr>
            </w:pPr>
          </w:p>
        </w:tc>
        <w:tc>
          <w:tcPr>
            <w:tcW w:w="1100" w:type="dxa"/>
            <w:vAlign w:val="bottom"/>
            <w:tcBorders>
              <w:bottom w:val="single" w:sz="8" w:color="004877"/>
            </w:tcBorders>
            <w:vMerge w:val="continue"/>
            <w:shd w:val="clear" w:color="auto" w:fill="F0EFF7"/>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380" w:type="dxa"/>
            <w:vAlign w:val="bottom"/>
            <w:shd w:val="clear" w:color="auto" w:fill="F0EFF7"/>
          </w:tcPr>
          <w:p>
            <w:pPr>
              <w:ind w:left="100"/>
              <w:spacing w:after="0"/>
              <w:rPr>
                <w:sz w:val="20"/>
                <w:szCs w:val="20"/>
                <w:color w:val="auto"/>
              </w:rPr>
            </w:pPr>
            <w:r>
              <w:rPr>
                <w:rFonts w:ascii="Arial" w:cs="Arial" w:eastAsia="Arial" w:hAnsi="Arial"/>
                <w:sz w:val="18"/>
                <w:szCs w:val="18"/>
                <w:color w:val="004877"/>
              </w:rPr>
              <w:t>1l.</w:t>
            </w:r>
          </w:p>
        </w:tc>
        <w:tc>
          <w:tcPr>
            <w:tcW w:w="9440" w:type="dxa"/>
            <w:vAlign w:val="bottom"/>
            <w:shd w:val="clear" w:color="auto" w:fill="F0EFF7"/>
          </w:tcPr>
          <w:p>
            <w:pPr>
              <w:ind w:left="120"/>
              <w:spacing w:after="0"/>
              <w:rPr>
                <w:sz w:val="20"/>
                <w:szCs w:val="20"/>
                <w:color w:val="auto"/>
              </w:rPr>
            </w:pPr>
            <w:r>
              <w:rPr>
                <w:rFonts w:ascii="Arial" w:cs="Arial" w:eastAsia="Arial" w:hAnsi="Arial"/>
                <w:sz w:val="18"/>
                <w:szCs w:val="18"/>
                <w:color w:val="004877"/>
              </w:rPr>
              <w:t>Catherine G. West</w:t>
            </w:r>
          </w:p>
        </w:tc>
        <w:tc>
          <w:tcPr>
            <w:tcW w:w="1100" w:type="dxa"/>
            <w:vAlign w:val="bottom"/>
            <w:vMerge w:val="restart"/>
            <w:shd w:val="clear" w:color="auto" w:fill="F0EFF7"/>
          </w:tcPr>
          <w:p>
            <w:pPr>
              <w:ind w:left="280"/>
              <w:spacing w:after="0"/>
              <w:rPr>
                <w:sz w:val="20"/>
                <w:szCs w:val="20"/>
                <w:color w:val="auto"/>
              </w:rPr>
            </w:pPr>
            <w:r>
              <w:rPr>
                <w:rFonts w:ascii="Arial" w:cs="Arial" w:eastAsia="Arial" w:hAnsi="Arial"/>
                <w:sz w:val="18"/>
                <w:szCs w:val="18"/>
                <w:b w:val="1"/>
                <w:bCs w:val="1"/>
                <w:color w:val="004877"/>
              </w:rPr>
              <w:t>For</w:t>
            </w:r>
          </w:p>
        </w:tc>
        <w:tc>
          <w:tcPr>
            <w:tcW w:w="0" w:type="dxa"/>
            <w:vAlign w:val="bottom"/>
          </w:tcPr>
          <w:p>
            <w:pPr>
              <w:spacing w:after="0"/>
              <w:rPr>
                <w:sz w:val="1"/>
                <w:szCs w:val="1"/>
                <w:color w:val="auto"/>
              </w:rPr>
            </w:pPr>
          </w:p>
        </w:tc>
      </w:tr>
      <w:tr>
        <w:trPr>
          <w:trHeight w:val="68"/>
        </w:trPr>
        <w:tc>
          <w:tcPr>
            <w:tcW w:w="100" w:type="dxa"/>
            <w:vAlign w:val="bottom"/>
            <w:tcBorders>
              <w:bottom w:val="single" w:sz="8" w:color="004877"/>
            </w:tcBorders>
          </w:tcPr>
          <w:p>
            <w:pPr>
              <w:spacing w:after="0"/>
              <w:rPr>
                <w:sz w:val="5"/>
                <w:szCs w:val="5"/>
                <w:color w:val="auto"/>
              </w:rPr>
            </w:pPr>
          </w:p>
        </w:tc>
        <w:tc>
          <w:tcPr>
            <w:tcW w:w="380" w:type="dxa"/>
            <w:vAlign w:val="bottom"/>
            <w:tcBorders>
              <w:bottom w:val="single" w:sz="8" w:color="004877"/>
            </w:tcBorders>
            <w:shd w:val="clear" w:color="auto" w:fill="F0EFF7"/>
          </w:tcPr>
          <w:p>
            <w:pPr>
              <w:spacing w:after="0"/>
              <w:rPr>
                <w:sz w:val="5"/>
                <w:szCs w:val="5"/>
                <w:color w:val="auto"/>
              </w:rPr>
            </w:pPr>
          </w:p>
        </w:tc>
        <w:tc>
          <w:tcPr>
            <w:tcW w:w="9440" w:type="dxa"/>
            <w:vAlign w:val="bottom"/>
            <w:tcBorders>
              <w:bottom w:val="single" w:sz="8" w:color="004877"/>
            </w:tcBorders>
            <w:shd w:val="clear" w:color="auto" w:fill="F0EFF7"/>
          </w:tcPr>
          <w:p>
            <w:pPr>
              <w:spacing w:after="0"/>
              <w:rPr>
                <w:sz w:val="5"/>
                <w:szCs w:val="5"/>
                <w:color w:val="auto"/>
              </w:rPr>
            </w:pPr>
          </w:p>
        </w:tc>
        <w:tc>
          <w:tcPr>
            <w:tcW w:w="1100" w:type="dxa"/>
            <w:vAlign w:val="bottom"/>
            <w:tcBorders>
              <w:bottom w:val="single" w:sz="8" w:color="004877"/>
            </w:tcBorders>
            <w:vMerge w:val="continue"/>
            <w:shd w:val="clear" w:color="auto" w:fill="F0EFF7"/>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00" w:type="dxa"/>
            <w:vAlign w:val="bottom"/>
          </w:tcPr>
          <w:p>
            <w:pPr>
              <w:spacing w:after="0"/>
              <w:rPr>
                <w:sz w:val="22"/>
                <w:szCs w:val="22"/>
                <w:color w:val="auto"/>
              </w:rPr>
            </w:pPr>
          </w:p>
        </w:tc>
        <w:tc>
          <w:tcPr>
            <w:tcW w:w="380" w:type="dxa"/>
            <w:vAlign w:val="bottom"/>
            <w:shd w:val="clear" w:color="auto" w:fill="F0EFF7"/>
          </w:tcPr>
          <w:p>
            <w:pPr>
              <w:ind w:left="100"/>
              <w:spacing w:after="0"/>
              <w:rPr>
                <w:sz w:val="20"/>
                <w:szCs w:val="20"/>
                <w:color w:val="auto"/>
              </w:rPr>
            </w:pPr>
            <w:r>
              <w:rPr>
                <w:rFonts w:ascii="Arial" w:cs="Arial" w:eastAsia="Arial" w:hAnsi="Arial"/>
                <w:sz w:val="18"/>
                <w:szCs w:val="18"/>
                <w:color w:val="004877"/>
                <w:w w:val="86"/>
              </w:rPr>
              <w:t>1m.</w:t>
            </w:r>
          </w:p>
        </w:tc>
        <w:tc>
          <w:tcPr>
            <w:tcW w:w="9440" w:type="dxa"/>
            <w:vAlign w:val="bottom"/>
            <w:shd w:val="clear" w:color="auto" w:fill="F0EFF7"/>
          </w:tcPr>
          <w:p>
            <w:pPr>
              <w:ind w:left="120"/>
              <w:spacing w:after="0"/>
              <w:rPr>
                <w:sz w:val="20"/>
                <w:szCs w:val="20"/>
                <w:color w:val="auto"/>
              </w:rPr>
            </w:pPr>
            <w:r>
              <w:rPr>
                <w:rFonts w:ascii="Arial" w:cs="Arial" w:eastAsia="Arial" w:hAnsi="Arial"/>
                <w:sz w:val="18"/>
                <w:szCs w:val="18"/>
                <w:color w:val="004877"/>
              </w:rPr>
              <w:t>Craig Anthony Williams</w:t>
            </w:r>
          </w:p>
        </w:tc>
        <w:tc>
          <w:tcPr>
            <w:tcW w:w="1100" w:type="dxa"/>
            <w:vAlign w:val="bottom"/>
            <w:vMerge w:val="restart"/>
            <w:shd w:val="clear" w:color="auto" w:fill="F0EFF7"/>
          </w:tcPr>
          <w:p>
            <w:pPr>
              <w:ind w:left="280"/>
              <w:spacing w:after="0"/>
              <w:rPr>
                <w:sz w:val="20"/>
                <w:szCs w:val="20"/>
                <w:color w:val="auto"/>
              </w:rPr>
            </w:pPr>
            <w:r>
              <w:rPr>
                <w:rFonts w:ascii="Arial" w:cs="Arial" w:eastAsia="Arial" w:hAnsi="Arial"/>
                <w:sz w:val="18"/>
                <w:szCs w:val="18"/>
                <w:b w:val="1"/>
                <w:bCs w:val="1"/>
                <w:color w:val="004877"/>
              </w:rPr>
              <w:t>For</w:t>
            </w:r>
          </w:p>
        </w:tc>
        <w:tc>
          <w:tcPr>
            <w:tcW w:w="0" w:type="dxa"/>
            <w:vAlign w:val="bottom"/>
          </w:tcPr>
          <w:p>
            <w:pPr>
              <w:spacing w:after="0"/>
              <w:rPr>
                <w:sz w:val="1"/>
                <w:szCs w:val="1"/>
                <w:color w:val="auto"/>
              </w:rPr>
            </w:pPr>
          </w:p>
        </w:tc>
      </w:tr>
      <w:tr>
        <w:trPr>
          <w:trHeight w:val="68"/>
        </w:trPr>
        <w:tc>
          <w:tcPr>
            <w:tcW w:w="100" w:type="dxa"/>
            <w:vAlign w:val="bottom"/>
            <w:tcBorders>
              <w:bottom w:val="single" w:sz="8" w:color="004877"/>
            </w:tcBorders>
          </w:tcPr>
          <w:p>
            <w:pPr>
              <w:spacing w:after="0"/>
              <w:rPr>
                <w:sz w:val="5"/>
                <w:szCs w:val="5"/>
                <w:color w:val="auto"/>
              </w:rPr>
            </w:pPr>
          </w:p>
        </w:tc>
        <w:tc>
          <w:tcPr>
            <w:tcW w:w="380" w:type="dxa"/>
            <w:vAlign w:val="bottom"/>
            <w:tcBorders>
              <w:bottom w:val="single" w:sz="8" w:color="004877"/>
            </w:tcBorders>
            <w:shd w:val="clear" w:color="auto" w:fill="F0EFF7"/>
          </w:tcPr>
          <w:p>
            <w:pPr>
              <w:spacing w:after="0"/>
              <w:rPr>
                <w:sz w:val="5"/>
                <w:szCs w:val="5"/>
                <w:color w:val="auto"/>
              </w:rPr>
            </w:pPr>
          </w:p>
        </w:tc>
        <w:tc>
          <w:tcPr>
            <w:tcW w:w="9440" w:type="dxa"/>
            <w:vAlign w:val="bottom"/>
            <w:tcBorders>
              <w:bottom w:val="single" w:sz="8" w:color="004877"/>
            </w:tcBorders>
            <w:shd w:val="clear" w:color="auto" w:fill="F0EFF7"/>
          </w:tcPr>
          <w:p>
            <w:pPr>
              <w:spacing w:after="0"/>
              <w:rPr>
                <w:sz w:val="5"/>
                <w:szCs w:val="5"/>
                <w:color w:val="auto"/>
              </w:rPr>
            </w:pPr>
          </w:p>
        </w:tc>
        <w:tc>
          <w:tcPr>
            <w:tcW w:w="1100" w:type="dxa"/>
            <w:vAlign w:val="bottom"/>
            <w:tcBorders>
              <w:bottom w:val="single" w:sz="8" w:color="004877"/>
            </w:tcBorders>
            <w:vMerge w:val="continue"/>
            <w:shd w:val="clear" w:color="auto" w:fill="F0EFF7"/>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380" w:type="dxa"/>
            <w:vAlign w:val="bottom"/>
            <w:shd w:val="clear" w:color="auto" w:fill="F0EFF7"/>
          </w:tcPr>
          <w:p>
            <w:pPr>
              <w:ind w:left="100"/>
              <w:spacing w:after="0"/>
              <w:rPr>
                <w:sz w:val="20"/>
                <w:szCs w:val="20"/>
                <w:color w:val="auto"/>
              </w:rPr>
            </w:pPr>
            <w:r>
              <w:rPr>
                <w:rFonts w:ascii="Arial" w:cs="Arial" w:eastAsia="Arial" w:hAnsi="Arial"/>
                <w:sz w:val="18"/>
                <w:szCs w:val="18"/>
                <w:color w:val="004877"/>
              </w:rPr>
              <w:t>2.</w:t>
            </w:r>
          </w:p>
        </w:tc>
        <w:tc>
          <w:tcPr>
            <w:tcW w:w="9440" w:type="dxa"/>
            <w:vAlign w:val="bottom"/>
            <w:shd w:val="clear" w:color="auto" w:fill="F0EFF7"/>
          </w:tcPr>
          <w:p>
            <w:pPr>
              <w:ind w:left="120"/>
              <w:spacing w:after="0"/>
              <w:rPr>
                <w:sz w:val="20"/>
                <w:szCs w:val="20"/>
                <w:color w:val="auto"/>
              </w:rPr>
            </w:pPr>
            <w:r>
              <w:rPr>
                <w:rFonts w:ascii="Arial" w:cs="Arial" w:eastAsia="Arial" w:hAnsi="Arial"/>
                <w:sz w:val="18"/>
                <w:szCs w:val="18"/>
                <w:color w:val="004877"/>
              </w:rPr>
              <w:t>Advisory approval of Capital One’s 2021 Named Executive Officer compensation.</w:t>
            </w:r>
          </w:p>
        </w:tc>
        <w:tc>
          <w:tcPr>
            <w:tcW w:w="1100" w:type="dxa"/>
            <w:vAlign w:val="bottom"/>
            <w:vMerge w:val="restart"/>
            <w:shd w:val="clear" w:color="auto" w:fill="F0EFF7"/>
          </w:tcPr>
          <w:p>
            <w:pPr>
              <w:ind w:left="280"/>
              <w:spacing w:after="0"/>
              <w:rPr>
                <w:sz w:val="20"/>
                <w:szCs w:val="20"/>
                <w:color w:val="auto"/>
              </w:rPr>
            </w:pPr>
            <w:r>
              <w:rPr>
                <w:rFonts w:ascii="Arial" w:cs="Arial" w:eastAsia="Arial" w:hAnsi="Arial"/>
                <w:sz w:val="18"/>
                <w:szCs w:val="18"/>
                <w:b w:val="1"/>
                <w:bCs w:val="1"/>
                <w:color w:val="004877"/>
              </w:rPr>
              <w:t>For</w:t>
            </w:r>
          </w:p>
        </w:tc>
        <w:tc>
          <w:tcPr>
            <w:tcW w:w="0" w:type="dxa"/>
            <w:vAlign w:val="bottom"/>
          </w:tcPr>
          <w:p>
            <w:pPr>
              <w:spacing w:after="0"/>
              <w:rPr>
                <w:sz w:val="1"/>
                <w:szCs w:val="1"/>
                <w:color w:val="auto"/>
              </w:rPr>
            </w:pPr>
          </w:p>
        </w:tc>
      </w:tr>
      <w:tr>
        <w:trPr>
          <w:trHeight w:val="67"/>
        </w:trPr>
        <w:tc>
          <w:tcPr>
            <w:tcW w:w="100" w:type="dxa"/>
            <w:vAlign w:val="bottom"/>
            <w:tcBorders>
              <w:bottom w:val="single" w:sz="8" w:color="004877"/>
            </w:tcBorders>
          </w:tcPr>
          <w:p>
            <w:pPr>
              <w:spacing w:after="0"/>
              <w:rPr>
                <w:sz w:val="5"/>
                <w:szCs w:val="5"/>
                <w:color w:val="auto"/>
              </w:rPr>
            </w:pPr>
          </w:p>
        </w:tc>
        <w:tc>
          <w:tcPr>
            <w:tcW w:w="380" w:type="dxa"/>
            <w:vAlign w:val="bottom"/>
            <w:tcBorders>
              <w:bottom w:val="single" w:sz="8" w:color="004877"/>
            </w:tcBorders>
            <w:shd w:val="clear" w:color="auto" w:fill="F0EFF7"/>
          </w:tcPr>
          <w:p>
            <w:pPr>
              <w:spacing w:after="0"/>
              <w:rPr>
                <w:sz w:val="5"/>
                <w:szCs w:val="5"/>
                <w:color w:val="auto"/>
              </w:rPr>
            </w:pPr>
          </w:p>
        </w:tc>
        <w:tc>
          <w:tcPr>
            <w:tcW w:w="9440" w:type="dxa"/>
            <w:vAlign w:val="bottom"/>
            <w:tcBorders>
              <w:bottom w:val="single" w:sz="8" w:color="004877"/>
            </w:tcBorders>
            <w:shd w:val="clear" w:color="auto" w:fill="F0EFF7"/>
          </w:tcPr>
          <w:p>
            <w:pPr>
              <w:spacing w:after="0"/>
              <w:rPr>
                <w:sz w:val="5"/>
                <w:szCs w:val="5"/>
                <w:color w:val="auto"/>
              </w:rPr>
            </w:pPr>
          </w:p>
        </w:tc>
        <w:tc>
          <w:tcPr>
            <w:tcW w:w="1100" w:type="dxa"/>
            <w:vAlign w:val="bottom"/>
            <w:tcBorders>
              <w:bottom w:val="single" w:sz="8" w:color="004877"/>
            </w:tcBorders>
            <w:vMerge w:val="continue"/>
            <w:shd w:val="clear" w:color="auto" w:fill="F0EFF7"/>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380" w:type="dxa"/>
            <w:vAlign w:val="bottom"/>
            <w:shd w:val="clear" w:color="auto" w:fill="F0EFF7"/>
          </w:tcPr>
          <w:p>
            <w:pPr>
              <w:ind w:left="100"/>
              <w:spacing w:after="0"/>
              <w:rPr>
                <w:sz w:val="20"/>
                <w:szCs w:val="20"/>
                <w:color w:val="auto"/>
              </w:rPr>
            </w:pPr>
            <w:r>
              <w:rPr>
                <w:rFonts w:ascii="Arial" w:cs="Arial" w:eastAsia="Arial" w:hAnsi="Arial"/>
                <w:sz w:val="18"/>
                <w:szCs w:val="18"/>
                <w:color w:val="004877"/>
              </w:rPr>
              <w:t>3.</w:t>
            </w:r>
          </w:p>
        </w:tc>
        <w:tc>
          <w:tcPr>
            <w:tcW w:w="9440" w:type="dxa"/>
            <w:vAlign w:val="bottom"/>
            <w:shd w:val="clear" w:color="auto" w:fill="F0EFF7"/>
          </w:tcPr>
          <w:p>
            <w:pPr>
              <w:ind w:left="120"/>
              <w:spacing w:after="0"/>
              <w:rPr>
                <w:sz w:val="20"/>
                <w:szCs w:val="20"/>
                <w:color w:val="auto"/>
              </w:rPr>
            </w:pPr>
            <w:r>
              <w:rPr>
                <w:rFonts w:ascii="Arial" w:cs="Arial" w:eastAsia="Arial" w:hAnsi="Arial"/>
                <w:sz w:val="18"/>
                <w:szCs w:val="18"/>
                <w:color w:val="004877"/>
                <w:w w:val="94"/>
              </w:rPr>
              <w:t>Ratification of the selection of Ernst &amp; Young LLP as independent registered public accounting firm of Capital One for 2022.</w:t>
            </w:r>
          </w:p>
        </w:tc>
        <w:tc>
          <w:tcPr>
            <w:tcW w:w="1100" w:type="dxa"/>
            <w:vAlign w:val="bottom"/>
            <w:vMerge w:val="restart"/>
            <w:shd w:val="clear" w:color="auto" w:fill="F0EFF7"/>
          </w:tcPr>
          <w:p>
            <w:pPr>
              <w:ind w:left="280"/>
              <w:spacing w:after="0"/>
              <w:rPr>
                <w:sz w:val="20"/>
                <w:szCs w:val="20"/>
                <w:color w:val="auto"/>
              </w:rPr>
            </w:pPr>
            <w:r>
              <w:rPr>
                <w:rFonts w:ascii="Arial" w:cs="Arial" w:eastAsia="Arial" w:hAnsi="Arial"/>
                <w:sz w:val="18"/>
                <w:szCs w:val="18"/>
                <w:b w:val="1"/>
                <w:bCs w:val="1"/>
                <w:color w:val="004877"/>
              </w:rPr>
              <w:t>For</w:t>
            </w:r>
          </w:p>
        </w:tc>
        <w:tc>
          <w:tcPr>
            <w:tcW w:w="0" w:type="dxa"/>
            <w:vAlign w:val="bottom"/>
          </w:tcPr>
          <w:p>
            <w:pPr>
              <w:spacing w:after="0"/>
              <w:rPr>
                <w:sz w:val="1"/>
                <w:szCs w:val="1"/>
                <w:color w:val="auto"/>
              </w:rPr>
            </w:pPr>
          </w:p>
        </w:tc>
      </w:tr>
      <w:tr>
        <w:trPr>
          <w:trHeight w:val="68"/>
        </w:trPr>
        <w:tc>
          <w:tcPr>
            <w:tcW w:w="100" w:type="dxa"/>
            <w:vAlign w:val="bottom"/>
          </w:tcPr>
          <w:p>
            <w:pPr>
              <w:spacing w:after="0"/>
              <w:rPr>
                <w:sz w:val="5"/>
                <w:szCs w:val="5"/>
                <w:color w:val="auto"/>
              </w:rPr>
            </w:pPr>
          </w:p>
        </w:tc>
        <w:tc>
          <w:tcPr>
            <w:tcW w:w="380" w:type="dxa"/>
            <w:vAlign w:val="bottom"/>
            <w:shd w:val="clear" w:color="auto" w:fill="F0EFF7"/>
          </w:tcPr>
          <w:p>
            <w:pPr>
              <w:spacing w:after="0"/>
              <w:rPr>
                <w:sz w:val="5"/>
                <w:szCs w:val="5"/>
                <w:color w:val="auto"/>
              </w:rPr>
            </w:pPr>
          </w:p>
        </w:tc>
        <w:tc>
          <w:tcPr>
            <w:tcW w:w="9440" w:type="dxa"/>
            <w:vAlign w:val="bottom"/>
            <w:shd w:val="clear" w:color="auto" w:fill="F0EFF7"/>
          </w:tcPr>
          <w:p>
            <w:pPr>
              <w:spacing w:after="0"/>
              <w:rPr>
                <w:sz w:val="5"/>
                <w:szCs w:val="5"/>
                <w:color w:val="auto"/>
              </w:rPr>
            </w:pPr>
          </w:p>
        </w:tc>
        <w:tc>
          <w:tcPr>
            <w:tcW w:w="1100" w:type="dxa"/>
            <w:vAlign w:val="bottom"/>
            <w:vMerge w:val="continue"/>
            <w:shd w:val="clear" w:color="auto" w:fill="F0EFF7"/>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004877"/>
        </w:rPr>
        <w:t xml:space="preserve">NOTE: </w:t>
      </w:r>
      <w:r>
        <w:rPr>
          <w:rFonts w:ascii="Arial" w:cs="Arial" w:eastAsia="Arial" w:hAnsi="Arial"/>
          <w:sz w:val="18"/>
          <w:szCs w:val="18"/>
          <w:color w:val="004877"/>
        </w:rPr>
        <w:t>Such other business as may properly come before the meeting or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2220595</wp:posOffset>
            </wp:positionV>
            <wp:extent cx="6995160" cy="2146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FFFFFF"/>
        </w:rPr>
        <w:t>Prefer to receive an email instead? While voting on www.ProxyVote.com, be sure to click “Sign up for E-delivery”.</w:t>
      </w:r>
    </w:p>
    <w:p>
      <w:pPr>
        <w:sectPr>
          <w:pgSz w:w="11900" w:h="16838" w:orient="portrait"/>
          <w:cols w:equalWidth="0" w:num="1">
            <w:col w:w="11020"/>
          </w:cols>
          <w:pgMar w:left="440" w:top="260" w:right="4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3520"/>
        <w:spacing w:after="0"/>
        <w:rPr>
          <w:sz w:val="20"/>
          <w:szCs w:val="20"/>
          <w:color w:val="auto"/>
        </w:rPr>
      </w:pPr>
      <w:r>
        <w:rPr>
          <w:rFonts w:ascii="Arial" w:cs="Arial" w:eastAsia="Arial" w:hAnsi="Arial"/>
          <w:sz w:val="10"/>
          <w:szCs w:val="10"/>
          <w:color w:val="auto"/>
        </w:rPr>
        <w:t>D73710-P62951-Z81181</w:t>
      </w:r>
    </w:p>
    <w:p>
      <w:pPr>
        <w:sectPr>
          <w:pgSz w:w="11900" w:h="16838" w:orient="portrait"/>
          <w:cols w:equalWidth="0" w:num="1">
            <w:col w:w="11020"/>
          </w:cols>
          <w:pgMar w:left="440" w:top="260" w:right="439" w:bottom="1440" w:gutter="0" w:footer="0" w:header="0"/>
          <w:type w:val="continuous"/>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4800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800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Arial" w:cs="Arial" w:eastAsia="Arial" w:hAnsi="Arial"/>
          <w:sz w:val="43"/>
          <w:szCs w:val="43"/>
          <w:b w:val="1"/>
          <w:bCs w:val="1"/>
          <w:color w:val="FFFF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75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917575"/>
                    </a:xfrm>
                    <a:prstGeom prst="rect">
                      <a:avLst/>
                    </a:prstGeom>
                    <a:noFill/>
                  </pic:spPr>
                </pic:pic>
              </a:graphicData>
            </a:graphic>
          </wp:anchor>
        </w:drawing>
        <w:t>Frequently Asked Questions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2DB3ED"/>
        </w:rPr>
        <w:t>Why am I receiving this Notice of Internet Availability?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and Exchange Commission (“SEC”) permits companies to send the enclosed “Notice” instead of a full printed set of proxy materials. The Notice provides instructions on how to view your company’s proxy materials, vote online and request a full set of printed materials by mail.</w:t>
      </w:r>
    </w:p>
    <w:p>
      <w:pPr>
        <w:spacing w:after="0" w:line="230"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There are several advantages to your company sending a Notice instead of a full set of materials, including lowering your company’s costs and reducing the environmental impact from printing and mailing full sets of proxy materials.</w:t>
      </w: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b w:val="1"/>
          <w:bCs w:val="1"/>
          <w:color w:val="2DB3ED"/>
        </w:rPr>
        <w:t>How do I view the proxy materials online?</w:t>
      </w:r>
    </w:p>
    <w:p>
      <w:pPr>
        <w:spacing w:after="0" w:line="134"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 xml:space="preserve">Go to </w:t>
      </w:r>
      <w:r>
        <w:rPr>
          <w:rFonts w:ascii="Arial" w:cs="Arial" w:eastAsia="Arial" w:hAnsi="Arial"/>
          <w:sz w:val="18"/>
          <w:szCs w:val="18"/>
          <w:u w:val="single" w:color="auto"/>
          <w:color w:val="auto"/>
        </w:rPr>
        <w:t>www.proxyvote.com</w:t>
      </w:r>
      <w:r>
        <w:rPr>
          <w:rFonts w:ascii="Arial" w:cs="Arial" w:eastAsia="Arial" w:hAnsi="Arial"/>
          <w:sz w:val="18"/>
          <w:szCs w:val="18"/>
          <w:color w:val="auto"/>
        </w:rPr>
        <w:t xml:space="preserve"> and enter your control number to get started. Your control number can be found on the enclosed Notice.</w:t>
      </w: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b w:val="1"/>
          <w:bCs w:val="1"/>
          <w:color w:val="2DB3ED"/>
        </w:rPr>
        <w:t>What if I prefer to receive a paper copy of the proxy materials?</w:t>
      </w:r>
    </w:p>
    <w:p>
      <w:pPr>
        <w:spacing w:after="0" w:line="134"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 xml:space="preserve">You can easily request a paper copy which will be mailed to you at no cost. Instructions on how to do so can be found in the </w:t>
      </w:r>
      <w:r>
        <w:rPr>
          <w:rFonts w:ascii="Arial" w:cs="Arial" w:eastAsia="Arial" w:hAnsi="Arial"/>
          <w:sz w:val="18"/>
          <w:szCs w:val="18"/>
          <w:i w:val="1"/>
          <w:iCs w:val="1"/>
          <w:color w:val="auto"/>
        </w:rPr>
        <w:t xml:space="preserve">Get informed before you vote </w:t>
      </w:r>
      <w:r>
        <w:rPr>
          <w:rFonts w:ascii="Arial" w:cs="Arial" w:eastAsia="Arial" w:hAnsi="Arial"/>
          <w:sz w:val="18"/>
          <w:szCs w:val="18"/>
          <w:color w:val="auto"/>
        </w:rPr>
        <w:t>section of the Notice.</w:t>
      </w: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b w:val="1"/>
          <w:bCs w:val="1"/>
          <w:color w:val="2DB3ED"/>
        </w:rPr>
        <w:t>Can I receive proxy materials for future meetings by e-mail rather than receive a Notice?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Yes you can. Go to </w:t>
      </w:r>
      <w:r>
        <w:rPr>
          <w:rFonts w:ascii="Arial" w:cs="Arial" w:eastAsia="Arial" w:hAnsi="Arial"/>
          <w:sz w:val="18"/>
          <w:szCs w:val="18"/>
          <w:u w:val="single" w:color="auto"/>
          <w:color w:val="auto"/>
        </w:rPr>
        <w:t>www.proxyvote.com</w:t>
      </w:r>
      <w:r>
        <w:rPr>
          <w:rFonts w:ascii="Arial" w:cs="Arial" w:eastAsia="Arial" w:hAnsi="Arial"/>
          <w:sz w:val="18"/>
          <w:szCs w:val="18"/>
          <w:color w:val="auto"/>
        </w:rPr>
        <w:t xml:space="preserve"> and select “Email” in the Delivery Settings section.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about the SEC’s Notice and Access Proxy Rules please visit:</w:t>
      </w:r>
    </w:p>
    <w:p>
      <w:pPr>
        <w:spacing w:after="0"/>
        <w:rPr>
          <w:sz w:val="20"/>
          <w:szCs w:val="20"/>
          <w:color w:val="auto"/>
        </w:rPr>
      </w:pPr>
      <w:r>
        <w:rPr>
          <w:rFonts w:ascii="Arial" w:cs="Arial" w:eastAsia="Arial" w:hAnsi="Arial"/>
          <w:sz w:val="18"/>
          <w:szCs w:val="18"/>
          <w:u w:val="single" w:color="auto"/>
          <w:color w:val="auto"/>
        </w:rPr>
        <w:t>www.sec.gov/spotlight/proxymatters/e-proxy.shtml</w:t>
      </w:r>
      <w:r>
        <w:rPr>
          <w:rFonts w:ascii="Arial" w:cs="Arial" w:eastAsia="Arial" w:hAnsi="Arial"/>
          <w:sz w:val="18"/>
          <w:szCs w:val="18"/>
          <w:color w:val="auto"/>
        </w:rPr>
        <w:t>.</w:t>
      </w:r>
    </w:p>
    <w:sectPr>
      <w:pgSz w:w="11900" w:h="16838" w:orient="portrait"/>
      <w:cols w:equalWidth="0" w:num="1">
        <w:col w:w="9880"/>
      </w:cols>
      <w:pgMar w:left="980" w:top="653"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upperLetter"/>
      <w:start w:val="24"/>
    </w:lvl>
  </w:abstractNum>
  <w:abstractNum w:abstractNumId="2">
    <w:nsid w:val="238E1F29"/>
    <w:multiLevelType w:val="hybridMultilevel"/>
    <w:lvl w:ilvl="0">
      <w:lvlJc w:val="left"/>
      <w:lvlText w:val="[%1]"/>
      <w:numFmt w:val="upperLetter"/>
      <w:start w:val="24"/>
    </w:lvl>
  </w:abstractNum>
  <w:abstractNum w:abstractNumId="3">
    <w:nsid w:val="46E87CCD"/>
    <w:multiLevelType w:val="hybridMultilevel"/>
    <w:lvl w:ilvl="0">
      <w:lvlJc w:val="left"/>
      <w:lvlText w:val="["/>
      <w:numFmt w:val="bullet"/>
      <w:start w:val="1"/>
    </w:lvl>
    <w:lvl w:ilvl="1">
      <w:lvlJc w:val="left"/>
      <w:lvlText w:val="(%2)"/>
      <w:numFmt w:val="decimal"/>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2022-03-21T15:26:03Z</dcterms:created>
  <dcterms:modified xsi:type="dcterms:W3CDTF">2022-03-21T15:26:03Z</dcterms:modified>
</cp:coreProperties>
</file>