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21, 2026, Capital One Financial Corporation (the “Company”) issued a press release announcing its financial results for the second quarter ended June 30, 2026. Copies of the Company’s press release and financial supplement are attached and furnished herewith as Exhibits 99.1 and 99.2 to this Form 8-K and are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Note: </w:t>
      </w:r>
      <w:r>
        <w:rPr>
          <w:rFonts w:ascii="Times New Roman;serif" w:hAnsi="Times New Roman;serif"/>
          <w:b w:val="false"/>
          <w:color w:val="000000"/>
          <w:sz w:val="20"/>
        </w:rPr>
        <w:t>Information in this report (including Exhibits 99.1 and 99.2) furnished pursuant to Item 2.02 shall not be deemed to be “filed” for the purposes of Section 18 of the Securities Exchange Act of 1934 or otherwise subject to the liabilities of that Section.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0"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947"/>
        <w:gridCol w:w="1947"/>
        <w:gridCol w:w="276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q22026earningsrelease.htm">
              <w:r>
                <w:rPr>
                  <w:rStyle w:val="InternetLink"/>
                  <w:rFonts w:ascii="Times New Roman;serif" w:hAnsi="Times New Roman;serif"/>
                  <w:b w:val="false"/>
                  <w:color w:val="000080"/>
                  <w:sz w:val="20"/>
                  <w:u w:val="single"/>
                </w:rPr>
                <w:t xml:space="preserve">Press Release, dated </w:t>
              </w:r>
            </w:hyperlink>
            <w:hyperlink w:anchor="ex991q22026earningsrelease.htm">
              <w:r>
                <w:rPr>
                  <w:rStyle w:val="InternetLink"/>
                  <w:rFonts w:ascii="Times New Roman;serif" w:hAnsi="Times New Roman;serif"/>
                  <w:b w:val="false"/>
                  <w:color w:val="000080"/>
                  <w:sz w:val="20"/>
                  <w:u w:val="single"/>
                </w:rPr>
                <w:t>July</w:t>
              </w:r>
            </w:hyperlink>
            <w:hyperlink w:anchor="ex991q22026earningsrelease.htm">
              <w:r>
                <w:rPr>
                  <w:rStyle w:val="InternetLink"/>
                  <w:rFonts w:ascii="Times New Roman;serif" w:hAnsi="Times New Roman;serif"/>
                  <w:b w:val="false"/>
                  <w:color w:val="000080"/>
                  <w:sz w:val="20"/>
                  <w:u w:val="single"/>
                </w:rPr>
                <w:t xml:space="preserve"> </w:t>
              </w:r>
            </w:hyperlink>
            <w:hyperlink w:anchor="ex991q22026earningsrelease.htm">
              <w:r>
                <w:rPr>
                  <w:rStyle w:val="InternetLink"/>
                  <w:rFonts w:ascii="Times New Roman;serif" w:hAnsi="Times New Roman;serif"/>
                  <w:b w:val="false"/>
                  <w:color w:val="000080"/>
                  <w:sz w:val="20"/>
                  <w:u w:val="single"/>
                </w:rPr>
                <w:t>21</w:t>
              </w:r>
            </w:hyperlink>
            <w:hyperlink w:anchor="ex991q22026earningsrelease.htm">
              <w:r>
                <w:rPr>
                  <w:rStyle w:val="InternetLink"/>
                  <w:rFonts w:ascii="Times New Roman;serif" w:hAnsi="Times New Roman;serif"/>
                  <w:b w:val="false"/>
                  <w:color w:val="000080"/>
                  <w:sz w:val="20"/>
                  <w:u w:val="single"/>
                </w:rPr>
                <w:t>, 2026</w:t>
              </w:r>
            </w:hyperlink>
            <w:hyperlink w:anchor="ex991q22026earningsrelease.htm">
              <w:r>
                <w:rPr>
                  <w:rStyle w:val="InternetLink"/>
                  <w:rFonts w:ascii="Times New Roman;serif" w:hAnsi="Times New Roman;serif"/>
                  <w:b w:val="false"/>
                  <w:color w:val="000080"/>
                  <w:sz w:val="20"/>
                  <w:u w:val="single"/>
                </w:rPr>
                <w:t xml:space="preserve"> - </w:t>
              </w:r>
            </w:hyperlink>
            <w:hyperlink w:anchor="ex991q22026earningsrelease.htm">
              <w:r>
                <w:rPr>
                  <w:rStyle w:val="InternetLink"/>
                  <w:rFonts w:ascii="Times New Roman;serif" w:hAnsi="Times New Roman;serif"/>
                  <w:b w:val="false"/>
                  <w:color w:val="000080"/>
                  <w:sz w:val="20"/>
                  <w:u w:val="single"/>
                </w:rPr>
                <w:t>Seco</w:t>
              </w:r>
            </w:hyperlink>
            <w:hyperlink w:anchor="ex991q22026earningsrelease.htm">
              <w:r>
                <w:rPr>
                  <w:rStyle w:val="InternetLink"/>
                  <w:rFonts w:ascii="Times New Roman;serif" w:hAnsi="Times New Roman;serif"/>
                  <w:b w:val="false"/>
                  <w:color w:val="000080"/>
                  <w:sz w:val="20"/>
                  <w:u w:val="single"/>
                </w:rPr>
                <w:t>nd</w:t>
              </w:r>
            </w:hyperlink>
            <w:hyperlink w:anchor="ex991q22026earningsrelease.htm">
              <w:r>
                <w:rPr>
                  <w:rStyle w:val="InternetLink"/>
                  <w:rFonts w:ascii="Times New Roman;serif" w:hAnsi="Times New Roman;serif"/>
                  <w:b w:val="false"/>
                  <w:color w:val="000080"/>
                  <w:sz w:val="20"/>
                  <w:u w:val="single"/>
                </w:rPr>
                <w:t xml:space="preserve"> Quarter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q22026earningsrelease.htm">
              <w:r>
                <w:rPr>
                  <w:rStyle w:val="InternetLink"/>
                  <w:rFonts w:ascii="Times New Roman;serif" w:hAnsi="Times New Roman;serif"/>
                  <w:b w:val="false"/>
                  <w:color w:val="000080"/>
                  <w:sz w:val="20"/>
                  <w:u w:val="single"/>
                </w:rPr>
                <w:t xml:space="preserve">Financial Supplement - </w:t>
              </w:r>
            </w:hyperlink>
            <w:hyperlink w:anchor="ex992q22026earningsrelease.htm">
              <w:r>
                <w:rPr>
                  <w:rStyle w:val="InternetLink"/>
                  <w:rFonts w:ascii="Times New Roman;serif" w:hAnsi="Times New Roman;serif"/>
                  <w:b w:val="false"/>
                  <w:color w:val="000080"/>
                  <w:sz w:val="20"/>
                  <w:u w:val="single"/>
                </w:rPr>
                <w:t>Second</w:t>
              </w:r>
            </w:hyperlink>
            <w:hyperlink w:anchor="ex992q22026earningsrelease.htm">
              <w:r>
                <w:rPr>
                  <w:rStyle w:val="InternetLink"/>
                  <w:rFonts w:ascii="Times New Roman;serif" w:hAnsi="Times New Roman;serif"/>
                  <w:b w:val="false"/>
                  <w:color w:val="000080"/>
                  <w:sz w:val="20"/>
                  <w:u w:val="single"/>
                </w:rPr>
                <w:t xml:space="preserve"> Quarter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Earnings Conference Call Webcast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an earnings conference call on July 21, 2026 at 5:00 PM Eastern Time. The conference call will be accessible through live webcast. Interested investors and other individuals can access the webcast via the Company’s home page (www.capitalone.com). Under “About,” choose “Investors” to access the Investor Center and view and/or download the earnings press release, the financial supplement, including a reconciliation of non-GAAP financial measures, and the earnings release presentation. A replay of the webcast will be archived on the Company’s website through August 4, 2026 at 5:00 PM Eastern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tbl>
      <w:tblPr>
        <w:tblW w:w="6266"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639"/>
        <w:gridCol w:w="639"/>
        <w:gridCol w:w="639"/>
        <w:gridCol w:w="771"/>
        <w:gridCol w:w="771"/>
        <w:gridCol w:w="1098"/>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P. GOLDEN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P. Golden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Chief Accounting Officer</w:t>
            </w:r>
          </w:p>
        </w:tc>
      </w:tr>
    </w:tbl>
    <w:p>
      <w:pPr>
        <w:pStyle w:val="TextBody"/>
        <w:bidi w:val="0"/>
        <w:spacing w:before="0" w:after="6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right"/>
        <w:rPr>
          <w:rFonts w:ascii="Times New Roman;serif" w:hAnsi="Times New Roman;serif"/>
          <w:b/>
          <w:color w:val="000000"/>
          <w:sz w:val="36"/>
        </w:rPr>
      </w:pPr>
      <w:r>
        <w:rPr>
          <w:rFonts w:ascii="Times New Roman;serif" w:hAnsi="Times New Roman;serif"/>
          <w:b/>
          <w:color w:val="000000"/>
          <w:sz w:val="36"/>
        </w:rPr>
        <w:t>News Release</w:t>
      </w:r>
    </w:p>
    <w:p>
      <w:pPr>
        <w:pStyle w:val="TextBody"/>
        <w:bidi w:val="0"/>
        <w:spacing w:before="0" w:after="0"/>
        <w:jc w:val="left"/>
        <w:rPr/>
      </w:pPr>
      <w:r>
        <w:rPr/>
        <w:drawing>
          <wp:inline distT="0" distB="0" distL="0" distR="0">
            <wp:extent cx="2676525" cy="9620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76525" cy="962025"/>
                    </a:xfrm>
                    <a:prstGeom prst="rect">
                      <a:avLst/>
                    </a:prstGeom>
                  </pic:spPr>
                </pic:pic>
              </a:graphicData>
            </a:graphic>
          </wp:inline>
        </w:drawing>
      </w:r>
    </w:p>
    <w:tbl>
      <w:tblPr>
        <w:tblW w:w="7118" w:type="dxa"/>
        <w:jc w:val="right"/>
        <w:tblInd w:w="0" w:type="dxa"/>
        <w:tblLayout w:type="fixed"/>
        <w:tblCellMar>
          <w:top w:w="28" w:type="dxa"/>
          <w:left w:w="28" w:type="dxa"/>
          <w:bottom w:w="28" w:type="dxa"/>
          <w:right w:w="28" w:type="dxa"/>
        </w:tblCellMar>
      </w:tblPr>
      <w:tblGrid>
        <w:gridCol w:w="739"/>
        <w:gridCol w:w="648"/>
        <w:gridCol w:w="654"/>
        <w:gridCol w:w="744"/>
        <w:gridCol w:w="744"/>
        <w:gridCol w:w="748"/>
        <w:gridCol w:w="694"/>
        <w:gridCol w:w="694"/>
        <w:gridCol w:w="638"/>
        <w:gridCol w:w="237"/>
        <w:gridCol w:w="237"/>
        <w:gridCol w:w="341"/>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828282"/>
                <w:sz w:val="20"/>
              </w:rPr>
            </w:pPr>
            <w:r>
              <w:rPr>
                <w:rFonts w:ascii="Times New Roman;serif" w:hAnsi="Times New Roman;serif"/>
                <w:b/>
                <w:color w:val="828282"/>
                <w:sz w:val="20"/>
              </w:rPr>
              <w:t>Contacts:</w:t>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828282"/>
                <w:sz w:val="20"/>
              </w:rPr>
            </w:pPr>
            <w:r>
              <w:rPr>
                <w:rFonts w:ascii="Times New Roman;serif" w:hAnsi="Times New Roman;serif"/>
                <w:b/>
                <w:color w:val="828282"/>
                <w:sz w:val="20"/>
              </w:rPr>
              <w:t>Investor Relations</w:t>
            </w:r>
          </w:p>
        </w:tc>
        <w:tc>
          <w:tcPr>
            <w:tcW w:w="2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828282"/>
                <w:sz w:val="20"/>
              </w:rPr>
            </w:pPr>
            <w:r>
              <w:rPr>
                <w:rFonts w:ascii="Times New Roman;serif" w:hAnsi="Times New Roman;serif"/>
                <w:b/>
                <w:color w:val="828282"/>
                <w:sz w:val="20"/>
              </w:rPr>
              <w:t>Media Relations</w:t>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20"/>
              </w:rPr>
            </w:pPr>
            <w:r>
              <w:rPr>
                <w:rFonts w:ascii="Times New Roman;serif" w:hAnsi="Times New Roman;serif"/>
                <w:b w:val="false"/>
                <w:color w:val="828282"/>
                <w:sz w:val="20"/>
              </w:rPr>
              <w:t>Jeff Norris</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20"/>
              </w:rPr>
            </w:pPr>
            <w:r>
              <w:rPr>
                <w:rFonts w:ascii="Times New Roman;serif" w:hAnsi="Times New Roman;serif"/>
                <w:b w:val="false"/>
                <w:color w:val="828282"/>
                <w:sz w:val="20"/>
              </w:rPr>
              <w:t>Danielle Dietz</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20"/>
              </w:rPr>
            </w:pPr>
            <w:r>
              <w:rPr>
                <w:rFonts w:ascii="Times New Roman;serif" w:hAnsi="Times New Roman;serif"/>
                <w:b w:val="false"/>
                <w:color w:val="828282"/>
                <w:sz w:val="20"/>
              </w:rPr>
              <w:t>Sie Soheili</w:t>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18"/>
              </w:rPr>
            </w:pPr>
            <w:r>
              <w:rPr>
                <w:rFonts w:ascii="Times New Roman;serif" w:hAnsi="Times New Roman;serif"/>
                <w:b w:val="false"/>
                <w:color w:val="828282"/>
                <w:sz w:val="18"/>
              </w:rPr>
              <w:t>jeff.norris@capitalone.com</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18"/>
              </w:rPr>
            </w:pPr>
            <w:r>
              <w:rPr>
                <w:rFonts w:ascii="Times New Roman;serif" w:hAnsi="Times New Roman;serif"/>
                <w:b w:val="false"/>
                <w:color w:val="828282"/>
                <w:sz w:val="18"/>
              </w:rPr>
              <w:t>danielle.dietz@capitalone.com</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18"/>
              </w:rPr>
            </w:pPr>
            <w:r>
              <w:rPr>
                <w:rFonts w:ascii="Times New Roman;serif" w:hAnsi="Times New Roman;serif"/>
                <w:b w:val="false"/>
                <w:color w:val="828282"/>
                <w:sz w:val="18"/>
              </w:rPr>
              <w:t>sie.soheili@capitalone.com</w:t>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 xml:space="preserve">FOR IMMEDIATE RELEASE: </w:t>
      </w:r>
      <w:r>
        <w:rPr>
          <w:rFonts w:ascii="Times New Roman;serif" w:hAnsi="Times New Roman;serif"/>
          <w:b w:val="false"/>
          <w:color w:val="000000"/>
          <w:sz w:val="20"/>
        </w:rPr>
        <w:t>July 21, 2026</w:t>
      </w:r>
    </w:p>
    <w:p>
      <w:pPr>
        <w:pStyle w:val="TextBody"/>
        <w:bidi w:val="0"/>
        <w:spacing w:lineRule="auto" w:line="288" w:before="300" w:after="300"/>
        <w:jc w:val="center"/>
        <w:rPr/>
      </w:pPr>
      <w:r>
        <w:rPr>
          <w:rFonts w:ascii="Times New Roman;serif" w:hAnsi="Times New Roman;serif"/>
          <w:b/>
          <w:color w:val="000000"/>
          <w:sz w:val="28"/>
        </w:rPr>
        <w:t>Capital One Reports Second Quarter 2026 Net Income of $3.0 billion,</w:t>
      </w:r>
      <w:r>
        <w:rPr>
          <w:rFonts w:ascii="Times New Roman;serif" w:hAnsi="Times New Roman;serif"/>
          <w:b w:val="false"/>
          <w:color w:val="000000"/>
          <w:sz w:val="28"/>
        </w:rPr>
        <w:br/>
      </w:r>
      <w:r>
        <w:rPr>
          <w:rFonts w:ascii="Times New Roman;serif" w:hAnsi="Times New Roman;serif"/>
          <w:b/>
          <w:color w:val="000000"/>
          <w:sz w:val="28"/>
        </w:rPr>
        <w:t>or $4.73 per share</w:t>
      </w:r>
    </w:p>
    <w:p>
      <w:pPr>
        <w:pStyle w:val="TextBody"/>
        <w:bidi w:val="0"/>
        <w:spacing w:lineRule="auto" w:line="288" w:before="300" w:after="300"/>
        <w:jc w:val="center"/>
        <w:rPr/>
      </w:pPr>
      <w:r>
        <w:rPr>
          <w:rFonts w:ascii="Times New Roman;serif" w:hAnsi="Times New Roman;serif"/>
          <w:b w:val="false"/>
          <w:i/>
          <w:color w:val="000000"/>
          <w:sz w:val="24"/>
        </w:rPr>
        <w:t>Net of adjusting items, Second Quarter 2026 Net Income of $5.81 per share</w:t>
      </w:r>
      <w:r>
        <w:rPr>
          <w:rFonts w:ascii="Times New Roman;serif" w:hAnsi="Times New Roman;serif"/>
          <w:b w:val="false"/>
          <w:i/>
          <w:color w:val="000000"/>
          <w:sz w:val="16"/>
        </w:rPr>
        <w:t>(1)</w:t>
      </w:r>
    </w:p>
    <w:p>
      <w:pPr>
        <w:pStyle w:val="TextBody"/>
        <w:bidi w:val="0"/>
        <w:spacing w:lineRule="auto" w:line="288" w:before="180" w:after="180"/>
        <w:jc w:val="both"/>
        <w:rPr/>
      </w:pPr>
      <w:r>
        <w:rPr>
          <w:rFonts w:ascii="Times New Roman;serif" w:hAnsi="Times New Roman;serif"/>
          <w:b/>
          <w:color w:val="000000"/>
          <w:sz w:val="20"/>
        </w:rPr>
        <w:t>McLean, Va. (</w:t>
      </w:r>
      <w:r>
        <w:rPr>
          <w:rFonts w:ascii="Times New Roman;serif" w:hAnsi="Times New Roman;serif"/>
          <w:b w:val="false"/>
          <w:color w:val="000000"/>
          <w:sz w:val="20"/>
        </w:rPr>
        <w:t>July 21, 2026</w:t>
      </w:r>
      <w:r>
        <w:rPr>
          <w:rFonts w:ascii="Times New Roman;serif" w:hAnsi="Times New Roman;serif"/>
          <w:b/>
          <w:color w:val="000000"/>
          <w:sz w:val="20"/>
        </w:rPr>
        <w:t xml:space="preserve">) </w:t>
      </w:r>
      <w:r>
        <w:rPr>
          <w:color w:val="000000"/>
        </w:rPr>
        <w:t xml:space="preserve">– </w:t>
      </w:r>
      <w:r>
        <w:rPr>
          <w:rFonts w:ascii="Times New Roman;serif" w:hAnsi="Times New Roman;serif"/>
          <w:b w:val="false"/>
          <w:color w:val="000000"/>
          <w:sz w:val="20"/>
        </w:rPr>
        <w:t>Capital One Financial Corporation (NYSE: COF) today announced net income for the second quarter of 2026 of $3.0 billion, or $4.73 per diluted common share, compared with net income of $2.2 billion, or $3.34 per diluted common share in the first quarter of 2026, and with net loss of $4.3 billion, or $(8.58) per diluted common share in the second quarter of 2025.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second quarter of 2026 was $5.81 per diluted common share.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results in the second quarter continue to reflect solid top line growth and strong credit performance," said Richard D. Fairbank, Founder, Chairman, and Chief Executive Officer. "We’re now 14 months into our integration of Discover, and integration is going well."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quarter included the following adjusting items:</w:t>
      </w:r>
    </w:p>
    <w:tbl>
      <w:tblPr>
        <w:tblW w:w="7033" w:type="dxa"/>
        <w:jc w:val="center"/>
        <w:tblInd w:w="0" w:type="dxa"/>
        <w:tblLayout w:type="fixed"/>
        <w:tblCellMar>
          <w:top w:w="28" w:type="dxa"/>
          <w:left w:w="28" w:type="dxa"/>
          <w:bottom w:w="28" w:type="dxa"/>
          <w:right w:w="28" w:type="dxa"/>
        </w:tblCellMar>
      </w:tblPr>
      <w:tblGrid>
        <w:gridCol w:w="1160"/>
        <w:gridCol w:w="1020"/>
        <w:gridCol w:w="1029"/>
        <w:gridCol w:w="349"/>
        <w:gridCol w:w="777"/>
        <w:gridCol w:w="194"/>
        <w:gridCol w:w="590"/>
        <w:gridCol w:w="1449"/>
        <w:gridCol w:w="465"/>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except per share data)</w:t>
            </w:r>
          </w:p>
        </w:tc>
        <w:tc>
          <w:tcPr>
            <w:tcW w:w="1320" w:type="dxa"/>
            <w:gridSpan w:val="3"/>
            <w:tcBorders>
              <w:top w:val="single" w:sz="8" w:space="0" w:color="000000"/>
              <w:left w:val="single" w:sz="8" w:space="0" w:color="000000"/>
            </w:tcBorders>
            <w:shd w:fill="00497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Pre-Tax Impact</w:t>
            </w:r>
          </w:p>
        </w:tc>
        <w:tc>
          <w:tcPr>
            <w:tcW w:w="2504" w:type="dxa"/>
            <w:gridSpan w:val="3"/>
            <w:tcBorders>
              <w:top w:val="single" w:sz="8" w:space="0" w:color="000000"/>
              <w:left w:val="single" w:sz="8" w:space="0" w:color="000000"/>
              <w:right w:val="single" w:sz="8" w:space="0" w:color="000000"/>
            </w:tcBorders>
            <w:shd w:fill="004977"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After-Tax Diluted EPS Impact</w:t>
            </w:r>
          </w:p>
        </w:tc>
      </w:tr>
      <w:tr>
        <w:trPr/>
        <w:tc>
          <w:tcPr>
            <w:tcW w:w="320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amortization expenses</w:t>
            </w:r>
            <w:r>
              <w:rPr>
                <w:rFonts w:ascii="Times New Roman;serif" w:hAnsi="Times New Roman;serif"/>
                <w:b w:val="false"/>
                <w:color w:val="000000"/>
                <w:sz w:val="12"/>
              </w:rPr>
              <w:t>(2)</w:t>
            </w:r>
          </w:p>
        </w:tc>
        <w:tc>
          <w:tcPr>
            <w:tcW w:w="349"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494</w:t>
            </w:r>
            <w:r>
              <w:rPr>
                <w:color w:val="000000"/>
              </w:rPr>
              <w:t>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0.60</w:t>
            </w:r>
            <w:r>
              <w:rPr>
                <w:color w:val="000000"/>
              </w:rPr>
              <w:t> </w:t>
            </w:r>
          </w:p>
        </w:tc>
        <w:tc>
          <w:tcPr>
            <w:tcW w:w="465"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Discover integration expenses</w:t>
            </w:r>
          </w:p>
        </w:tc>
        <w:tc>
          <w:tcPr>
            <w:tcW w:w="34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w:t>
            </w:r>
            <w:r>
              <w:rPr>
                <w:color w:val="000000"/>
              </w:rPr>
              <w:t>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0.36</w:t>
            </w:r>
            <w:r>
              <w:rPr>
                <w:color w:val="000000"/>
              </w:rPr>
              <w:t> </w:t>
            </w:r>
          </w:p>
        </w:tc>
        <w:tc>
          <w:tcPr>
            <w:tcW w:w="46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Brex integration expenses</w:t>
            </w:r>
          </w:p>
        </w:tc>
        <w:tc>
          <w:tcPr>
            <w:tcW w:w="349"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9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0.12</w:t>
            </w:r>
            <w:r>
              <w:rPr>
                <w:color w:val="000000"/>
              </w:rPr>
              <w:t> </w:t>
            </w:r>
          </w:p>
        </w:tc>
        <w:tc>
          <w:tcPr>
            <w:tcW w:w="465" w:type="dxa"/>
            <w:tcBorders>
              <w:top w:val="single" w:sz="8" w:space="0" w:color="000000"/>
              <w:bottom w:val="single" w:sz="8" w:space="0" w:color="000000"/>
              <w:right w:val="single" w:sz="8" w:space="0" w:color="000000"/>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Capital One Second Quarter 2026 Earnings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Page 2</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comparisons below are for the second quarter of 2026 compared with the first quarter of 2026 unless otherwise noted.</w:t>
      </w:r>
    </w:p>
    <w:p>
      <w:pPr>
        <w:pStyle w:val="TextBody"/>
        <w:bidi w:val="0"/>
        <w:spacing w:lineRule="auto" w:line="288" w:before="180" w:after="180"/>
        <w:jc w:val="both"/>
        <w:rPr>
          <w:rFonts w:ascii="Times New Roman;serif" w:hAnsi="Times New Roman;serif"/>
          <w:b/>
          <w:color w:val="000000"/>
          <w:sz w:val="20"/>
          <w:u w:val="single"/>
        </w:rPr>
      </w:pPr>
      <w:r>
        <w:rPr>
          <w:rFonts w:ascii="Times New Roman;serif" w:hAnsi="Times New Roman;serif"/>
          <w:b/>
          <w:color w:val="000000"/>
          <w:sz w:val="20"/>
          <w:u w:val="single"/>
        </w:rPr>
        <w:t>Second Quarter 2026 Income Statement Summary:</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Total net revenue increased 4 percent to $15.9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Total non-interest expense increased 7 percent to $9.0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11 percent increase in marketing.</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6 percent increase in operating expenses.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Pre-provision earnings</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increased 1 percent to $6.8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Provision for credit losses decreased $1.1 billion to $3.0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Net charge-offs of $3.6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$662 million loan reserve release.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Net interest margin of 8.01 percent, an increase of 14 basis points.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Efficiency ratio of 57.05 percent.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Adjusted efficiency ratio</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of 51.38 percent.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Operating efficiency ratio of 46.57 percent.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Adjusted operating efficiency ratio</w:t>
      </w:r>
      <w:r>
        <w:rPr>
          <w:rFonts w:ascii="Times New Roman;serif" w:hAnsi="Times New Roman;serif"/>
          <w:b w:val="false"/>
          <w:color w:val="000000"/>
          <w:sz w:val="13"/>
        </w:rPr>
        <w:t xml:space="preserve">(4) </w:t>
      </w:r>
      <w:r>
        <w:rPr>
          <w:rFonts w:ascii="Times New Roman;serif" w:hAnsi="Times New Roman;serif"/>
          <w:b w:val="false"/>
          <w:color w:val="000000"/>
          <w:sz w:val="20"/>
        </w:rPr>
        <w:t>of 40.88 percent.</w:t>
      </w:r>
    </w:p>
    <w:p>
      <w:pPr>
        <w:pStyle w:val="TextBody"/>
        <w:bidi w:val="0"/>
        <w:spacing w:lineRule="auto" w:line="288" w:before="180" w:after="180"/>
        <w:jc w:val="both"/>
        <w:rPr>
          <w:rFonts w:ascii="Times New Roman;serif" w:hAnsi="Times New Roman;serif"/>
          <w:b/>
          <w:color w:val="000000"/>
          <w:sz w:val="20"/>
          <w:u w:val="single"/>
        </w:rPr>
      </w:pPr>
      <w:r>
        <w:rPr>
          <w:rFonts w:ascii="Times New Roman;serif" w:hAnsi="Times New Roman;serif"/>
          <w:b/>
          <w:color w:val="000000"/>
          <w:sz w:val="20"/>
          <w:u w:val="single"/>
        </w:rPr>
        <w:t>Second Quarter 2026 Balance Sheet Summary: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Common equity Tier 1 capital ratio</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under Basel III Standardized Approach of 13.7% percent at June 30, 2026.</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Period-end loans held for investment in the quarter increased $9.4 billion, or 2 percent, to $457.2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Credit Card period-end loans increased $4.9 billion, or 2 percent, to $275.4 billion.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Domestic Card period-end loans increased $5.0 billion, or 2 percent, to $259.0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Consumer Banking period-end loans increased $3.6 billion, or 4 percent, to $90.5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Auto period-end loans increased $3.6 billion, or 4 percent, to $89.3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Commercial Banking period-end loans increased $1.0 billion, or 1 percent, to $91.3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Average loans held for investment in the quarter increased $4.4 billion, or 1 percent, to $450.7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Credit Card average loans increased $223 million, or less than 1 percent, to $271.2 billion.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Domestic Card average loans increased $589 million, or less than 1 percent, to $254.6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Consumer Banking average loans increased $2.9 billion, or 3 percent, to $88.6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Auto average loans increased $2.9 billion, or 3 percent, to $87.4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Commercial Banking average loans increased $1.3 billion, or 1 percent, to $90.9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Period-end total deposits decreased $4.8 billion, or 1 percent, to $484.3 billion, while average deposits increased $6.8 billion, or 1 percent, to $486.8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Interest-bearing deposits rate paid decreased 9 basis points to 2.91 percent.</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Capital One Second Quarter 2026 Earnings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ind w:left="0" w:right="0" w:hanging="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ind w:left="0" w:right="0" w:hanging="36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Page 3</w:t>
      </w:r>
    </w:p>
    <w:p>
      <w:pPr>
        <w:pStyle w:val="TextBody"/>
        <w:bidi w:val="0"/>
        <w:spacing w:lineRule="auto" w:line="417" w:before="120" w:after="120"/>
        <w:jc w:val="left"/>
        <w:rPr/>
      </w:pPr>
      <w:r>
        <w:rPr>
          <w:rFonts w:ascii="Times New Roman;serif" w:hAnsi="Times New Roman;serif"/>
          <w:b/>
          <w:color w:val="000000"/>
          <w:sz w:val="20"/>
        </w:rPr>
        <w:t>Earnings Conference Call Webcast Information</w:t>
      </w:r>
      <w:r>
        <w:rPr>
          <w:color w:val="000000"/>
        </w:rPr>
        <w:t xml:space="preserve">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hold an earnings conference call on July 21, 2026 at 5:00 PM Eastern Time. The conference call will be accessible through live webcast. Interested investors and other individuals can access the webcast via the company’s home page (www.capitalone.com). Under “About,” choose “Investors” to access the Investor Center and view and/or download the earnings press release, the financial supplement, including a reconciliation of non-GAAP financial measures, and the earnings release presentation. The replay of the webcast will be archived on the company’s website through August 4, 2026 at 5:00 PM Eastern Time. </w:t>
      </w:r>
    </w:p>
    <w:p>
      <w:pPr>
        <w:pStyle w:val="TextBody"/>
        <w:bidi w:val="0"/>
        <w:spacing w:lineRule="auto" w:line="417" w:before="120" w:after="120"/>
        <w:jc w:val="both"/>
        <w:rPr/>
      </w:pPr>
      <w:r>
        <w:rPr>
          <w:rFonts w:ascii="Times New Roman;serif" w:hAnsi="Times New Roman;serif"/>
          <w:b/>
          <w:color w:val="000000"/>
          <w:sz w:val="20"/>
        </w:rPr>
        <w:t>Forward-Looking Statements</w:t>
      </w:r>
      <w:r>
        <w:rPr>
          <w:color w:val="000000"/>
        </w:rPr>
        <w:t xml:space="preserve">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release may constitute forward-looking statements, which involve a number of risks and uncertainties. Forward-looking statements often use words such as “will,” “anticipate,” “target,” “expect,” “think,” “estimate,” “intend,” “plan,” “goal,” “believe,” “forecast,” “outlook” or other words of similar meaning. Any forward-looking statements made by Capital One or on its behalf speak only as of the date they are made or as of the date indicated, and Capital One does not undertake any obligation to update forward-looking statements as a result of new information, future events or otherwise. Capital One cautions readers that any forward-looking information is not a guarantee of future performance and that actual results could differ materially from those contained in the forward-looking information due to a number of factors. For additional information on factors that could materially influence forward-looking statements included in this earnings press release, see the risk factors set forth under “Part I—Item 1A. Risk Factors” in the Annual Report on Form 10-K for the year ended December 31, 2025 filed with the Securities and Exchange Commission (the “SEC”) and Quarterly Reports on Form 10-Q and Current Reports on Form 8-K filed with the SEC. </w:t>
      </w:r>
    </w:p>
    <w:p>
      <w:pPr>
        <w:pStyle w:val="TextBody"/>
        <w:bidi w:val="0"/>
        <w:spacing w:lineRule="auto" w:line="417" w:before="120" w:after="120"/>
        <w:jc w:val="both"/>
        <w:rPr>
          <w:rFonts w:ascii="Times New Roman;serif" w:hAnsi="Times New Roman;serif"/>
          <w:b/>
          <w:color w:val="000000"/>
          <w:sz w:val="20"/>
        </w:rPr>
      </w:pPr>
      <w:r>
        <w:rPr>
          <w:rFonts w:ascii="Times New Roman;serif" w:hAnsi="Times New Roman;serif"/>
          <w:b/>
          <w:color w:val="000000"/>
          <w:sz w:val="20"/>
        </w:rPr>
        <w:t xml:space="preserve">About Capital One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Capital One Financial Corporation (NYSE: COF) is a leading technology-based financial services company with $484.3 billion in deposits and $673.8 billion in total assets as of June 30, 2026. Headquartered in McLean, Virginia, the company operates as a premier global payments provider and diversified financial institution, delivering a broad suite of products and consumer lifestyle and shopping experiences through its Credit Card, Consumer Banking including its Global Payment Network, and Commercial Banking lines of business. As the only major U.S. bank to migrate entirely to the public cloud, Capital One leverages proprietary data and advanced analytics to democratize financial tools across its primary markets in the United States, Canada, and the United Kingdom.</w:t>
      </w:r>
    </w:p>
    <w:p>
      <w:pPr>
        <w:pStyle w:val="TextBody"/>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120" w:after="120"/>
        <w:jc w:val="center"/>
        <w:rPr/>
      </w:pPr>
      <w:r>
        <w:rPr/>
      </w:r>
    </w:p>
    <w:p>
      <w:pPr>
        <w:pStyle w:val="TextBody"/>
        <w:bidi w:val="0"/>
        <w:spacing w:before="120" w:after="1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357120"/>
                <wp:effectExtent l="0" t="0" r="0" b="0"/>
                <wp:wrapNone/>
                <wp:docPr id="8" name="Frame7"/>
                <a:graphic xmlns:a="http://schemas.openxmlformats.org/drawingml/2006/main">
                  <a:graphicData uri="http://schemas.microsoft.com/office/word/2010/wordprocessingShape">
                    <wps:wsp>
                      <wps:cNvSpPr txBox="1"/>
                      <wps:spPr>
                        <a:xfrm>
                          <a:off x="0" y="0"/>
                          <a:ext cx="6480175" cy="2357120"/>
                        </a:xfrm>
                        <a:prstGeom prst="rect"/>
                        <a:solidFill>
                          <a:srgbClr val="FFFFFF"/>
                        </a:solidFill>
                      </wps:spPr>
                      <wps:txbx>
                        <w:txbxContent>
                          <w:p>
                            <w:pPr>
                              <w:pStyle w:val="TextBody"/>
                              <w:bidi w:val="0"/>
                              <w:spacing w:before="60" w:after="6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0"/>
                              </w:rPr>
                              <w:t>(1)    </w:t>
                            </w:r>
                            <w:r>
                              <w:rPr>
                                <w:rFonts w:ascii="Times New Roman;serif" w:hAnsi="Times New Roman;serif"/>
                                <w:b w:val="false"/>
                                <w:color w:val="000000"/>
                                <w:sz w:val="16"/>
                              </w:rPr>
                              <w:t>Amounts excluding adjusting items are non-GAAP measures that we believe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July 21, 2026 with the SEC, “Table 15: Calculation of Regulatory Capital Measures and Reconciliation of Non-GAAP Measures for a reconciliation of our selected reported results to these non-GAAP measures.</w:t>
                            </w:r>
                          </w:p>
                          <w:p>
                            <w:pPr>
                              <w:pStyle w:val="TextBody"/>
                              <w:bidi w:val="0"/>
                              <w:spacing w:lineRule="auto" w:line="288" w:before="0" w:after="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 xml:space="preserve">Includes purchase accounting-related amortization for acquisitions where integration expenses were also adjusted. </w:t>
                            </w:r>
                          </w:p>
                          <w:p>
                            <w:pPr>
                              <w:pStyle w:val="TextBody"/>
                              <w:bidi w:val="0"/>
                              <w:spacing w:lineRule="auto" w:line="288" w:before="0" w:after="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our Financial Supplement, filed as Exhibit 99.2 to our Current Report on Form 8-K on July 21,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This is a non-GAAP measure. We believe non-GAAP measures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July 21,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(5)    </w:t>
                            </w:r>
                            <w:r>
                              <w:rPr>
                                <w:rFonts w:ascii="Times New Roman;serif" w:hAnsi="Times New Roman;serif"/>
                                <w:b w:val="false"/>
                                <w:color w:val="000000"/>
                                <w:sz w:val="16"/>
                              </w:rPr>
                              <w:t>Regulatory capital metrics as of June 30, 2026 are preliminary and therefore subject to change.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0"/>
                        </w:rPr>
                        <w:t>(1)    </w:t>
                      </w:r>
                      <w:r>
                        <w:rPr>
                          <w:rFonts w:ascii="Times New Roman;serif" w:hAnsi="Times New Roman;serif"/>
                          <w:b w:val="false"/>
                          <w:color w:val="000000"/>
                          <w:sz w:val="16"/>
                        </w:rPr>
                        <w:t>Amounts excluding adjusting items are non-GAAP measures that we believe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July 21, 2026 with the SEC, “Table 15: Calculation of Regulatory Capital Measures and Reconciliation of Non-GAAP Measures for a reconciliation of our selected reported results to these non-GAAP measures.</w:t>
                      </w:r>
                    </w:p>
                    <w:p>
                      <w:pPr>
                        <w:pStyle w:val="TextBody"/>
                        <w:bidi w:val="0"/>
                        <w:spacing w:lineRule="auto" w:line="288" w:before="0" w:after="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 xml:space="preserve">Includes purchase accounting-related amortization for acquisitions where integration expenses were also adjusted. </w:t>
                      </w:r>
                    </w:p>
                    <w:p>
                      <w:pPr>
                        <w:pStyle w:val="TextBody"/>
                        <w:bidi w:val="0"/>
                        <w:spacing w:lineRule="auto" w:line="288" w:before="0" w:after="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our Financial Supplement, filed as Exhibit 99.2 to our Current Report on Form 8-K on July 21,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This is a non-GAAP measure. We believe non-GAAP measures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July 21,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(5)    </w:t>
                      </w:r>
                      <w:r>
                        <w:rPr>
                          <w:rFonts w:ascii="Times New Roman;serif" w:hAnsi="Times New Roman;serif"/>
                          <w:b w:val="false"/>
                          <w:color w:val="000000"/>
                          <w:sz w:val="16"/>
                        </w:rPr>
                        <w:t>Regulatory capital metrics as of June 30, 2026 are preliminary and therefore subject to change.</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 One Financial Corporation</w:t>
      </w:r>
    </w:p>
    <w:p>
      <w:pPr>
        <w:pStyle w:val="TextBody"/>
        <w:bidi w:val="0"/>
        <w:spacing w:lineRule="auto" w:line="288" w:before="0" w:after="0"/>
        <w:jc w:val="center"/>
        <w:rPr/>
      </w:pPr>
      <w:r>
        <w:rPr>
          <w:rFonts w:ascii="Times New Roman;serif" w:hAnsi="Times New Roman;serif"/>
          <w:b/>
          <w:color w:val="000000"/>
          <w:sz w:val="20"/>
        </w:rPr>
        <w:t>Financial Supplement</w:t>
      </w:r>
      <w:r>
        <w:rPr>
          <w:rFonts w:ascii="Times New Roman;serif" w:hAnsi="Times New Roman;serif"/>
          <w:b/>
          <w:color w:val="000000"/>
          <w:sz w:val="13"/>
        </w:rPr>
        <w:t>(1)(2)(3)(4)</w:t>
      </w:r>
    </w:p>
    <w:p>
      <w:pPr>
        <w:pStyle w:val="TextBody"/>
        <w:bidi w:val="0"/>
        <w:spacing w:lineRule="auto" w:line="288" w:before="0" w:after="0"/>
        <w:jc w:val="center"/>
        <w:rPr/>
      </w:pPr>
      <w:r>
        <w:rPr>
          <w:rFonts w:ascii="Times New Roman;serif" w:hAnsi="Times New Roman;serif"/>
          <w:b/>
          <w:color w:val="000000"/>
          <w:sz w:val="20"/>
        </w:rPr>
        <w:t>Second Quarter</w:t>
      </w:r>
      <w:r>
        <w:rPr>
          <w:color w:val="000000"/>
        </w:rPr>
        <w:t xml:space="preserve"> </w:t>
      </w:r>
      <w:r>
        <w:rPr>
          <w:rFonts w:ascii="Times New Roman;serif" w:hAnsi="Times New Roman;serif"/>
          <w:b/>
          <w:color w:val="000000"/>
          <w:sz w:val="20"/>
        </w:rPr>
        <w:t>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82"/>
        <w:gridCol w:w="421"/>
        <w:gridCol w:w="421"/>
        <w:gridCol w:w="451"/>
        <w:gridCol w:w="421"/>
        <w:gridCol w:w="421"/>
        <w:gridCol w:w="2343"/>
        <w:gridCol w:w="2330"/>
        <w:gridCol w:w="2399"/>
        <w:gridCol w:w="149"/>
        <w:gridCol w:w="149"/>
        <w:gridCol w:w="218"/>
      </w:tblGrid>
      <w:tr>
        <w:trPr/>
        <w:tc>
          <w:tcPr>
            <w:tcW w:w="4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One Financial Corporation Consolidated Results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7">
              <w:r>
                <w:rPr>
                  <w:rStyle w:val="InternetLink"/>
                  <w:rFonts w:ascii="Times New Roman;serif" w:hAnsi="Times New Roman;serif"/>
                  <w:b/>
                  <w:strike w:val="false"/>
                  <w:dstrike w:val="false"/>
                  <w:color w:val="000000"/>
                  <w:sz w:val="18"/>
                  <w:u w:val="none"/>
                  <w:effect w:val="none"/>
                </w:rPr>
                <w:t>Table 1:</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7">
              <w:r>
                <w:rPr>
                  <w:rStyle w:val="InternetLink"/>
                  <w:rFonts w:ascii="Times New Roman;serif" w:hAnsi="Times New Roman;serif"/>
                  <w:b/>
                  <w:strike w:val="false"/>
                  <w:dstrike w:val="false"/>
                  <w:color w:val="000000"/>
                  <w:sz w:val="18"/>
                  <w:u w:val="none"/>
                  <w:effect w:val="none"/>
                </w:rPr>
                <w:t>Financial Summary—Consolidated</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7">
              <w:r>
                <w:rPr>
                  <w:rStyle w:val="InternetLink"/>
                  <w:rFonts w:ascii="Times New Roman;serif" w:hAnsi="Times New Roman;serif"/>
                  <w:b/>
                  <w:strike w:val="false"/>
                  <w:dstrike w:val="false"/>
                  <w:color w:val="000000"/>
                  <w:sz w:val="18"/>
                  <w:u w:val="none"/>
                  <w:effect w:val="none"/>
                </w:rPr>
                <w:t>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0">
              <w:r>
                <w:rPr>
                  <w:rStyle w:val="InternetLink"/>
                  <w:rFonts w:ascii="Times New Roman;serif" w:hAnsi="Times New Roman;serif"/>
                  <w:b/>
                  <w:strike w:val="false"/>
                  <w:dstrike w:val="false"/>
                  <w:color w:val="000000"/>
                  <w:sz w:val="18"/>
                  <w:u w:val="none"/>
                  <w:effect w:val="none"/>
                </w:rPr>
                <w:t>Table 2:</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0">
              <w:r>
                <w:rPr>
                  <w:rStyle w:val="InternetLink"/>
                  <w:rFonts w:ascii="Times New Roman;serif" w:hAnsi="Times New Roman;serif"/>
                  <w:b/>
                  <w:strike w:val="false"/>
                  <w:dstrike w:val="false"/>
                  <w:color w:val="000000"/>
                  <w:sz w:val="18"/>
                  <w:u w:val="none"/>
                  <w:effect w:val="none"/>
                </w:rPr>
                <w:t>Selected Metrics—Consolidated</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10">
              <w:r>
                <w:rPr>
                  <w:rStyle w:val="InternetLink"/>
                  <w:rFonts w:ascii="Times New Roman;serif" w:hAnsi="Times New Roman;serif"/>
                  <w:b/>
                  <w:strike w:val="false"/>
                  <w:dstrike w:val="false"/>
                  <w:color w:val="000000"/>
                  <w:sz w:val="18"/>
                  <w:u w:val="none"/>
                  <w:effect w:val="none"/>
                </w:rPr>
                <w:t>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3">
              <w:r>
                <w:rPr>
                  <w:rStyle w:val="InternetLink"/>
                  <w:rFonts w:ascii="Times New Roman;serif" w:hAnsi="Times New Roman;serif"/>
                  <w:b/>
                  <w:strike w:val="false"/>
                  <w:dstrike w:val="false"/>
                  <w:color w:val="000000"/>
                  <w:sz w:val="18"/>
                  <w:u w:val="none"/>
                  <w:effect w:val="none"/>
                </w:rPr>
                <w:t>Table 3:</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3">
              <w:r>
                <w:rPr>
                  <w:rStyle w:val="InternetLink"/>
                  <w:rFonts w:ascii="Times New Roman;serif" w:hAnsi="Times New Roman;serif"/>
                  <w:b/>
                  <w:strike w:val="false"/>
                  <w:dstrike w:val="false"/>
                  <w:color w:val="000000"/>
                  <w:sz w:val="18"/>
                  <w:u w:val="none"/>
                  <w:effect w:val="none"/>
                </w:rPr>
                <w:t>Consolidated Statements of Income</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13">
              <w:r>
                <w:rPr>
                  <w:rStyle w:val="InternetLink"/>
                  <w:rFonts w:ascii="Times New Roman;serif" w:hAnsi="Times New Roman;serif"/>
                  <w:b/>
                  <w:strike w:val="false"/>
                  <w:dstrike w:val="false"/>
                  <w:color w:val="000000"/>
                  <w:sz w:val="18"/>
                  <w:u w:val="none"/>
                  <w:effect w:val="none"/>
                </w:rPr>
                <w:t>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6">
              <w:r>
                <w:rPr>
                  <w:rStyle w:val="InternetLink"/>
                  <w:rFonts w:ascii="Times New Roman;serif" w:hAnsi="Times New Roman;serif"/>
                  <w:b/>
                  <w:strike w:val="false"/>
                  <w:dstrike w:val="false"/>
                  <w:color w:val="000000"/>
                  <w:sz w:val="18"/>
                  <w:u w:val="none"/>
                  <w:effect w:val="none"/>
                </w:rPr>
                <w:t>Table 4:</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6">
              <w:r>
                <w:rPr>
                  <w:rStyle w:val="InternetLink"/>
                  <w:rFonts w:ascii="Times New Roman;serif" w:hAnsi="Times New Roman;serif"/>
                  <w:b/>
                  <w:strike w:val="false"/>
                  <w:dstrike w:val="false"/>
                  <w:color w:val="000000"/>
                  <w:sz w:val="18"/>
                  <w:u w:val="none"/>
                  <w:effect w:val="none"/>
                </w:rPr>
                <w:t>Consolidated Balance Sheets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16">
              <w:r>
                <w:rPr>
                  <w:rStyle w:val="InternetLink"/>
                  <w:rFonts w:ascii="Times New Roman;serif" w:hAnsi="Times New Roman;serif"/>
                  <w:b/>
                  <w:strike w:val="false"/>
                  <w:dstrike w:val="false"/>
                  <w:color w:val="000000"/>
                  <w:sz w:val="18"/>
                  <w:u w:val="none"/>
                  <w:effect w:val="none"/>
                </w:rPr>
                <w:t>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22">
              <w:r>
                <w:rPr>
                  <w:rStyle w:val="InternetLink"/>
                  <w:rFonts w:ascii="Times New Roman;serif" w:hAnsi="Times New Roman;serif"/>
                  <w:b/>
                  <w:strike w:val="false"/>
                  <w:dstrike w:val="false"/>
                  <w:color w:val="000000"/>
                  <w:sz w:val="18"/>
                  <w:u w:val="none"/>
                  <w:effect w:val="none"/>
                </w:rPr>
                <w:t>Table 5:</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22">
              <w:r>
                <w:rPr>
                  <w:rStyle w:val="InternetLink"/>
                  <w:rFonts w:ascii="Times New Roman;serif" w:hAnsi="Times New Roman;serif"/>
                  <w:b/>
                  <w:strike w:val="false"/>
                  <w:dstrike w:val="false"/>
                  <w:color w:val="000000"/>
                  <w:sz w:val="18"/>
                  <w:u w:val="none"/>
                  <w:effect w:val="none"/>
                </w:rPr>
                <w:t>Notes to Financial Summary, Selected Metrics and Consolidated Financial Statements (Tables 1—4)</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22">
              <w:r>
                <w:rPr>
                  <w:rStyle w:val="InternetLink"/>
                  <w:rFonts w:ascii="Times New Roman;serif" w:hAnsi="Times New Roman;serif"/>
                  <w:b/>
                  <w:strike w:val="false"/>
                  <w:dstrike w:val="false"/>
                  <w:color w:val="000000"/>
                  <w:sz w:val="18"/>
                  <w:u w:val="none"/>
                  <w:effect w:val="none"/>
                </w:rPr>
                <w:t>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25">
              <w:r>
                <w:rPr>
                  <w:rStyle w:val="InternetLink"/>
                  <w:rFonts w:ascii="Times New Roman;serif" w:hAnsi="Times New Roman;serif"/>
                  <w:b/>
                  <w:strike w:val="false"/>
                  <w:dstrike w:val="false"/>
                  <w:color w:val="000000"/>
                  <w:sz w:val="18"/>
                  <w:u w:val="none"/>
                  <w:effect w:val="none"/>
                </w:rPr>
                <w:t>Table 6:</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25">
              <w:r>
                <w:rPr>
                  <w:rStyle w:val="InternetLink"/>
                  <w:rFonts w:ascii="Times New Roman;serif" w:hAnsi="Times New Roman;serif"/>
                  <w:b/>
                  <w:strike w:val="false"/>
                  <w:dstrike w:val="false"/>
                  <w:color w:val="000000"/>
                  <w:sz w:val="18"/>
                  <w:u w:val="none"/>
                  <w:effect w:val="none"/>
                </w:rPr>
                <w:t>Average Balances, Net Interest Income and Net Interest Margin</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25">
              <w:r>
                <w:rPr>
                  <w:rStyle w:val="InternetLink"/>
                  <w:rFonts w:ascii="Times New Roman;serif" w:hAnsi="Times New Roman;serif"/>
                  <w:b/>
                  <w:strike w:val="false"/>
                  <w:dstrike w:val="false"/>
                  <w:color w:val="000000"/>
                  <w:sz w:val="18"/>
                  <w:u w:val="none"/>
                  <w:effect w:val="none"/>
                </w:rPr>
                <w:t>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34">
              <w:r>
                <w:rPr>
                  <w:rStyle w:val="InternetLink"/>
                  <w:rFonts w:ascii="Times New Roman;serif" w:hAnsi="Times New Roman;serif"/>
                  <w:b/>
                  <w:strike w:val="false"/>
                  <w:dstrike w:val="false"/>
                  <w:color w:val="000000"/>
                  <w:sz w:val="18"/>
                  <w:u w:val="none"/>
                  <w:effect w:val="none"/>
                </w:rPr>
                <w:t>Table 7:</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34">
              <w:r>
                <w:rPr>
                  <w:rStyle w:val="InternetLink"/>
                  <w:rFonts w:ascii="Times New Roman;serif" w:hAnsi="Times New Roman;serif"/>
                  <w:b/>
                  <w:strike w:val="false"/>
                  <w:dstrike w:val="false"/>
                  <w:color w:val="000000"/>
                  <w:sz w:val="18"/>
                  <w:u w:val="none"/>
                  <w:effect w:val="none"/>
                </w:rPr>
                <w:t>Loan Information and Performance Statistics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34">
              <w:r>
                <w:rPr>
                  <w:rStyle w:val="InternetLink"/>
                  <w:rFonts w:ascii="Times New Roman;serif" w:hAnsi="Times New Roman;serif"/>
                  <w:b/>
                  <w:strike w:val="false"/>
                  <w:dstrike w:val="false"/>
                  <w:color w:val="000000"/>
                  <w:sz w:val="18"/>
                  <w:u w:val="none"/>
                  <w:effect w:val="none"/>
                </w:rPr>
                <w:t>10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37">
              <w:r>
                <w:rPr>
                  <w:rStyle w:val="InternetLink"/>
                  <w:rFonts w:ascii="Times New Roman;serif" w:hAnsi="Times New Roman;serif"/>
                  <w:b/>
                  <w:strike w:val="false"/>
                  <w:dstrike w:val="false"/>
                  <w:color w:val="000000"/>
                  <w:sz w:val="18"/>
                  <w:u w:val="none"/>
                  <w:effect w:val="none"/>
                </w:rPr>
                <w:t>Table 8:</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37">
              <w:r>
                <w:rPr>
                  <w:rStyle w:val="InternetLink"/>
                  <w:rFonts w:ascii="Times New Roman;serif" w:hAnsi="Times New Roman;serif"/>
                  <w:b/>
                  <w:strike w:val="false"/>
                  <w:dstrike w:val="false"/>
                  <w:color w:val="000000"/>
                  <w:sz w:val="18"/>
                  <w:u w:val="none"/>
                  <w:effect w:val="none"/>
                </w:rPr>
                <w:t>Allowance for Credit Losses and Reserve for Unfunded Lending Commitments Activity</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37">
              <w:r>
                <w:rPr>
                  <w:rStyle w:val="InternetLink"/>
                  <w:rFonts w:ascii="Times New Roman;serif" w:hAnsi="Times New Roman;serif"/>
                  <w:b/>
                  <w:strike w:val="false"/>
                  <w:dstrike w:val="false"/>
                  <w:color w:val="000000"/>
                  <w:sz w:val="18"/>
                  <w:u w:val="none"/>
                  <w:effect w:val="none"/>
                </w:rPr>
                <w:t>13</w:t>
              </w:r>
            </w:hyperlink>
          </w:p>
        </w:tc>
      </w:tr>
      <w:tr>
        <w:trPr/>
        <w:tc>
          <w:tcPr>
            <w:tcW w:w="9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Business Segment Results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0">
              <w:r>
                <w:rPr>
                  <w:rStyle w:val="InternetLink"/>
                  <w:rFonts w:ascii="Times New Roman;serif" w:hAnsi="Times New Roman;serif"/>
                  <w:b/>
                  <w:strike w:val="false"/>
                  <w:dstrike w:val="false"/>
                  <w:color w:val="000000"/>
                  <w:sz w:val="18"/>
                  <w:u w:val="none"/>
                  <w:effect w:val="none"/>
                </w:rPr>
                <w:t>Table 9:</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0">
              <w:r>
                <w:rPr>
                  <w:rStyle w:val="InternetLink"/>
                  <w:rFonts w:ascii="Times New Roman;serif" w:hAnsi="Times New Roman;serif"/>
                  <w:b/>
                  <w:strike w:val="false"/>
                  <w:dstrike w:val="false"/>
                  <w:color w:val="000000"/>
                  <w:sz w:val="18"/>
                  <w:u w:val="none"/>
                  <w:effect w:val="none"/>
                </w:rPr>
                <w:t>Financial Summary—Business Segment Results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40">
              <w:r>
                <w:rPr>
                  <w:rStyle w:val="InternetLink"/>
                  <w:rFonts w:ascii="Times New Roman;serif" w:hAnsi="Times New Roman;serif"/>
                  <w:b/>
                  <w:strike w:val="false"/>
                  <w:dstrike w:val="false"/>
                  <w:color w:val="000000"/>
                  <w:sz w:val="18"/>
                  <w:u w:val="none"/>
                  <w:effect w:val="none"/>
                </w:rPr>
                <w:t>14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3">
              <w:r>
                <w:rPr>
                  <w:rStyle w:val="InternetLink"/>
                  <w:rFonts w:ascii="Times New Roman;serif" w:hAnsi="Times New Roman;serif"/>
                  <w:b/>
                  <w:strike w:val="false"/>
                  <w:dstrike w:val="false"/>
                  <w:color w:val="000000"/>
                  <w:sz w:val="18"/>
                  <w:u w:val="none"/>
                  <w:effect w:val="none"/>
                </w:rPr>
                <w:t>Table 10:</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3">
              <w:r>
                <w:rPr>
                  <w:rStyle w:val="InternetLink"/>
                  <w:rFonts w:ascii="Times New Roman;serif" w:hAnsi="Times New Roman;serif"/>
                  <w:b/>
                  <w:strike w:val="false"/>
                  <w:dstrike w:val="false"/>
                  <w:color w:val="000000"/>
                  <w:sz w:val="18"/>
                  <w:u w:val="none"/>
                  <w:effect w:val="none"/>
                </w:rPr>
                <w:t>Financial &amp; Statistical Summary—Credit Card Business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43">
              <w:r>
                <w:rPr>
                  <w:rStyle w:val="InternetLink"/>
                  <w:rFonts w:ascii="Times New Roman;serif" w:hAnsi="Times New Roman;serif"/>
                  <w:b/>
                  <w:strike w:val="false"/>
                  <w:dstrike w:val="false"/>
                  <w:color w:val="000000"/>
                  <w:sz w:val="18"/>
                  <w:u w:val="none"/>
                  <w:effect w:val="none"/>
                </w:rPr>
                <w:t>15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6">
              <w:r>
                <w:rPr>
                  <w:rStyle w:val="InternetLink"/>
                  <w:rFonts w:ascii="Times New Roman;serif" w:hAnsi="Times New Roman;serif"/>
                  <w:b/>
                  <w:strike w:val="false"/>
                  <w:dstrike w:val="false"/>
                  <w:color w:val="000000"/>
                  <w:sz w:val="18"/>
                  <w:u w:val="none"/>
                  <w:effect w:val="none"/>
                </w:rPr>
                <w:t>Table 11:</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6">
              <w:r>
                <w:rPr>
                  <w:rStyle w:val="InternetLink"/>
                  <w:rFonts w:ascii="Times New Roman;serif" w:hAnsi="Times New Roman;serif"/>
                  <w:b/>
                  <w:strike w:val="false"/>
                  <w:dstrike w:val="false"/>
                  <w:color w:val="000000"/>
                  <w:sz w:val="18"/>
                  <w:u w:val="none"/>
                  <w:effect w:val="none"/>
                </w:rPr>
                <w:t>Financial &amp; Statistical Summary—Consumer Banking Business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46">
              <w:r>
                <w:rPr>
                  <w:rStyle w:val="InternetLink"/>
                  <w:rFonts w:ascii="Times New Roman;serif" w:hAnsi="Times New Roman;serif"/>
                  <w:b/>
                  <w:strike w:val="false"/>
                  <w:dstrike w:val="false"/>
                  <w:color w:val="000000"/>
                  <w:sz w:val="18"/>
                  <w:u w:val="none"/>
                  <w:effect w:val="none"/>
                </w:rPr>
                <w:t>17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9">
              <w:r>
                <w:rPr>
                  <w:rStyle w:val="InternetLink"/>
                  <w:rFonts w:ascii="Times New Roman;serif" w:hAnsi="Times New Roman;serif"/>
                  <w:b/>
                  <w:strike w:val="false"/>
                  <w:dstrike w:val="false"/>
                  <w:color w:val="000000"/>
                  <w:sz w:val="18"/>
                  <w:u w:val="none"/>
                  <w:effect w:val="none"/>
                </w:rPr>
                <w:t>Table 12:</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49">
              <w:r>
                <w:rPr>
                  <w:rStyle w:val="InternetLink"/>
                  <w:rFonts w:ascii="Times New Roman;serif" w:hAnsi="Times New Roman;serif"/>
                  <w:b/>
                  <w:strike w:val="false"/>
                  <w:dstrike w:val="false"/>
                  <w:color w:val="000000"/>
                  <w:sz w:val="18"/>
                  <w:u w:val="none"/>
                  <w:effect w:val="none"/>
                </w:rPr>
                <w:t>Financial &amp; Statistical Summary—Commercial Banking Business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49">
              <w:r>
                <w:rPr>
                  <w:rStyle w:val="InternetLink"/>
                  <w:rFonts w:ascii="Times New Roman;serif" w:hAnsi="Times New Roman;serif"/>
                  <w:b/>
                  <w:strike w:val="false"/>
                  <w:dstrike w:val="false"/>
                  <w:color w:val="000000"/>
                  <w:sz w:val="18"/>
                  <w:u w:val="none"/>
                  <w:effect w:val="none"/>
                </w:rPr>
                <w:t>18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52">
              <w:r>
                <w:rPr>
                  <w:rStyle w:val="InternetLink"/>
                  <w:rFonts w:ascii="Times New Roman;serif" w:hAnsi="Times New Roman;serif"/>
                  <w:b/>
                  <w:strike w:val="false"/>
                  <w:dstrike w:val="false"/>
                  <w:color w:val="000000"/>
                  <w:sz w:val="18"/>
                  <w:u w:val="none"/>
                  <w:effect w:val="none"/>
                </w:rPr>
                <w:t>Table 13:</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52">
              <w:r>
                <w:rPr>
                  <w:rStyle w:val="InternetLink"/>
                  <w:rFonts w:ascii="Times New Roman;serif" w:hAnsi="Times New Roman;serif"/>
                  <w:b/>
                  <w:strike w:val="false"/>
                  <w:dstrike w:val="false"/>
                  <w:color w:val="000000"/>
                  <w:sz w:val="18"/>
                  <w:u w:val="none"/>
                  <w:effect w:val="none"/>
                </w:rPr>
                <w:t>Financial &amp; Statistical Summary—Other and Total</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52">
              <w:r>
                <w:rPr>
                  <w:rStyle w:val="InternetLink"/>
                  <w:rFonts w:ascii="Times New Roman;serif" w:hAnsi="Times New Roman;serif"/>
                  <w:b/>
                  <w:strike w:val="false"/>
                  <w:dstrike w:val="false"/>
                  <w:color w:val="000000"/>
                  <w:sz w:val="18"/>
                  <w:u w:val="none"/>
                  <w:effect w:val="none"/>
                </w:rPr>
                <w:t>19</w:t>
              </w:r>
            </w:hyperlink>
          </w:p>
        </w:tc>
      </w:tr>
      <w:tr>
        <w:trPr/>
        <w:tc>
          <w:tcPr>
            <w:tcW w:w="9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58">
              <w:r>
                <w:rPr>
                  <w:rStyle w:val="InternetLink"/>
                  <w:rFonts w:ascii="Times New Roman;serif" w:hAnsi="Times New Roman;serif"/>
                  <w:b/>
                  <w:strike w:val="false"/>
                  <w:dstrike w:val="false"/>
                  <w:color w:val="000000"/>
                  <w:sz w:val="18"/>
                  <w:u w:val="none"/>
                  <w:effect w:val="none"/>
                </w:rPr>
                <w:t>Table 14:</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58">
              <w:r>
                <w:rPr>
                  <w:rStyle w:val="InternetLink"/>
                  <w:rFonts w:ascii="Times New Roman;serif" w:hAnsi="Times New Roman;serif"/>
                  <w:b/>
                  <w:strike w:val="false"/>
                  <w:dstrike w:val="false"/>
                  <w:color w:val="000000"/>
                  <w:sz w:val="18"/>
                  <w:u w:val="none"/>
                  <w:effect w:val="none"/>
                </w:rPr>
                <w:t>Notes to Net Interest Margin, Loan, Allowance and Business Segment Disclosures (Tables 6—13)</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58">
              <w:r>
                <w:rPr>
                  <w:rStyle w:val="InternetLink"/>
                  <w:rFonts w:ascii="Times New Roman;serif" w:hAnsi="Times New Roman;serif"/>
                  <w:b/>
                  <w:strike w:val="false"/>
                  <w:dstrike w:val="false"/>
                  <w:color w:val="000000"/>
                  <w:sz w:val="18"/>
                  <w:u w:val="none"/>
                  <w:effect w:val="none"/>
                </w:rPr>
                <w:t>20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64">
              <w:r>
                <w:rPr>
                  <w:rStyle w:val="InternetLink"/>
                  <w:rFonts w:ascii="Times New Roman;serif" w:hAnsi="Times New Roman;serif"/>
                  <w:b/>
                  <w:strike w:val="false"/>
                  <w:dstrike w:val="false"/>
                  <w:color w:val="000000"/>
                  <w:sz w:val="18"/>
                  <w:u w:val="none"/>
                  <w:effect w:val="none"/>
                </w:rPr>
                <w:t>Table 15:</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64">
              <w:r>
                <w:rPr>
                  <w:rStyle w:val="InternetLink"/>
                  <w:rFonts w:ascii="Times New Roman;serif" w:hAnsi="Times New Roman;serif"/>
                  <w:b/>
                  <w:strike w:val="false"/>
                  <w:dstrike w:val="false"/>
                  <w:color w:val="000000"/>
                  <w:sz w:val="18"/>
                  <w:u w:val="none"/>
                  <w:effect w:val="none"/>
                </w:rPr>
                <w:t>Calculation of Regulatory Capital Measures and Reconciliation of Non-GAAP Measures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64">
              <w:r>
                <w:rPr>
                  <w:rStyle w:val="InternetLink"/>
                  <w:rFonts w:ascii="Times New Roman;serif" w:hAnsi="Times New Roman;serif"/>
                  <w:b/>
                  <w:strike w:val="false"/>
                  <w:dstrike w:val="false"/>
                  <w:color w:val="000000"/>
                  <w:sz w:val="18"/>
                  <w:u w:val="none"/>
                  <w:effect w:val="none"/>
                </w:rPr>
                <w:t>21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099511628330">
              <w:r>
                <w:rPr>
                  <w:rStyle w:val="InternetLink"/>
                  <w:rFonts w:ascii="Times New Roman;serif" w:hAnsi="Times New Roman;serif"/>
                  <w:b/>
                  <w:strike w:val="false"/>
                  <w:dstrike w:val="false"/>
                  <w:color w:val="000000"/>
                  <w:sz w:val="18"/>
                  <w:u w:val="none"/>
                  <w:effect w:val="none"/>
                </w:rPr>
                <w:t>Table 16:</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8250133a44debb4d2a4c7f947f51b_1099511628330">
              <w:r>
                <w:rPr>
                  <w:rStyle w:val="InternetLink"/>
                  <w:rFonts w:ascii="Times New Roman;serif" w:hAnsi="Times New Roman;serif"/>
                  <w:b/>
                  <w:strike w:val="false"/>
                  <w:dstrike w:val="false"/>
                  <w:color w:val="000000"/>
                  <w:sz w:val="18"/>
                  <w:u w:val="none"/>
                  <w:effect w:val="none"/>
                </w:rPr>
                <w:t>Notes to Calculation of Regulatory Capital Measures and Reconciliation of Non-GAAP Measures (Table 15)</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28250133a44debb4d2a4c7f947f51b_1099511628330">
              <w:r>
                <w:rPr>
                  <w:rStyle w:val="InternetLink"/>
                  <w:rFonts w:ascii="Times New Roman;serif" w:hAnsi="Times New Roman;serif"/>
                  <w:b/>
                  <w:strike w:val="false"/>
                  <w:dstrike w:val="false"/>
                  <w:color w:val="000000"/>
                  <w:sz w:val="18"/>
                  <w:u w:val="none"/>
                  <w:effect w:val="none"/>
                </w:rPr>
                <w:t>26</w:t>
              </w:r>
            </w:hyperlink>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60" w:after="283"/>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The information contained in this Financial Supplement is preliminary and based on data available at the time of the earnings presentation. Investors should refer to our Quarterly Report on Form 10-Q for the period ended June 30, 2026 once it is filed with the Securities and Exchange Commission.</w:t>
      </w:r>
    </w:p>
    <w:p>
      <w:pPr>
        <w:pStyle w:val="TextBody"/>
        <w:bidi w:val="0"/>
        <w:spacing w:lineRule="auto" w:line="288" w:before="6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This Financial Supplement includes non-GAAP measures. We believe these non-GAAP measures are useful to investors and users of our financial information as they provide an alternate measurement of our performance and assist when assessing returns and capital management over time. These non-GAAP measures should not be viewed as a substitute for reported results determined in accordance with generally accepted accounting principles in the U.S. (“GAAP”), nor are they necessarily comparable to non-GAAP measures that may be presented by other companies. See “Table 15: Calculation of Regulatory Capital Measures and Reconciliation of Non-GAAP Measures” for a reconciliation of any non-GAAP financial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On May 18, 2025, we completed the Discover acquisition in an all-stock transaction as outlined in the merger agreement dated February 19, 2024.</w:t>
      </w:r>
    </w:p>
    <w:p>
      <w:pPr>
        <w:pStyle w:val="TextBody"/>
        <w:bidi w:val="0"/>
        <w:spacing w:lineRule="auto" w:line="288" w:before="60" w:after="6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On April 7, 2026, we completed the acquisition of Brex in a combination of stock and cash transaction. Brex results and statistics reported herein are from April 7, 2026 to June 30, 2026 and included within the Credit Card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Financial Summary—Consolidated             </w:t>
      </w:r>
    </w:p>
    <w:tbl>
      <w:tblPr>
        <w:tblW w:w="13437" w:type="dxa"/>
        <w:jc w:val="left"/>
        <w:tblInd w:w="0" w:type="dxa"/>
        <w:tblLayout w:type="fixed"/>
        <w:tblCellMar>
          <w:top w:w="28" w:type="dxa"/>
          <w:left w:w="28" w:type="dxa"/>
          <w:bottom w:w="28" w:type="dxa"/>
          <w:right w:w="28" w:type="dxa"/>
        </w:tblCellMar>
      </w:tblPr>
      <w:tblGrid>
        <w:gridCol w:w="1005"/>
        <w:gridCol w:w="225"/>
        <w:gridCol w:w="226"/>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00"/>
        <w:gridCol w:w="206"/>
        <w:gridCol w:w="246"/>
        <w:gridCol w:w="109"/>
        <w:gridCol w:w="109"/>
        <w:gridCol w:w="109"/>
        <w:gridCol w:w="172"/>
        <w:gridCol w:w="174"/>
        <w:gridCol w:w="246"/>
        <w:gridCol w:w="109"/>
        <w:gridCol w:w="109"/>
        <w:gridCol w:w="109"/>
        <w:gridCol w:w="196"/>
        <w:gridCol w:w="661"/>
        <w:gridCol w:w="109"/>
        <w:gridCol w:w="109"/>
        <w:gridCol w:w="109"/>
        <w:gridCol w:w="109"/>
        <w:gridCol w:w="196"/>
        <w:gridCol w:w="646"/>
        <w:gridCol w:w="109"/>
        <w:gridCol w:w="109"/>
        <w:gridCol w:w="109"/>
        <w:gridCol w:w="109"/>
        <w:gridCol w:w="173"/>
        <w:gridCol w:w="173"/>
        <w:gridCol w:w="246"/>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per share data and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Dividends and undistributed earnings allocated to participating securities</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on redeemed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Common Share Statistics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Basic earnings per common share:</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basic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Diluted earnings per common share:</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diluted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Weighted-average common shares outstanding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 (period-end,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and paid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book value per common share (period-end)</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tbl>
      <w:tblPr>
        <w:tblW w:w="13684" w:type="dxa"/>
        <w:jc w:val="left"/>
        <w:tblInd w:w="0" w:type="dxa"/>
        <w:tblLayout w:type="fixed"/>
        <w:tblCellMar>
          <w:top w:w="28" w:type="dxa"/>
          <w:left w:w="28" w:type="dxa"/>
          <w:bottom w:w="28" w:type="dxa"/>
          <w:right w:w="28" w:type="dxa"/>
        </w:tblCellMar>
      </w:tblPr>
      <w:tblGrid>
        <w:gridCol w:w="758"/>
        <w:gridCol w:w="237"/>
        <w:gridCol w:w="221"/>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0"/>
        <w:gridCol w:w="206"/>
        <w:gridCol w:w="246"/>
        <w:gridCol w:w="109"/>
        <w:gridCol w:w="109"/>
        <w:gridCol w:w="109"/>
        <w:gridCol w:w="172"/>
        <w:gridCol w:w="174"/>
        <w:gridCol w:w="246"/>
        <w:gridCol w:w="109"/>
        <w:gridCol w:w="109"/>
        <w:gridCol w:w="109"/>
        <w:gridCol w:w="196"/>
        <w:gridCol w:w="751"/>
        <w:gridCol w:w="109"/>
        <w:gridCol w:w="109"/>
        <w:gridCol w:w="109"/>
        <w:gridCol w:w="109"/>
        <w:gridCol w:w="196"/>
        <w:gridCol w:w="736"/>
        <w:gridCol w:w="109"/>
        <w:gridCol w:w="109"/>
        <w:gridCol w:w="109"/>
        <w:gridCol w:w="109"/>
        <w:gridCol w:w="188"/>
        <w:gridCol w:w="158"/>
        <w:gridCol w:w="291"/>
      </w:tblGrid>
      <w:tr>
        <w:trPr/>
        <w:tc>
          <w:tcPr>
            <w:tcW w:w="7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673,835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673,835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484,257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484,257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(Average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448,469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617,583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682,079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679,050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458,130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455,060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483,393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49,092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114,518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2: Selected Metrics—Consolidated</w:t>
      </w:r>
    </w:p>
    <w:tbl>
      <w:tblPr>
        <w:tblW w:w="13702" w:type="dxa"/>
        <w:jc w:val="left"/>
        <w:tblInd w:w="0" w:type="dxa"/>
        <w:tblLayout w:type="fixed"/>
        <w:tblCellMar>
          <w:top w:w="28" w:type="dxa"/>
          <w:left w:w="28" w:type="dxa"/>
          <w:bottom w:w="28" w:type="dxa"/>
          <w:right w:w="28" w:type="dxa"/>
        </w:tblCellMar>
      </w:tblPr>
      <w:tblGrid>
        <w:gridCol w:w="615"/>
        <w:gridCol w:w="225"/>
        <w:gridCol w:w="226"/>
        <w:gridCol w:w="109"/>
        <w:gridCol w:w="109"/>
        <w:gridCol w:w="109"/>
        <w:gridCol w:w="366"/>
        <w:gridCol w:w="258"/>
        <w:gridCol w:w="343"/>
        <w:gridCol w:w="109"/>
        <w:gridCol w:w="109"/>
        <w:gridCol w:w="109"/>
        <w:gridCol w:w="356"/>
        <w:gridCol w:w="272"/>
        <w:gridCol w:w="329"/>
        <w:gridCol w:w="109"/>
        <w:gridCol w:w="109"/>
        <w:gridCol w:w="109"/>
        <w:gridCol w:w="356"/>
        <w:gridCol w:w="272"/>
        <w:gridCol w:w="329"/>
        <w:gridCol w:w="109"/>
        <w:gridCol w:w="109"/>
        <w:gridCol w:w="109"/>
        <w:gridCol w:w="356"/>
        <w:gridCol w:w="272"/>
        <w:gridCol w:w="329"/>
        <w:gridCol w:w="109"/>
        <w:gridCol w:w="109"/>
        <w:gridCol w:w="109"/>
        <w:gridCol w:w="364"/>
        <w:gridCol w:w="277"/>
        <w:gridCol w:w="324"/>
        <w:gridCol w:w="109"/>
        <w:gridCol w:w="109"/>
        <w:gridCol w:w="109"/>
        <w:gridCol w:w="209"/>
        <w:gridCol w:w="212"/>
        <w:gridCol w:w="346"/>
        <w:gridCol w:w="109"/>
        <w:gridCol w:w="109"/>
        <w:gridCol w:w="109"/>
        <w:gridCol w:w="276"/>
        <w:gridCol w:w="280"/>
        <w:gridCol w:w="346"/>
        <w:gridCol w:w="109"/>
        <w:gridCol w:w="109"/>
        <w:gridCol w:w="109"/>
        <w:gridCol w:w="366"/>
        <w:gridCol w:w="258"/>
        <w:gridCol w:w="343"/>
        <w:gridCol w:w="109"/>
        <w:gridCol w:w="109"/>
        <w:gridCol w:w="109"/>
        <w:gridCol w:w="364"/>
        <w:gridCol w:w="277"/>
        <w:gridCol w:w="324"/>
        <w:gridCol w:w="109"/>
        <w:gridCol w:w="109"/>
        <w:gridCol w:w="109"/>
        <w:gridCol w:w="283"/>
        <w:gridCol w:w="288"/>
        <w:gridCol w:w="391"/>
      </w:tblGrid>
      <w:tr>
        <w:trPr/>
        <w:tc>
          <w:tcPr>
            <w:tcW w:w="6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growth (period over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growth (period over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growth (period over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margin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10.27</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10.07</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interest margin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8.01</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assets</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tangible assets</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1.89</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common equity</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10.76</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9.21</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tangible common equity</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Efficiency ratio</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56.33</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efficiency ratio</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46.57</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46.17</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Effective income tax rate for continuing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Employees (period-end,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Quality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5.02</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5.02</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charge-offs</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charge-off rate</w:t>
            </w:r>
            <w:r>
              <w:rPr>
                <w:rFonts w:ascii="Times New Roman;serif" w:hAnsi="Times New Roman;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3.23</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3.34</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2.91</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2.91</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Capital Ratios</w:t>
            </w:r>
            <w:r>
              <w:rPr>
                <w:rFonts w:ascii="Times New Roman;serif" w:hAnsi="Times New Roman;serif"/>
                <w:b/>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Common equity Tier 1 capital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13.7</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13.7</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common equity (“TCE”)</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pStyle w:val="TextBody"/>
        <w:bidi w:val="0"/>
        <w:spacing w:lineRule="auto" w:line="288" w:before="60" w:after="283"/>
        <w:jc w:val="left"/>
        <w:rPr>
          <w:color w:val="000000"/>
        </w:rPr>
      </w:pPr>
      <w:r>
        <w:rPr>
          <w:color w:val="000000"/>
        </w:rPr>
        <w:t>    </w:t>
      </w:r>
    </w:p>
    <w:p>
      <w:pPr>
        <w:pStyle w:val="TextBody"/>
        <w:bidi w:val="0"/>
        <w:spacing w:lineRule="auto" w:line="288" w:before="0" w:after="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Consolidated Statements of Income</w:t>
      </w:r>
    </w:p>
    <w:tbl>
      <w:tblPr>
        <w:tblW w:w="12321" w:type="dxa"/>
        <w:jc w:val="left"/>
        <w:tblInd w:w="0" w:type="dxa"/>
        <w:tblLayout w:type="fixed"/>
        <w:tblCellMar>
          <w:top w:w="28" w:type="dxa"/>
          <w:left w:w="28" w:type="dxa"/>
          <w:bottom w:w="28" w:type="dxa"/>
          <w:right w:w="28" w:type="dxa"/>
        </w:tblCellMar>
      </w:tblPr>
      <w:tblGrid>
        <w:gridCol w:w="734"/>
        <w:gridCol w:w="210"/>
        <w:gridCol w:w="212"/>
        <w:gridCol w:w="109"/>
        <w:gridCol w:w="109"/>
        <w:gridCol w:w="109"/>
        <w:gridCol w:w="181"/>
        <w:gridCol w:w="586"/>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35"/>
        <w:gridCol w:w="135"/>
        <w:gridCol w:w="136"/>
        <w:gridCol w:w="109"/>
        <w:gridCol w:w="109"/>
        <w:gridCol w:w="109"/>
        <w:gridCol w:w="135"/>
        <w:gridCol w:w="135"/>
        <w:gridCol w:w="136"/>
        <w:gridCol w:w="109"/>
        <w:gridCol w:w="109"/>
        <w:gridCol w:w="109"/>
        <w:gridCol w:w="196"/>
        <w:gridCol w:w="586"/>
        <w:gridCol w:w="109"/>
        <w:gridCol w:w="109"/>
        <w:gridCol w:w="109"/>
        <w:gridCol w:w="109"/>
        <w:gridCol w:w="196"/>
        <w:gridCol w:w="571"/>
        <w:gridCol w:w="109"/>
        <w:gridCol w:w="109"/>
        <w:gridCol w:w="109"/>
        <w:gridCol w:w="109"/>
        <w:gridCol w:w="135"/>
        <w:gridCol w:w="135"/>
        <w:gridCol w:w="136"/>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 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Loans, including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29,646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32,616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Securitized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Senior and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24,519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2,989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interest income (loss)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9,385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17,462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Discount and interchange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Service charges and other customer-related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6,562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Salaries and associate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Communications and 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17,507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6,517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(loss) from continuing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5,201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Dividends and undistributed earnings allocated to participating securities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Discount on redeemed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tbl>
      <w:tblPr>
        <w:tblW w:w="11346" w:type="dxa"/>
        <w:jc w:val="left"/>
        <w:tblInd w:w="0" w:type="dxa"/>
        <w:tblLayout w:type="fixed"/>
        <w:tblCellMar>
          <w:top w:w="28" w:type="dxa"/>
          <w:left w:w="28" w:type="dxa"/>
          <w:bottom w:w="28" w:type="dxa"/>
          <w:right w:w="28" w:type="dxa"/>
        </w:tblCellMar>
      </w:tblPr>
      <w:tblGrid>
        <w:gridCol w:w="830"/>
        <w:gridCol w:w="215"/>
        <w:gridCol w:w="216"/>
        <w:gridCol w:w="109"/>
        <w:gridCol w:w="109"/>
        <w:gridCol w:w="109"/>
        <w:gridCol w:w="181"/>
        <w:gridCol w:w="436"/>
        <w:gridCol w:w="109"/>
        <w:gridCol w:w="109"/>
        <w:gridCol w:w="109"/>
        <w:gridCol w:w="109"/>
        <w:gridCol w:w="181"/>
        <w:gridCol w:w="421"/>
        <w:gridCol w:w="109"/>
        <w:gridCol w:w="109"/>
        <w:gridCol w:w="109"/>
        <w:gridCol w:w="109"/>
        <w:gridCol w:w="181"/>
        <w:gridCol w:w="421"/>
        <w:gridCol w:w="109"/>
        <w:gridCol w:w="109"/>
        <w:gridCol w:w="109"/>
        <w:gridCol w:w="109"/>
        <w:gridCol w:w="181"/>
        <w:gridCol w:w="421"/>
        <w:gridCol w:w="109"/>
        <w:gridCol w:w="109"/>
        <w:gridCol w:w="109"/>
        <w:gridCol w:w="109"/>
        <w:gridCol w:w="181"/>
        <w:gridCol w:w="421"/>
        <w:gridCol w:w="109"/>
        <w:gridCol w:w="109"/>
        <w:gridCol w:w="109"/>
        <w:gridCol w:w="109"/>
        <w:gridCol w:w="135"/>
        <w:gridCol w:w="135"/>
        <w:gridCol w:w="136"/>
        <w:gridCol w:w="109"/>
        <w:gridCol w:w="109"/>
        <w:gridCol w:w="109"/>
        <w:gridCol w:w="135"/>
        <w:gridCol w:w="135"/>
        <w:gridCol w:w="136"/>
        <w:gridCol w:w="109"/>
        <w:gridCol w:w="109"/>
        <w:gridCol w:w="109"/>
        <w:gridCol w:w="181"/>
        <w:gridCol w:w="436"/>
        <w:gridCol w:w="109"/>
        <w:gridCol w:w="109"/>
        <w:gridCol w:w="109"/>
        <w:gridCol w:w="109"/>
        <w:gridCol w:w="181"/>
        <w:gridCol w:w="421"/>
        <w:gridCol w:w="109"/>
        <w:gridCol w:w="109"/>
        <w:gridCol w:w="109"/>
        <w:gridCol w:w="109"/>
        <w:gridCol w:w="135"/>
        <w:gridCol w:w="135"/>
        <w:gridCol w:w="136"/>
        <w:gridCol w:w="109"/>
        <w:gridCol w:w="109"/>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 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5"/>
              </w:rPr>
              <w:t>Basic earnings per common share:</w:t>
            </w:r>
            <w:r>
              <w:rPr>
                <w:rFonts w:ascii="Times New Roman;serif" w:hAnsi="Times New Roman;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per basic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5"/>
              </w:rPr>
              <w:t>Diluted earnings per common share:</w:t>
            </w:r>
            <w:r>
              <w:rPr>
                <w:rFonts w:ascii="Times New Roman;serif" w:hAnsi="Times New Roman;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per diluted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Weighted-average common shares outstanding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Basic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4: Consolidated Balance Sheets </w:t>
      </w:r>
    </w:p>
    <w:tbl>
      <w:tblPr>
        <w:tblW w:w="10205" w:type="dxa"/>
        <w:jc w:val="center"/>
        <w:tblInd w:w="0" w:type="dxa"/>
        <w:tblLayout w:type="fixed"/>
        <w:tblCellMar>
          <w:top w:w="28" w:type="dxa"/>
          <w:left w:w="28" w:type="dxa"/>
          <w:bottom w:w="28" w:type="dxa"/>
          <w:right w:w="28" w:type="dxa"/>
        </w:tblCellMar>
      </w:tblPr>
      <w:tblGrid>
        <w:gridCol w:w="746"/>
        <w:gridCol w:w="330"/>
        <w:gridCol w:w="270"/>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1"/>
        <w:gridCol w:w="205"/>
        <w:gridCol w:w="246"/>
        <w:gridCol w:w="109"/>
        <w:gridCol w:w="109"/>
        <w:gridCol w:w="109"/>
        <w:gridCol w:w="203"/>
        <w:gridCol w:w="203"/>
        <w:gridCol w:w="292"/>
      </w:tblGrid>
      <w:tr>
        <w:trPr/>
        <w:tc>
          <w:tcPr>
            <w:tcW w:w="7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r>
      <w:tr>
        <w:trPr/>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and other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54,714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90,041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securities held to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92,778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Unsecuritized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431,440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Loans held in consolidated trusts</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434,202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025" w:type="dxa"/>
            <w:gridSpan w:val="6"/>
            <w:tcBorders/>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tbl>
      <w:tblPr>
        <w:tblW w:w="10434" w:type="dxa"/>
        <w:jc w:val="center"/>
        <w:tblInd w:w="0" w:type="dxa"/>
        <w:tblLayout w:type="fixed"/>
        <w:tblCellMar>
          <w:top w:w="28" w:type="dxa"/>
          <w:left w:w="28" w:type="dxa"/>
          <w:bottom w:w="28" w:type="dxa"/>
          <w:right w:w="28" w:type="dxa"/>
        </w:tblCellMar>
      </w:tblPr>
      <w:tblGrid>
        <w:gridCol w:w="727"/>
        <w:gridCol w:w="415"/>
        <w:gridCol w:w="419"/>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3"/>
        <w:gridCol w:w="203"/>
        <w:gridCol w:w="246"/>
        <w:gridCol w:w="109"/>
        <w:gridCol w:w="109"/>
        <w:gridCol w:w="109"/>
        <w:gridCol w:w="210"/>
        <w:gridCol w:w="211"/>
        <w:gridCol w:w="291"/>
      </w:tblGrid>
      <w:tr>
        <w:trPr/>
        <w:tc>
          <w:tcPr>
            <w:tcW w:w="72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484,257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funds purchased and securities loaned or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36,869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673,835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283"/>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5: Notes to Financial Summary, Selected Metrics and Consolidated Financial Statements (Tables 1—4) </w:t>
      </w:r>
    </w:p>
    <w:p>
      <w:pPr>
        <w:pStyle w:val="TextBody"/>
        <w:bidi w:val="0"/>
        <w:spacing w:before="60" w:after="60"/>
        <w:jc w:val="both"/>
        <w:rPr/>
      </w:pPr>
      <w:r>
        <w:rPr/>
      </w:r>
    </w:p>
    <w:p>
      <w:pPr>
        <w:pStyle w:val="TextBody"/>
        <w:bidi w:val="0"/>
        <w:spacing w:lineRule="auto" w:line="288" w:before="60" w:after="6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Total net revenue was reduced by $898 million in Q2 2026, $980 million in Q1 2026, $941 million in Q4 2025, $869 million in Q3 2025 and $785 million in Q2 2025 for credit card finance charges and fees charged off as uncollectible.</w:t>
      </w:r>
    </w:p>
    <w:p>
      <w:pPr>
        <w:pStyle w:val="TextBody"/>
        <w:bidi w:val="0"/>
        <w:spacing w:lineRule="auto" w:line="288" w:before="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Dividends and undistributed earnings allocated to participating securities and earnings per share are computed independently for each period. Accordingly, the sum of each quarterly amount may not agree to the year-to-date total. We also provide adjusted diluted earnings per share, which is a non-GAAP measure. See “Table 15: Calculation of Regulatory Capital Measures and Reconciliation of Non-GAAP Measures” for additional information on our non-GAAP measures.</w:t>
      </w:r>
    </w:p>
    <w:p>
      <w:pPr>
        <w:pStyle w:val="TextBody"/>
        <w:bidi w:val="0"/>
        <w:spacing w:lineRule="auto" w:line="288" w:before="0" w:after="6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Tangible book value per common share is a non-GAAP measure calculated based on TCE divided by common shares outstanding.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Total net revenue margin is calculated based on annualized total net revenue for the period divided by average interest-earning assets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(5)</w:t>
      </w:r>
      <w:r>
        <w:rPr>
          <w:rFonts w:ascii="Times New Roman;serif" w:hAnsi="Times New Roman;serif"/>
          <w:b w:val="false"/>
          <w:color w:val="000000"/>
          <w:sz w:val="16"/>
        </w:rPr>
        <w:t>Net interest margin is calculated based on annualized net interest income for the period divided by average interest-earning assets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(6)</w:t>
      </w:r>
      <w:r>
        <w:rPr>
          <w:rFonts w:ascii="Times New Roman;serif" w:hAnsi="Times New Roman;serif"/>
          <w:b w:val="false"/>
          <w:color w:val="000000"/>
          <w:sz w:val="16"/>
        </w:rPr>
        <w:t xml:space="preserve">Return on average assets is calculated based on annualized net income (loss) less annualized income (loss) from discontinued operations, net of tax, for the period divided by average total assets for the period. </w:t>
      </w:r>
    </w:p>
    <w:p>
      <w:pPr>
        <w:pStyle w:val="TextBody"/>
        <w:bidi w:val="0"/>
        <w:spacing w:lineRule="auto" w:line="288" w:before="60" w:after="60"/>
        <w:ind w:left="0" w:right="0" w:hanging="360"/>
        <w:jc w:val="both"/>
        <w:rPr/>
      </w:pPr>
      <w:r>
        <w:rPr>
          <w:rFonts w:ascii="Times New Roman;serif" w:hAnsi="Times New Roman;serif"/>
          <w:b w:val="false"/>
          <w:color w:val="000000"/>
          <w:sz w:val="10"/>
        </w:rPr>
        <w:t>(7)</w:t>
      </w:r>
      <w:r>
        <w:rPr>
          <w:rFonts w:ascii="Times New Roman;serif" w:hAnsi="Times New Roman;serif"/>
          <w:b w:val="false"/>
          <w:color w:val="000000"/>
          <w:sz w:val="16"/>
        </w:rPr>
        <w:t>Return on average tangible assets is a non-GAAP measure calculated based on annualized net income (loss) less annualized income (loss) from discontinued operations, net of tax, for the period divided by average tangible assets for the period.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(8)</w:t>
      </w:r>
      <w:r>
        <w:rPr>
          <w:rFonts w:ascii="Times New Roman;serif" w:hAnsi="Times New Roman;serif"/>
          <w:b w:val="false"/>
          <w:color w:val="000000"/>
          <w:sz w:val="16"/>
        </w:rPr>
        <w:t>Return on average common equity is calculated based on annualized net income (loss) available to common stockholders less annualized income (loss) from discontinued operations, net of tax, for the period, divided by average common equity. Our calculation of return on average common equity may not be comparable to similarly-titled measures reported by other companies.</w:t>
      </w:r>
    </w:p>
    <w:p>
      <w:pPr>
        <w:pStyle w:val="TextBody"/>
        <w:bidi w:val="0"/>
        <w:spacing w:lineRule="auto" w:line="288" w:before="60" w:after="60"/>
        <w:ind w:left="0" w:right="0" w:hanging="360"/>
        <w:jc w:val="both"/>
        <w:rPr/>
      </w:pPr>
      <w:r>
        <w:rPr>
          <w:rFonts w:ascii="Times New Roman;serif" w:hAnsi="Times New Roman;serif"/>
          <w:b w:val="false"/>
          <w:color w:val="000000"/>
          <w:sz w:val="10"/>
        </w:rPr>
        <w:t>(9)</w:t>
      </w:r>
      <w:r>
        <w:rPr>
          <w:rFonts w:ascii="Times New Roman;serif" w:hAnsi="Times New Roman;serif"/>
          <w:b w:val="false"/>
          <w:color w:val="000000"/>
          <w:sz w:val="16"/>
        </w:rPr>
        <w:t>Return on average tangible common equity is a non-GAAP measure calculated based on annualized net income (loss) available to common stockholders less annualized income (loss) from discontinued operations, net of tax, for the period, divided by average TCE.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(10)</w:t>
      </w:r>
      <w:r>
        <w:rPr>
          <w:rFonts w:ascii="Times New Roman;serif" w:hAnsi="Times New Roman;serif"/>
          <w:b w:val="false"/>
          <w:color w:val="000000"/>
          <w:sz w:val="16"/>
        </w:rPr>
        <w:t>Efficiency ratio is calculated based on total non-interest expense for the period divided by total net revenue for the period. We also provide an adjusted efficiency ratio, which is a non-GAAP measure. See “Table 15: Calculation of Regulatory Capital Measures and Reconciliation of Non-GAAP Measures” for additional information on our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(11)</w:t>
      </w:r>
      <w:r>
        <w:rPr>
          <w:rFonts w:ascii="Times New Roman;serif" w:hAnsi="Times New Roman;serif"/>
          <w:b w:val="false"/>
          <w:color w:val="000000"/>
          <w:sz w:val="16"/>
        </w:rPr>
        <w:t>Operating efficiency ratio is calculated based on operating expense for the period divided by total net revenue for the period. We also provide an adjusted operating efficiency ratio, which is a non-GAAP measure. See “Table 15: Calculation of Regulatory Capital Measures and Reconciliation of Non-GAAP Measures” for additional information on our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(12)</w:t>
      </w:r>
      <w:r>
        <w:rPr>
          <w:rFonts w:ascii="Times New Roman;serif" w:hAnsi="Times New Roman;serif"/>
          <w:b w:val="false"/>
          <w:color w:val="000000"/>
          <w:sz w:val="16"/>
        </w:rPr>
        <w:t>Charge-offs exclude $19.4 billion of Discover loans acquired in the second quarter of 2025 that were fully charged-off, with expected recoveries of $3.3 billion included as a benefit to the allowance for credit losses.</w:t>
      </w:r>
    </w:p>
    <w:p>
      <w:pPr>
        <w:pStyle w:val="TextBody"/>
        <w:bidi w:val="0"/>
        <w:spacing w:lineRule="auto" w:line="288" w:before="60" w:after="60"/>
        <w:ind w:left="0" w:right="0" w:hanging="360"/>
        <w:jc w:val="both"/>
        <w:rPr/>
      </w:pPr>
      <w:r>
        <w:rPr>
          <w:rFonts w:ascii="Times New Roman;serif" w:hAnsi="Times New Roman;serif"/>
          <w:b w:val="false"/>
          <w:color w:val="000000"/>
          <w:sz w:val="10"/>
        </w:rPr>
        <w:t>(13)</w:t>
      </w:r>
      <w:r>
        <w:rPr>
          <w:rFonts w:ascii="Times New Roman;serif" w:hAnsi="Times New Roman;serif"/>
          <w:b w:val="false"/>
          <w:color w:val="000000"/>
          <w:sz w:val="16"/>
        </w:rPr>
        <w:t>Net charge-off rate is calculated based on annualized net charge-offs for the period divided by average loans held for investment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(14)</w:t>
      </w:r>
      <w:r>
        <w:rPr>
          <w:rFonts w:ascii="Times New Roman;serif" w:hAnsi="Times New Roman;serif"/>
          <w:b w:val="false"/>
          <w:color w:val="000000"/>
          <w:sz w:val="16"/>
        </w:rPr>
        <w:t>Capital ratios as of the end of Q2 2026 are preliminary and therefore subject to change. See “Table 15: Calculation of Regulatory Capital Measures and Reconciliation of Non-GAAP Measures” for information on the calculation of each of these ratios.</w:t>
      </w:r>
    </w:p>
    <w:p>
      <w:pPr>
        <w:pStyle w:val="TextBody"/>
        <w:bidi w:val="0"/>
        <w:spacing w:lineRule="auto" w:line="288" w:before="60" w:after="60"/>
        <w:ind w:left="0" w:right="0" w:hanging="360"/>
        <w:jc w:val="both"/>
        <w:rPr/>
      </w:pPr>
      <w:r>
        <w:rPr>
          <w:rFonts w:ascii="Times New Roman;serif" w:hAnsi="Times New Roman;serif"/>
          <w:b w:val="false"/>
          <w:color w:val="000000"/>
          <w:sz w:val="10"/>
        </w:rPr>
        <w:t>(15)</w:t>
      </w:r>
      <w:r>
        <w:rPr>
          <w:rFonts w:ascii="Times New Roman;serif" w:hAnsi="Times New Roman;serif"/>
          <w:b w:val="false"/>
          <w:color w:val="000000"/>
          <w:sz w:val="16"/>
        </w:rPr>
        <w:t>TCE ratio is a non-GAAP measure calculated based on TCE divided by tangible assets.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(16)</w:t>
      </w:r>
      <w:r>
        <w:rPr>
          <w:rFonts w:ascii="Times New Roman;serif" w:hAnsi="Times New Roman;serif"/>
          <w:b w:val="false"/>
          <w:color w:val="000000"/>
          <w:sz w:val="16"/>
        </w:rPr>
        <w:t>On December 18, 2025, after giving effect to the Discover Card Execution Note Trust (“DCENT”) Defeasance Amendments, Funding, as Beneficiary on behalf of DCENT, defeased the outstanding DiscoverSeries Class A(2021-2) Notes, Class A(2023-1) Notes, and Class A(2023-2) Notes (collectively, the “Class A Notes”) issued by DCENT.</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6: Average Balances, Net Interest Income and Net Interest Margin </w:t>
      </w:r>
    </w:p>
    <w:tbl>
      <w:tblPr>
        <w:tblW w:w="13058" w:type="dxa"/>
        <w:jc w:val="left"/>
        <w:tblInd w:w="0" w:type="dxa"/>
        <w:tblLayout w:type="fixed"/>
        <w:tblCellMar>
          <w:top w:w="28" w:type="dxa"/>
          <w:left w:w="28" w:type="dxa"/>
          <w:bottom w:w="28" w:type="dxa"/>
          <w:right w:w="28" w:type="dxa"/>
        </w:tblCellMar>
      </w:tblPr>
      <w:tblGrid>
        <w:gridCol w:w="964"/>
        <w:gridCol w:w="341"/>
        <w:gridCol w:w="226"/>
        <w:gridCol w:w="109"/>
        <w:gridCol w:w="109"/>
        <w:gridCol w:w="109"/>
        <w:gridCol w:w="196"/>
        <w:gridCol w:w="751"/>
        <w:gridCol w:w="109"/>
        <w:gridCol w:w="109"/>
        <w:gridCol w:w="109"/>
        <w:gridCol w:w="109"/>
        <w:gridCol w:w="196"/>
        <w:gridCol w:w="661"/>
        <w:gridCol w:w="109"/>
        <w:gridCol w:w="109"/>
        <w:gridCol w:w="109"/>
        <w:gridCol w:w="109"/>
        <w:gridCol w:w="284"/>
        <w:gridCol w:w="287"/>
        <w:gridCol w:w="292"/>
        <w:gridCol w:w="109"/>
        <w:gridCol w:w="109"/>
        <w:gridCol w:w="109"/>
        <w:gridCol w:w="196"/>
        <w:gridCol w:w="736"/>
        <w:gridCol w:w="109"/>
        <w:gridCol w:w="109"/>
        <w:gridCol w:w="109"/>
        <w:gridCol w:w="109"/>
        <w:gridCol w:w="196"/>
        <w:gridCol w:w="646"/>
        <w:gridCol w:w="109"/>
        <w:gridCol w:w="109"/>
        <w:gridCol w:w="109"/>
        <w:gridCol w:w="109"/>
        <w:gridCol w:w="277"/>
        <w:gridCol w:w="279"/>
        <w:gridCol w:w="278"/>
        <w:gridCol w:w="109"/>
        <w:gridCol w:w="109"/>
        <w:gridCol w:w="109"/>
        <w:gridCol w:w="196"/>
        <w:gridCol w:w="736"/>
        <w:gridCol w:w="109"/>
        <w:gridCol w:w="109"/>
        <w:gridCol w:w="109"/>
        <w:gridCol w:w="109"/>
        <w:gridCol w:w="196"/>
        <w:gridCol w:w="646"/>
        <w:gridCol w:w="109"/>
        <w:gridCol w:w="109"/>
        <w:gridCol w:w="109"/>
        <w:gridCol w:w="109"/>
        <w:gridCol w:w="277"/>
        <w:gridCol w:w="279"/>
        <w:gridCol w:w="325"/>
      </w:tblGrid>
      <w:tr>
        <w:trPr/>
        <w:tc>
          <w:tcPr>
            <w:tcW w:w="96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Q2</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450,862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equivalents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617,583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10.61</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458,130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4.59</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borrowings and liabilities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509,656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7.46</w:t>
            </w:r>
            <w:r>
              <w:rPr>
                <w:color w:val="00000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non-interest-bearing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0.55</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8.01</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78"/>
        <w:gridCol w:w="466"/>
        <w:gridCol w:w="378"/>
        <w:gridCol w:w="109"/>
        <w:gridCol w:w="109"/>
        <w:gridCol w:w="109"/>
        <w:gridCol w:w="207"/>
        <w:gridCol w:w="795"/>
        <w:gridCol w:w="115"/>
        <w:gridCol w:w="109"/>
        <w:gridCol w:w="109"/>
        <w:gridCol w:w="109"/>
        <w:gridCol w:w="238"/>
        <w:gridCol w:w="803"/>
        <w:gridCol w:w="132"/>
        <w:gridCol w:w="109"/>
        <w:gridCol w:w="109"/>
        <w:gridCol w:w="109"/>
        <w:gridCol w:w="284"/>
        <w:gridCol w:w="287"/>
        <w:gridCol w:w="349"/>
        <w:gridCol w:w="109"/>
        <w:gridCol w:w="109"/>
        <w:gridCol w:w="109"/>
        <w:gridCol w:w="208"/>
        <w:gridCol w:w="782"/>
        <w:gridCol w:w="115"/>
        <w:gridCol w:w="109"/>
        <w:gridCol w:w="109"/>
        <w:gridCol w:w="109"/>
        <w:gridCol w:w="239"/>
        <w:gridCol w:w="789"/>
        <w:gridCol w:w="133"/>
        <w:gridCol w:w="109"/>
        <w:gridCol w:w="109"/>
        <w:gridCol w:w="109"/>
        <w:gridCol w:w="277"/>
        <w:gridCol w:w="279"/>
        <w:gridCol w:w="389"/>
      </w:tblGrid>
      <w:tr>
        <w:trPr/>
        <w:tc>
          <w:tcPr>
            <w:tcW w:w="97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8383" w:type="dxa"/>
            <w:gridSpan w:val="36"/>
            <w:tcBorders/>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r>
      <w:tr>
        <w:trPr/>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448,812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29,646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13.21</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98,575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w:t>
            </w: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equivalents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69,991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3.68</w:t>
            </w: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617,378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32,616</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w:t>
            </w: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494,022 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455,060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11,326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4.55</w:t>
            </w: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37,671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5.66</w:t>
            </w: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borrowings and liabilities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w:t>
            </w: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508,094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8,097</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w:t>
            </w: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24,519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7.38</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non-interest-bearing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0.56</w:t>
            </w: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7.94</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pPr>
      <w:r>
        <w:rPr>
          <w:rFonts w:ascii="Times New Roman;serif" w:hAnsi="Times New Roman;serif"/>
          <w:b/>
          <w:color w:val="000000"/>
          <w:sz w:val="20"/>
        </w:rPr>
        <w:t xml:space="preserve">Table 7: Loan Information and Performance Statistics </w:t>
      </w:r>
      <w:r>
        <w:rPr>
          <w:rFonts w:ascii="Times New Roman;serif" w:hAnsi="Times New Roman;serif"/>
          <w:b/>
          <w:color w:val="000000"/>
          <w:sz w:val="13"/>
        </w:rPr>
        <w:t>(3)</w:t>
      </w:r>
    </w:p>
    <w:tbl>
      <w:tblPr>
        <w:tblW w:w="13624" w:type="dxa"/>
        <w:jc w:val="left"/>
        <w:tblInd w:w="0" w:type="dxa"/>
        <w:tblLayout w:type="fixed"/>
        <w:tblCellMar>
          <w:top w:w="28" w:type="dxa"/>
          <w:left w:w="28" w:type="dxa"/>
          <w:bottom w:w="28" w:type="dxa"/>
          <w:right w:w="28" w:type="dxa"/>
        </w:tblCellMar>
      </w:tblPr>
      <w:tblGrid>
        <w:gridCol w:w="735"/>
        <w:gridCol w:w="225"/>
        <w:gridCol w:w="22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1"/>
        <w:gridCol w:w="205"/>
        <w:gridCol w:w="246"/>
        <w:gridCol w:w="109"/>
        <w:gridCol w:w="109"/>
        <w:gridCol w:w="109"/>
        <w:gridCol w:w="164"/>
        <w:gridCol w:w="167"/>
        <w:gridCol w:w="246"/>
        <w:gridCol w:w="109"/>
        <w:gridCol w:w="109"/>
        <w:gridCol w:w="109"/>
        <w:gridCol w:w="196"/>
        <w:gridCol w:w="751"/>
        <w:gridCol w:w="109"/>
        <w:gridCol w:w="109"/>
        <w:gridCol w:w="109"/>
        <w:gridCol w:w="109"/>
        <w:gridCol w:w="196"/>
        <w:gridCol w:w="736"/>
        <w:gridCol w:w="109"/>
        <w:gridCol w:w="109"/>
        <w:gridCol w:w="109"/>
        <w:gridCol w:w="109"/>
        <w:gridCol w:w="179"/>
        <w:gridCol w:w="152"/>
        <w:gridCol w:w="291"/>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Investment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259,005</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252,481 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7,784</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275,408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275,408</w:t>
            </w:r>
            <w:r>
              <w:rPr>
                <w:color w:val="24242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269,709 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89,311</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1,156</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90,467</w:t>
            </w:r>
            <w:r>
              <w:rPr>
                <w:color w:val="24242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34,290</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57,003</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91,293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91,293</w:t>
            </w:r>
            <w:r>
              <w:rPr>
                <w:color w:val="24242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88,355 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457,168</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439,297 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Investment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254,332</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173,858 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7,667</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271,197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271,086</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183,198 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85,979</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1,171</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87,150</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33,759</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56,921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56,474</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90,233</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average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450,679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448,469</w:t>
            </w:r>
            <w:r>
              <w:rPr>
                <w:color w:val="242424"/>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350,425 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28 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tbl>
      <w:tblPr>
        <w:tblW w:w="11821" w:type="dxa"/>
        <w:jc w:val="left"/>
        <w:tblInd w:w="0" w:type="dxa"/>
        <w:tblLayout w:type="fixed"/>
        <w:tblCellMar>
          <w:top w:w="28" w:type="dxa"/>
          <w:left w:w="28" w:type="dxa"/>
          <w:bottom w:w="28" w:type="dxa"/>
          <w:right w:w="28" w:type="dxa"/>
        </w:tblCellMar>
      </w:tblPr>
      <w:tblGrid>
        <w:gridCol w:w="563"/>
        <w:gridCol w:w="311"/>
        <w:gridCol w:w="312"/>
        <w:gridCol w:w="109"/>
        <w:gridCol w:w="109"/>
        <w:gridCol w:w="109"/>
        <w:gridCol w:w="240"/>
        <w:gridCol w:w="241"/>
        <w:gridCol w:w="271"/>
        <w:gridCol w:w="109"/>
        <w:gridCol w:w="109"/>
        <w:gridCol w:w="109"/>
        <w:gridCol w:w="232"/>
        <w:gridCol w:w="234"/>
        <w:gridCol w:w="246"/>
        <w:gridCol w:w="109"/>
        <w:gridCol w:w="109"/>
        <w:gridCol w:w="109"/>
        <w:gridCol w:w="232"/>
        <w:gridCol w:w="234"/>
        <w:gridCol w:w="246"/>
        <w:gridCol w:w="109"/>
        <w:gridCol w:w="109"/>
        <w:gridCol w:w="109"/>
        <w:gridCol w:w="239"/>
        <w:gridCol w:w="242"/>
        <w:gridCol w:w="246"/>
        <w:gridCol w:w="109"/>
        <w:gridCol w:w="109"/>
        <w:gridCol w:w="109"/>
        <w:gridCol w:w="239"/>
        <w:gridCol w:w="242"/>
        <w:gridCol w:w="246"/>
        <w:gridCol w:w="109"/>
        <w:gridCol w:w="109"/>
        <w:gridCol w:w="109"/>
        <w:gridCol w:w="210"/>
        <w:gridCol w:w="211"/>
        <w:gridCol w:w="346"/>
        <w:gridCol w:w="109"/>
        <w:gridCol w:w="109"/>
        <w:gridCol w:w="109"/>
        <w:gridCol w:w="173"/>
        <w:gridCol w:w="173"/>
        <w:gridCol w:w="346"/>
        <w:gridCol w:w="109"/>
        <w:gridCol w:w="109"/>
        <w:gridCol w:w="109"/>
        <w:gridCol w:w="240"/>
        <w:gridCol w:w="241"/>
        <w:gridCol w:w="271"/>
        <w:gridCol w:w="109"/>
        <w:gridCol w:w="109"/>
        <w:gridCol w:w="109"/>
        <w:gridCol w:w="232"/>
        <w:gridCol w:w="234"/>
        <w:gridCol w:w="246"/>
        <w:gridCol w:w="109"/>
        <w:gridCol w:w="109"/>
        <w:gridCol w:w="109"/>
        <w:gridCol w:w="210"/>
        <w:gridCol w:w="211"/>
        <w:gridCol w:w="391"/>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Charge-Off (Recovery)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Credit card</w:t>
            </w:r>
            <w:r>
              <w:rPr>
                <w:rFonts w:ascii="Times New Roman;serif" w:hAnsi="Times New Roman;serif"/>
                <w:b/>
                <w:color w:val="000000"/>
                <w:sz w:val="10"/>
              </w:rPr>
              <w:t>(4)</w:t>
            </w: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Domestic credit card</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5.65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3.46 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5.24</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4.88</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1.53</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5.69</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1.59</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0.06</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0.62</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0.33 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0.41</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0.22 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3.34</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3.31 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30+ Day Performing Delinquency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3.39</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242424"/>
                <w:sz w:val="16"/>
              </w:rPr>
            </w:pPr>
            <w:r>
              <w:rPr>
                <w:rFonts w:ascii="Times New Roman;serif" w:hAnsi="Times New Roman;serif"/>
                <w:b/>
                <w:color w:val="242424"/>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3.60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(21)</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bps</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1.67</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4.60</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3.37</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4.32</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1.15</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4.28</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tbl>
      <w:tblPr>
        <w:tblW w:w="11941"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240"/>
        <w:gridCol w:w="241"/>
        <w:gridCol w:w="271"/>
        <w:gridCol w:w="109"/>
        <w:gridCol w:w="109"/>
        <w:gridCol w:w="109"/>
        <w:gridCol w:w="232"/>
        <w:gridCol w:w="234"/>
        <w:gridCol w:w="246"/>
        <w:gridCol w:w="109"/>
        <w:gridCol w:w="109"/>
        <w:gridCol w:w="109"/>
        <w:gridCol w:w="232"/>
        <w:gridCol w:w="234"/>
        <w:gridCol w:w="246"/>
        <w:gridCol w:w="109"/>
        <w:gridCol w:w="109"/>
        <w:gridCol w:w="109"/>
        <w:gridCol w:w="232"/>
        <w:gridCol w:w="234"/>
        <w:gridCol w:w="246"/>
        <w:gridCol w:w="109"/>
        <w:gridCol w:w="109"/>
        <w:gridCol w:w="109"/>
        <w:gridCol w:w="232"/>
        <w:gridCol w:w="234"/>
        <w:gridCol w:w="246"/>
        <w:gridCol w:w="109"/>
        <w:gridCol w:w="109"/>
        <w:gridCol w:w="109"/>
        <w:gridCol w:w="203"/>
        <w:gridCol w:w="203"/>
        <w:gridCol w:w="406"/>
        <w:gridCol w:w="109"/>
        <w:gridCol w:w="109"/>
        <w:gridCol w:w="109"/>
        <w:gridCol w:w="203"/>
        <w:gridCol w:w="203"/>
        <w:gridCol w:w="346"/>
        <w:gridCol w:w="109"/>
        <w:gridCol w:w="109"/>
        <w:gridCol w:w="109"/>
        <w:gridCol w:w="240"/>
        <w:gridCol w:w="241"/>
        <w:gridCol w:w="271"/>
        <w:gridCol w:w="109"/>
        <w:gridCol w:w="109"/>
        <w:gridCol w:w="109"/>
        <w:gridCol w:w="232"/>
        <w:gridCol w:w="234"/>
        <w:gridCol w:w="246"/>
        <w:gridCol w:w="109"/>
        <w:gridCol w:w="109"/>
        <w:gridCol w:w="109"/>
        <w:gridCol w:w="203"/>
        <w:gridCol w:w="203"/>
        <w:gridCol w:w="391"/>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Six Months Ended June 30,</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Nonperforming Loans and Nonperforming Assets Rates</w:t>
            </w:r>
            <w:r>
              <w:rPr>
                <w:rFonts w:ascii="Times New Roman;serif" w:hAnsi="Times New Roman;serif"/>
                <w:b/>
                <w:color w:val="000000"/>
                <w:sz w:val="1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0.12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bps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0.01</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0.61</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0.73 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1.59</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0.62</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1.29</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1.33</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1.32</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1.30 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0.39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0.39</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0.43</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8: Allowance for Credit Losses and Reserve for Unfunded Lending Commitments Activity</w:t>
      </w:r>
    </w:p>
    <w:tbl>
      <w:tblPr>
        <w:tblW w:w="12659" w:type="dxa"/>
        <w:jc w:val="left"/>
        <w:tblInd w:w="0" w:type="dxa"/>
        <w:tblLayout w:type="fixed"/>
        <w:tblCellMar>
          <w:top w:w="28" w:type="dxa"/>
          <w:left w:w="28" w:type="dxa"/>
          <w:bottom w:w="28" w:type="dxa"/>
          <w:right w:w="28" w:type="dxa"/>
        </w:tblCellMar>
      </w:tblPr>
      <w:tblGrid>
        <w:gridCol w:w="525"/>
        <w:gridCol w:w="277"/>
        <w:gridCol w:w="279"/>
        <w:gridCol w:w="109"/>
        <w:gridCol w:w="109"/>
        <w:gridCol w:w="109"/>
        <w:gridCol w:w="196"/>
        <w:gridCol w:w="661"/>
        <w:gridCol w:w="109"/>
        <w:gridCol w:w="109"/>
        <w:gridCol w:w="109"/>
        <w:gridCol w:w="109"/>
        <w:gridCol w:w="196"/>
        <w:gridCol w:w="436"/>
        <w:gridCol w:w="109"/>
        <w:gridCol w:w="109"/>
        <w:gridCol w:w="109"/>
        <w:gridCol w:w="109"/>
        <w:gridCol w:w="281"/>
        <w:gridCol w:w="627"/>
        <w:gridCol w:w="158"/>
        <w:gridCol w:w="109"/>
        <w:gridCol w:w="109"/>
        <w:gridCol w:w="109"/>
        <w:gridCol w:w="196"/>
        <w:gridCol w:w="661"/>
        <w:gridCol w:w="109"/>
        <w:gridCol w:w="109"/>
        <w:gridCol w:w="109"/>
        <w:gridCol w:w="109"/>
        <w:gridCol w:w="196"/>
        <w:gridCol w:w="571"/>
        <w:gridCol w:w="109"/>
        <w:gridCol w:w="109"/>
        <w:gridCol w:w="109"/>
        <w:gridCol w:w="109"/>
        <w:gridCol w:w="109"/>
        <w:gridCol w:w="109"/>
        <w:gridCol w:w="212"/>
        <w:gridCol w:w="375"/>
        <w:gridCol w:w="119"/>
        <w:gridCol w:w="109"/>
        <w:gridCol w:w="109"/>
        <w:gridCol w:w="109"/>
        <w:gridCol w:w="196"/>
        <w:gridCol w:w="571"/>
        <w:gridCol w:w="109"/>
        <w:gridCol w:w="109"/>
        <w:gridCol w:w="109"/>
        <w:gridCol w:w="109"/>
        <w:gridCol w:w="221"/>
        <w:gridCol w:w="645"/>
        <w:gridCol w:w="125"/>
        <w:gridCol w:w="109"/>
        <w:gridCol w:w="109"/>
        <w:gridCol w:w="109"/>
        <w:gridCol w:w="109"/>
        <w:gridCol w:w="109"/>
        <w:gridCol w:w="196"/>
        <w:gridCol w:w="66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8" w:type="dxa"/>
            <w:gridSpan w:val="58"/>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5"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556" w:type="dxa"/>
            <w:gridSpan w:val="8"/>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Domestic Card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Personal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Card Businesses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Banking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build (release)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changes</w:t>
            </w:r>
            <w:r>
              <w:rPr>
                <w:rFonts w:ascii="Times New Roman;serif" w:hAnsi="Times New Roman;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Reserve for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on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allowance and reserve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1,617</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23,108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59" w:type="dxa"/>
        <w:jc w:val="left"/>
        <w:tblInd w:w="0" w:type="dxa"/>
        <w:tblLayout w:type="fixed"/>
        <w:tblCellMar>
          <w:top w:w="28" w:type="dxa"/>
          <w:left w:w="28" w:type="dxa"/>
          <w:bottom w:w="28" w:type="dxa"/>
          <w:right w:w="28" w:type="dxa"/>
        </w:tblCellMar>
      </w:tblPr>
      <w:tblGrid>
        <w:gridCol w:w="525"/>
        <w:gridCol w:w="277"/>
        <w:gridCol w:w="279"/>
        <w:gridCol w:w="109"/>
        <w:gridCol w:w="109"/>
        <w:gridCol w:w="109"/>
        <w:gridCol w:w="196"/>
        <w:gridCol w:w="661"/>
        <w:gridCol w:w="109"/>
        <w:gridCol w:w="109"/>
        <w:gridCol w:w="109"/>
        <w:gridCol w:w="109"/>
        <w:gridCol w:w="196"/>
        <w:gridCol w:w="436"/>
        <w:gridCol w:w="109"/>
        <w:gridCol w:w="109"/>
        <w:gridCol w:w="109"/>
        <w:gridCol w:w="109"/>
        <w:gridCol w:w="281"/>
        <w:gridCol w:w="627"/>
        <w:gridCol w:w="158"/>
        <w:gridCol w:w="109"/>
        <w:gridCol w:w="109"/>
        <w:gridCol w:w="109"/>
        <w:gridCol w:w="196"/>
        <w:gridCol w:w="661"/>
        <w:gridCol w:w="109"/>
        <w:gridCol w:w="109"/>
        <w:gridCol w:w="109"/>
        <w:gridCol w:w="109"/>
        <w:gridCol w:w="196"/>
        <w:gridCol w:w="571"/>
        <w:gridCol w:w="109"/>
        <w:gridCol w:w="109"/>
        <w:gridCol w:w="109"/>
        <w:gridCol w:w="109"/>
        <w:gridCol w:w="109"/>
        <w:gridCol w:w="109"/>
        <w:gridCol w:w="212"/>
        <w:gridCol w:w="375"/>
        <w:gridCol w:w="119"/>
        <w:gridCol w:w="109"/>
        <w:gridCol w:w="109"/>
        <w:gridCol w:w="109"/>
        <w:gridCol w:w="196"/>
        <w:gridCol w:w="571"/>
        <w:gridCol w:w="109"/>
        <w:gridCol w:w="109"/>
        <w:gridCol w:w="109"/>
        <w:gridCol w:w="109"/>
        <w:gridCol w:w="221"/>
        <w:gridCol w:w="645"/>
        <w:gridCol w:w="125"/>
        <w:gridCol w:w="109"/>
        <w:gridCol w:w="109"/>
        <w:gridCol w:w="109"/>
        <w:gridCol w:w="109"/>
        <w:gridCol w:w="109"/>
        <w:gridCol w:w="196"/>
        <w:gridCol w:w="66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3" w:type="dxa"/>
            <w:gridSpan w:val="5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8"/>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5"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56" w:type="dxa"/>
            <w:gridSpan w:val="8"/>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Domestic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Personal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Card Businesses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Consumer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build (release)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changes</w:t>
            </w:r>
            <w:r>
              <w:rPr>
                <w:rFonts w:ascii="Times New Roman;serif" w:hAnsi="Times New Roman;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Reserve for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losses on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allowance and reserve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1,617</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23,108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pPr>
      <w:r>
        <w:rPr>
          <w:rFonts w:ascii="Times New Roman;serif" w:hAnsi="Times New Roman;serif"/>
          <w:b/>
          <w:color w:val="000000"/>
          <w:sz w:val="20"/>
        </w:rPr>
        <w:t>Table 9: Financial Summary—Business Segment Results</w:t>
      </w:r>
      <w:r>
        <w:rPr>
          <w:rFonts w:ascii="Times New Roman;serif" w:hAnsi="Times New Roman;serif"/>
          <w:b/>
          <w:color w:val="000000"/>
          <w:sz w:val="13"/>
        </w:rPr>
        <w:t>(3)</w:t>
      </w:r>
      <w:r>
        <w:rPr>
          <w:color w:val="000000"/>
        </w:rPr>
        <w:t xml:space="preserve"> </w:t>
      </w:r>
    </w:p>
    <w:p>
      <w:pPr>
        <w:pStyle w:val="TextBody"/>
        <w:bidi w:val="0"/>
        <w:spacing w:before="0" w:after="0"/>
        <w:jc w:val="left"/>
        <w:rPr/>
      </w:pPr>
      <w:r>
        <w:rPr/>
      </w:r>
    </w:p>
    <w:tbl>
      <w:tblPr>
        <w:tblW w:w="13281" w:type="dxa"/>
        <w:jc w:val="left"/>
        <w:tblInd w:w="0" w:type="dxa"/>
        <w:tblLayout w:type="fixed"/>
        <w:tblCellMar>
          <w:top w:w="28" w:type="dxa"/>
          <w:left w:w="28" w:type="dxa"/>
          <w:bottom w:w="28" w:type="dxa"/>
          <w:right w:w="28" w:type="dxa"/>
        </w:tblCellMar>
      </w:tblPr>
      <w:tblGrid>
        <w:gridCol w:w="535"/>
        <w:gridCol w:w="220"/>
        <w:gridCol w:w="221"/>
        <w:gridCol w:w="109"/>
        <w:gridCol w:w="109"/>
        <w:gridCol w:w="109"/>
        <w:gridCol w:w="196"/>
        <w:gridCol w:w="571"/>
        <w:gridCol w:w="109"/>
        <w:gridCol w:w="109"/>
        <w:gridCol w:w="109"/>
        <w:gridCol w:w="109"/>
        <w:gridCol w:w="196"/>
        <w:gridCol w:w="571"/>
        <w:gridCol w:w="109"/>
        <w:gridCol w:w="109"/>
        <w:gridCol w:w="109"/>
        <w:gridCol w:w="109"/>
        <w:gridCol w:w="262"/>
        <w:gridCol w:w="583"/>
        <w:gridCol w:w="146"/>
        <w:gridCol w:w="109"/>
        <w:gridCol w:w="109"/>
        <w:gridCol w:w="109"/>
        <w:gridCol w:w="196"/>
        <w:gridCol w:w="436"/>
        <w:gridCol w:w="109"/>
        <w:gridCol w:w="109"/>
        <w:gridCol w:w="109"/>
        <w:gridCol w:w="10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221"/>
        <w:gridCol w:w="645"/>
        <w:gridCol w:w="125"/>
        <w:gridCol w:w="109"/>
        <w:gridCol w:w="109"/>
        <w:gridCol w:w="109"/>
        <w:gridCol w:w="196"/>
        <w:gridCol w:w="436"/>
        <w:gridCol w:w="109"/>
        <w:gridCol w:w="109"/>
        <w:gridCol w:w="109"/>
        <w:gridCol w:w="109"/>
        <w:gridCol w:w="196"/>
        <w:gridCol w:w="661"/>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585</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1,166</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31,081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239</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pPr>
      <w:r>
        <w:rPr>
          <w:rFonts w:ascii="Times New Roman;serif" w:hAnsi="Times New Roman;serif"/>
          <w:b/>
          <w:color w:val="000000"/>
          <w:sz w:val="20"/>
        </w:rPr>
        <w:t>Table 10: Financial &amp; Statistical Summary—Credit Card Business</w:t>
      </w:r>
      <w:r>
        <w:rPr>
          <w:rFonts w:ascii="Times New Roman;serif" w:hAnsi="Times New Roman;serif"/>
          <w:b/>
          <w:color w:val="000000"/>
          <w:sz w:val="13"/>
        </w:rPr>
        <w:t>(3)</w:t>
      </w:r>
      <w:r>
        <w:rPr>
          <w:color w:val="000000"/>
        </w:rPr>
        <w:t xml:space="preserve"> </w:t>
      </w:r>
    </w:p>
    <w:tbl>
      <w:tblPr>
        <w:tblW w:w="14293" w:type="dxa"/>
        <w:jc w:val="left"/>
        <w:tblInd w:w="0" w:type="dxa"/>
        <w:tblLayout w:type="fixed"/>
        <w:tblCellMar>
          <w:top w:w="28" w:type="dxa"/>
          <w:left w:w="28" w:type="dxa"/>
          <w:bottom w:w="28" w:type="dxa"/>
          <w:right w:w="28" w:type="dxa"/>
        </w:tblCellMar>
      </w:tblPr>
      <w:tblGrid>
        <w:gridCol w:w="765"/>
        <w:gridCol w:w="225"/>
        <w:gridCol w:w="226"/>
        <w:gridCol w:w="109"/>
        <w:gridCol w:w="109"/>
        <w:gridCol w:w="109"/>
        <w:gridCol w:w="196"/>
        <w:gridCol w:w="751"/>
        <w:gridCol w:w="27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71"/>
        <w:gridCol w:w="241"/>
        <w:gridCol w:w="109"/>
        <w:gridCol w:w="109"/>
        <w:gridCol w:w="109"/>
        <w:gridCol w:w="201"/>
        <w:gridCol w:w="205"/>
        <w:gridCol w:w="346"/>
        <w:gridCol w:w="109"/>
        <w:gridCol w:w="109"/>
        <w:gridCol w:w="109"/>
        <w:gridCol w:w="203"/>
        <w:gridCol w:w="203"/>
        <w:gridCol w:w="346"/>
        <w:gridCol w:w="109"/>
        <w:gridCol w:w="109"/>
        <w:gridCol w:w="109"/>
        <w:gridCol w:w="196"/>
        <w:gridCol w:w="751"/>
        <w:gridCol w:w="271"/>
        <w:gridCol w:w="109"/>
        <w:gridCol w:w="109"/>
        <w:gridCol w:w="109"/>
        <w:gridCol w:w="196"/>
        <w:gridCol w:w="646"/>
        <w:gridCol w:w="241"/>
        <w:gridCol w:w="109"/>
        <w:gridCol w:w="109"/>
        <w:gridCol w:w="109"/>
        <w:gridCol w:w="201"/>
        <w:gridCol w:w="205"/>
        <w:gridCol w:w="391"/>
      </w:tblGrid>
      <w:tr>
        <w:trPr/>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18,488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2,513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11,765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23,154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Non-interest expense</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6,098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11,599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275,408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275,408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271,197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271,086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outstanding</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margin</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charge-off rate</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delinquency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loan rate</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Purchase volume</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253,750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474,290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tbl>
      <w:tblPr>
        <w:tblW w:w="14008" w:type="dxa"/>
        <w:jc w:val="left"/>
        <w:tblInd w:w="0" w:type="dxa"/>
        <w:tblLayout w:type="fixed"/>
        <w:tblCellMar>
          <w:top w:w="28" w:type="dxa"/>
          <w:left w:w="28" w:type="dxa"/>
          <w:bottom w:w="28" w:type="dxa"/>
          <w:right w:w="28" w:type="dxa"/>
        </w:tblCellMar>
      </w:tblPr>
      <w:tblGrid>
        <w:gridCol w:w="600"/>
        <w:gridCol w:w="225"/>
        <w:gridCol w:w="226"/>
        <w:gridCol w:w="109"/>
        <w:gridCol w:w="109"/>
        <w:gridCol w:w="109"/>
        <w:gridCol w:w="196"/>
        <w:gridCol w:w="751"/>
        <w:gridCol w:w="27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71"/>
        <w:gridCol w:w="241"/>
        <w:gridCol w:w="109"/>
        <w:gridCol w:w="109"/>
        <w:gridCol w:w="109"/>
        <w:gridCol w:w="203"/>
        <w:gridCol w:w="203"/>
        <w:gridCol w:w="346"/>
        <w:gridCol w:w="109"/>
        <w:gridCol w:w="109"/>
        <w:gridCol w:w="109"/>
        <w:gridCol w:w="172"/>
        <w:gridCol w:w="174"/>
        <w:gridCol w:w="346"/>
        <w:gridCol w:w="109"/>
        <w:gridCol w:w="109"/>
        <w:gridCol w:w="109"/>
        <w:gridCol w:w="196"/>
        <w:gridCol w:w="751"/>
        <w:gridCol w:w="271"/>
        <w:gridCol w:w="109"/>
        <w:gridCol w:w="109"/>
        <w:gridCol w:w="109"/>
        <w:gridCol w:w="196"/>
        <w:gridCol w:w="646"/>
        <w:gridCol w:w="241"/>
        <w:gridCol w:w="109"/>
        <w:gridCol w:w="109"/>
        <w:gridCol w:w="109"/>
        <w:gridCol w:w="172"/>
        <w:gridCol w:w="174"/>
        <w:gridCol w:w="391"/>
      </w:tblGrid>
      <w:tr>
        <w:trPr/>
        <w:tc>
          <w:tcPr>
            <w:tcW w:w="6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Domestic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8,643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17,261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2,460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11,103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21,828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10,950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3,040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259,005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259,005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254,625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254,332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outstanding</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margin</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charge-off rate</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Purchase volume</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249,195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465,708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Refreshed FICO scores:</w:t>
            </w:r>
            <w:r>
              <w:rPr>
                <w:rFonts w:ascii="Times New Roman;serif" w:hAnsi="Times New Roman;serif"/>
                <w:b/>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660 or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11: Financial &amp; Statistical Summary—Consumer Banking Business </w:t>
      </w:r>
    </w:p>
    <w:tbl>
      <w:tblPr>
        <w:tblW w:w="13617" w:type="dxa"/>
        <w:jc w:val="left"/>
        <w:tblInd w:w="0" w:type="dxa"/>
        <w:tblLayout w:type="fixed"/>
        <w:tblCellMar>
          <w:top w:w="28" w:type="dxa"/>
          <w:left w:w="28" w:type="dxa"/>
          <w:bottom w:w="28" w:type="dxa"/>
          <w:right w:w="28" w:type="dxa"/>
        </w:tblCellMar>
      </w:tblPr>
      <w:tblGrid>
        <w:gridCol w:w="765"/>
        <w:gridCol w:w="225"/>
        <w:gridCol w:w="226"/>
        <w:gridCol w:w="109"/>
        <w:gridCol w:w="109"/>
        <w:gridCol w:w="109"/>
        <w:gridCol w:w="196"/>
        <w:gridCol w:w="571"/>
        <w:gridCol w:w="27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00"/>
        <w:gridCol w:w="206"/>
        <w:gridCol w:w="346"/>
        <w:gridCol w:w="109"/>
        <w:gridCol w:w="109"/>
        <w:gridCol w:w="109"/>
        <w:gridCol w:w="209"/>
        <w:gridCol w:w="212"/>
        <w:gridCol w:w="346"/>
        <w:gridCol w:w="109"/>
        <w:gridCol w:w="109"/>
        <w:gridCol w:w="109"/>
        <w:gridCol w:w="196"/>
        <w:gridCol w:w="571"/>
        <w:gridCol w:w="271"/>
        <w:gridCol w:w="109"/>
        <w:gridCol w:w="109"/>
        <w:gridCol w:w="109"/>
        <w:gridCol w:w="196"/>
        <w:gridCol w:w="556"/>
        <w:gridCol w:w="241"/>
        <w:gridCol w:w="109"/>
        <w:gridCol w:w="109"/>
        <w:gridCol w:w="109"/>
        <w:gridCol w:w="209"/>
        <w:gridCol w:w="149"/>
        <w:gridCol w:w="213"/>
      </w:tblGrid>
      <w:tr>
        <w:trPr/>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3,209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88,583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held for investment</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Auto loan 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435,221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435,221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435,890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432,161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loan rate</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asset rate</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Global Payment Network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189,612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363,944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Auto—At origination FICO scores:</w:t>
            </w:r>
            <w:r>
              <w:rPr>
                <w:rFonts w:ascii="Times New Roman;serif" w:hAnsi="Times New Roman;serif"/>
                <w:b/>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621 - 660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620 or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12: Financial &amp; Statistical Summary—Commercial Banking Business</w:t>
      </w:r>
    </w:p>
    <w:tbl>
      <w:tblPr>
        <w:tblW w:w="12670" w:type="dxa"/>
        <w:jc w:val="left"/>
        <w:tblInd w:w="0" w:type="dxa"/>
        <w:tblLayout w:type="fixed"/>
        <w:tblCellMar>
          <w:top w:w="28" w:type="dxa"/>
          <w:left w:w="28" w:type="dxa"/>
          <w:bottom w:w="28" w:type="dxa"/>
          <w:right w:w="28" w:type="dxa"/>
        </w:tblCellMar>
      </w:tblPr>
      <w:tblGrid>
        <w:gridCol w:w="765"/>
        <w:gridCol w:w="225"/>
        <w:gridCol w:w="226"/>
        <w:gridCol w:w="109"/>
        <w:gridCol w:w="109"/>
        <w:gridCol w:w="109"/>
        <w:gridCol w:w="196"/>
        <w:gridCol w:w="436"/>
        <w:gridCol w:w="27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84"/>
        <w:gridCol w:w="184"/>
        <w:gridCol w:w="158"/>
        <w:gridCol w:w="109"/>
        <w:gridCol w:w="109"/>
        <w:gridCol w:w="109"/>
        <w:gridCol w:w="214"/>
        <w:gridCol w:w="214"/>
        <w:gridCol w:w="188"/>
        <w:gridCol w:w="109"/>
        <w:gridCol w:w="109"/>
        <w:gridCol w:w="109"/>
        <w:gridCol w:w="317"/>
        <w:gridCol w:w="284"/>
        <w:gridCol w:w="430"/>
        <w:gridCol w:w="109"/>
        <w:gridCol w:w="109"/>
        <w:gridCol w:w="109"/>
        <w:gridCol w:w="304"/>
        <w:gridCol w:w="297"/>
        <w:gridCol w:w="414"/>
        <w:gridCol w:w="109"/>
        <w:gridCol w:w="109"/>
        <w:gridCol w:w="109"/>
        <w:gridCol w:w="218"/>
        <w:gridCol w:w="218"/>
        <w:gridCol w:w="225"/>
      </w:tblGrid>
      <w:tr>
        <w:trPr/>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Average loans held for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held for investment</w:t>
            </w:r>
            <w:r>
              <w:rPr>
                <w:rFonts w:ascii="Times New Roman;serif" w:hAnsi="Times New Roman;serif"/>
                <w:b w:val="false"/>
                <w:color w:val="000000"/>
                <w:sz w:val="1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5.71</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1.82</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(27)bps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0.41</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loan rate</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asset rate</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Risk category:</w:t>
            </w:r>
            <w:r>
              <w:rPr>
                <w:rFonts w:ascii="Times New Roman;serif" w:hAnsi="Times New Roman;serif"/>
                <w:b/>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Noncriticized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performing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nonperforming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Risk category as a percentage of period-end loans held for investment:</w:t>
            </w:r>
            <w:r>
              <w:rPr>
                <w:rFonts w:ascii="Times New Roman;serif" w:hAnsi="Times New Roman;serif"/>
                <w:b/>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Noncriticized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94.24</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143bps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performing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nonperforming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100.00</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13: Financial &amp; Statistical Summary—Other and Total </w:t>
      </w:r>
    </w:p>
    <w:tbl>
      <w:tblPr>
        <w:tblW w:w="13081" w:type="dxa"/>
        <w:jc w:val="left"/>
        <w:tblInd w:w="0" w:type="dxa"/>
        <w:tblLayout w:type="fixed"/>
        <w:tblCellMar>
          <w:top w:w="28" w:type="dxa"/>
          <w:left w:w="28" w:type="dxa"/>
          <w:bottom w:w="28" w:type="dxa"/>
          <w:right w:w="28" w:type="dxa"/>
        </w:tblCellMar>
      </w:tblPr>
      <w:tblGrid>
        <w:gridCol w:w="610"/>
        <w:gridCol w:w="220"/>
        <w:gridCol w:w="221"/>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55"/>
        <w:gridCol w:w="155"/>
        <w:gridCol w:w="156"/>
        <w:gridCol w:w="109"/>
        <w:gridCol w:w="109"/>
        <w:gridCol w:w="109"/>
        <w:gridCol w:w="155"/>
        <w:gridCol w:w="155"/>
        <w:gridCol w:w="156"/>
        <w:gridCol w:w="109"/>
        <w:gridCol w:w="109"/>
        <w:gridCol w:w="109"/>
        <w:gridCol w:w="196"/>
        <w:gridCol w:w="751"/>
        <w:gridCol w:w="109"/>
        <w:gridCol w:w="109"/>
        <w:gridCol w:w="109"/>
        <w:gridCol w:w="109"/>
        <w:gridCol w:w="196"/>
        <w:gridCol w:w="736"/>
        <w:gridCol w:w="109"/>
        <w:gridCol w:w="109"/>
        <w:gridCol w:w="109"/>
        <w:gridCol w:w="109"/>
        <w:gridCol w:w="149"/>
        <w:gridCol w:w="149"/>
        <w:gridCol w:w="213"/>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(loss)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bookmarkStart w:id="0" w:name="i5713c5e4dc4e4199b2e386bc30683bb0_8-2-1-"/>
            <w:bookmarkEnd w:id="0"/>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Non-interest expense</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448,469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484,257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484,257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483,393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Table 14: Notes to Net Interest Margin, Loan, Allowance and Business Segment Disclosures (Tables 6—13) </w:t>
      </w:r>
    </w:p>
    <w:p>
      <w:pPr>
        <w:pStyle w:val="TextBody"/>
        <w:bidi w:val="0"/>
        <w:spacing w:before="60" w:after="60"/>
        <w:ind w:left="0" w:right="0" w:hanging="360"/>
        <w:jc w:val="both"/>
        <w:rPr/>
      </w:pPr>
      <w:r>
        <w:rPr/>
      </w:r>
    </w:p>
    <w:p>
      <w:pPr>
        <w:pStyle w:val="TextBody"/>
        <w:bidi w:val="0"/>
        <w:spacing w:lineRule="auto" w:line="288" w:before="60" w:after="6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Average yield is calculated based on annualized interest income for the period divided by average loans during the period. Average yield is calculated using whole dollar values for average balances and interest income/expense. Accordingly, total interest earning assets less total interest bearing liabilities may not total net interest income/spread.</w:t>
      </w:r>
    </w:p>
    <w:p>
      <w:pPr>
        <w:pStyle w:val="TextBody"/>
        <w:bidi w:val="0"/>
        <w:spacing w:lineRule="auto" w:line="288" w:before="6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Includes amounts related to entities that provide capital to low-income and rural communities of $2.4 billion in Q2 2026, $2.2 billion in both Q1 2026 and Q2 2025, $2.3 billion for the first six months of 2026 and $2.1 billion for the first six months of 2025. Related interest expense was $9 million in Q2 2026, $8 million in both Q1 2026 and Q2 2025, $17 million for the first six months of 2026 and $15 million for the first six months of 2025.</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Effective in the second quarter of 2026, Domestic Card results include Brex and our legacy corporate card product.</w:t>
      </w:r>
    </w:p>
    <w:p>
      <w:pPr>
        <w:pStyle w:val="TextBody"/>
        <w:bidi w:val="0"/>
        <w:spacing w:lineRule="auto" w:line="288" w:before="60" w:after="60"/>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6"/>
        </w:rPr>
        <w:t>Charge-offs exclude $19.4 billion of Discover loans acquired in the second quarter of 2025 that were fully charged-off, with expected recoveries of $3.3 billion included as a benefit to the allowance for credit losses.</w:t>
      </w:r>
    </w:p>
    <w:p>
      <w:pPr>
        <w:pStyle w:val="TextBody"/>
        <w:bidi w:val="0"/>
        <w:spacing w:lineRule="auto" w:line="288" w:before="60" w:after="60"/>
        <w:ind w:left="0" w:right="0" w:hanging="360"/>
        <w:jc w:val="both"/>
        <w:rPr/>
      </w:pPr>
      <w:r>
        <w:rPr>
          <w:rFonts w:ascii="Times New Roman;serif" w:hAnsi="Times New Roman;serif"/>
          <w:b w:val="false"/>
          <w:color w:val="000000"/>
          <w:sz w:val="10"/>
        </w:rPr>
        <w:t>(5)</w:t>
      </w:r>
      <w:r>
        <w:rPr>
          <w:rFonts w:ascii="Times New Roman;serif" w:hAnsi="Times New Roman;serif"/>
          <w:b w:val="false"/>
          <w:color w:val="000000"/>
          <w:sz w:val="16"/>
        </w:rPr>
        <w:t>Charge-offs exclude $18.0 billion of Discover domestic credit card loans acquired in the second quarter of 2025 that are fully charged-off, with expected recoveries of $3.1 billion included as a benefit to the allowance for credit losses.</w:t>
      </w:r>
    </w:p>
    <w:p>
      <w:pPr>
        <w:pStyle w:val="TextBody"/>
        <w:bidi w:val="0"/>
        <w:spacing w:lineRule="auto" w:line="288" w:before="60" w:after="60"/>
        <w:ind w:left="0" w:right="0" w:hanging="360"/>
        <w:jc w:val="both"/>
        <w:rPr/>
      </w:pPr>
      <w:r>
        <w:rPr>
          <w:rFonts w:ascii="Times New Roman;serif" w:hAnsi="Times New Roman;serif"/>
          <w:b w:val="false"/>
          <w:color w:val="000000"/>
          <w:sz w:val="10"/>
        </w:rPr>
        <w:t>(6)</w:t>
      </w:r>
      <w:r>
        <w:rPr>
          <w:rFonts w:ascii="Times New Roman;serif" w:hAnsi="Times New Roman;serif"/>
          <w:b w:val="false"/>
          <w:color w:val="000000"/>
          <w:sz w:val="16"/>
        </w:rPr>
        <w:t>Nonperforming loan rates are calculated based on nonperforming loans for each category divided by period-end total loans held for investment for each respective category. For Commercial Banking, loans categorized as nonperforming are considered criticized nonperforming.</w:t>
      </w:r>
    </w:p>
    <w:p>
      <w:pPr>
        <w:pStyle w:val="TextBody"/>
        <w:bidi w:val="0"/>
        <w:spacing w:lineRule="auto" w:line="288" w:before="60" w:after="60"/>
        <w:ind w:left="0" w:right="0" w:hanging="360"/>
        <w:jc w:val="both"/>
        <w:rPr/>
      </w:pPr>
      <w:r>
        <w:rPr>
          <w:rFonts w:ascii="Times New Roman;serif" w:hAnsi="Times New Roman;serif"/>
          <w:b w:val="false"/>
          <w:color w:val="000000"/>
          <w:sz w:val="10"/>
        </w:rPr>
        <w:t>(7)</w:t>
      </w:r>
      <w:r>
        <w:rPr>
          <w:rFonts w:ascii="Times New Roman;serif" w:hAnsi="Times New Roman;serif"/>
          <w:b w:val="false"/>
          <w:color w:val="000000"/>
          <w:sz w:val="16"/>
        </w:rPr>
        <w:t>Nonperforming assets consist of nonperforming loans, repossessed assets and other foreclosed assets. The total nonperforming asset rate is calculated based on total nonperforming assets divided by the combined period-end total loans held for investment, repossessed assets and other foreclosed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(8)</w:t>
      </w:r>
      <w:r>
        <w:rPr>
          <w:rFonts w:ascii="Times New Roman;serif" w:hAnsi="Times New Roman;serif"/>
          <w:b w:val="false"/>
          <w:color w:val="000000"/>
          <w:sz w:val="16"/>
        </w:rPr>
        <w:t>Primarily represents foreign currency translation adjustments.</w:t>
      </w:r>
    </w:p>
    <w:p>
      <w:pPr>
        <w:pStyle w:val="TextBody"/>
        <w:bidi w:val="0"/>
        <w:spacing w:lineRule="auto" w:line="288" w:before="60" w:after="60"/>
        <w:ind w:left="0" w:right="0" w:hanging="360"/>
        <w:jc w:val="both"/>
        <w:rPr/>
      </w:pPr>
      <w:r>
        <w:rPr>
          <w:rFonts w:ascii="Times New Roman;serif" w:hAnsi="Times New Roman;serif"/>
          <w:b w:val="false"/>
          <w:color w:val="000000"/>
          <w:sz w:val="10"/>
        </w:rPr>
        <w:t>(9)</w:t>
      </w:r>
      <w:r>
        <w:rPr>
          <w:rFonts w:ascii="Times New Roman;serif" w:hAnsi="Times New Roman;serif"/>
          <w:b w:val="false"/>
          <w:color w:val="000000"/>
          <w:sz w:val="16"/>
        </w:rPr>
        <w:t>Some of our commercial investments generate tax-exempt income, tax credits or other tax benefits. Accordingly, we present our Commercial Banking revenue and yields on a taxable-equivalent basis, calculated using a blended federal and state statutory tax rate, with offsetting reductions to the Other category.</w:t>
      </w:r>
    </w:p>
    <w:p>
      <w:pPr>
        <w:pStyle w:val="TextBody"/>
        <w:bidi w:val="0"/>
        <w:spacing w:lineRule="auto" w:line="288" w:before="60" w:after="60"/>
        <w:ind w:left="0" w:right="0" w:hanging="360"/>
        <w:jc w:val="both"/>
        <w:rPr/>
      </w:pPr>
      <w:r>
        <w:rPr>
          <w:rFonts w:ascii="Times New Roman;serif" w:hAnsi="Times New Roman;serif"/>
          <w:b w:val="false"/>
          <w:color w:val="000000"/>
          <w:sz w:val="10"/>
        </w:rPr>
        <w:t>(10)</w:t>
      </w:r>
      <w:r>
        <w:rPr>
          <w:rFonts w:ascii="Times New Roman;serif" w:hAnsi="Times New Roman;serif"/>
          <w:b w:val="false"/>
          <w:color w:val="000000"/>
          <w:sz w:val="16"/>
        </w:rPr>
        <w:t>Includes the impact of $96 million in Brex integration expenses in Q2 2026.</w:t>
      </w:r>
    </w:p>
    <w:p>
      <w:pPr>
        <w:pStyle w:val="TextBody"/>
        <w:bidi w:val="0"/>
        <w:spacing w:lineRule="auto" w:line="288" w:before="60" w:after="60"/>
        <w:ind w:left="0" w:right="0" w:hanging="360"/>
        <w:jc w:val="both"/>
        <w:rPr/>
      </w:pPr>
      <w:r>
        <w:rPr>
          <w:rFonts w:ascii="Times New Roman;serif" w:hAnsi="Times New Roman;serif"/>
          <w:b w:val="false"/>
          <w:color w:val="000000"/>
          <w:sz w:val="10"/>
        </w:rPr>
        <w:t>(11)</w:t>
      </w:r>
      <w:r>
        <w:rPr>
          <w:rFonts w:ascii="Times New Roman;serif" w:hAnsi="Times New Roman;serif"/>
          <w:b w:val="false"/>
          <w:color w:val="000000"/>
          <w:sz w:val="16"/>
        </w:rPr>
        <w:t>Purchase volume consists of purchase transactions, net of returns, for the period, and excludes cash advance and balance transfer transactions.</w:t>
      </w:r>
    </w:p>
    <w:p>
      <w:pPr>
        <w:pStyle w:val="TextBody"/>
        <w:bidi w:val="0"/>
        <w:spacing w:lineRule="auto" w:line="288" w:before="60" w:after="60"/>
        <w:ind w:left="0" w:right="0" w:hanging="360"/>
        <w:jc w:val="both"/>
        <w:rPr/>
      </w:pPr>
      <w:r>
        <w:rPr>
          <w:rFonts w:ascii="Times New Roman;serif" w:hAnsi="Times New Roman;serif"/>
          <w:b w:val="false"/>
          <w:color w:val="000000"/>
          <w:sz w:val="10"/>
        </w:rPr>
        <w:t>(12)</w:t>
      </w:r>
      <w:r>
        <w:rPr>
          <w:rFonts w:ascii="Times New Roman;serif" w:hAnsi="Times New Roman;serif"/>
          <w:b w:val="false"/>
          <w:color w:val="000000"/>
          <w:sz w:val="16"/>
        </w:rPr>
        <w:t>Total net revenue margin is calculated based on annualized total net revenue for the period divided by average interest-earning assets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(13)</w:t>
      </w:r>
      <w:r>
        <w:rPr>
          <w:rFonts w:ascii="Times New Roman;serif" w:hAnsi="Times New Roman;serif"/>
          <w:b w:val="false"/>
          <w:color w:val="000000"/>
          <w:sz w:val="16"/>
        </w:rPr>
        <w:t>Percentages represent period-end loans held for investment in each credit score category. Domestic Card credit scores generally represent FICO scores. These scores are obtained from one of the major credit bureaus at origination and are refreshed monthly thereafter. We approximate non-FICO credit scores to comparable FICO scores for consistency purposes. Balances for which no credit score is available or the credit score is invalid are included in the 660 or below category. Corporate cards do not have FICO scores associated with such loans and therefore are excluded.</w:t>
      </w:r>
    </w:p>
    <w:p>
      <w:pPr>
        <w:pStyle w:val="TextBody"/>
        <w:bidi w:val="0"/>
        <w:spacing w:lineRule="auto" w:line="288" w:before="60" w:after="60"/>
        <w:ind w:left="0" w:right="0" w:hanging="360"/>
        <w:jc w:val="both"/>
        <w:rPr/>
      </w:pPr>
      <w:r>
        <w:rPr>
          <w:rFonts w:ascii="Times New Roman;serif" w:hAnsi="Times New Roman;serif"/>
          <w:b w:val="false"/>
          <w:color w:val="000000"/>
          <w:sz w:val="10"/>
        </w:rPr>
        <w:t>(14)</w:t>
      </w:r>
      <w:r>
        <w:rPr>
          <w:rFonts w:ascii="Times New Roman;serif" w:hAnsi="Times New Roman;serif"/>
          <w:b w:val="false"/>
          <w:color w:val="000000"/>
          <w:sz w:val="16"/>
        </w:rPr>
        <w:t>Percentages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pStyle w:val="TextBody"/>
        <w:bidi w:val="0"/>
        <w:spacing w:lineRule="auto" w:line="288" w:before="60" w:after="60"/>
        <w:ind w:left="0" w:right="0" w:hanging="360"/>
        <w:jc w:val="both"/>
        <w:rPr/>
      </w:pPr>
      <w:r>
        <w:rPr>
          <w:rFonts w:ascii="Times New Roman;serif" w:hAnsi="Times New Roman;serif"/>
          <w:b w:val="false"/>
          <w:color w:val="000000"/>
          <w:sz w:val="10"/>
        </w:rPr>
        <w:t>(15)</w:t>
      </w:r>
      <w:r>
        <w:rPr>
          <w:rFonts w:ascii="Times New Roman;serif" w:hAnsi="Times New Roman;serif"/>
          <w:b w:val="false"/>
          <w:color w:val="000000"/>
          <w:sz w:val="16"/>
        </w:rPr>
        <w:t>Criticized exposures correspond to the “Special Mention,” “Substandard” and “Doubtful” asset categories defined by bank regulatory authorities.</w:t>
      </w:r>
    </w:p>
    <w:p>
      <w:pPr>
        <w:pStyle w:val="TextBody"/>
        <w:bidi w:val="0"/>
        <w:spacing w:lineRule="auto" w:line="288" w:before="60" w:after="60"/>
        <w:ind w:left="0" w:right="0" w:hanging="360"/>
        <w:jc w:val="both"/>
        <w:rPr/>
      </w:pPr>
      <w:r>
        <w:rPr>
          <w:rFonts w:ascii="Times New Roman;serif" w:hAnsi="Times New Roman;serif"/>
          <w:b w:val="false"/>
          <w:color w:val="000000"/>
          <w:sz w:val="10"/>
        </w:rPr>
        <w:t>(16)</w:t>
      </w:r>
      <w:r>
        <w:rPr>
          <w:rFonts w:ascii="Times New Roman;serif" w:hAnsi="Times New Roman;serif"/>
          <w:b w:val="false"/>
          <w:color w:val="000000"/>
          <w:sz w:val="16"/>
        </w:rPr>
        <w:t xml:space="preserve">Includes the impact of $298 million, $415 million, $352 million, $348 million and $299 million in Discover integration expenses in Q2 2026, Q1 2026, Q4 2025, Q3 2025 and Q2 2025, respectively, as well as any charges incurred as a result of other restructuring activities for the periods presented. </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60"/>
        <w:jc w:val="left"/>
        <w:rPr/>
      </w:pPr>
      <w:r>
        <w:rPr>
          <w:rFonts w:ascii="Times New Roman;serif" w:hAnsi="Times New Roman;serif"/>
          <w:b/>
          <w:color w:val="000000"/>
          <w:sz w:val="20"/>
        </w:rPr>
        <w:t>Table 15: Calculation of Regulatory Capital Measures and Reconciliation of Non-GAAP Measures</w:t>
      </w:r>
      <w:r>
        <w:rPr>
          <w:rFonts w:ascii="Times New Roman;serif" w:hAnsi="Times New Roman;serif"/>
          <w:b/>
          <w:color w:val="000000"/>
          <w:sz w:val="13"/>
        </w:rPr>
        <w:t>(1)</w:t>
      </w:r>
    </w:p>
    <w:tbl>
      <w:tblPr>
        <w:tblW w:w="10205" w:type="dxa"/>
        <w:jc w:val="center"/>
        <w:tblInd w:w="0" w:type="dxa"/>
        <w:tblLayout w:type="fixed"/>
        <w:tblCellMar>
          <w:top w:w="28" w:type="dxa"/>
          <w:left w:w="28" w:type="dxa"/>
          <w:bottom w:w="28" w:type="dxa"/>
          <w:right w:w="28" w:type="dxa"/>
        </w:tblCellMar>
      </w:tblPr>
      <w:tblGrid>
        <w:gridCol w:w="1273"/>
        <w:gridCol w:w="963"/>
        <w:gridCol w:w="967"/>
        <w:gridCol w:w="109"/>
        <w:gridCol w:w="109"/>
        <w:gridCol w:w="109"/>
        <w:gridCol w:w="286"/>
        <w:gridCol w:w="342"/>
        <w:gridCol w:w="349"/>
        <w:gridCol w:w="109"/>
        <w:gridCol w:w="109"/>
        <w:gridCol w:w="109"/>
        <w:gridCol w:w="347"/>
        <w:gridCol w:w="344"/>
        <w:gridCol w:w="347"/>
        <w:gridCol w:w="109"/>
        <w:gridCol w:w="109"/>
        <w:gridCol w:w="109"/>
        <w:gridCol w:w="461"/>
        <w:gridCol w:w="344"/>
        <w:gridCol w:w="347"/>
        <w:gridCol w:w="109"/>
        <w:gridCol w:w="109"/>
        <w:gridCol w:w="109"/>
        <w:gridCol w:w="494"/>
        <w:gridCol w:w="344"/>
        <w:gridCol w:w="347"/>
        <w:gridCol w:w="109"/>
        <w:gridCol w:w="109"/>
        <w:gridCol w:w="109"/>
        <w:gridCol w:w="277"/>
        <w:gridCol w:w="303"/>
        <w:gridCol w:w="435"/>
      </w:tblGrid>
      <w:tr>
        <w:trPr/>
        <w:tc>
          <w:tcPr>
            <w:tcW w:w="127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Basel III Standardized Approach</w:t>
            </w:r>
          </w:p>
        </w:tc>
      </w:tr>
      <w:tr>
        <w:trPr/>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September 30, </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Regulatory Capital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excluding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114,686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112,368</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AOCI, net of tax</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net of related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(28,052)</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and deferred tax assets, net of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(13,687)</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70,712</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76,118</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capital</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85,988</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516,267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503,413</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average assets</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643,349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537,581</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Common equity Tier 1 capital</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Tier 1 capital</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capital</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Tier 1 leverage</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TCE</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non-GAAP measures consist of our adjusted results that we believe help investors and users of our financial information understand the effect of adjusting items on our selected reported results, however, they may not be comparable to similarly-titled measures reported by other companies. These adjusted results provide alternate measurements of our operating performance, both for the current period and trends across multiple periods. The following tables present reconciliations of these non-GAAP measures to the applicable amounts measured in accordance with GAAP.</w:t>
      </w:r>
    </w:p>
    <w:tbl>
      <w:tblPr>
        <w:tblW w:w="10205" w:type="dxa"/>
        <w:jc w:val="left"/>
        <w:tblInd w:w="0" w:type="dxa"/>
        <w:tblLayout w:type="fixed"/>
        <w:tblCellMar>
          <w:top w:w="28" w:type="dxa"/>
          <w:left w:w="28" w:type="dxa"/>
          <w:bottom w:w="28" w:type="dxa"/>
          <w:right w:w="28" w:type="dxa"/>
        </w:tblCellMar>
      </w:tblPr>
      <w:tblGrid>
        <w:gridCol w:w="1087"/>
        <w:gridCol w:w="459"/>
        <w:gridCol w:w="461"/>
        <w:gridCol w:w="109"/>
        <w:gridCol w:w="109"/>
        <w:gridCol w:w="109"/>
        <w:gridCol w:w="220"/>
        <w:gridCol w:w="297"/>
        <w:gridCol w:w="304"/>
        <w:gridCol w:w="109"/>
        <w:gridCol w:w="109"/>
        <w:gridCol w:w="109"/>
        <w:gridCol w:w="220"/>
        <w:gridCol w:w="297"/>
        <w:gridCol w:w="304"/>
        <w:gridCol w:w="109"/>
        <w:gridCol w:w="109"/>
        <w:gridCol w:w="109"/>
        <w:gridCol w:w="220"/>
        <w:gridCol w:w="297"/>
        <w:gridCol w:w="304"/>
        <w:gridCol w:w="109"/>
        <w:gridCol w:w="109"/>
        <w:gridCol w:w="109"/>
        <w:gridCol w:w="220"/>
        <w:gridCol w:w="297"/>
        <w:gridCol w:w="304"/>
        <w:gridCol w:w="109"/>
        <w:gridCol w:w="109"/>
        <w:gridCol w:w="109"/>
        <w:gridCol w:w="220"/>
        <w:gridCol w:w="312"/>
        <w:gridCol w:w="292"/>
        <w:gridCol w:w="109"/>
        <w:gridCol w:w="109"/>
        <w:gridCol w:w="109"/>
        <w:gridCol w:w="259"/>
        <w:gridCol w:w="299"/>
        <w:gridCol w:w="302"/>
        <w:gridCol w:w="119"/>
        <w:gridCol w:w="119"/>
        <w:gridCol w:w="119"/>
        <w:gridCol w:w="259"/>
        <w:gridCol w:w="279"/>
        <w:gridCol w:w="373"/>
      </w:tblGrid>
      <w:tr>
        <w:trPr/>
        <w:tc>
          <w:tcPr>
            <w:tcW w:w="10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per share data and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diluted earnings per share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stockholders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5,016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Discover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Brex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Initial allowance build for Discover non-PCD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Legal reserve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sale of home loan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available to common stockholders before income tax impacts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6,796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6,757</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impacts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(440)</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w:t>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available to common stockholders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6,356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4,342</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weighted-average common shares outstanding (in millions)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622.3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EPS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adjustments noted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diluted EPS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17,507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Discover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(713)</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Brex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special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expense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15,702</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11,990</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22,492</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31,056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22,577</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8"/>
        <w:gridCol w:w="420"/>
        <w:gridCol w:w="421"/>
        <w:gridCol w:w="109"/>
        <w:gridCol w:w="109"/>
        <w:gridCol w:w="109"/>
        <w:gridCol w:w="286"/>
        <w:gridCol w:w="194"/>
        <w:gridCol w:w="407"/>
        <w:gridCol w:w="109"/>
        <w:gridCol w:w="109"/>
        <w:gridCol w:w="109"/>
        <w:gridCol w:w="286"/>
        <w:gridCol w:w="194"/>
        <w:gridCol w:w="407"/>
        <w:gridCol w:w="109"/>
        <w:gridCol w:w="109"/>
        <w:gridCol w:w="109"/>
        <w:gridCol w:w="286"/>
        <w:gridCol w:w="194"/>
        <w:gridCol w:w="407"/>
        <w:gridCol w:w="109"/>
        <w:gridCol w:w="109"/>
        <w:gridCol w:w="109"/>
        <w:gridCol w:w="328"/>
        <w:gridCol w:w="207"/>
        <w:gridCol w:w="394"/>
        <w:gridCol w:w="109"/>
        <w:gridCol w:w="109"/>
        <w:gridCol w:w="109"/>
        <w:gridCol w:w="328"/>
        <w:gridCol w:w="207"/>
        <w:gridCol w:w="394"/>
        <w:gridCol w:w="109"/>
        <w:gridCol w:w="109"/>
        <w:gridCol w:w="109"/>
        <w:gridCol w:w="286"/>
        <w:gridCol w:w="177"/>
        <w:gridCol w:w="426"/>
        <w:gridCol w:w="114"/>
        <w:gridCol w:w="114"/>
        <w:gridCol w:w="114"/>
        <w:gridCol w:w="286"/>
        <w:gridCol w:w="177"/>
        <w:gridCol w:w="481"/>
      </w:tblGrid>
      <w:tr>
        <w:trPr/>
        <w:tc>
          <w:tcPr>
            <w:tcW w:w="70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per share data and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55.96</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56.33%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57.32%</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adjustments noted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(567)</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(577)</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efficiency ratio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47.96</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operating 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14,349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10,346</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Discover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Brex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expense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12,544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22,492</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31,056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22,577</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efficiency ratio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46.17%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adjustments noted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(569)</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(578)</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operating efficiency ratio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38.89</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40.39%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41.83%</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before="0" w:after="0"/>
        <w:jc w:val="both"/>
        <w:rPr/>
      </w:pPr>
      <w:r>
        <w:rPr/>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non-GAAP measures. While these non-GAAP measures are widely used by investors, analysts and bank regulatory agencies to assess the operating performance and capital position of financial services companies, they may not be comparable to similarly-titled measures reported by other companies. The following table presents reconciliations of these non-GAAP measures to the applicable amounts measured in accordance with GAAP.</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2"/>
        <w:gridCol w:w="739"/>
        <w:gridCol w:w="742"/>
        <w:gridCol w:w="109"/>
        <w:gridCol w:w="109"/>
        <w:gridCol w:w="109"/>
        <w:gridCol w:w="196"/>
        <w:gridCol w:w="751"/>
        <w:gridCol w:w="27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88"/>
      </w:tblGrid>
      <w:tr>
        <w:trPr/>
        <w:tc>
          <w:tcPr>
            <w:tcW w:w="1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r>
      <w:tr>
        <w:trPr/>
        <w:tc>
          <w:tcPr>
            <w:tcW w:w="2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 provision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12,492</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Pre-provision earnings</w:t>
            </w:r>
            <w:r>
              <w:rPr>
                <w:rFonts w:ascii="Times New Roman;serif" w:hAnsi="Times New Roman;serif"/>
                <w:b w:val="false"/>
                <w:color w:val="000000"/>
                <w:sz w:val="1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113,793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110,956</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Goodwill and other intangible assets</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(43,840)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(42,012)</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Noncumulative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common equity</w:t>
            </w:r>
            <w:r>
              <w:rPr>
                <w:rFonts w:ascii="Times New Roman;serif" w:hAnsi="Times New Roman;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64,546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114,518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86,918</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Goodwill and other intangible assets</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(29,114)</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Noncumulative perpetual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common equity</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65,078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tangible common equity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(4,340)</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stockholders less 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Tangible common equity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65,078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52,449</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tangible common equity</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assets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673,835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658,968</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Goodwill and other intangible assets</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(43,840)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(42,012)</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assets</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629,995</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642,416 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628,133 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620,340 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616,956</w:t>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93"/>
        <w:gridCol w:w="1004"/>
        <w:gridCol w:w="1007"/>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assets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682,079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Goodwill and other intangible assets</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assets</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543,332 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tangible assets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less 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543,332 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tangible assets</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TCE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629,995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TCE ratio</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book value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book value per common share</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Table 16: Notes to Calculation of Regulatory Capital Measures and Reconciliation of Non-GAAP Measures (Table 15)</w:t>
      </w:r>
    </w:p>
    <w:p>
      <w:pPr>
        <w:pStyle w:val="TextBody"/>
        <w:bidi w:val="0"/>
        <w:spacing w:before="60" w:after="60"/>
        <w:ind w:left="0" w:right="0" w:hanging="360"/>
        <w:jc w:val="both"/>
        <w:rPr/>
      </w:pPr>
      <w:r>
        <w:rPr/>
      </w:r>
    </w:p>
    <w:p>
      <w:pPr>
        <w:pStyle w:val="TextBody"/>
        <w:bidi w:val="0"/>
        <w:spacing w:lineRule="auto" w:line="288" w:before="60" w:after="6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Regulatory capital metrics and capital ratios as of June 30, 2026 are preliminary and therefore subject to change.    </w:t>
      </w:r>
    </w:p>
    <w:p>
      <w:pPr>
        <w:pStyle w:val="TextBody"/>
        <w:bidi w:val="0"/>
        <w:spacing w:lineRule="auto" w:line="288" w:before="6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Excludes certain components of AOCI in accordance with rules applicable to Category III institutions.</w:t>
      </w:r>
    </w:p>
    <w:p>
      <w:pPr>
        <w:pStyle w:val="TextBody"/>
        <w:bidi w:val="0"/>
        <w:spacing w:lineRule="auto" w:line="288" w:before="60" w:after="6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Total capital equals the sum of Tier 1 capital and Tier 2 capital.</w:t>
      </w:r>
    </w:p>
    <w:p>
      <w:pPr>
        <w:pStyle w:val="TextBody"/>
        <w:bidi w:val="0"/>
        <w:spacing w:lineRule="auto" w:line="288" w:before="60" w:after="6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Adjusted average assets for the purpose of calculating our Tier 1 leverage ratio represents total average assets adjusted for amounts that are deducted from Tier 1 capital, predominately goodwill and intangible assets. Tier 1 leverage ratio is a regulatory capital measure calculated based on Tier 1 capital divided by adjusted average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(5)</w:t>
      </w:r>
      <w:r>
        <w:rPr>
          <w:rFonts w:ascii="Times New Roman;serif" w:hAnsi="Times New Roman;serif"/>
          <w:b w:val="false"/>
          <w:color w:val="000000"/>
          <w:sz w:val="16"/>
        </w:rPr>
        <w:t>Common equity Tier 1 capital ratio is a regulatory capital measure calculated based on common equity Tier 1 capital divided by risk-weighted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(6)</w:t>
      </w:r>
      <w:r>
        <w:rPr>
          <w:rFonts w:ascii="Times New Roman;serif" w:hAnsi="Times New Roman;serif"/>
          <w:b w:val="false"/>
          <w:color w:val="000000"/>
          <w:sz w:val="16"/>
        </w:rPr>
        <w:t>Tier 1 capital ratio is a regulatory capital measure calculated based on Tier 1 capital divided by risk-weighted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(7)</w:t>
      </w:r>
      <w:r>
        <w:rPr>
          <w:rFonts w:ascii="Times New Roman;serif" w:hAnsi="Times New Roman;serif"/>
          <w:b w:val="false"/>
          <w:color w:val="000000"/>
          <w:sz w:val="16"/>
        </w:rPr>
        <w:t>Total capital ratio is a regulatory capital measure calculated based on total capital divided by risk-weighted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(8)</w:t>
      </w:r>
      <w:r>
        <w:rPr>
          <w:rFonts w:ascii="Times New Roman;serif" w:hAnsi="Times New Roman;serif"/>
          <w:b w:val="false"/>
          <w:color w:val="000000"/>
          <w:sz w:val="16"/>
        </w:rPr>
        <w:t>TCE ratio is a Non-GAAP measure calculated based on TCE divided by tangible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(9)</w:t>
      </w:r>
      <w:r>
        <w:rPr>
          <w:rFonts w:ascii="Times New Roman;serif" w:hAnsi="Times New Roman;serif"/>
          <w:b w:val="false"/>
          <w:color w:val="000000"/>
          <w:sz w:val="16"/>
        </w:rPr>
        <w:t xml:space="preserve">Includes purchase accounting-related amortization for acquisitions where integration expenses were also adjusted. </w:t>
      </w:r>
    </w:p>
    <w:p>
      <w:pPr>
        <w:pStyle w:val="TextBody"/>
        <w:bidi w:val="0"/>
        <w:spacing w:lineRule="auto" w:line="288" w:before="60" w:after="60"/>
        <w:ind w:left="0" w:right="0" w:hanging="360"/>
        <w:jc w:val="both"/>
        <w:rPr/>
      </w:pPr>
      <w:r>
        <w:rPr>
          <w:rFonts w:ascii="Times New Roman;serif" w:hAnsi="Times New Roman;serif"/>
          <w:b w:val="false"/>
          <w:color w:val="000000"/>
          <w:sz w:val="10"/>
        </w:rPr>
        <w:t>(10)</w:t>
      </w:r>
      <w:r>
        <w:rPr>
          <w:rFonts w:ascii="Times New Roman;serif" w:hAnsi="Times New Roman;serif"/>
          <w:b w:val="false"/>
          <w:color w:val="000000"/>
          <w:sz w:val="16"/>
        </w:rPr>
        <w:t>Management believes that this financial metric is useful in assessing the ability of a lending institution to generate income in excess of its provision for credit losses.</w:t>
      </w:r>
    </w:p>
    <w:p>
      <w:pPr>
        <w:pStyle w:val="TextBody"/>
        <w:bidi w:val="0"/>
        <w:spacing w:lineRule="auto" w:line="288" w:before="60" w:after="60"/>
        <w:ind w:left="0" w:right="0" w:hanging="360"/>
        <w:jc w:val="both"/>
        <w:rPr/>
      </w:pPr>
      <w:r>
        <w:rPr>
          <w:rFonts w:ascii="Times New Roman;serif" w:hAnsi="Times New Roman;serif"/>
          <w:b w:val="false"/>
          <w:color w:val="000000"/>
          <w:sz w:val="10"/>
        </w:rPr>
        <w:t>(11)</w:t>
      </w:r>
      <w:r>
        <w:rPr>
          <w:rFonts w:ascii="Times New Roman;serif" w:hAnsi="Times New Roman;serif"/>
          <w:b w:val="false"/>
          <w:color w:val="000000"/>
          <w:sz w:val="16"/>
        </w:rPr>
        <w:t>Adjusted pre-provision earnings is a non-GAAP metric calculated based on adjusted net revenue less non-interest expense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(12)</w:t>
      </w:r>
      <w:r>
        <w:rPr>
          <w:rFonts w:ascii="Times New Roman;serif" w:hAnsi="Times New Roman;serif"/>
          <w:b w:val="false"/>
          <w:color w:val="000000"/>
          <w:sz w:val="16"/>
        </w:rPr>
        <w:t>Includes impact of related deferred taxes</w:t>
      </w:r>
      <w:r>
        <w:rPr>
          <w:rFonts w:ascii="Times New Roman;serif" w:hAnsi="Times New Roman;serif"/>
          <w:b w:val="false"/>
          <w:color w:val="000000"/>
          <w:sz w:val="14"/>
        </w:rPr>
        <w:t>.</w:t>
      </w:r>
    </w:p>
    <w:p>
      <w:pPr>
        <w:pStyle w:val="TextBody"/>
        <w:bidi w:val="0"/>
        <w:spacing w:lineRule="auto" w:line="288" w:before="60" w:after="60"/>
        <w:ind w:left="0" w:right="0" w:hanging="360"/>
        <w:jc w:val="both"/>
        <w:rPr/>
      </w:pPr>
      <w:r>
        <w:rPr>
          <w:rFonts w:ascii="Times New Roman;serif" w:hAnsi="Times New Roman;serif"/>
          <w:b w:val="false"/>
          <w:color w:val="000000"/>
          <w:sz w:val="10"/>
        </w:rPr>
        <w:t>(13)</w:t>
      </w:r>
      <w:r>
        <w:rPr>
          <w:rFonts w:ascii="Times New Roman;serif" w:hAnsi="Times New Roman;serif"/>
          <w:b w:val="false"/>
          <w:color w:val="000000"/>
          <w:sz w:val="16"/>
        </w:rPr>
        <w:t xml:space="preserve">Management believes that this financial metric is useful when assessing returns and capital management over time.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11973</Words>
  <Characters>60693</Characters>
  <CharactersWithSpaces>69542</CharactersWithSpaces>
  <Paragraphs>6301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