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222250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264795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5"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4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224155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0"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Securities Exchange Act of 1934</w:t>
      </w:r>
    </w:p>
    <w:p>
      <w:pPr>
        <w:jc w:val="center"/>
        <w:ind w:right="-1120"/>
        <w:spacing w:after="0"/>
        <w:rPr>
          <w:sz w:val="20"/>
          <w:szCs w:val="20"/>
          <w:color w:val="auto"/>
        </w:rPr>
      </w:pPr>
      <w:r>
        <w:rPr>
          <w:rFonts w:ascii="Arial" w:cs="Arial" w:eastAsia="Arial" w:hAnsi="Arial"/>
          <w:sz w:val="21"/>
          <w:szCs w:val="21"/>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224155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1"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Check the appropriate box:</w:t>
      </w:r>
    </w:p>
    <w:p>
      <w:pPr>
        <w:spacing w:after="0" w:line="248"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0" w:lineRule="exact"/>
        <w:rPr>
          <w:rFonts w:ascii="MS PGothic" w:cs="MS PGothic" w:eastAsia="MS PGothic" w:hAnsi="MS PGothic"/>
          <w:sz w:val="18"/>
          <w:szCs w:val="18"/>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1"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1"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0" w:lineRule="exact"/>
        <w:rPr>
          <w:rFonts w:ascii="MS PGothic" w:cs="MS PGothic" w:eastAsia="MS PGothic" w:hAnsi="MS PGothic"/>
          <w:sz w:val="18"/>
          <w:szCs w:val="18"/>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3" w:lineRule="exact"/>
        <w:rPr>
          <w:sz w:val="24"/>
          <w:szCs w:val="24"/>
          <w:color w:val="auto"/>
        </w:rPr>
      </w:pPr>
    </w:p>
    <w:p>
      <w:pPr>
        <w:jc w:val="center"/>
        <w:ind w:right="-1120"/>
        <w:spacing w:after="0"/>
        <w:rPr>
          <w:sz w:val="20"/>
          <w:szCs w:val="20"/>
          <w:color w:val="auto"/>
        </w:rPr>
      </w:pPr>
      <w:r>
        <w:rPr>
          <w:rFonts w:ascii="Arial" w:cs="Arial" w:eastAsia="Arial" w:hAnsi="Arial"/>
          <w:sz w:val="39"/>
          <w:szCs w:val="39"/>
          <w:b w:val="1"/>
          <w:bCs w:val="1"/>
          <w:color w:val="auto"/>
        </w:rPr>
        <w:t>Capital One Financial Corporation</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0"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Payment of Filing Fee (Check the appropriate box):</w:t>
      </w:r>
    </w:p>
    <w:p>
      <w:pPr>
        <w:spacing w:after="0" w:line="234" w:lineRule="exact"/>
        <w:rPr>
          <w:sz w:val="24"/>
          <w:szCs w:val="24"/>
          <w:color w:val="auto"/>
        </w:rPr>
      </w:pPr>
    </w:p>
    <w:p>
      <w:pPr>
        <w:ind w:left="720" w:hanging="553"/>
        <w:spacing w:after="0"/>
        <w:tabs>
          <w:tab w:leader="none" w:pos="7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1" w:lineRule="exact"/>
        <w:rPr>
          <w:sz w:val="24"/>
          <w:szCs w:val="24"/>
          <w:color w:val="auto"/>
        </w:rPr>
      </w:pPr>
    </w:p>
    <w:p>
      <w:pPr>
        <w:ind w:left="720" w:hanging="553"/>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0" w:lineRule="exact"/>
        <w:rPr>
          <w:rFonts w:ascii="MS PGothic" w:cs="MS PGothic" w:eastAsia="MS PGothic" w:hAnsi="MS PGothic"/>
          <w:sz w:val="18"/>
          <w:szCs w:val="18"/>
          <w:color w:val="auto"/>
        </w:rPr>
      </w:pPr>
    </w:p>
    <w:p>
      <w:pPr>
        <w:ind w:left="720" w:hanging="553"/>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186055</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228600</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213995</wp:posOffset>
            </wp:positionV>
            <wp:extent cx="1817370" cy="645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7370"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Notice of Capital One Financial Corporation’s</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2026 Annual Stockholder Meeting</w:t>
      </w:r>
    </w:p>
    <w:p>
      <w:pPr>
        <w:spacing w:after="0" w:line="91" w:lineRule="exact"/>
        <w:rPr>
          <w:sz w:val="20"/>
          <w:szCs w:val="20"/>
          <w:color w:val="auto"/>
        </w:rPr>
      </w:pPr>
    </w:p>
    <w:p>
      <w:pPr>
        <w:jc w:val="center"/>
        <w:ind w:left="480" w:right="1500"/>
        <w:spacing w:after="0" w:line="35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May 8, 2026 The Proxy Statement and Annual Report to Stockholders are available at </w:t>
      </w:r>
      <w:r>
        <w:rPr>
          <w:rFonts w:ascii="Arial" w:cs="Arial" w:eastAsia="Arial" w:hAnsi="Arial"/>
          <w:sz w:val="18"/>
          <w:szCs w:val="18"/>
          <w:b w:val="1"/>
          <w:bCs w:val="1"/>
          <w:u w:val="single" w:color="auto"/>
          <w:color w:val="auto"/>
        </w:rPr>
        <w:t>www.proxyvote.com</w:t>
      </w:r>
    </w:p>
    <w:p>
      <w:pPr>
        <w:spacing w:after="0" w:line="2"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2026 Annual Stockholder Meeting of Capital One Financial Corporation (“Capital One” or “Company”) will be held at Capital One’s campus at 1600 Capital One Drive, McLean, Virginia 22102 on May 8, 2026, at 10:00 a.m. Eastern Time.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Items of Business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a stockholder, you will be asked to:</w:t>
      </w:r>
    </w:p>
    <w:p>
      <w:pPr>
        <w:sectPr>
          <w:pgSz w:w="11900" w:h="16838" w:orient="portrait"/>
          <w:cols w:equalWidth="0" w:num="1">
            <w:col w:w="11080"/>
          </w:cols>
          <w:pgMar w:left="320" w:top="478" w:right="499" w:bottom="1440" w:gutter="0" w:footer="0" w:header="0"/>
        </w:sectPr>
      </w:pP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1.</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2.</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23C5B"/>
        </w:rPr>
        <w:t>3.</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23C5B"/>
        </w:rPr>
        <w:t>   4.</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1120"/>
        <w:spacing w:after="0" w:line="356" w:lineRule="auto"/>
        <w:rPr>
          <w:sz w:val="20"/>
          <w:szCs w:val="20"/>
          <w:color w:val="auto"/>
        </w:rPr>
      </w:pPr>
      <w:r>
        <w:rPr>
          <w:rFonts w:ascii="Arial" w:cs="Arial" w:eastAsia="Arial" w:hAnsi="Arial"/>
          <w:sz w:val="18"/>
          <w:szCs w:val="18"/>
          <w:b w:val="1"/>
          <w:bCs w:val="1"/>
          <w:color w:val="023C5B"/>
        </w:rPr>
        <w:t>Elect thirteen nominated directors, who are listed in the proxy statement, as directors of Capital One; Approve, on a non-binding advisory basis, our Named Executive Officer compensation (“Say on Pay”); Ratify the selection of Ernst &amp; Young LLP as our independent registered public accounting firm for 2026; and Consider a stockholder proposal, if properly presented at the meeting.</w:t>
      </w:r>
    </w:p>
    <w:p>
      <w:pPr>
        <w:spacing w:after="0" w:line="2" w:lineRule="exact"/>
        <w:rPr>
          <w:sz w:val="20"/>
          <w:szCs w:val="20"/>
          <w:color w:val="auto"/>
        </w:rPr>
      </w:pPr>
    </w:p>
    <w:p>
      <w:pPr>
        <w:sectPr>
          <w:pgSz w:w="11900" w:h="16838" w:orient="portrait"/>
          <w:cols w:equalWidth="0" w:num="2">
            <w:col w:w="500" w:space="240"/>
            <w:col w:w="103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8"/>
          <w:szCs w:val="18"/>
          <w:color w:val="auto"/>
        </w:rPr>
        <w:t>Stockholders will also transact other business that may properly come before the meeting.</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Record Date</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You may vote if you held shares of Capital One common stock as of the close of business on March 11, 2026 (“Record Date”).</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Proxy Voting</w:t>
      </w:r>
    </w:p>
    <w:p>
      <w:pPr>
        <w:spacing w:after="0" w:line="10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Your vote is important. You may vote your shares in advance of the meeting via the Internet, by telephone, by mail, or in person at the 2026 Annual Stockholder Meeting. Please refer to the section “How do I vote?” in the proxy statement for detailed voting instructions. If you vote via the Internet, by telephone, or plan to vote in person during the 2026 Annual Stockholder Meeting, you do not need to mail in a proxy card.</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2026 Annual Stockholder Meeting Admission</w:t>
      </w:r>
    </w:p>
    <w:p>
      <w:pPr>
        <w:spacing w:after="0" w:line="10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Due to space limitations, attendance is limited to stockholders and persons holding valid legal proxies from those stockholders. Admission to the meeting is on a first-come, first-served basis. Registration will begin at 9:00 a.m. Eastern Time. Valid government-issued identification must be presented to attend the meeting. If you hold Capital One common stock through a broker, bank, trust, or other nominee, you must bring a copy of a statement reflecting your stock ownership as of the Record Date, and if you wish to vote in person, you must also bring a legal proxy from your broker, bank, trust, or other nominee. Cameras, recording devices, and other electronic devices are not permitted. If you require special assistance at the meeting, please contact the Corporate Secretary at 1600 Capital One Drive, McLean, VA 22102.</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look forward to seeing you at the meeting.</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behalf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1724025" cy="399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Matthew W. Cooper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Corporate Secretary</w:t>
      </w:r>
    </w:p>
    <w:p>
      <w:pPr>
        <w:ind w:left="160"/>
        <w:spacing w:after="0"/>
        <w:rPr>
          <w:sz w:val="20"/>
          <w:szCs w:val="20"/>
          <w:color w:val="auto"/>
        </w:rPr>
      </w:pPr>
      <w:r>
        <w:rPr>
          <w:rFonts w:ascii="Arial" w:cs="Arial" w:eastAsia="Arial" w:hAnsi="Arial"/>
          <w:sz w:val="18"/>
          <w:szCs w:val="18"/>
          <w:color w:val="auto"/>
        </w:rPr>
        <w:t>March 25, 2026</w:t>
      </w:r>
    </w:p>
    <w:p>
      <w:pPr>
        <w:sectPr>
          <w:pgSz w:w="11900" w:h="16838" w:orient="portrait"/>
          <w:cols w:equalWidth="0" w:num="1">
            <w:col w:w="11080"/>
          </w:cols>
          <w:pgMar w:left="320" w:top="478" w:right="4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47625</wp:posOffset>
            </wp:positionV>
            <wp:extent cx="69297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5" w:lineRule="exact"/>
        <w:rPr>
          <w:sz w:val="20"/>
          <w:szCs w:val="20"/>
          <w:color w:val="auto"/>
        </w:rPr>
      </w:pPr>
    </w:p>
    <w:p>
      <w:pPr>
        <w:jc w:val="both"/>
        <w:ind w:left="160"/>
        <w:spacing w:after="0" w:line="253" w:lineRule="auto"/>
        <w:rPr>
          <w:sz w:val="20"/>
          <w:szCs w:val="20"/>
          <w:color w:val="auto"/>
        </w:rPr>
      </w:pPr>
      <w:r>
        <w:rPr>
          <w:rFonts w:ascii="Arial" w:cs="Arial" w:eastAsia="Arial" w:hAnsi="Arial"/>
          <w:sz w:val="18"/>
          <w:szCs w:val="18"/>
          <w:b w:val="1"/>
          <w:bCs w:val="1"/>
          <w:i w:val="1"/>
          <w:iCs w:val="1"/>
          <w:color w:val="auto"/>
        </w:rPr>
        <w:t>This summary highlights information contained elsewhere in this proxy statement. This summary does not contain all the information you should consider in voting your shares. Please read the complete proxy statement and our Annual Report to Stockholders for the fiscal year ended December 31, 2025 (“Annual Report”)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254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254635"/>
                    </a:xfrm>
                    <a:prstGeom prst="rect">
                      <a:avLst/>
                    </a:prstGeom>
                    <a:noFill/>
                  </pic:spPr>
                </pic:pic>
              </a:graphicData>
            </a:graphic>
          </wp:anchor>
        </w:drawing>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FFFFFF"/>
        </w:rPr>
        <w:t> Meeting Information</w:t>
      </w:r>
    </w:p>
    <w:p>
      <w:pPr>
        <w:sectPr>
          <w:pgSz w:w="11900" w:h="16838" w:orient="portrait"/>
          <w:cols w:equalWidth="0" w:num="1">
            <w:col w:w="11080"/>
          </w:cols>
          <w:pgMar w:left="320" w:top="478" w:right="499" w:bottom="1440" w:gutter="0" w:footer="0" w:header="0"/>
        </w:sect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Friday, May 8, 2026</w:t>
      </w:r>
    </w:p>
    <w:p>
      <w:pPr>
        <w:spacing w:after="0" w:line="139" w:lineRule="exact"/>
        <w:rPr>
          <w:sz w:val="20"/>
          <w:szCs w:val="20"/>
          <w:color w:val="auto"/>
        </w:rPr>
      </w:pPr>
    </w:p>
    <w:p>
      <w:pPr>
        <w:sectPr>
          <w:pgSz w:w="11900" w:h="16838" w:orient="portrait"/>
          <w:cols w:equalWidth="0" w:num="2">
            <w:col w:w="5140" w:space="720"/>
            <w:col w:w="522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auto"/>
        </w:rPr>
        <w:t>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10:00 a.m. Eastern Time</w:t>
      </w:r>
    </w:p>
    <w:p>
      <w:pPr>
        <w:spacing w:after="0" w:line="139" w:lineRule="exact"/>
        <w:rPr>
          <w:sz w:val="20"/>
          <w:szCs w:val="20"/>
          <w:color w:val="auto"/>
        </w:rPr>
      </w:pPr>
    </w:p>
    <w:p>
      <w:pPr>
        <w:sectPr>
          <w:pgSz w:w="11900" w:h="16838" w:orient="portrait"/>
          <w:cols w:equalWidth="0" w:num="2">
            <w:col w:w="5140" w:space="720"/>
            <w:col w:w="522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6"/>
          <w:szCs w:val="16"/>
          <w:color w:val="auto"/>
        </w:rPr>
        <w:t>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1600 Capital One Drive, McLean, Virginia 22102</w:t>
      </w:r>
    </w:p>
    <w:p>
      <w:pPr>
        <w:spacing w:after="0" w:line="139" w:lineRule="exact"/>
        <w:rPr>
          <w:sz w:val="20"/>
          <w:szCs w:val="20"/>
          <w:color w:val="auto"/>
        </w:rPr>
      </w:pPr>
    </w:p>
    <w:p>
      <w:pPr>
        <w:sectPr>
          <w:pgSz w:w="11900" w:h="16838" w:orient="portrait"/>
          <w:cols w:equalWidth="0" w:num="2">
            <w:col w:w="5140" w:space="720"/>
            <w:col w:w="522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  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176530</wp:posOffset>
            </wp:positionV>
            <wp:extent cx="6929755" cy="237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2374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220"/>
          </w:cols>
          <w:pgMar w:left="320" w:top="478" w:right="499" w:bottom="1440" w:gutter="0" w:footer="0" w:header="0"/>
          <w:type w:val="continuous"/>
        </w:sectPr>
      </w:pPr>
    </w:p>
    <w:p>
      <w:pPr>
        <w:spacing w:after="0" w:line="1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FFFFFF"/>
        </w:rPr>
        <w:t> How to Vote</w:t>
      </w:r>
    </w:p>
    <w:p>
      <w:pPr>
        <w:spacing w:after="0" w:line="129"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Your vote is important. You may vote your shares in advance of the meeting via the Internet, by telephone, by mail, or in person at the 2026 Annual Stockholder Meeting. Please refer to the section “How do I vote?” on page 134 for detailed voting instructions. If you vote via the Internet, by telephone, or plan to vote in person at the 2026 Annual Stockholder Meeting, you do not need to mail in a proxy card.</w:t>
      </w:r>
    </w:p>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1760" w:type="dxa"/>
            <w:vAlign w:val="bottom"/>
          </w:tcPr>
          <w:p>
            <w:pPr>
              <w:spacing w:after="0"/>
              <w:rPr>
                <w:sz w:val="20"/>
                <w:szCs w:val="20"/>
                <w:color w:val="auto"/>
              </w:rPr>
            </w:pPr>
            <w:r>
              <w:rPr>
                <w:rFonts w:ascii="Arial" w:cs="Arial" w:eastAsia="Arial" w:hAnsi="Arial"/>
                <w:sz w:val="18"/>
                <w:szCs w:val="18"/>
                <w:b w:val="1"/>
                <w:bCs w:val="1"/>
                <w:color w:val="023C5B"/>
              </w:rPr>
              <w:t>INTERNET</w:t>
            </w:r>
          </w:p>
        </w:tc>
        <w:tc>
          <w:tcPr>
            <w:tcW w:w="2960" w:type="dxa"/>
            <w:vAlign w:val="bottom"/>
          </w:tcPr>
          <w:p>
            <w:pPr>
              <w:ind w:left="860"/>
              <w:spacing w:after="0"/>
              <w:rPr>
                <w:sz w:val="20"/>
                <w:szCs w:val="20"/>
                <w:color w:val="auto"/>
              </w:rPr>
            </w:pPr>
            <w:r>
              <w:rPr>
                <w:rFonts w:ascii="Arial" w:cs="Arial" w:eastAsia="Arial" w:hAnsi="Arial"/>
                <w:sz w:val="18"/>
                <w:szCs w:val="18"/>
                <w:b w:val="1"/>
                <w:bCs w:val="1"/>
                <w:color w:val="023C5B"/>
              </w:rPr>
              <w:t>TELEPHONE</w:t>
            </w:r>
          </w:p>
        </w:tc>
        <w:tc>
          <w:tcPr>
            <w:tcW w:w="2520" w:type="dxa"/>
            <w:vAlign w:val="bottom"/>
          </w:tcPr>
          <w:p>
            <w:pPr>
              <w:ind w:left="1020"/>
              <w:spacing w:after="0"/>
              <w:rPr>
                <w:sz w:val="20"/>
                <w:szCs w:val="20"/>
                <w:color w:val="auto"/>
              </w:rPr>
            </w:pPr>
            <w:r>
              <w:rPr>
                <w:rFonts w:ascii="Arial" w:cs="Arial" w:eastAsia="Arial" w:hAnsi="Arial"/>
                <w:sz w:val="18"/>
                <w:szCs w:val="18"/>
                <w:b w:val="1"/>
                <w:bCs w:val="1"/>
                <w:color w:val="023C5B"/>
              </w:rPr>
              <w:t>MAIL</w:t>
            </w:r>
          </w:p>
        </w:tc>
        <w:tc>
          <w:tcPr>
            <w:tcW w:w="2040" w:type="dxa"/>
            <w:vAlign w:val="bottom"/>
          </w:tcPr>
          <w:p>
            <w:pPr>
              <w:ind w:left="1060"/>
              <w:spacing w:after="0"/>
              <w:rPr>
                <w:sz w:val="20"/>
                <w:szCs w:val="20"/>
                <w:color w:val="auto"/>
              </w:rPr>
            </w:pPr>
            <w:r>
              <w:rPr>
                <w:rFonts w:ascii="Arial" w:cs="Arial" w:eastAsia="Arial" w:hAnsi="Arial"/>
                <w:sz w:val="18"/>
                <w:szCs w:val="18"/>
                <w:b w:val="1"/>
                <w:bCs w:val="1"/>
                <w:color w:val="023C5B"/>
                <w:w w:val="96"/>
              </w:rPr>
              <w:t>IN PERSON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-142875</wp:posOffset>
            </wp:positionV>
            <wp:extent cx="8255" cy="1435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1435100"/>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-142875</wp:posOffset>
            </wp:positionV>
            <wp:extent cx="8255" cy="1435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43510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-142875</wp:posOffset>
            </wp:positionV>
            <wp:extent cx="8255" cy="1435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143510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85725</wp:posOffset>
            </wp:positionV>
            <wp:extent cx="322580" cy="297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2580" cy="29718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51435</wp:posOffset>
            </wp:positionV>
            <wp:extent cx="195580" cy="331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80" cy="33147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102235</wp:posOffset>
            </wp:positionV>
            <wp:extent cx="297180" cy="288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7180" cy="288925"/>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144780</wp:posOffset>
            </wp:positionV>
            <wp:extent cx="280035" cy="246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0035" cy="24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2200" w:type="dxa"/>
            <w:vAlign w:val="bottom"/>
          </w:tcPr>
          <w:p>
            <w:pPr>
              <w:jc w:val="center"/>
              <w:ind w:right="349"/>
              <w:spacing w:after="0"/>
              <w:rPr>
                <w:sz w:val="20"/>
                <w:szCs w:val="20"/>
                <w:color w:val="auto"/>
              </w:rPr>
            </w:pPr>
            <w:r>
              <w:rPr>
                <w:rFonts w:ascii="Arial" w:cs="Arial" w:eastAsia="Arial" w:hAnsi="Arial"/>
                <w:sz w:val="14"/>
                <w:szCs w:val="14"/>
                <w:color w:val="auto"/>
              </w:rPr>
              <w:t>Visit www.proxyvote.com.</w:t>
            </w:r>
          </w:p>
        </w:tc>
        <w:tc>
          <w:tcPr>
            <w:tcW w:w="2800" w:type="dxa"/>
            <w:vAlign w:val="bottom"/>
          </w:tcPr>
          <w:p>
            <w:pPr>
              <w:jc w:val="center"/>
              <w:spacing w:after="0"/>
              <w:rPr>
                <w:sz w:val="20"/>
                <w:szCs w:val="20"/>
                <w:color w:val="auto"/>
              </w:rPr>
            </w:pPr>
            <w:r>
              <w:rPr>
                <w:rFonts w:ascii="Arial" w:cs="Arial" w:eastAsia="Arial" w:hAnsi="Arial"/>
                <w:sz w:val="14"/>
                <w:szCs w:val="14"/>
                <w:color w:val="auto"/>
              </w:rPr>
              <w:t>If you received a paper copy of</w:t>
            </w:r>
          </w:p>
        </w:tc>
        <w:tc>
          <w:tcPr>
            <w:tcW w:w="2880" w:type="dxa"/>
            <w:vAlign w:val="bottom"/>
          </w:tcPr>
          <w:p>
            <w:pPr>
              <w:jc w:val="center"/>
              <w:spacing w:after="0"/>
              <w:rPr>
                <w:sz w:val="20"/>
                <w:szCs w:val="20"/>
                <w:color w:val="auto"/>
              </w:rPr>
            </w:pPr>
            <w:r>
              <w:rPr>
                <w:rFonts w:ascii="Arial" w:cs="Arial" w:eastAsia="Arial" w:hAnsi="Arial"/>
                <w:sz w:val="14"/>
                <w:szCs w:val="14"/>
                <w:color w:val="auto"/>
              </w:rPr>
              <w:t>If you received a paper copy of</w:t>
            </w:r>
          </w:p>
        </w:tc>
        <w:tc>
          <w:tcPr>
            <w:tcW w:w="2300" w:type="dxa"/>
            <w:vAlign w:val="bottom"/>
          </w:tcPr>
          <w:p>
            <w:pPr>
              <w:jc w:val="center"/>
              <w:ind w:left="329"/>
              <w:spacing w:after="0"/>
              <w:rPr>
                <w:sz w:val="20"/>
                <w:szCs w:val="20"/>
                <w:color w:val="auto"/>
              </w:rPr>
            </w:pPr>
            <w:r>
              <w:rPr>
                <w:rFonts w:ascii="Arial" w:cs="Arial" w:eastAsia="Arial" w:hAnsi="Arial"/>
                <w:sz w:val="14"/>
                <w:szCs w:val="14"/>
                <w:color w:val="auto"/>
              </w:rPr>
              <w:t>Follow the instructions under</w:t>
            </w:r>
          </w:p>
        </w:tc>
      </w:tr>
      <w:tr>
        <w:trPr>
          <w:trHeight w:val="160"/>
        </w:trPr>
        <w:tc>
          <w:tcPr>
            <w:tcW w:w="2200" w:type="dxa"/>
            <w:vAlign w:val="bottom"/>
          </w:tcPr>
          <w:p>
            <w:pPr>
              <w:jc w:val="center"/>
              <w:ind w:right="349"/>
              <w:spacing w:after="0"/>
              <w:rPr>
                <w:sz w:val="20"/>
                <w:szCs w:val="20"/>
                <w:color w:val="auto"/>
              </w:rPr>
            </w:pPr>
            <w:r>
              <w:rPr>
                <w:rFonts w:ascii="Arial" w:cs="Arial" w:eastAsia="Arial" w:hAnsi="Arial"/>
                <w:sz w:val="14"/>
                <w:szCs w:val="14"/>
                <w:color w:val="auto"/>
              </w:rPr>
              <w:t>You will need the control</w:t>
            </w:r>
          </w:p>
        </w:tc>
        <w:tc>
          <w:tcPr>
            <w:tcW w:w="2800" w:type="dxa"/>
            <w:vAlign w:val="bottom"/>
          </w:tcPr>
          <w:p>
            <w:pPr>
              <w:jc w:val="center"/>
              <w:spacing w:after="0"/>
              <w:rPr>
                <w:sz w:val="20"/>
                <w:szCs w:val="20"/>
                <w:color w:val="auto"/>
              </w:rPr>
            </w:pPr>
            <w:r>
              <w:rPr>
                <w:rFonts w:ascii="Arial" w:cs="Arial" w:eastAsia="Arial" w:hAnsi="Arial"/>
                <w:sz w:val="14"/>
                <w:szCs w:val="14"/>
                <w:color w:val="auto"/>
              </w:rPr>
              <w:t>the proxy materials, dial toll-</w:t>
            </w:r>
          </w:p>
        </w:tc>
        <w:tc>
          <w:tcPr>
            <w:tcW w:w="2880" w:type="dxa"/>
            <w:vAlign w:val="bottom"/>
          </w:tcPr>
          <w:p>
            <w:pPr>
              <w:jc w:val="center"/>
              <w:spacing w:after="0"/>
              <w:rPr>
                <w:sz w:val="20"/>
                <w:szCs w:val="20"/>
                <w:color w:val="auto"/>
              </w:rPr>
            </w:pPr>
            <w:r>
              <w:rPr>
                <w:rFonts w:ascii="Arial" w:cs="Arial" w:eastAsia="Arial" w:hAnsi="Arial"/>
                <w:sz w:val="14"/>
                <w:szCs w:val="14"/>
                <w:color w:val="auto"/>
              </w:rPr>
              <w:t>the proxy materials, send your</w:t>
            </w:r>
          </w:p>
        </w:tc>
        <w:tc>
          <w:tcPr>
            <w:tcW w:w="2300" w:type="dxa"/>
            <w:vAlign w:val="bottom"/>
          </w:tcPr>
          <w:p>
            <w:pPr>
              <w:jc w:val="center"/>
              <w:ind w:left="329"/>
              <w:spacing w:after="0"/>
              <w:rPr>
                <w:sz w:val="20"/>
                <w:szCs w:val="20"/>
                <w:color w:val="auto"/>
              </w:rPr>
            </w:pPr>
            <w:r>
              <w:rPr>
                <w:rFonts w:ascii="Arial" w:cs="Arial" w:eastAsia="Arial" w:hAnsi="Arial"/>
                <w:sz w:val="14"/>
                <w:szCs w:val="14"/>
                <w:color w:val="auto"/>
              </w:rPr>
              <w:t>“Can I attend the 2026 Annual</w:t>
            </w:r>
          </w:p>
        </w:tc>
      </w:tr>
      <w:tr>
        <w:trPr>
          <w:trHeight w:val="160"/>
        </w:trPr>
        <w:tc>
          <w:tcPr>
            <w:tcW w:w="2200" w:type="dxa"/>
            <w:vAlign w:val="bottom"/>
          </w:tcPr>
          <w:p>
            <w:pPr>
              <w:jc w:val="center"/>
              <w:ind w:right="369"/>
              <w:spacing w:after="0"/>
              <w:rPr>
                <w:sz w:val="20"/>
                <w:szCs w:val="20"/>
                <w:color w:val="auto"/>
              </w:rPr>
            </w:pPr>
            <w:r>
              <w:rPr>
                <w:rFonts w:ascii="Arial" w:cs="Arial" w:eastAsia="Arial" w:hAnsi="Arial"/>
                <w:sz w:val="14"/>
                <w:szCs w:val="14"/>
                <w:color w:val="auto"/>
              </w:rPr>
              <w:t>number printed on your</w:t>
            </w:r>
          </w:p>
        </w:tc>
        <w:tc>
          <w:tcPr>
            <w:tcW w:w="2800" w:type="dxa"/>
            <w:vAlign w:val="bottom"/>
          </w:tcPr>
          <w:p>
            <w:pPr>
              <w:jc w:val="center"/>
              <w:spacing w:after="0"/>
              <w:rPr>
                <w:sz w:val="20"/>
                <w:szCs w:val="20"/>
                <w:color w:val="auto"/>
              </w:rPr>
            </w:pPr>
            <w:r>
              <w:rPr>
                <w:rFonts w:ascii="Arial" w:cs="Arial" w:eastAsia="Arial" w:hAnsi="Arial"/>
                <w:sz w:val="14"/>
                <w:szCs w:val="14"/>
                <w:color w:val="auto"/>
              </w:rPr>
              <w:t>free (1-800-690-6903) or use</w:t>
            </w:r>
          </w:p>
        </w:tc>
        <w:tc>
          <w:tcPr>
            <w:tcW w:w="2880" w:type="dxa"/>
            <w:vAlign w:val="bottom"/>
          </w:tcPr>
          <w:p>
            <w:pPr>
              <w:jc w:val="center"/>
              <w:spacing w:after="0"/>
              <w:rPr>
                <w:sz w:val="20"/>
                <w:szCs w:val="20"/>
                <w:color w:val="auto"/>
              </w:rPr>
            </w:pPr>
            <w:r>
              <w:rPr>
                <w:rFonts w:ascii="Arial" w:cs="Arial" w:eastAsia="Arial" w:hAnsi="Arial"/>
                <w:sz w:val="14"/>
                <w:szCs w:val="14"/>
                <w:color w:val="auto"/>
              </w:rPr>
              <w:t>completed and signed proxy</w:t>
            </w:r>
          </w:p>
        </w:tc>
        <w:tc>
          <w:tcPr>
            <w:tcW w:w="2300" w:type="dxa"/>
            <w:vAlign w:val="bottom"/>
          </w:tcPr>
          <w:p>
            <w:pPr>
              <w:jc w:val="center"/>
              <w:ind w:left="329"/>
              <w:spacing w:after="0"/>
              <w:rPr>
                <w:sz w:val="20"/>
                <w:szCs w:val="20"/>
                <w:color w:val="auto"/>
              </w:rPr>
            </w:pPr>
            <w:r>
              <w:rPr>
                <w:rFonts w:ascii="Arial" w:cs="Arial" w:eastAsia="Arial" w:hAnsi="Arial"/>
                <w:sz w:val="14"/>
                <w:szCs w:val="14"/>
                <w:color w:val="auto"/>
              </w:rPr>
              <w:t>Stockholder Meeting?” on</w:t>
            </w:r>
          </w:p>
        </w:tc>
      </w:tr>
      <w:tr>
        <w:trPr>
          <w:trHeight w:val="160"/>
        </w:trPr>
        <w:tc>
          <w:tcPr>
            <w:tcW w:w="2200" w:type="dxa"/>
            <w:vAlign w:val="bottom"/>
          </w:tcPr>
          <w:p>
            <w:pPr>
              <w:jc w:val="center"/>
              <w:ind w:right="369"/>
              <w:spacing w:after="0"/>
              <w:rPr>
                <w:sz w:val="20"/>
                <w:szCs w:val="20"/>
                <w:color w:val="auto"/>
              </w:rPr>
            </w:pPr>
            <w:r>
              <w:rPr>
                <w:rFonts w:ascii="Arial" w:cs="Arial" w:eastAsia="Arial" w:hAnsi="Arial"/>
                <w:sz w:val="14"/>
                <w:szCs w:val="14"/>
                <w:color w:val="auto"/>
              </w:rPr>
              <w:t>notice, proxy card, or voting</w:t>
            </w:r>
          </w:p>
        </w:tc>
        <w:tc>
          <w:tcPr>
            <w:tcW w:w="2800" w:type="dxa"/>
            <w:vAlign w:val="bottom"/>
          </w:tcPr>
          <w:p>
            <w:pPr>
              <w:jc w:val="center"/>
              <w:spacing w:after="0"/>
              <w:rPr>
                <w:sz w:val="20"/>
                <w:szCs w:val="20"/>
                <w:color w:val="auto"/>
              </w:rPr>
            </w:pPr>
            <w:r>
              <w:rPr>
                <w:rFonts w:ascii="Arial" w:cs="Arial" w:eastAsia="Arial" w:hAnsi="Arial"/>
                <w:sz w:val="14"/>
                <w:szCs w:val="14"/>
                <w:color w:val="auto"/>
              </w:rPr>
              <w:t>the telephone number on your</w:t>
            </w:r>
          </w:p>
        </w:tc>
        <w:tc>
          <w:tcPr>
            <w:tcW w:w="2880" w:type="dxa"/>
            <w:vAlign w:val="bottom"/>
          </w:tcPr>
          <w:p>
            <w:pPr>
              <w:jc w:val="center"/>
              <w:spacing w:after="0"/>
              <w:rPr>
                <w:sz w:val="20"/>
                <w:szCs w:val="20"/>
                <w:color w:val="auto"/>
              </w:rPr>
            </w:pPr>
            <w:r>
              <w:rPr>
                <w:rFonts w:ascii="Arial" w:cs="Arial" w:eastAsia="Arial" w:hAnsi="Arial"/>
                <w:sz w:val="14"/>
                <w:szCs w:val="14"/>
                <w:color w:val="auto"/>
              </w:rPr>
              <w:t>card or voting instruction form</w:t>
            </w:r>
          </w:p>
        </w:tc>
        <w:tc>
          <w:tcPr>
            <w:tcW w:w="2300" w:type="dxa"/>
            <w:vAlign w:val="bottom"/>
          </w:tcPr>
          <w:p>
            <w:pPr>
              <w:jc w:val="center"/>
              <w:ind w:left="349"/>
              <w:spacing w:after="0"/>
              <w:rPr>
                <w:sz w:val="20"/>
                <w:szCs w:val="20"/>
                <w:color w:val="auto"/>
              </w:rPr>
            </w:pPr>
            <w:r>
              <w:rPr>
                <w:rFonts w:ascii="Arial" w:cs="Arial" w:eastAsia="Arial" w:hAnsi="Arial"/>
                <w:sz w:val="14"/>
                <w:szCs w:val="14"/>
                <w:color w:val="auto"/>
              </w:rPr>
              <w:t>page 133 and request a ballot</w:t>
            </w:r>
          </w:p>
        </w:tc>
      </w:tr>
      <w:tr>
        <w:trPr>
          <w:trHeight w:val="160"/>
        </w:trPr>
        <w:tc>
          <w:tcPr>
            <w:tcW w:w="2200" w:type="dxa"/>
            <w:vAlign w:val="bottom"/>
          </w:tcPr>
          <w:p>
            <w:pPr>
              <w:jc w:val="center"/>
              <w:ind w:right="349"/>
              <w:spacing w:after="0"/>
              <w:rPr>
                <w:sz w:val="20"/>
                <w:szCs w:val="20"/>
                <w:color w:val="auto"/>
              </w:rPr>
            </w:pPr>
            <w:r>
              <w:rPr>
                <w:rFonts w:ascii="Arial" w:cs="Arial" w:eastAsia="Arial" w:hAnsi="Arial"/>
                <w:sz w:val="14"/>
                <w:szCs w:val="14"/>
                <w:color w:val="auto"/>
              </w:rPr>
              <w:t>instruction form.</w:t>
            </w:r>
          </w:p>
        </w:tc>
        <w:tc>
          <w:tcPr>
            <w:tcW w:w="2800" w:type="dxa"/>
            <w:vAlign w:val="bottom"/>
          </w:tcPr>
          <w:p>
            <w:pPr>
              <w:jc w:val="center"/>
              <w:spacing w:after="0"/>
              <w:rPr>
                <w:sz w:val="20"/>
                <w:szCs w:val="20"/>
                <w:color w:val="auto"/>
              </w:rPr>
            </w:pPr>
            <w:r>
              <w:rPr>
                <w:rFonts w:ascii="Arial" w:cs="Arial" w:eastAsia="Arial" w:hAnsi="Arial"/>
                <w:sz w:val="14"/>
                <w:szCs w:val="14"/>
                <w:color w:val="auto"/>
              </w:rPr>
              <w:t>voting instruction form. You</w:t>
            </w:r>
          </w:p>
        </w:tc>
        <w:tc>
          <w:tcPr>
            <w:tcW w:w="2880" w:type="dxa"/>
            <w:vAlign w:val="bottom"/>
          </w:tcPr>
          <w:p>
            <w:pPr>
              <w:jc w:val="center"/>
              <w:spacing w:after="0"/>
              <w:rPr>
                <w:sz w:val="20"/>
                <w:szCs w:val="20"/>
                <w:color w:val="auto"/>
              </w:rPr>
            </w:pPr>
            <w:r>
              <w:rPr>
                <w:rFonts w:ascii="Arial" w:cs="Arial" w:eastAsia="Arial" w:hAnsi="Arial"/>
                <w:sz w:val="14"/>
                <w:szCs w:val="14"/>
                <w:color w:val="auto"/>
              </w:rPr>
              <w:t>using the enclosed postage-paid</w:t>
            </w:r>
          </w:p>
        </w:tc>
        <w:tc>
          <w:tcPr>
            <w:tcW w:w="2300" w:type="dxa"/>
            <w:vAlign w:val="bottom"/>
          </w:tcPr>
          <w:p>
            <w:pPr>
              <w:jc w:val="center"/>
              <w:ind w:left="349"/>
              <w:spacing w:after="0"/>
              <w:rPr>
                <w:sz w:val="20"/>
                <w:szCs w:val="20"/>
                <w:color w:val="auto"/>
              </w:rPr>
            </w:pPr>
            <w:r>
              <w:rPr>
                <w:rFonts w:ascii="Arial" w:cs="Arial" w:eastAsia="Arial" w:hAnsi="Arial"/>
                <w:sz w:val="14"/>
                <w:szCs w:val="14"/>
                <w:color w:val="auto"/>
              </w:rPr>
              <w:t>when you arrive at the</w:t>
            </w:r>
          </w:p>
        </w:tc>
      </w:tr>
      <w:tr>
        <w:trPr>
          <w:trHeight w:val="160"/>
        </w:trPr>
        <w:tc>
          <w:tcPr>
            <w:tcW w:w="2200" w:type="dxa"/>
            <w:vAlign w:val="bottom"/>
          </w:tcPr>
          <w:p>
            <w:pPr>
              <w:spacing w:after="0"/>
              <w:rPr>
                <w:sz w:val="13"/>
                <w:szCs w:val="13"/>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rPr>
              <w:t>will need the control number</w:t>
            </w:r>
          </w:p>
        </w:tc>
        <w:tc>
          <w:tcPr>
            <w:tcW w:w="2880" w:type="dxa"/>
            <w:vAlign w:val="bottom"/>
          </w:tcPr>
          <w:p>
            <w:pPr>
              <w:jc w:val="center"/>
              <w:spacing w:after="0"/>
              <w:rPr>
                <w:sz w:val="20"/>
                <w:szCs w:val="20"/>
                <w:color w:val="auto"/>
              </w:rPr>
            </w:pPr>
            <w:r>
              <w:rPr>
                <w:rFonts w:ascii="Arial" w:cs="Arial" w:eastAsia="Arial" w:hAnsi="Arial"/>
                <w:sz w:val="14"/>
                <w:szCs w:val="14"/>
                <w:color w:val="auto"/>
              </w:rPr>
              <w:t>envelope.</w:t>
            </w:r>
          </w:p>
        </w:tc>
        <w:tc>
          <w:tcPr>
            <w:tcW w:w="2300" w:type="dxa"/>
            <w:vAlign w:val="bottom"/>
          </w:tcPr>
          <w:p>
            <w:pPr>
              <w:jc w:val="center"/>
              <w:ind w:left="329"/>
              <w:spacing w:after="0"/>
              <w:rPr>
                <w:sz w:val="20"/>
                <w:szCs w:val="20"/>
                <w:color w:val="auto"/>
              </w:rPr>
            </w:pPr>
            <w:r>
              <w:rPr>
                <w:rFonts w:ascii="Arial" w:cs="Arial" w:eastAsia="Arial" w:hAnsi="Arial"/>
                <w:sz w:val="14"/>
                <w:szCs w:val="14"/>
                <w:color w:val="auto"/>
              </w:rPr>
              <w:t>meeting.</w:t>
            </w:r>
          </w:p>
        </w:tc>
      </w:tr>
      <w:tr>
        <w:trPr>
          <w:trHeight w:val="160"/>
        </w:trPr>
        <w:tc>
          <w:tcPr>
            <w:tcW w:w="2200" w:type="dxa"/>
            <w:vAlign w:val="bottom"/>
          </w:tcPr>
          <w:p>
            <w:pPr>
              <w:spacing w:after="0"/>
              <w:rPr>
                <w:sz w:val="13"/>
                <w:szCs w:val="13"/>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rPr>
              <w:t>printed on your proxy card or</w:t>
            </w:r>
          </w:p>
        </w:tc>
        <w:tc>
          <w:tcPr>
            <w:tcW w:w="288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89"/>
        </w:trPr>
        <w:tc>
          <w:tcPr>
            <w:tcW w:w="2200" w:type="dxa"/>
            <w:vAlign w:val="bottom"/>
          </w:tcPr>
          <w:p>
            <w:pPr>
              <w:spacing w:after="0"/>
              <w:rPr>
                <w:sz w:val="16"/>
                <w:szCs w:val="16"/>
                <w:color w:val="auto"/>
              </w:rPr>
            </w:pPr>
          </w:p>
        </w:tc>
        <w:tc>
          <w:tcPr>
            <w:tcW w:w="2800" w:type="dxa"/>
            <w:vAlign w:val="bottom"/>
          </w:tcPr>
          <w:p>
            <w:pPr>
              <w:jc w:val="center"/>
              <w:spacing w:after="0"/>
              <w:rPr>
                <w:sz w:val="20"/>
                <w:szCs w:val="20"/>
                <w:color w:val="auto"/>
              </w:rPr>
            </w:pPr>
            <w:r>
              <w:rPr>
                <w:rFonts w:ascii="Arial" w:cs="Arial" w:eastAsia="Arial" w:hAnsi="Arial"/>
                <w:sz w:val="14"/>
                <w:szCs w:val="14"/>
                <w:color w:val="auto"/>
              </w:rPr>
              <w:t>voting instruction form.</w:t>
            </w:r>
          </w:p>
        </w:tc>
        <w:tc>
          <w:tcPr>
            <w:tcW w:w="2880" w:type="dxa"/>
            <w:vAlign w:val="bottom"/>
          </w:tcPr>
          <w:p>
            <w:pPr>
              <w:spacing w:after="0"/>
              <w:rPr>
                <w:sz w:val="16"/>
                <w:szCs w:val="16"/>
                <w:color w:val="auto"/>
              </w:rPr>
            </w:pPr>
          </w:p>
        </w:tc>
        <w:tc>
          <w:tcPr>
            <w:tcW w:w="2300" w:type="dxa"/>
            <w:vAlign w:val="bottom"/>
          </w:tcPr>
          <w:p>
            <w:pPr>
              <w:spacing w:after="0"/>
              <w:rPr>
                <w:sz w:val="16"/>
                <w:szCs w:val="16"/>
                <w:color w:val="auto"/>
              </w:rPr>
            </w:pPr>
          </w:p>
        </w:tc>
      </w:tr>
    </w:tbl>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On March 25, 2026, we began sending our stockholders a Notice Regarding the Internet Availability of Proxy Materials (“Notice”).</w:t>
      </w:r>
    </w:p>
    <w:p>
      <w:pPr>
        <w:spacing w:after="0" w:line="141" w:lineRule="exact"/>
        <w:rPr>
          <w:sz w:val="20"/>
          <w:szCs w:val="20"/>
          <w:color w:val="auto"/>
        </w:rPr>
      </w:pPr>
    </w:p>
    <w:p>
      <w:pPr>
        <w:ind w:left="5700"/>
        <w:spacing w:after="0"/>
        <w:tabs>
          <w:tab w:leader="none" w:pos="8800" w:val="left"/>
          <w:tab w:leader="none" w:pos="108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-97155</wp:posOffset>
            </wp:positionV>
            <wp:extent cx="8255" cy="178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Voting Item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173990</wp:posOffset>
            </wp:positionV>
            <wp:extent cx="6929755" cy="1392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9755" cy="1392555"/>
                    </a:xfrm>
                    <a:prstGeom prst="rect">
                      <a:avLst/>
                    </a:prstGeom>
                    <a:noFill/>
                  </pic:spPr>
                </pic:pic>
              </a:graphicData>
            </a:graphic>
          </wp:anchor>
        </w:drawing>
      </w:r>
    </w:p>
    <w:p>
      <w:pPr>
        <w:spacing w:after="0" w:line="288" w:lineRule="exact"/>
        <w:rPr>
          <w:sz w:val="20"/>
          <w:szCs w:val="20"/>
          <w:color w:val="auto"/>
        </w:rPr>
      </w:pPr>
    </w:p>
    <w:p>
      <w:pPr>
        <w:jc w:val="both"/>
        <w:ind w:left="1600" w:right="100"/>
        <w:spacing w:after="0" w:line="251" w:lineRule="auto"/>
        <w:rPr>
          <w:sz w:val="20"/>
          <w:szCs w:val="20"/>
          <w:color w:val="auto"/>
        </w:rPr>
      </w:pPr>
      <w:r>
        <w:rPr>
          <w:rFonts w:ascii="Arial" w:cs="Arial" w:eastAsia="Arial" w:hAnsi="Arial"/>
          <w:sz w:val="17"/>
          <w:szCs w:val="17"/>
          <w:color w:val="auto"/>
        </w:rPr>
        <w:t>You are being asked to elect the following thirteen candidates for director: Richard D. Fairbank, Ime Archibong, Christine Detrick, Suni P. Harford, Peter Thomas Killalea, Cornelis Petrus Adrianus Joseph (“Eli”) Leenaars, François Locoh-Donou, Peter E. Raskind, Eileen Serra, Mayo A. Shattuck III, J. Michael Shepherd, Craig Anthony Williams, and Jennifer L. Wong. Each nominee to our Board of Directors (“Board”) is standing for election to hold office until our next</w:t>
      </w:r>
    </w:p>
    <w:p>
      <w:pPr>
        <w:spacing w:after="0" w:line="3" w:lineRule="exact"/>
        <w:rPr>
          <w:sz w:val="20"/>
          <w:szCs w:val="20"/>
          <w:color w:val="auto"/>
        </w:rPr>
      </w:pPr>
    </w:p>
    <w:p>
      <w:pPr>
        <w:jc w:val="both"/>
        <w:ind w:left="500" w:right="80" w:hanging="1305"/>
        <w:spacing w:after="0" w:line="181" w:lineRule="auto"/>
        <w:tabs>
          <w:tab w:leader="none" w:pos="480" w:val="left"/>
        </w:tabs>
        <w:rPr>
          <w:sz w:val="20"/>
          <w:szCs w:val="20"/>
          <w:color w:val="auto"/>
        </w:rPr>
      </w:pPr>
      <w:r>
        <w:rPr>
          <w:rFonts w:ascii="Arial" w:cs="Arial" w:eastAsia="Arial" w:hAnsi="Arial"/>
          <w:sz w:val="42"/>
          <w:szCs w:val="42"/>
          <w:b w:val="1"/>
          <w:bCs w:val="1"/>
          <w:color w:val="FFFFFF"/>
          <w:vertAlign w:val="subscript"/>
        </w:rPr>
        <w:t xml:space="preserve"> </w:t>
      </w:r>
      <w:r>
        <w:rPr>
          <w:sz w:val="20"/>
          <w:szCs w:val="20"/>
          <w:color w:val="auto"/>
        </w:rPr>
        <w:tab/>
      </w:r>
      <w:r>
        <w:rPr>
          <w:rFonts w:ascii="Arial" w:cs="Arial" w:eastAsia="Arial" w:hAnsi="Arial"/>
          <w:sz w:val="43"/>
          <w:szCs w:val="43"/>
          <w:b w:val="1"/>
          <w:bCs w:val="1"/>
          <w:color w:val="FFFFFF"/>
          <w:vertAlign w:val="subscript"/>
        </w:rPr>
        <w:t xml:space="preserve">Item 1 </w:t>
      </w:r>
      <w:r>
        <w:rPr>
          <w:rFonts w:ascii="Arial" w:cs="Arial" w:eastAsia="Arial" w:hAnsi="Arial"/>
          <w:sz w:val="17"/>
          <w:szCs w:val="17"/>
          <w:color w:val="000000"/>
        </w:rPr>
        <w:t>annual stockholder meeting or until their successor is duly elected and qualified. For additional information regarding</w:t>
      </w:r>
      <w:r>
        <w:rPr>
          <w:rFonts w:ascii="Arial" w:cs="Arial" w:eastAsia="Arial" w:hAnsi="Arial"/>
          <w:sz w:val="43"/>
          <w:szCs w:val="43"/>
          <w:b w:val="1"/>
          <w:bCs w:val="1"/>
          <w:color w:val="FFFFFF"/>
        </w:rPr>
        <w:t xml:space="preserve"> </w:t>
      </w:r>
      <w:r>
        <w:rPr>
          <w:rFonts w:ascii="Arial" w:cs="Arial" w:eastAsia="Arial" w:hAnsi="Arial"/>
          <w:sz w:val="17"/>
          <w:szCs w:val="17"/>
          <w:color w:val="000000"/>
        </w:rPr>
        <w:t>our director nominees, see “Our Director Nominees” beginning on page 14 and “Skills and Experience of Our Director Nominees” beginning on page 22 of this proxy statement. For a description of our corporate governance practices, see “Corporate Governance at Capital One” beginning on page 24 of this proxy statement.</w:t>
      </w:r>
    </w:p>
    <w:p>
      <w:pPr>
        <w:spacing w:after="0" w:line="172" w:lineRule="exact"/>
        <w:rPr>
          <w:sz w:val="20"/>
          <w:szCs w:val="20"/>
          <w:color w:val="auto"/>
        </w:rPr>
      </w:pPr>
    </w:p>
    <w:p>
      <w:pPr>
        <w:ind w:left="1800" w:hanging="202"/>
        <w:spacing w:after="0"/>
        <w:tabs>
          <w:tab w:leader="none" w:pos="1800" w:val="left"/>
        </w:tabs>
        <w:numPr>
          <w:ilvl w:val="0"/>
          <w:numId w:val="6"/>
        </w:numPr>
        <w:rPr>
          <w:rFonts w:ascii="MS PGothic" w:cs="MS PGothic" w:eastAsia="MS PGothic" w:hAnsi="MS PGothic"/>
          <w:sz w:val="18"/>
          <w:szCs w:val="18"/>
          <w:color w:val="023C5B"/>
        </w:rPr>
      </w:pPr>
      <w:r>
        <w:rPr>
          <w:rFonts w:ascii="Arial" w:cs="Arial" w:eastAsia="Arial" w:hAnsi="Arial"/>
          <w:sz w:val="18"/>
          <w:szCs w:val="18"/>
          <w:i w:val="1"/>
          <w:iCs w:val="1"/>
          <w:color w:val="023C5B"/>
        </w:rPr>
        <w:t>Our Board unanimously recommends that you vote “FOR” each of these director nominees.</w:t>
      </w:r>
    </w:p>
    <w:p>
      <w:pPr>
        <w:spacing w:after="0" w:line="33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Corporate Governance Highlights</w:t>
      </w:r>
    </w:p>
    <w:p>
      <w:pPr>
        <w:spacing w:after="0" w:line="146" w:lineRule="exact"/>
        <w:rPr>
          <w:sz w:val="20"/>
          <w:szCs w:val="20"/>
          <w:color w:val="auto"/>
        </w:rPr>
      </w:pPr>
    </w:p>
    <w:tbl>
      <w:tblPr>
        <w:tblLayout w:type="fixed"/>
        <w:tblInd w:w="160" w:type="dxa"/>
        <w:tblCellMar>
          <w:top w:w="0" w:type="dxa"/>
          <w:left w:w="0" w:type="dxa"/>
          <w:bottom w:w="0" w:type="dxa"/>
          <w:right w:w="0" w:type="dxa"/>
        </w:tblCellMar>
      </w:tblPr>
      <w:tr>
        <w:trPr>
          <w:trHeight w:val="428"/>
        </w:trPr>
        <w:tc>
          <w:tcPr>
            <w:tcW w:w="5340" w:type="dxa"/>
            <w:vAlign w:val="bottom"/>
            <w:shd w:val="clear" w:color="auto" w:fill="023C5B"/>
          </w:tcPr>
          <w:p>
            <w:pPr>
              <w:ind w:left="1120"/>
              <w:spacing w:after="0"/>
              <w:rPr>
                <w:sz w:val="20"/>
                <w:szCs w:val="20"/>
                <w:color w:val="auto"/>
              </w:rPr>
            </w:pPr>
            <w:r>
              <w:rPr>
                <w:rFonts w:ascii="Arial" w:cs="Arial" w:eastAsia="Arial" w:hAnsi="Arial"/>
                <w:sz w:val="21"/>
                <w:szCs w:val="21"/>
                <w:b w:val="1"/>
                <w:bCs w:val="1"/>
                <w:color w:val="FFFFFF"/>
              </w:rPr>
              <w:t>Board Members and Leadership</w:t>
            </w:r>
          </w:p>
        </w:tc>
        <w:tc>
          <w:tcPr>
            <w:tcW w:w="240" w:type="dxa"/>
            <w:vAlign w:val="bottom"/>
          </w:tcPr>
          <w:p>
            <w:pPr>
              <w:spacing w:after="0"/>
              <w:rPr>
                <w:sz w:val="24"/>
                <w:szCs w:val="24"/>
                <w:color w:val="auto"/>
              </w:rPr>
            </w:pPr>
          </w:p>
        </w:tc>
        <w:tc>
          <w:tcPr>
            <w:tcW w:w="5340" w:type="dxa"/>
            <w:vAlign w:val="bottom"/>
            <w:shd w:val="clear" w:color="auto" w:fill="023C5B"/>
          </w:tcPr>
          <w:p>
            <w:pPr>
              <w:ind w:left="1000"/>
              <w:spacing w:after="0"/>
              <w:rPr>
                <w:sz w:val="20"/>
                <w:szCs w:val="20"/>
                <w:color w:val="auto"/>
              </w:rPr>
            </w:pPr>
            <w:r>
              <w:rPr>
                <w:rFonts w:ascii="Arial" w:cs="Arial" w:eastAsia="Arial" w:hAnsi="Arial"/>
                <w:sz w:val="21"/>
                <w:szCs w:val="21"/>
                <w:b w:val="1"/>
                <w:bCs w:val="1"/>
                <w:color w:val="FFFFFF"/>
              </w:rPr>
              <w:t>Board Governance Best Practices</w:t>
            </w:r>
          </w:p>
        </w:tc>
      </w:tr>
      <w:tr>
        <w:trPr>
          <w:trHeight w:val="40"/>
        </w:trPr>
        <w:tc>
          <w:tcPr>
            <w:tcW w:w="5340" w:type="dxa"/>
            <w:vAlign w:val="bottom"/>
            <w:shd w:val="clear" w:color="auto" w:fill="023C5B"/>
          </w:tcPr>
          <w:p>
            <w:pPr>
              <w:spacing w:after="0"/>
              <w:rPr>
                <w:sz w:val="3"/>
                <w:szCs w:val="3"/>
                <w:color w:val="auto"/>
              </w:rPr>
            </w:pPr>
          </w:p>
        </w:tc>
        <w:tc>
          <w:tcPr>
            <w:tcW w:w="240" w:type="dxa"/>
            <w:vAlign w:val="bottom"/>
          </w:tcPr>
          <w:p>
            <w:pPr>
              <w:spacing w:after="0"/>
              <w:rPr>
                <w:sz w:val="3"/>
                <w:szCs w:val="3"/>
                <w:color w:val="auto"/>
              </w:rPr>
            </w:pPr>
          </w:p>
        </w:tc>
        <w:tc>
          <w:tcPr>
            <w:tcW w:w="5340" w:type="dxa"/>
            <w:vAlign w:val="bottom"/>
            <w:shd w:val="clear" w:color="auto" w:fill="023C5B"/>
          </w:tcPr>
          <w:p>
            <w:pPr>
              <w:spacing w:after="0"/>
              <w:rPr>
                <w:sz w:val="3"/>
                <w:szCs w:val="3"/>
                <w:color w:val="auto"/>
              </w:rPr>
            </w:pPr>
          </w:p>
        </w:tc>
      </w:tr>
    </w:tbl>
    <w:p>
      <w:pPr>
        <w:spacing w:after="0" w:line="48" w:lineRule="exact"/>
        <w:rPr>
          <w:sz w:val="20"/>
          <w:szCs w:val="20"/>
          <w:color w:val="auto"/>
        </w:rPr>
      </w:pPr>
    </w:p>
    <w:p>
      <w:pPr>
        <w:sectPr>
          <w:pgSz w:w="11900" w:h="16838" w:orient="portrait"/>
          <w:cols w:equalWidth="0" w:num="1">
            <w:col w:w="11080"/>
          </w:cols>
          <w:pgMar w:left="320" w:top="478" w:right="499" w:bottom="1440" w:gutter="0" w:footer="0" w:header="0"/>
        </w:sectPr>
      </w:pPr>
    </w:p>
    <w:p>
      <w:pPr>
        <w:ind w:left="640" w:right="140" w:hanging="312"/>
        <w:spacing w:after="0" w:line="210" w:lineRule="auto"/>
        <w:tabs>
          <w:tab w:leader="none" w:pos="640" w:val="left"/>
        </w:tabs>
        <w:numPr>
          <w:ilvl w:val="0"/>
          <w:numId w:val="7"/>
        </w:numPr>
        <w:rPr>
          <w:rFonts w:ascii="MS PGothic" w:cs="MS PGothic" w:eastAsia="MS PGothic" w:hAnsi="MS PGothic"/>
          <w:sz w:val="14"/>
          <w:szCs w:val="14"/>
          <w:color w:val="023C5B"/>
        </w:rPr>
      </w:pPr>
      <w:r>
        <w:rPr>
          <w:rFonts w:ascii="Arial" w:cs="Arial" w:eastAsia="Arial" w:hAnsi="Arial"/>
          <w:sz w:val="18"/>
          <w:szCs w:val="18"/>
          <w:color w:val="auto"/>
        </w:rPr>
        <w:t xml:space="preserve">Twelve of our thirteen director nominees are independent; </w:t>
      </w:r>
      <w:r>
        <w:rPr>
          <w:rFonts w:ascii="Arial" w:cs="Arial" w:eastAsia="Arial" w:hAnsi="Arial"/>
          <w:sz w:val="35"/>
          <w:szCs w:val="35"/>
          <w:color w:val="auto"/>
          <w:vertAlign w:val="superscript"/>
        </w:rPr>
        <w:t xml:space="preserve"> </w:t>
      </w:r>
      <w:r>
        <w:rPr>
          <w:rFonts w:ascii="Arial" w:cs="Arial" w:eastAsia="Arial" w:hAnsi="Arial"/>
          <w:sz w:val="18"/>
          <w:szCs w:val="18"/>
          <w:color w:val="auto"/>
        </w:rPr>
        <w:t xml:space="preserve"> our Chief Executive Officer (“CEO”) and founder is the only member of management who serves as a director</w:t>
      </w:r>
    </w:p>
    <w:p>
      <w:pPr>
        <w:spacing w:after="0" w:line="34" w:lineRule="exact"/>
        <w:rPr>
          <w:rFonts w:ascii="MS PGothic" w:cs="MS PGothic" w:eastAsia="MS PGothic" w:hAnsi="MS PGothic"/>
          <w:sz w:val="14"/>
          <w:szCs w:val="14"/>
          <w:color w:val="023C5B"/>
        </w:rPr>
      </w:pPr>
    </w:p>
    <w:p>
      <w:pPr>
        <w:jc w:val="both"/>
        <w:ind w:left="640" w:right="240" w:hanging="312"/>
        <w:spacing w:after="0" w:line="239" w:lineRule="auto"/>
        <w:tabs>
          <w:tab w:leader="none" w:pos="640" w:val="left"/>
        </w:tabs>
        <w:numPr>
          <w:ilvl w:val="0"/>
          <w:numId w:val="7"/>
        </w:numPr>
        <w:rPr>
          <w:rFonts w:ascii="MS PGothic" w:cs="MS PGothic" w:eastAsia="MS PGothic" w:hAnsi="MS PGothic"/>
          <w:sz w:val="14"/>
          <w:szCs w:val="14"/>
          <w:color w:val="023C5B"/>
        </w:rPr>
      </w:pPr>
      <w:r>
        <w:rPr>
          <w:rFonts w:ascii="Arial" w:cs="Arial" w:eastAsia="Arial" w:hAnsi="Arial"/>
          <w:sz w:val="18"/>
          <w:szCs w:val="18"/>
          <w:color w:val="auto"/>
        </w:rPr>
        <w:t>Appointment of seven new independent directors since 2021, including three new directors in 2025 who served on the board of directors of Discover Financial Services (“Discover”) prior to the acquisition of Discover by Capital One (“Discover Transaction”), two of whom are current director nominees</w:t>
      </w:r>
    </w:p>
    <w:p>
      <w:pPr>
        <w:spacing w:after="0" w:line="33" w:lineRule="exact"/>
        <w:rPr>
          <w:rFonts w:ascii="MS PGothic" w:cs="MS PGothic" w:eastAsia="MS PGothic" w:hAnsi="MS PGothic"/>
          <w:sz w:val="14"/>
          <w:szCs w:val="14"/>
          <w:color w:val="023C5B"/>
        </w:rPr>
      </w:pPr>
    </w:p>
    <w:p>
      <w:pPr>
        <w:jc w:val="both"/>
        <w:ind w:left="640" w:right="240" w:hanging="312"/>
        <w:spacing w:after="0" w:line="249" w:lineRule="auto"/>
        <w:tabs>
          <w:tab w:leader="none" w:pos="640" w:val="left"/>
        </w:tabs>
        <w:numPr>
          <w:ilvl w:val="0"/>
          <w:numId w:val="7"/>
        </w:numPr>
        <w:rPr>
          <w:rFonts w:ascii="MS PGothic" w:cs="MS PGothic" w:eastAsia="MS PGothic" w:hAnsi="MS PGothic"/>
          <w:sz w:val="14"/>
          <w:szCs w:val="14"/>
          <w:color w:val="023C5B"/>
        </w:rPr>
      </w:pPr>
      <w:r>
        <w:rPr>
          <w:rFonts w:ascii="Arial" w:cs="Arial" w:eastAsia="Arial" w:hAnsi="Arial"/>
          <w:sz w:val="18"/>
          <w:szCs w:val="18"/>
          <w:color w:val="auto"/>
        </w:rPr>
        <w:t>Active and empowered Lead Independent Director elected annually by the independent members of our Board (“Independent Directors”)</w:t>
      </w:r>
    </w:p>
    <w:p>
      <w:pPr>
        <w:spacing w:after="0" w:line="24" w:lineRule="exact"/>
        <w:rPr>
          <w:rFonts w:ascii="MS PGothic" w:cs="MS PGothic" w:eastAsia="MS PGothic" w:hAnsi="MS PGothic"/>
          <w:sz w:val="14"/>
          <w:szCs w:val="14"/>
          <w:color w:val="023C5B"/>
        </w:rPr>
      </w:pPr>
    </w:p>
    <w:p>
      <w:pPr>
        <w:ind w:left="640" w:right="240" w:hanging="312"/>
        <w:spacing w:after="0" w:line="265" w:lineRule="auto"/>
        <w:tabs>
          <w:tab w:leader="none" w:pos="640" w:val="left"/>
        </w:tabs>
        <w:numPr>
          <w:ilvl w:val="0"/>
          <w:numId w:val="7"/>
        </w:numPr>
        <w:rPr>
          <w:rFonts w:ascii="MS PGothic" w:cs="MS PGothic" w:eastAsia="MS PGothic" w:hAnsi="MS PGothic"/>
          <w:sz w:val="14"/>
          <w:szCs w:val="14"/>
          <w:color w:val="023C5B"/>
        </w:rPr>
      </w:pPr>
      <w:r>
        <w:rPr>
          <w:rFonts w:ascii="Arial" w:cs="Arial" w:eastAsia="Arial" w:hAnsi="Arial"/>
          <w:sz w:val="18"/>
          <w:szCs w:val="18"/>
          <w:color w:val="auto"/>
        </w:rPr>
        <w:t>Active and empowered committee chairs, all of whom are independent</w:t>
      </w:r>
    </w:p>
    <w:p>
      <w:pPr>
        <w:spacing w:after="0" w:line="10" w:lineRule="exact"/>
        <w:rPr>
          <w:rFonts w:ascii="MS PGothic" w:cs="MS PGothic" w:eastAsia="MS PGothic" w:hAnsi="MS PGothic"/>
          <w:sz w:val="14"/>
          <w:szCs w:val="14"/>
          <w:color w:val="023C5B"/>
        </w:rPr>
      </w:pPr>
    </w:p>
    <w:p>
      <w:pPr>
        <w:jc w:val="both"/>
        <w:ind w:left="640" w:right="240" w:hanging="312"/>
        <w:spacing w:after="0" w:line="249" w:lineRule="auto"/>
        <w:tabs>
          <w:tab w:leader="none" w:pos="640" w:val="left"/>
        </w:tabs>
        <w:numPr>
          <w:ilvl w:val="0"/>
          <w:numId w:val="7"/>
        </w:numPr>
        <w:rPr>
          <w:rFonts w:ascii="MS PGothic" w:cs="MS PGothic" w:eastAsia="MS PGothic" w:hAnsi="MS PGothic"/>
          <w:sz w:val="14"/>
          <w:szCs w:val="14"/>
          <w:color w:val="023C5B"/>
        </w:rPr>
      </w:pPr>
      <w:r>
        <w:rPr>
          <w:rFonts w:ascii="Arial" w:cs="Arial" w:eastAsia="Arial" w:hAnsi="Arial"/>
          <w:sz w:val="18"/>
          <w:szCs w:val="18"/>
          <w:color w:val="auto"/>
        </w:rPr>
        <w:t>Directors have a mix of tenures, including long-standing members, relatively new members, and others at different points along the tenure continuum</w:t>
      </w:r>
    </w:p>
    <w:p>
      <w:pPr>
        <w:spacing w:after="0" w:line="24" w:lineRule="exact"/>
        <w:rPr>
          <w:rFonts w:ascii="MS PGothic" w:cs="MS PGothic" w:eastAsia="MS PGothic" w:hAnsi="MS PGothic"/>
          <w:sz w:val="14"/>
          <w:szCs w:val="14"/>
          <w:color w:val="023C5B"/>
        </w:rPr>
      </w:pPr>
    </w:p>
    <w:p>
      <w:pPr>
        <w:jc w:val="both"/>
        <w:ind w:left="640" w:right="240" w:hanging="312"/>
        <w:spacing w:after="0" w:line="243" w:lineRule="auto"/>
        <w:tabs>
          <w:tab w:leader="none" w:pos="640" w:val="left"/>
        </w:tabs>
        <w:numPr>
          <w:ilvl w:val="0"/>
          <w:numId w:val="7"/>
        </w:numPr>
        <w:rPr>
          <w:rFonts w:ascii="MS PGothic" w:cs="MS PGothic" w:eastAsia="MS PGothic" w:hAnsi="MS PGothic"/>
          <w:sz w:val="14"/>
          <w:szCs w:val="14"/>
          <w:color w:val="023C5B"/>
        </w:rPr>
      </w:pPr>
      <w:r>
        <w:rPr>
          <w:rFonts w:ascii="Arial" w:cs="Arial" w:eastAsia="Arial" w:hAnsi="Arial"/>
          <w:sz w:val="18"/>
          <w:szCs w:val="18"/>
          <w:color w:val="auto"/>
        </w:rPr>
        <w:t>Directors reflect a variety of experiences and skills that match the Company’s complexity and strategic direction, and give the Board the collective capability necessary to oversee the Company’s activities</w:t>
      </w:r>
    </w:p>
    <w:p>
      <w:pPr>
        <w:spacing w:after="0" w:line="31" w:lineRule="exact"/>
        <w:rPr>
          <w:rFonts w:ascii="MS PGothic" w:cs="MS PGothic" w:eastAsia="MS PGothic" w:hAnsi="MS PGothic"/>
          <w:sz w:val="14"/>
          <w:szCs w:val="14"/>
          <w:color w:val="023C5B"/>
        </w:rPr>
      </w:pPr>
    </w:p>
    <w:p>
      <w:pPr>
        <w:jc w:val="both"/>
        <w:ind w:left="640" w:right="240" w:hanging="312"/>
        <w:spacing w:after="0" w:line="243" w:lineRule="auto"/>
        <w:tabs>
          <w:tab w:leader="none" w:pos="640" w:val="left"/>
        </w:tabs>
        <w:numPr>
          <w:ilvl w:val="0"/>
          <w:numId w:val="7"/>
        </w:numPr>
        <w:rPr>
          <w:rFonts w:ascii="MS PGothic" w:cs="MS PGothic" w:eastAsia="MS PGothic" w:hAnsi="MS PGothic"/>
          <w:sz w:val="14"/>
          <w:szCs w:val="14"/>
          <w:color w:val="023C5B"/>
        </w:rPr>
      </w:pPr>
      <w:r>
        <w:rPr>
          <w:rFonts w:ascii="Arial" w:cs="Arial" w:eastAsia="Arial" w:hAnsi="Arial"/>
          <w:sz w:val="18"/>
          <w:szCs w:val="18"/>
          <w:color w:val="auto"/>
        </w:rPr>
        <w:t>Regular discussions regarding Board recruiting, succession, and refreshment, including director skills and qualifications, that support the Company’s long-term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-3500755</wp:posOffset>
            </wp:positionV>
            <wp:extent cx="3380105" cy="3575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80105" cy="3575050"/>
                    </a:xfrm>
                    <a:prstGeom prst="rect">
                      <a:avLst/>
                    </a:prstGeom>
                    <a:noFill/>
                  </pic:spPr>
                </pic:pic>
              </a:graphicData>
            </a:graphic>
          </wp:anchor>
        </w:drawing>
      </w:r>
    </w:p>
    <w:p>
      <w:pPr>
        <w:spacing w:after="0" w:line="217" w:lineRule="exact"/>
        <w:rPr>
          <w:sz w:val="20"/>
          <w:szCs w:val="20"/>
          <w:color w:val="auto"/>
        </w:rPr>
      </w:pPr>
    </w:p>
    <w:p>
      <w:pPr>
        <w:ind w:left="180"/>
        <w:spacing w:after="0"/>
        <w:tabs>
          <w:tab w:leader="none" w:pos="500" w:val="left"/>
          <w:tab w:leader="none" w:pos="36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2272030</wp:posOffset>
            </wp:positionH>
            <wp:positionV relativeFrom="paragraph">
              <wp:posOffset>-113665</wp:posOffset>
            </wp:positionV>
            <wp:extent cx="8255" cy="178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02" w:right="40" w:hanging="302"/>
        <w:spacing w:after="0"/>
        <w:tabs>
          <w:tab w:leader="none" w:pos="302" w:val="left"/>
        </w:tabs>
        <w:numPr>
          <w:ilvl w:val="0"/>
          <w:numId w:val="8"/>
        </w:numPr>
        <w:rPr>
          <w:rFonts w:ascii="MS PGothic" w:cs="MS PGothic" w:eastAsia="MS PGothic" w:hAnsi="MS PGothic"/>
          <w:sz w:val="14"/>
          <w:szCs w:val="14"/>
          <w:color w:val="023C5B"/>
        </w:rPr>
      </w:pPr>
      <w:r>
        <w:rPr>
          <w:rFonts w:ascii="Arial" w:cs="Arial" w:eastAsia="Arial" w:hAnsi="Arial"/>
          <w:sz w:val="18"/>
          <w:szCs w:val="18"/>
          <w:color w:val="auto"/>
        </w:rPr>
        <w:t xml:space="preserve">Regular executive sessions of the Independent Directors </w:t>
      </w:r>
      <w:r>
        <w:rPr>
          <w:rFonts w:ascii="Arial" w:cs="Arial" w:eastAsia="Arial" w:hAnsi="Arial"/>
          <w:sz w:val="35"/>
          <w:szCs w:val="35"/>
          <w:color w:val="auto"/>
          <w:vertAlign w:val="superscript"/>
        </w:rPr>
        <w:t xml:space="preserve"> </w:t>
      </w:r>
      <w:r>
        <w:rPr>
          <w:rFonts w:ascii="Arial" w:cs="Arial" w:eastAsia="Arial" w:hAnsi="Arial"/>
          <w:sz w:val="18"/>
          <w:szCs w:val="18"/>
          <w:color w:val="auto"/>
        </w:rPr>
        <w:t xml:space="preserve"> that regularly include separate meetings with our CEO, Chief Financial Officer (“CFO”), General Counsel and Corporate Secretary, Chief Enterprise Risk Officer, Chief Credit and Financial Risk Officer (together with the Chief Enterprise Risk Officer, the “Chief Risk Officers”), Chief Audit Officer, Chief Information Security Officer, Chief Technology Risk Officer, Chief Credit Review Officer, and/or Chief Compliance Officer</w:t>
      </w:r>
    </w:p>
    <w:p>
      <w:pPr>
        <w:spacing w:after="0" w:line="101" w:lineRule="exact"/>
        <w:rPr>
          <w:rFonts w:ascii="MS PGothic" w:cs="MS PGothic" w:eastAsia="MS PGothic" w:hAnsi="MS PGothic"/>
          <w:sz w:val="14"/>
          <w:szCs w:val="14"/>
          <w:color w:val="023C5B"/>
        </w:rPr>
      </w:pPr>
    </w:p>
    <w:p>
      <w:pPr>
        <w:jc w:val="both"/>
        <w:ind w:left="302" w:right="160" w:hanging="302"/>
        <w:spacing w:after="0" w:line="249" w:lineRule="auto"/>
        <w:tabs>
          <w:tab w:leader="none" w:pos="302" w:val="left"/>
        </w:tabs>
        <w:numPr>
          <w:ilvl w:val="0"/>
          <w:numId w:val="8"/>
        </w:numPr>
        <w:rPr>
          <w:rFonts w:ascii="MS PGothic" w:cs="MS PGothic" w:eastAsia="MS PGothic" w:hAnsi="MS PGothic"/>
          <w:sz w:val="14"/>
          <w:szCs w:val="14"/>
          <w:color w:val="023C5B"/>
        </w:rPr>
      </w:pPr>
      <w:r>
        <w:rPr>
          <w:rFonts w:ascii="Arial" w:cs="Arial" w:eastAsia="Arial" w:hAnsi="Arial"/>
          <w:sz w:val="18"/>
          <w:szCs w:val="18"/>
          <w:color w:val="auto"/>
        </w:rPr>
        <w:t>Annual assessments of the Board and each of its committees, the Independent Directors, and the Lead Independent Director</w:t>
      </w:r>
    </w:p>
    <w:p>
      <w:pPr>
        <w:spacing w:after="0" w:line="24" w:lineRule="exact"/>
        <w:rPr>
          <w:rFonts w:ascii="MS PGothic" w:cs="MS PGothic" w:eastAsia="MS PGothic" w:hAnsi="MS PGothic"/>
          <w:sz w:val="14"/>
          <w:szCs w:val="14"/>
          <w:color w:val="023C5B"/>
        </w:rPr>
      </w:pPr>
    </w:p>
    <w:p>
      <w:pPr>
        <w:jc w:val="both"/>
        <w:ind w:left="302" w:right="140" w:hanging="302"/>
        <w:spacing w:after="0" w:line="243" w:lineRule="auto"/>
        <w:tabs>
          <w:tab w:leader="none" w:pos="302" w:val="left"/>
        </w:tabs>
        <w:numPr>
          <w:ilvl w:val="0"/>
          <w:numId w:val="8"/>
        </w:numPr>
        <w:rPr>
          <w:rFonts w:ascii="MS PGothic" w:cs="MS PGothic" w:eastAsia="MS PGothic" w:hAnsi="MS PGothic"/>
          <w:sz w:val="14"/>
          <w:szCs w:val="14"/>
          <w:color w:val="023C5B"/>
        </w:rPr>
      </w:pPr>
      <w:r>
        <w:rPr>
          <w:rFonts w:ascii="Arial" w:cs="Arial" w:eastAsia="Arial" w:hAnsi="Arial"/>
          <w:sz w:val="18"/>
          <w:szCs w:val="18"/>
          <w:color w:val="auto"/>
        </w:rPr>
        <w:t>Active engagement and oversight of Company strategy; risk management (including technology risk management); the Company’s political activities and contributions; and the Company’s corporate impact</w:t>
      </w:r>
    </w:p>
    <w:p>
      <w:pPr>
        <w:spacing w:after="0" w:line="31" w:lineRule="exact"/>
        <w:rPr>
          <w:rFonts w:ascii="MS PGothic" w:cs="MS PGothic" w:eastAsia="MS PGothic" w:hAnsi="MS PGothic"/>
          <w:sz w:val="14"/>
          <w:szCs w:val="14"/>
          <w:color w:val="023C5B"/>
        </w:rPr>
      </w:pPr>
    </w:p>
    <w:p>
      <w:pPr>
        <w:ind w:left="302" w:hanging="302"/>
        <w:spacing w:after="0"/>
        <w:tabs>
          <w:tab w:leader="none" w:pos="302" w:val="left"/>
        </w:tabs>
        <w:numPr>
          <w:ilvl w:val="0"/>
          <w:numId w:val="8"/>
        </w:numPr>
        <w:rPr>
          <w:rFonts w:ascii="MS PGothic" w:cs="MS PGothic" w:eastAsia="MS PGothic" w:hAnsi="MS PGothic"/>
          <w:sz w:val="14"/>
          <w:szCs w:val="14"/>
          <w:color w:val="023C5B"/>
        </w:rPr>
      </w:pPr>
      <w:r>
        <w:rPr>
          <w:rFonts w:ascii="Arial" w:cs="Arial" w:eastAsia="Arial" w:hAnsi="Arial"/>
          <w:sz w:val="18"/>
          <w:szCs w:val="18"/>
          <w:color w:val="auto"/>
        </w:rPr>
        <w:t>Direct access to members of management by the Board</w:t>
      </w:r>
    </w:p>
    <w:p>
      <w:pPr>
        <w:spacing w:after="0" w:line="60" w:lineRule="exact"/>
        <w:rPr>
          <w:rFonts w:ascii="MS PGothic" w:cs="MS PGothic" w:eastAsia="MS PGothic" w:hAnsi="MS PGothic"/>
          <w:sz w:val="14"/>
          <w:szCs w:val="14"/>
          <w:color w:val="023C5B"/>
        </w:rPr>
      </w:pPr>
    </w:p>
    <w:p>
      <w:pPr>
        <w:ind w:left="302" w:right="140" w:hanging="302"/>
        <w:spacing w:after="0" w:line="265" w:lineRule="auto"/>
        <w:tabs>
          <w:tab w:leader="none" w:pos="302" w:val="left"/>
        </w:tabs>
        <w:numPr>
          <w:ilvl w:val="0"/>
          <w:numId w:val="8"/>
        </w:numPr>
        <w:rPr>
          <w:rFonts w:ascii="MS PGothic" w:cs="MS PGothic" w:eastAsia="MS PGothic" w:hAnsi="MS PGothic"/>
          <w:sz w:val="14"/>
          <w:szCs w:val="14"/>
          <w:color w:val="023C5B"/>
        </w:rPr>
      </w:pPr>
      <w:r>
        <w:rPr>
          <w:rFonts w:ascii="Arial" w:cs="Arial" w:eastAsia="Arial" w:hAnsi="Arial"/>
          <w:sz w:val="18"/>
          <w:szCs w:val="18"/>
          <w:color w:val="auto"/>
        </w:rPr>
        <w:t>Annual CEO evaluation process led by the Lead Independent Director</w:t>
      </w:r>
    </w:p>
    <w:p>
      <w:pPr>
        <w:spacing w:after="0" w:line="10" w:lineRule="exact"/>
        <w:rPr>
          <w:rFonts w:ascii="MS PGothic" w:cs="MS PGothic" w:eastAsia="MS PGothic" w:hAnsi="MS PGothic"/>
          <w:sz w:val="14"/>
          <w:szCs w:val="14"/>
          <w:color w:val="023C5B"/>
        </w:rPr>
      </w:pPr>
    </w:p>
    <w:p>
      <w:pPr>
        <w:ind w:left="302" w:right="160" w:hanging="302"/>
        <w:spacing w:after="0" w:line="265" w:lineRule="auto"/>
        <w:tabs>
          <w:tab w:leader="none" w:pos="302" w:val="left"/>
        </w:tabs>
        <w:numPr>
          <w:ilvl w:val="0"/>
          <w:numId w:val="8"/>
        </w:numPr>
        <w:rPr>
          <w:rFonts w:ascii="MS PGothic" w:cs="MS PGothic" w:eastAsia="MS PGothic" w:hAnsi="MS PGothic"/>
          <w:sz w:val="14"/>
          <w:szCs w:val="14"/>
          <w:color w:val="023C5B"/>
        </w:rPr>
      </w:pPr>
      <w:r>
        <w:rPr>
          <w:rFonts w:ascii="Arial" w:cs="Arial" w:eastAsia="Arial" w:hAnsi="Arial"/>
          <w:sz w:val="18"/>
          <w:szCs w:val="18"/>
          <w:color w:val="auto"/>
        </w:rPr>
        <w:t>Regular talent and succession planning discussions regarding the CEO and other key executives</w:t>
      </w:r>
    </w:p>
    <w:p>
      <w:pPr>
        <w:spacing w:after="0" w:line="10" w:lineRule="exact"/>
        <w:rPr>
          <w:rFonts w:ascii="MS PGothic" w:cs="MS PGothic" w:eastAsia="MS PGothic" w:hAnsi="MS PGothic"/>
          <w:sz w:val="14"/>
          <w:szCs w:val="14"/>
          <w:color w:val="023C5B"/>
        </w:rPr>
      </w:pPr>
    </w:p>
    <w:p>
      <w:pPr>
        <w:ind w:left="302" w:right="140" w:hanging="302"/>
        <w:spacing w:after="0" w:line="265" w:lineRule="auto"/>
        <w:tabs>
          <w:tab w:leader="none" w:pos="302" w:val="left"/>
        </w:tabs>
        <w:numPr>
          <w:ilvl w:val="0"/>
          <w:numId w:val="8"/>
        </w:numPr>
        <w:rPr>
          <w:rFonts w:ascii="MS PGothic" w:cs="MS PGothic" w:eastAsia="MS PGothic" w:hAnsi="MS PGothic"/>
          <w:sz w:val="14"/>
          <w:szCs w:val="14"/>
          <w:color w:val="023C5B"/>
        </w:rPr>
      </w:pPr>
      <w:r>
        <w:rPr>
          <w:rFonts w:ascii="Arial" w:cs="Arial" w:eastAsia="Arial" w:hAnsi="Arial"/>
          <w:sz w:val="18"/>
          <w:szCs w:val="18"/>
          <w:color w:val="auto"/>
        </w:rPr>
        <w:t>Regular meetings between the Board and federal banking regulators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-3258185</wp:posOffset>
            </wp:positionV>
            <wp:extent cx="3397250" cy="3575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97250" cy="3575050"/>
                    </a:xfrm>
                    <a:prstGeom prst="rect">
                      <a:avLst/>
                    </a:prstGeom>
                    <a:noFill/>
                  </pic:spPr>
                </pic:pic>
              </a:graphicData>
            </a:graphic>
          </wp:anchor>
        </w:drawing>
      </w:r>
    </w:p>
    <w:p>
      <w:pPr>
        <w:sectPr>
          <w:pgSz w:w="11900" w:h="16838" w:orient="portrait"/>
          <w:cols w:equalWidth="0" w:num="2">
            <w:col w:w="5580" w:space="258"/>
            <w:col w:w="5242"/>
          </w:cols>
          <w:pgMar w:left="320" w:top="478" w:right="4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322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9755" cy="32258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500"/>
        <w:spacing w:after="0"/>
        <w:rPr>
          <w:sz w:val="20"/>
          <w:szCs w:val="20"/>
          <w:color w:val="auto"/>
        </w:rPr>
      </w:pPr>
      <w:r>
        <w:rPr>
          <w:rFonts w:ascii="Arial" w:cs="Arial" w:eastAsia="Arial" w:hAnsi="Arial"/>
          <w:sz w:val="21"/>
          <w:szCs w:val="21"/>
          <w:b w:val="1"/>
          <w:bCs w:val="1"/>
          <w:color w:val="FFFFFF"/>
        </w:rPr>
        <w:t> Stockholder Engagement and Stockholder Role in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153670</wp:posOffset>
            </wp:positionV>
            <wp:extent cx="6929755" cy="2692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9755" cy="2692400"/>
                    </a:xfrm>
                    <a:prstGeom prst="rect">
                      <a:avLst/>
                    </a:prstGeom>
                    <a:noFill/>
                  </pic:spPr>
                </pic:pic>
              </a:graphicData>
            </a:graphic>
          </wp:anchor>
        </w:drawing>
      </w:r>
    </w:p>
    <w:p>
      <w:pPr>
        <w:spacing w:after="0" w:line="310" w:lineRule="exact"/>
        <w:rPr>
          <w:sz w:val="20"/>
          <w:szCs w:val="20"/>
          <w:color w:val="auto"/>
        </w:rPr>
      </w:pPr>
    </w:p>
    <w:p>
      <w:pPr>
        <w:ind w:left="640" w:right="60" w:hanging="299"/>
        <w:spacing w:after="0" w:line="265" w:lineRule="auto"/>
        <w:tabs>
          <w:tab w:leader="none" w:pos="640" w:val="left"/>
        </w:tabs>
        <w:numPr>
          <w:ilvl w:val="0"/>
          <w:numId w:val="9"/>
        </w:numPr>
        <w:rPr>
          <w:rFonts w:ascii="MS PGothic" w:cs="MS PGothic" w:eastAsia="MS PGothic" w:hAnsi="MS PGothic"/>
          <w:sz w:val="14"/>
          <w:szCs w:val="14"/>
          <w:color w:val="023C5B"/>
        </w:rPr>
      </w:pPr>
      <w:r>
        <w:rPr>
          <w:rFonts w:ascii="Arial" w:cs="Arial" w:eastAsia="Arial" w:hAnsi="Arial"/>
          <w:sz w:val="18"/>
          <w:szCs w:val="18"/>
          <w:color w:val="auto"/>
        </w:rPr>
        <w:t>Regular stockholder outreach and engagement throughout the year by our CEO, CFO, and Investor Relations team regarding the   Company’s strategy and performance</w:t>
      </w:r>
    </w:p>
    <w:p>
      <w:pPr>
        <w:spacing w:after="0" w:line="10" w:lineRule="exact"/>
        <w:rPr>
          <w:rFonts w:ascii="MS PGothic" w:cs="MS PGothic" w:eastAsia="MS PGothic" w:hAnsi="MS PGothic"/>
          <w:sz w:val="14"/>
          <w:szCs w:val="14"/>
          <w:color w:val="023C5B"/>
        </w:rPr>
      </w:pPr>
    </w:p>
    <w:p>
      <w:pPr>
        <w:ind w:left="640" w:hanging="299"/>
        <w:spacing w:after="0"/>
        <w:tabs>
          <w:tab w:leader="none" w:pos="640" w:val="left"/>
        </w:tabs>
        <w:numPr>
          <w:ilvl w:val="0"/>
          <w:numId w:val="9"/>
        </w:numPr>
        <w:rPr>
          <w:rFonts w:ascii="MS PGothic" w:cs="MS PGothic" w:eastAsia="MS PGothic" w:hAnsi="MS PGothic"/>
          <w:sz w:val="14"/>
          <w:szCs w:val="14"/>
          <w:color w:val="023C5B"/>
        </w:rPr>
      </w:pPr>
      <w:r>
        <w:rPr>
          <w:rFonts w:ascii="Arial" w:cs="Arial" w:eastAsia="Arial" w:hAnsi="Arial"/>
          <w:sz w:val="18"/>
          <w:szCs w:val="18"/>
          <w:color w:val="auto"/>
        </w:rPr>
        <w:t>Formal outreach and engagement with governance representatives of our largest stockholders at least two times per year</w:t>
      </w:r>
    </w:p>
    <w:p>
      <w:pPr>
        <w:spacing w:after="0" w:line="60" w:lineRule="exact"/>
        <w:rPr>
          <w:rFonts w:ascii="MS PGothic" w:cs="MS PGothic" w:eastAsia="MS PGothic" w:hAnsi="MS PGothic"/>
          <w:sz w:val="14"/>
          <w:szCs w:val="14"/>
          <w:color w:val="023C5B"/>
        </w:rPr>
      </w:pPr>
    </w:p>
    <w:p>
      <w:pPr>
        <w:ind w:left="640" w:right="160" w:hanging="299"/>
        <w:spacing w:after="0" w:line="265" w:lineRule="auto"/>
        <w:tabs>
          <w:tab w:leader="none" w:pos="640" w:val="left"/>
        </w:tabs>
        <w:numPr>
          <w:ilvl w:val="0"/>
          <w:numId w:val="9"/>
        </w:numPr>
        <w:rPr>
          <w:rFonts w:ascii="MS PGothic" w:cs="MS PGothic" w:eastAsia="MS PGothic" w:hAnsi="MS PGothic"/>
          <w:sz w:val="14"/>
          <w:szCs w:val="14"/>
          <w:color w:val="023C5B"/>
        </w:rPr>
      </w:pPr>
      <w:r>
        <w:rPr>
          <w:rFonts w:ascii="Arial" w:cs="Arial" w:eastAsia="Arial" w:hAnsi="Arial"/>
          <w:sz w:val="18"/>
          <w:szCs w:val="18"/>
          <w:color w:val="auto"/>
        </w:rPr>
        <w:t>Feedback from investors regularly shared with our Board and its committees to ensure that our Board has insight into investor views</w:t>
      </w:r>
    </w:p>
    <w:p>
      <w:pPr>
        <w:spacing w:after="0" w:line="10" w:lineRule="exact"/>
        <w:rPr>
          <w:rFonts w:ascii="MS PGothic" w:cs="MS PGothic" w:eastAsia="MS PGothic" w:hAnsi="MS PGothic"/>
          <w:sz w:val="14"/>
          <w:szCs w:val="14"/>
          <w:color w:val="023C5B"/>
        </w:rPr>
      </w:pPr>
    </w:p>
    <w:p>
      <w:pPr>
        <w:ind w:left="640" w:right="160" w:hanging="299"/>
        <w:spacing w:after="0" w:line="265" w:lineRule="auto"/>
        <w:tabs>
          <w:tab w:leader="none" w:pos="640" w:val="left"/>
        </w:tabs>
        <w:numPr>
          <w:ilvl w:val="0"/>
          <w:numId w:val="9"/>
        </w:numPr>
        <w:rPr>
          <w:rFonts w:ascii="MS PGothic" w:cs="MS PGothic" w:eastAsia="MS PGothic" w:hAnsi="MS PGothic"/>
          <w:sz w:val="14"/>
          <w:szCs w:val="14"/>
          <w:color w:val="023C5B"/>
        </w:rPr>
      </w:pPr>
      <w:r>
        <w:rPr>
          <w:rFonts w:ascii="Arial" w:cs="Arial" w:eastAsia="Arial" w:hAnsi="Arial"/>
          <w:sz w:val="18"/>
          <w:szCs w:val="18"/>
          <w:color w:val="auto"/>
        </w:rPr>
        <w:t>The Board and its Governance and Nominating Committee review extensive briefings and benchmarking reports on corporate governance practices and emerging issues of focus</w:t>
      </w:r>
    </w:p>
    <w:p>
      <w:pPr>
        <w:spacing w:after="0" w:line="10" w:lineRule="exact"/>
        <w:rPr>
          <w:rFonts w:ascii="MS PGothic" w:cs="MS PGothic" w:eastAsia="MS PGothic" w:hAnsi="MS PGothic"/>
          <w:sz w:val="14"/>
          <w:szCs w:val="14"/>
          <w:color w:val="023C5B"/>
        </w:rPr>
      </w:pPr>
    </w:p>
    <w:p>
      <w:pPr>
        <w:ind w:left="640" w:hanging="299"/>
        <w:spacing w:after="0"/>
        <w:tabs>
          <w:tab w:leader="none" w:pos="640" w:val="left"/>
        </w:tabs>
        <w:numPr>
          <w:ilvl w:val="0"/>
          <w:numId w:val="9"/>
        </w:numPr>
        <w:rPr>
          <w:rFonts w:ascii="MS PGothic" w:cs="MS PGothic" w:eastAsia="MS PGothic" w:hAnsi="MS PGothic"/>
          <w:sz w:val="14"/>
          <w:szCs w:val="14"/>
          <w:color w:val="023C5B"/>
        </w:rPr>
      </w:pPr>
      <w:r>
        <w:rPr>
          <w:rFonts w:ascii="Arial" w:cs="Arial" w:eastAsia="Arial" w:hAnsi="Arial"/>
          <w:sz w:val="18"/>
          <w:szCs w:val="18"/>
          <w:color w:val="auto"/>
        </w:rPr>
        <w:t>Majority voting for directors with resignation policy in uncontested elections</w:t>
      </w:r>
    </w:p>
    <w:p>
      <w:pPr>
        <w:spacing w:after="0" w:line="60" w:lineRule="exact"/>
        <w:rPr>
          <w:rFonts w:ascii="MS PGothic" w:cs="MS PGothic" w:eastAsia="MS PGothic" w:hAnsi="MS PGothic"/>
          <w:sz w:val="14"/>
          <w:szCs w:val="14"/>
          <w:color w:val="023C5B"/>
        </w:rPr>
      </w:pPr>
    </w:p>
    <w:p>
      <w:pPr>
        <w:ind w:left="640" w:right="160" w:hanging="299"/>
        <w:spacing w:after="0" w:line="265" w:lineRule="auto"/>
        <w:tabs>
          <w:tab w:leader="none" w:pos="640" w:val="left"/>
        </w:tabs>
        <w:numPr>
          <w:ilvl w:val="0"/>
          <w:numId w:val="9"/>
        </w:numPr>
        <w:rPr>
          <w:rFonts w:ascii="MS PGothic" w:cs="MS PGothic" w:eastAsia="MS PGothic" w:hAnsi="MS PGothic"/>
          <w:sz w:val="14"/>
          <w:szCs w:val="14"/>
          <w:color w:val="023C5B"/>
        </w:rPr>
      </w:pPr>
      <w:r>
        <w:rPr>
          <w:rFonts w:ascii="Arial" w:cs="Arial" w:eastAsia="Arial" w:hAnsi="Arial"/>
          <w:sz w:val="18"/>
          <w:szCs w:val="18"/>
          <w:color w:val="auto"/>
        </w:rPr>
        <w:t>Stockholders can act by written consent, subject to certain procedural and other safeguards that the Board believes are in the best interests of Capital One and our stockholders</w:t>
      </w:r>
    </w:p>
    <w:p>
      <w:pPr>
        <w:spacing w:after="0" w:line="10" w:lineRule="exact"/>
        <w:rPr>
          <w:rFonts w:ascii="MS PGothic" w:cs="MS PGothic" w:eastAsia="MS PGothic" w:hAnsi="MS PGothic"/>
          <w:sz w:val="14"/>
          <w:szCs w:val="14"/>
          <w:color w:val="023C5B"/>
        </w:rPr>
      </w:pPr>
    </w:p>
    <w:p>
      <w:pPr>
        <w:ind w:left="640" w:hanging="299"/>
        <w:spacing w:after="0"/>
        <w:tabs>
          <w:tab w:leader="none" w:pos="640" w:val="left"/>
        </w:tabs>
        <w:numPr>
          <w:ilvl w:val="0"/>
          <w:numId w:val="9"/>
        </w:numPr>
        <w:rPr>
          <w:rFonts w:ascii="MS PGothic" w:cs="MS PGothic" w:eastAsia="MS PGothic" w:hAnsi="MS PGothic"/>
          <w:sz w:val="14"/>
          <w:szCs w:val="14"/>
          <w:color w:val="023C5B"/>
        </w:rPr>
      </w:pPr>
      <w:r>
        <w:rPr>
          <w:rFonts w:ascii="Arial" w:cs="Arial" w:eastAsia="Arial" w:hAnsi="Arial"/>
          <w:sz w:val="18"/>
          <w:szCs w:val="18"/>
          <w:color w:val="auto"/>
        </w:rPr>
        <w:t>Stockholders holding at least 25% of outstanding common stock may request a special meeting</w:t>
      </w:r>
    </w:p>
    <w:p>
      <w:pPr>
        <w:spacing w:after="0" w:line="60" w:lineRule="exact"/>
        <w:rPr>
          <w:rFonts w:ascii="MS PGothic" w:cs="MS PGothic" w:eastAsia="MS PGothic" w:hAnsi="MS PGothic"/>
          <w:sz w:val="14"/>
          <w:szCs w:val="14"/>
          <w:color w:val="023C5B"/>
        </w:rPr>
      </w:pPr>
    </w:p>
    <w:p>
      <w:pPr>
        <w:ind w:left="640" w:right="160" w:hanging="299"/>
        <w:spacing w:after="0" w:line="265" w:lineRule="auto"/>
        <w:tabs>
          <w:tab w:leader="none" w:pos="640" w:val="left"/>
        </w:tabs>
        <w:numPr>
          <w:ilvl w:val="0"/>
          <w:numId w:val="9"/>
        </w:numPr>
        <w:rPr>
          <w:rFonts w:ascii="MS PGothic" w:cs="MS PGothic" w:eastAsia="MS PGothic" w:hAnsi="MS PGothic"/>
          <w:sz w:val="14"/>
          <w:szCs w:val="14"/>
          <w:color w:val="023C5B"/>
        </w:rPr>
      </w:pPr>
      <w:r>
        <w:rPr>
          <w:rFonts w:ascii="Arial" w:cs="Arial" w:eastAsia="Arial" w:hAnsi="Arial"/>
          <w:sz w:val="18"/>
          <w:szCs w:val="18"/>
          <w:color w:val="auto"/>
        </w:rPr>
        <w:t>Stockholders holding at least 3% of outstanding common stock continuously for at least three years can nominate director candidates for inclusion in our proxy materials</w:t>
      </w:r>
    </w:p>
    <w:p>
      <w:pPr>
        <w:spacing w:after="0" w:line="10" w:lineRule="exact"/>
        <w:rPr>
          <w:rFonts w:ascii="MS PGothic" w:cs="MS PGothic" w:eastAsia="MS PGothic" w:hAnsi="MS PGothic"/>
          <w:sz w:val="14"/>
          <w:szCs w:val="14"/>
          <w:color w:val="023C5B"/>
        </w:rPr>
      </w:pPr>
    </w:p>
    <w:p>
      <w:pPr>
        <w:ind w:left="640" w:hanging="299"/>
        <w:spacing w:after="0"/>
        <w:tabs>
          <w:tab w:leader="none" w:pos="640" w:val="left"/>
        </w:tabs>
        <w:numPr>
          <w:ilvl w:val="0"/>
          <w:numId w:val="9"/>
        </w:numPr>
        <w:rPr>
          <w:rFonts w:ascii="MS PGothic" w:cs="MS PGothic" w:eastAsia="MS PGothic" w:hAnsi="MS PGothic"/>
          <w:sz w:val="14"/>
          <w:szCs w:val="14"/>
          <w:color w:val="023C5B"/>
        </w:rPr>
      </w:pPr>
      <w:r>
        <w:rPr>
          <w:rFonts w:ascii="Arial" w:cs="Arial" w:eastAsia="Arial" w:hAnsi="Arial"/>
          <w:sz w:val="18"/>
          <w:szCs w:val="18"/>
          <w:color w:val="auto"/>
        </w:rPr>
        <w:t>No supermajority vote provisions in our Bylaws or Certificate of Incorporation</w:t>
      </w:r>
    </w:p>
    <w:p>
      <w:pPr>
        <w:spacing w:after="0" w:line="60" w:lineRule="exact"/>
        <w:rPr>
          <w:rFonts w:ascii="MS PGothic" w:cs="MS PGothic" w:eastAsia="MS PGothic" w:hAnsi="MS PGothic"/>
          <w:sz w:val="14"/>
          <w:szCs w:val="14"/>
          <w:color w:val="023C5B"/>
        </w:rPr>
      </w:pPr>
    </w:p>
    <w:p>
      <w:pPr>
        <w:ind w:left="640" w:hanging="299"/>
        <w:spacing w:after="0"/>
        <w:tabs>
          <w:tab w:leader="none" w:pos="640" w:val="left"/>
        </w:tabs>
        <w:numPr>
          <w:ilvl w:val="0"/>
          <w:numId w:val="9"/>
        </w:numPr>
        <w:rPr>
          <w:rFonts w:ascii="MS PGothic" w:cs="MS PGothic" w:eastAsia="MS PGothic" w:hAnsi="MS PGothic"/>
          <w:sz w:val="14"/>
          <w:szCs w:val="14"/>
          <w:color w:val="023C5B"/>
        </w:rPr>
      </w:pPr>
      <w:r>
        <w:rPr>
          <w:rFonts w:ascii="Arial" w:cs="Arial" w:eastAsia="Arial" w:hAnsi="Arial"/>
          <w:sz w:val="18"/>
          <w:szCs w:val="18"/>
          <w:color w:val="auto"/>
        </w:rPr>
        <w:t>No stockholder rights plan (commonly referred to as a “poison pill”)</w:t>
      </w:r>
    </w:p>
    <w:p>
      <w:pPr>
        <w:spacing w:after="0" w:line="60" w:lineRule="exact"/>
        <w:rPr>
          <w:rFonts w:ascii="MS PGothic" w:cs="MS PGothic" w:eastAsia="MS PGothic" w:hAnsi="MS PGothic"/>
          <w:sz w:val="14"/>
          <w:szCs w:val="14"/>
          <w:color w:val="023C5B"/>
        </w:rPr>
      </w:pPr>
    </w:p>
    <w:p>
      <w:pPr>
        <w:ind w:left="640" w:right="160" w:hanging="299"/>
        <w:spacing w:after="0" w:line="265" w:lineRule="auto"/>
        <w:tabs>
          <w:tab w:leader="none" w:pos="640" w:val="left"/>
        </w:tabs>
        <w:numPr>
          <w:ilvl w:val="0"/>
          <w:numId w:val="9"/>
        </w:numPr>
        <w:rPr>
          <w:rFonts w:ascii="MS PGothic" w:cs="MS PGothic" w:eastAsia="MS PGothic" w:hAnsi="MS PGothic"/>
          <w:sz w:val="14"/>
          <w:szCs w:val="14"/>
          <w:color w:val="023C5B"/>
        </w:rPr>
      </w:pPr>
      <w:r>
        <w:rPr>
          <w:rFonts w:ascii="Arial" w:cs="Arial" w:eastAsia="Arial" w:hAnsi="Arial"/>
          <w:sz w:val="18"/>
          <w:szCs w:val="18"/>
          <w:color w:val="auto"/>
        </w:rPr>
        <w:t>Detailed director skills matrix, showing each individual nominee’s self-identified skills and attributes that are most relevant to fulfill the Board’s oversight responsibilities considering the Company’s strategy, businesses, and risk management</w:t>
      </w:r>
    </w:p>
    <w:p>
      <w:pPr>
        <w:spacing w:after="0" w:line="198" w:lineRule="exact"/>
        <w:rPr>
          <w:sz w:val="20"/>
          <w:szCs w:val="20"/>
          <w:color w:val="auto"/>
        </w:rPr>
      </w:pPr>
    </w:p>
    <w:p>
      <w:pPr>
        <w:ind w:left="160" w:right="560"/>
        <w:spacing w:after="0" w:line="282" w:lineRule="auto"/>
        <w:rPr>
          <w:sz w:val="20"/>
          <w:szCs w:val="20"/>
          <w:color w:val="auto"/>
        </w:rPr>
      </w:pPr>
      <w:r>
        <w:rPr>
          <w:rFonts w:ascii="Arial" w:cs="Arial" w:eastAsia="Arial" w:hAnsi="Arial"/>
          <w:sz w:val="29"/>
          <w:szCs w:val="29"/>
          <w:b w:val="1"/>
          <w:bCs w:val="1"/>
          <w:color w:val="023C5B"/>
        </w:rPr>
        <w:t>Voting Item 2: Advisory Vote on Our Named Executive Officer Compensation (“Say 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40640</wp:posOffset>
            </wp:positionV>
            <wp:extent cx="33655" cy="942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942340"/>
                    </a:xfrm>
                    <a:prstGeom prst="rect">
                      <a:avLst/>
                    </a:prstGeom>
                    <a:noFill/>
                  </pic:spPr>
                </pic:pic>
              </a:graphicData>
            </a:graphic>
          </wp:anchor>
        </w:drawing>
      </w:r>
    </w:p>
    <w:p>
      <w:pPr>
        <w:spacing w:after="0" w:line="44"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1340" w:type="dxa"/>
            <w:vAlign w:val="bottom"/>
            <w:shd w:val="clear" w:color="auto" w:fill="023C5B"/>
          </w:tcPr>
          <w:p>
            <w:pPr>
              <w:spacing w:after="0"/>
              <w:rPr>
                <w:sz w:val="21"/>
                <w:szCs w:val="21"/>
                <w:color w:val="auto"/>
              </w:rPr>
            </w:pPr>
          </w:p>
        </w:tc>
        <w:tc>
          <w:tcPr>
            <w:tcW w:w="9580" w:type="dxa"/>
            <w:vAlign w:val="bottom"/>
            <w:shd w:val="clear" w:color="auto" w:fill="E5EBEE"/>
          </w:tcPr>
          <w:p>
            <w:pPr>
              <w:ind w:left="100"/>
              <w:spacing w:after="0"/>
              <w:rPr>
                <w:sz w:val="20"/>
                <w:szCs w:val="20"/>
                <w:color w:val="auto"/>
              </w:rPr>
            </w:pPr>
            <w:r>
              <w:rPr>
                <w:rFonts w:ascii="Arial" w:cs="Arial" w:eastAsia="Arial" w:hAnsi="Arial"/>
                <w:sz w:val="18"/>
                <w:szCs w:val="18"/>
                <w:color w:val="auto"/>
                <w:w w:val="99"/>
              </w:rPr>
              <w:t>You are being asked to approve, on an advisory basis, the compensation of our named executive officers (“NEOs”). For</w:t>
            </w:r>
          </w:p>
        </w:tc>
        <w:tc>
          <w:tcPr>
            <w:tcW w:w="0" w:type="dxa"/>
            <w:vAlign w:val="bottom"/>
          </w:tcPr>
          <w:p>
            <w:pPr>
              <w:spacing w:after="0"/>
              <w:rPr>
                <w:sz w:val="1"/>
                <w:szCs w:val="1"/>
                <w:color w:val="auto"/>
              </w:rPr>
            </w:pPr>
          </w:p>
        </w:tc>
      </w:tr>
      <w:tr>
        <w:trPr>
          <w:trHeight w:val="201"/>
        </w:trPr>
        <w:tc>
          <w:tcPr>
            <w:tcW w:w="1340" w:type="dxa"/>
            <w:vAlign w:val="bottom"/>
            <w:shd w:val="clear" w:color="auto" w:fill="023C5B"/>
          </w:tcPr>
          <w:p>
            <w:pPr>
              <w:spacing w:after="0"/>
              <w:rPr>
                <w:sz w:val="17"/>
                <w:szCs w:val="17"/>
                <w:color w:val="auto"/>
              </w:rPr>
            </w:pPr>
          </w:p>
        </w:tc>
        <w:tc>
          <w:tcPr>
            <w:tcW w:w="9580" w:type="dxa"/>
            <w:vAlign w:val="bottom"/>
            <w:shd w:val="clear" w:color="auto" w:fill="E5EBEE"/>
          </w:tcPr>
          <w:p>
            <w:pPr>
              <w:ind w:left="100"/>
              <w:spacing w:after="0" w:line="201" w:lineRule="exact"/>
              <w:rPr>
                <w:sz w:val="20"/>
                <w:szCs w:val="20"/>
                <w:color w:val="auto"/>
              </w:rPr>
            </w:pPr>
            <w:r>
              <w:rPr>
                <w:rFonts w:ascii="Arial" w:cs="Arial" w:eastAsia="Arial" w:hAnsi="Arial"/>
                <w:sz w:val="18"/>
                <w:szCs w:val="18"/>
                <w:color w:val="auto"/>
                <w:w w:val="99"/>
              </w:rPr>
              <w:t>additional information regarding our executive compensation program and our NEO compensation, see “Compensation</w:t>
            </w:r>
          </w:p>
        </w:tc>
        <w:tc>
          <w:tcPr>
            <w:tcW w:w="0" w:type="dxa"/>
            <w:vAlign w:val="bottom"/>
          </w:tcPr>
          <w:p>
            <w:pPr>
              <w:spacing w:after="0"/>
              <w:rPr>
                <w:sz w:val="1"/>
                <w:szCs w:val="1"/>
                <w:color w:val="auto"/>
              </w:rPr>
            </w:pPr>
          </w:p>
        </w:tc>
      </w:tr>
      <w:tr>
        <w:trPr>
          <w:trHeight w:val="201"/>
        </w:trPr>
        <w:tc>
          <w:tcPr>
            <w:tcW w:w="1340" w:type="dxa"/>
            <w:vAlign w:val="bottom"/>
            <w:vMerge w:val="restart"/>
            <w:shd w:val="clear" w:color="auto" w:fill="023C5B"/>
          </w:tcPr>
          <w:p>
            <w:pPr>
              <w:ind w:left="140"/>
              <w:spacing w:after="0"/>
              <w:rPr>
                <w:sz w:val="20"/>
                <w:szCs w:val="20"/>
                <w:color w:val="auto"/>
              </w:rPr>
            </w:pPr>
            <w:r>
              <w:rPr>
                <w:rFonts w:ascii="Arial" w:cs="Arial" w:eastAsia="Arial" w:hAnsi="Arial"/>
                <w:sz w:val="21"/>
                <w:szCs w:val="21"/>
                <w:b w:val="1"/>
                <w:bCs w:val="1"/>
                <w:color w:val="FFFFFF"/>
              </w:rPr>
              <w:t>   Item 2</w:t>
            </w:r>
          </w:p>
        </w:tc>
        <w:tc>
          <w:tcPr>
            <w:tcW w:w="9580" w:type="dxa"/>
            <w:vAlign w:val="bottom"/>
            <w:shd w:val="clear" w:color="auto" w:fill="E5EBEE"/>
          </w:tcPr>
          <w:p>
            <w:pPr>
              <w:ind w:left="100"/>
              <w:spacing w:after="0" w:line="201" w:lineRule="exact"/>
              <w:rPr>
                <w:sz w:val="20"/>
                <w:szCs w:val="20"/>
                <w:color w:val="auto"/>
              </w:rPr>
            </w:pPr>
            <w:r>
              <w:rPr>
                <w:rFonts w:ascii="Arial" w:cs="Arial" w:eastAsia="Arial" w:hAnsi="Arial"/>
                <w:sz w:val="18"/>
                <w:szCs w:val="18"/>
                <w:color w:val="auto"/>
                <w:w w:val="99"/>
              </w:rPr>
              <w:t>Discussion and Analysis” beginning on page 54 and “Named Executive Officer Compensation” beginning on page 98 of</w:t>
            </w:r>
          </w:p>
        </w:tc>
        <w:tc>
          <w:tcPr>
            <w:tcW w:w="0" w:type="dxa"/>
            <w:vAlign w:val="bottom"/>
          </w:tcPr>
          <w:p>
            <w:pPr>
              <w:spacing w:after="0"/>
              <w:rPr>
                <w:sz w:val="1"/>
                <w:szCs w:val="1"/>
                <w:color w:val="auto"/>
              </w:rPr>
            </w:pPr>
          </w:p>
        </w:tc>
      </w:tr>
      <w:tr>
        <w:trPr>
          <w:trHeight w:val="235"/>
        </w:trPr>
        <w:tc>
          <w:tcPr>
            <w:tcW w:w="1340" w:type="dxa"/>
            <w:vAlign w:val="bottom"/>
            <w:vMerge w:val="continue"/>
            <w:shd w:val="clear" w:color="auto" w:fill="023C5B"/>
          </w:tcPr>
          <w:p>
            <w:pPr>
              <w:spacing w:after="0"/>
              <w:rPr>
                <w:sz w:val="20"/>
                <w:szCs w:val="20"/>
                <w:color w:val="auto"/>
              </w:rPr>
            </w:pPr>
          </w:p>
        </w:tc>
        <w:tc>
          <w:tcPr>
            <w:tcW w:w="9580" w:type="dxa"/>
            <w:vAlign w:val="bottom"/>
            <w:shd w:val="clear" w:color="auto" w:fill="E5EBEE"/>
          </w:tcPr>
          <w:p>
            <w:pPr>
              <w:ind w:left="100"/>
              <w:spacing w:after="0"/>
              <w:rPr>
                <w:sz w:val="20"/>
                <w:szCs w:val="20"/>
                <w:color w:val="auto"/>
              </w:rPr>
            </w:pPr>
            <w:r>
              <w:rPr>
                <w:rFonts w:ascii="Arial" w:cs="Arial" w:eastAsia="Arial" w:hAnsi="Arial"/>
                <w:sz w:val="18"/>
                <w:szCs w:val="18"/>
                <w:color w:val="auto"/>
              </w:rPr>
              <w:t>this proxy statement.</w:t>
            </w:r>
          </w:p>
        </w:tc>
        <w:tc>
          <w:tcPr>
            <w:tcW w:w="0" w:type="dxa"/>
            <w:vAlign w:val="bottom"/>
          </w:tcPr>
          <w:p>
            <w:pPr>
              <w:spacing w:after="0"/>
              <w:rPr>
                <w:sz w:val="1"/>
                <w:szCs w:val="1"/>
                <w:color w:val="auto"/>
              </w:rPr>
            </w:pPr>
          </w:p>
        </w:tc>
      </w:tr>
      <w:tr>
        <w:trPr>
          <w:trHeight w:val="302"/>
        </w:trPr>
        <w:tc>
          <w:tcPr>
            <w:tcW w:w="1340" w:type="dxa"/>
            <w:vAlign w:val="bottom"/>
            <w:shd w:val="clear" w:color="auto" w:fill="023C5B"/>
          </w:tcPr>
          <w:p>
            <w:pPr>
              <w:spacing w:after="0"/>
              <w:rPr>
                <w:sz w:val="24"/>
                <w:szCs w:val="24"/>
                <w:color w:val="auto"/>
              </w:rPr>
            </w:pPr>
          </w:p>
        </w:tc>
        <w:tc>
          <w:tcPr>
            <w:tcW w:w="9580" w:type="dxa"/>
            <w:vAlign w:val="bottom"/>
            <w:shd w:val="clear" w:color="auto" w:fill="E5EBEE"/>
          </w:tcPr>
          <w:p>
            <w:pPr>
              <w:ind w:left="100"/>
              <w:spacing w:after="0" w:line="207" w:lineRule="exact"/>
              <w:rPr>
                <w:sz w:val="20"/>
                <w:szCs w:val="20"/>
                <w:color w:val="auto"/>
              </w:rPr>
            </w:pPr>
            <w:r>
              <w:rPr>
                <w:rFonts w:ascii="MS PGothic" w:cs="MS PGothic" w:eastAsia="MS PGothic" w:hAnsi="MS PGothic"/>
                <w:sz w:val="18"/>
                <w:szCs w:val="18"/>
                <w:color w:val="023C5B"/>
              </w:rPr>
              <w:t>✓</w:t>
            </w:r>
            <w:r>
              <w:rPr>
                <w:rFonts w:ascii="Arial" w:cs="Arial" w:eastAsia="Arial" w:hAnsi="Arial"/>
                <w:sz w:val="18"/>
                <w:szCs w:val="18"/>
                <w:i w:val="1"/>
                <w:iCs w:val="1"/>
                <w:color w:val="023C5B"/>
              </w:rPr>
              <w:t xml:space="preserve">   Our Board unanimously recommends that you vote “FOR” the advisory approval of our 2025 NEO Compensation</w:t>
            </w:r>
          </w:p>
        </w:tc>
        <w:tc>
          <w:tcPr>
            <w:tcW w:w="0" w:type="dxa"/>
            <w:vAlign w:val="bottom"/>
          </w:tcPr>
          <w:p>
            <w:pPr>
              <w:spacing w:after="0"/>
              <w:rPr>
                <w:sz w:val="1"/>
                <w:szCs w:val="1"/>
                <w:color w:val="auto"/>
              </w:rPr>
            </w:pPr>
          </w:p>
        </w:tc>
      </w:tr>
      <w:tr>
        <w:trPr>
          <w:trHeight w:val="233"/>
        </w:trPr>
        <w:tc>
          <w:tcPr>
            <w:tcW w:w="1340" w:type="dxa"/>
            <w:vAlign w:val="bottom"/>
            <w:shd w:val="clear" w:color="auto" w:fill="023C5B"/>
          </w:tcPr>
          <w:p>
            <w:pPr>
              <w:spacing w:after="0"/>
              <w:rPr>
                <w:sz w:val="20"/>
                <w:szCs w:val="20"/>
                <w:color w:val="auto"/>
              </w:rPr>
            </w:pPr>
          </w:p>
        </w:tc>
        <w:tc>
          <w:tcPr>
            <w:tcW w:w="9580" w:type="dxa"/>
            <w:vAlign w:val="bottom"/>
            <w:shd w:val="clear" w:color="auto" w:fill="E5EBEE"/>
          </w:tcPr>
          <w:p>
            <w:pPr>
              <w:ind w:left="360"/>
              <w:spacing w:after="0"/>
              <w:rPr>
                <w:sz w:val="20"/>
                <w:szCs w:val="20"/>
                <w:color w:val="auto"/>
              </w:rPr>
            </w:pPr>
            <w:r>
              <w:rPr>
                <w:rFonts w:ascii="Arial" w:cs="Arial" w:eastAsia="Arial" w:hAnsi="Arial"/>
                <w:sz w:val="18"/>
                <w:szCs w:val="18"/>
                <w:i w:val="1"/>
                <w:iCs w:val="1"/>
                <w:color w:val="023C5B"/>
              </w:rPr>
              <w:t>as disclosed in this proxy statement.</w:t>
            </w:r>
          </w:p>
        </w:tc>
        <w:tc>
          <w:tcPr>
            <w:tcW w:w="0" w:type="dxa"/>
            <w:vAlign w:val="bottom"/>
          </w:tcPr>
          <w:p>
            <w:pPr>
              <w:spacing w:after="0"/>
              <w:rPr>
                <w:sz w:val="1"/>
                <w:szCs w:val="1"/>
                <w:color w:val="auto"/>
              </w:rPr>
            </w:pPr>
          </w:p>
        </w:tc>
      </w:tr>
      <w:tr>
        <w:trPr>
          <w:trHeight w:val="64"/>
        </w:trPr>
        <w:tc>
          <w:tcPr>
            <w:tcW w:w="1340" w:type="dxa"/>
            <w:vAlign w:val="bottom"/>
            <w:shd w:val="clear" w:color="auto" w:fill="023C5B"/>
          </w:tcPr>
          <w:p>
            <w:pPr>
              <w:spacing w:after="0"/>
              <w:rPr>
                <w:sz w:val="5"/>
                <w:szCs w:val="5"/>
                <w:color w:val="auto"/>
              </w:rPr>
            </w:pPr>
          </w:p>
        </w:tc>
        <w:tc>
          <w:tcPr>
            <w:tcW w:w="9580" w:type="dxa"/>
            <w:vAlign w:val="bottom"/>
            <w:shd w:val="clear" w:color="auto" w:fill="E5EBEE"/>
          </w:tcPr>
          <w:p>
            <w:pPr>
              <w:spacing w:after="0"/>
              <w:rPr>
                <w:sz w:val="5"/>
                <w:szCs w:val="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Our executive compensation program is designed to attract, retain, motivate, and reward leaders who deliver strong business results, drive growth and innovation, and facilitate the long-term success of the Company. We believe our executive compensation program strongly links rewards with both business and individual performance over multiple time horizons. We aim to align our executives’ interests with those of our stockholders while supporting safety and soundness, and appropriately balancing risk.</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2025 Company Performance</w:t>
      </w:r>
    </w:p>
    <w:p>
      <w:pPr>
        <w:spacing w:after="0" w:line="22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Each year the Compensation Committee (“Committee”) and the Independent Directors review and evaluate the Company’s qualitative and quantitative performance to make determinations regarding the compensation of our NEOs based on Capital One’s pay-for-performance philosophy. The Committee seeks to link the compensation of the NEOs directly to the Company’s performance and the executives’ contributions to that performance.</w:t>
      </w:r>
    </w:p>
    <w:p>
      <w:pPr>
        <w:spacing w:after="0" w:line="17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In 2025, Capital One delivered strong financial results, including top-line revenue growth, resilient account and loan growth, solid credit performance, and strong stewardship of stockholder capital. The Company made</w:t>
      </w:r>
    </w:p>
    <w:p>
      <w:pPr>
        <w:spacing w:after="0" w:line="91" w:lineRule="exact"/>
        <w:rPr>
          <w:sz w:val="20"/>
          <w:szCs w:val="20"/>
          <w:color w:val="auto"/>
        </w:rPr>
      </w:pPr>
    </w:p>
    <w:p>
      <w:pPr>
        <w:ind w:left="5700"/>
        <w:spacing w:after="0"/>
        <w:tabs>
          <w:tab w:leader="none" w:pos="8800" w:val="left"/>
          <w:tab w:leader="none" w:pos="108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-97155</wp:posOffset>
            </wp:positionV>
            <wp:extent cx="8255" cy="178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significant progress on its long-term strategic initiatives, enabled by years of transformation and growth and key investments in talent, technology, and risk management. Capital One also completed the Discover Transaction on May 18, bringing together two companies with histories of delivering strong organic growth, attractive and resilient financial results, and award-winning customer experiences. The Discover Transaction further positions Capital One as a diversified bank and to operate a global payment network, a rare and valuable asset at a time of significant disruption and innovation across the payments landscape.</w:t>
      </w:r>
    </w:p>
    <w:p>
      <w:pPr>
        <w:spacing w:after="0" w:line="182"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Capital One has a wealth of opportunities that put the Company in a position to deliver sustained growth and strong performance in a changing marketplace, and the Company continued to make sustained investments in future growth and capabilities. Capital One earned a number of external awards and accolades related to our products and customer experiences, including flagship banking awards for excellence in customer experience and satisfaction. We maintained strong associate morale and engagement as measured through our internal surveys, and we invested heavily in recruiting, developing, and retaining exceptional talent. In 2025, we continued to invest in the communities in which we live and work, including through significant grants and philanthropic support as well as the combination of general and skills-based associate volunteerism to serve and support nonprofits across our footprint.</w:t>
      </w:r>
    </w:p>
    <w:p>
      <w:pPr>
        <w:spacing w:after="0" w:line="181" w:lineRule="exact"/>
        <w:rPr>
          <w:sz w:val="20"/>
          <w:szCs w:val="20"/>
          <w:color w:val="auto"/>
        </w:rPr>
      </w:pPr>
    </w:p>
    <w:p>
      <w:pPr>
        <w:jc w:val="both"/>
        <w:ind w:left="160"/>
        <w:spacing w:after="0" w:line="286" w:lineRule="auto"/>
        <w:rPr>
          <w:sz w:val="20"/>
          <w:szCs w:val="20"/>
          <w:color w:val="auto"/>
        </w:rPr>
      </w:pPr>
      <w:r>
        <w:rPr>
          <w:rFonts w:ascii="Arial" w:cs="Arial" w:eastAsia="Arial" w:hAnsi="Arial"/>
          <w:sz w:val="18"/>
          <w:szCs w:val="18"/>
          <w:color w:val="auto"/>
        </w:rPr>
        <w:t>When awarding NEO compensation for the 2025 performance year, the Committee and the Independent Directors specifically considered the following quantitative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and qualitative results:</w:t>
      </w:r>
    </w:p>
    <w:p>
      <w:pPr>
        <w:spacing w:after="0" w:line="39" w:lineRule="exact"/>
        <w:rPr>
          <w:sz w:val="20"/>
          <w:szCs w:val="20"/>
          <w:color w:val="auto"/>
        </w:rPr>
      </w:pPr>
    </w:p>
    <w:p>
      <w:pPr>
        <w:jc w:val="both"/>
        <w:ind w:left="1020" w:hanging="425"/>
        <w:spacing w:after="0" w:line="217" w:lineRule="auto"/>
        <w:tabs>
          <w:tab w:leader="none" w:pos="1020" w:val="left"/>
        </w:tabs>
        <w:numPr>
          <w:ilvl w:val="0"/>
          <w:numId w:val="10"/>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Net Revenue </w:t>
      </w:r>
      <w:r>
        <w:rPr>
          <w:rFonts w:ascii="Arial" w:cs="Arial" w:eastAsia="Arial" w:hAnsi="Arial"/>
          <w:sz w:val="18"/>
          <w:szCs w:val="18"/>
          <w:color w:val="000000"/>
        </w:rPr>
        <w:t>of $53.4 billion, an increase of 37% from 2024, driven by strong line of business results as well as the acquisition</w:t>
      </w:r>
      <w:r>
        <w:rPr>
          <w:rFonts w:ascii="Arial" w:cs="Arial" w:eastAsia="Arial" w:hAnsi="Arial"/>
          <w:sz w:val="18"/>
          <w:szCs w:val="18"/>
          <w:b w:val="1"/>
          <w:bCs w:val="1"/>
          <w:color w:val="023C5B"/>
        </w:rPr>
        <w:t xml:space="preserve"> </w:t>
      </w:r>
      <w:r>
        <w:rPr>
          <w:rFonts w:ascii="Arial" w:cs="Arial" w:eastAsia="Arial" w:hAnsi="Arial"/>
          <w:sz w:val="18"/>
          <w:szCs w:val="18"/>
          <w:color w:val="000000"/>
        </w:rPr>
        <w:t>of Discover. Total loans held for investment (“Total Loans”) as of December 31, 2025 were $453.6 billion, an increase of 38% from 2024.</w:t>
      </w:r>
    </w:p>
    <w:p>
      <w:pPr>
        <w:spacing w:after="0" w:line="206" w:lineRule="exact"/>
        <w:rPr>
          <w:rFonts w:ascii="MS PGothic" w:cs="MS PGothic" w:eastAsia="MS PGothic" w:hAnsi="MS PGothic"/>
          <w:sz w:val="29"/>
          <w:szCs w:val="29"/>
          <w:color w:val="023C5B"/>
          <w:vertAlign w:val="superscript"/>
        </w:rPr>
      </w:pPr>
    </w:p>
    <w:p>
      <w:pPr>
        <w:ind w:left="1020" w:hanging="425"/>
        <w:spacing w:after="0"/>
        <w:tabs>
          <w:tab w:leader="none" w:pos="1020" w:val="left"/>
        </w:tabs>
        <w:numPr>
          <w:ilvl w:val="0"/>
          <w:numId w:val="10"/>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Net Interest Margin</w:t>
      </w:r>
      <w:r>
        <w:rPr>
          <w:rFonts w:ascii="Arial" w:cs="Arial" w:eastAsia="Arial" w:hAnsi="Arial"/>
          <w:sz w:val="26"/>
          <w:szCs w:val="26"/>
          <w:b w:val="1"/>
          <w:bCs w:val="1"/>
          <w:color w:val="023C5B"/>
          <w:vertAlign w:val="superscript"/>
        </w:rPr>
        <w:t>(2)</w:t>
      </w:r>
      <w:r>
        <w:rPr>
          <w:rFonts w:ascii="Arial" w:cs="Arial" w:eastAsia="Arial" w:hAnsi="Arial"/>
          <w:sz w:val="18"/>
          <w:szCs w:val="18"/>
          <w:b w:val="1"/>
          <w:bCs w:val="1"/>
          <w:color w:val="023C5B"/>
        </w:rPr>
        <w:t xml:space="preserve"> </w:t>
      </w:r>
      <w:r>
        <w:rPr>
          <w:rFonts w:ascii="Arial" w:cs="Arial" w:eastAsia="Arial" w:hAnsi="Arial"/>
          <w:sz w:val="18"/>
          <w:szCs w:val="18"/>
          <w:color w:val="000000"/>
        </w:rPr>
        <w:t>of 7.8%, a 96 basis point (“bps”) increase from 2024.</w:t>
      </w:r>
    </w:p>
    <w:p>
      <w:pPr>
        <w:spacing w:after="0" w:line="137" w:lineRule="exact"/>
        <w:rPr>
          <w:rFonts w:ascii="MS PGothic" w:cs="MS PGothic" w:eastAsia="MS PGothic" w:hAnsi="MS PGothic"/>
          <w:sz w:val="29"/>
          <w:szCs w:val="29"/>
          <w:color w:val="023C5B"/>
          <w:vertAlign w:val="superscript"/>
        </w:rPr>
      </w:pPr>
    </w:p>
    <w:p>
      <w:pPr>
        <w:ind w:left="1020" w:hanging="425"/>
        <w:spacing w:after="0" w:line="204" w:lineRule="auto"/>
        <w:tabs>
          <w:tab w:leader="none" w:pos="1020" w:val="left"/>
        </w:tabs>
        <w:numPr>
          <w:ilvl w:val="0"/>
          <w:numId w:val="10"/>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Operating Efficiency Ratio</w:t>
      </w:r>
      <w:r>
        <w:rPr>
          <w:rFonts w:ascii="Arial" w:cs="Arial" w:eastAsia="Arial" w:hAnsi="Arial"/>
          <w:sz w:val="26"/>
          <w:szCs w:val="26"/>
          <w:b w:val="1"/>
          <w:bCs w:val="1"/>
          <w:color w:val="023C5B"/>
          <w:vertAlign w:val="superscript"/>
        </w:rPr>
        <w:t>(3)</w:t>
      </w:r>
      <w:r>
        <w:rPr>
          <w:rFonts w:ascii="Arial" w:cs="Arial" w:eastAsia="Arial" w:hAnsi="Arial"/>
          <w:sz w:val="18"/>
          <w:szCs w:val="18"/>
          <w:b w:val="1"/>
          <w:bCs w:val="1"/>
          <w:color w:val="023C5B"/>
        </w:rPr>
        <w:t xml:space="preserve"> </w:t>
      </w:r>
      <w:r>
        <w:rPr>
          <w:rFonts w:ascii="Arial" w:cs="Arial" w:eastAsia="Arial" w:hAnsi="Arial"/>
          <w:sz w:val="18"/>
          <w:szCs w:val="18"/>
          <w:color w:val="000000"/>
        </w:rPr>
        <w:t>of 46.1%, compared to 43.3% in 2024. Adjusted operating efficiency ratio</w:t>
      </w:r>
      <w:r>
        <w:rPr>
          <w:rFonts w:ascii="Arial" w:cs="Arial" w:eastAsia="Arial" w:hAnsi="Arial"/>
          <w:sz w:val="26"/>
          <w:szCs w:val="26"/>
          <w:color w:val="000000"/>
          <w:vertAlign w:val="superscript"/>
        </w:rPr>
        <w:t>(1)(4)</w:t>
      </w:r>
      <w:r>
        <w:rPr>
          <w:rFonts w:ascii="Arial" w:cs="Arial" w:eastAsia="Arial" w:hAnsi="Arial"/>
          <w:sz w:val="18"/>
          <w:szCs w:val="18"/>
          <w:b w:val="1"/>
          <w:bCs w:val="1"/>
          <w:color w:val="023C5B"/>
        </w:rPr>
        <w:t xml:space="preserve"> </w:t>
      </w:r>
      <w:r>
        <w:rPr>
          <w:rFonts w:ascii="Arial" w:cs="Arial" w:eastAsia="Arial" w:hAnsi="Arial"/>
          <w:sz w:val="18"/>
          <w:szCs w:val="18"/>
          <w:color w:val="000000"/>
        </w:rPr>
        <w:t>improved 151 bps</w:t>
      </w:r>
      <w:r>
        <w:rPr>
          <w:rFonts w:ascii="Arial" w:cs="Arial" w:eastAsia="Arial" w:hAnsi="Arial"/>
          <w:sz w:val="18"/>
          <w:szCs w:val="18"/>
          <w:b w:val="1"/>
          <w:bCs w:val="1"/>
          <w:color w:val="023C5B"/>
        </w:rPr>
        <w:t xml:space="preserve"> </w:t>
      </w:r>
      <w:r>
        <w:rPr>
          <w:rFonts w:ascii="Arial" w:cs="Arial" w:eastAsia="Arial" w:hAnsi="Arial"/>
          <w:sz w:val="18"/>
          <w:szCs w:val="18"/>
          <w:color w:val="000000"/>
        </w:rPr>
        <w:t>to 40.8%, from 42.4% in 2024.</w:t>
      </w:r>
    </w:p>
    <w:p>
      <w:pPr>
        <w:spacing w:after="0" w:line="207" w:lineRule="exact"/>
        <w:rPr>
          <w:rFonts w:ascii="MS PGothic" w:cs="MS PGothic" w:eastAsia="MS PGothic" w:hAnsi="MS PGothic"/>
          <w:sz w:val="29"/>
          <w:szCs w:val="29"/>
          <w:color w:val="023C5B"/>
          <w:vertAlign w:val="superscript"/>
        </w:rPr>
      </w:pPr>
    </w:p>
    <w:p>
      <w:pPr>
        <w:jc w:val="both"/>
        <w:ind w:left="1020" w:hanging="425"/>
        <w:spacing w:after="0" w:line="188" w:lineRule="auto"/>
        <w:tabs>
          <w:tab w:leader="none" w:pos="1020" w:val="left"/>
        </w:tabs>
        <w:numPr>
          <w:ilvl w:val="0"/>
          <w:numId w:val="10"/>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Efficiency Ratio</w:t>
      </w:r>
      <w:r>
        <w:rPr>
          <w:rFonts w:ascii="Arial" w:cs="Arial" w:eastAsia="Arial" w:hAnsi="Arial"/>
          <w:sz w:val="26"/>
          <w:szCs w:val="26"/>
          <w:b w:val="1"/>
          <w:bCs w:val="1"/>
          <w:color w:val="023C5B"/>
          <w:vertAlign w:val="superscript"/>
        </w:rPr>
        <w:t>(3)</w:t>
      </w:r>
      <w:r>
        <w:rPr>
          <w:rFonts w:ascii="Arial" w:cs="Arial" w:eastAsia="Arial" w:hAnsi="Arial"/>
          <w:sz w:val="18"/>
          <w:szCs w:val="18"/>
          <w:b w:val="1"/>
          <w:bCs w:val="1"/>
          <w:color w:val="023C5B"/>
        </w:rPr>
        <w:t xml:space="preserve"> </w:t>
      </w:r>
      <w:r>
        <w:rPr>
          <w:rFonts w:ascii="Arial" w:cs="Arial" w:eastAsia="Arial" w:hAnsi="Arial"/>
          <w:sz w:val="18"/>
          <w:szCs w:val="18"/>
          <w:color w:val="000000"/>
        </w:rPr>
        <w:t>of 57.1%, compared to 54.9% in 2024, due primarily to integration expenses as well as investments in</w:t>
      </w:r>
      <w:r>
        <w:rPr>
          <w:rFonts w:ascii="Arial" w:cs="Arial" w:eastAsia="Arial" w:hAnsi="Arial"/>
          <w:sz w:val="18"/>
          <w:szCs w:val="18"/>
          <w:b w:val="1"/>
          <w:bCs w:val="1"/>
          <w:color w:val="023C5B"/>
        </w:rPr>
        <w:t xml:space="preserve"> </w:t>
      </w:r>
      <w:r>
        <w:rPr>
          <w:rFonts w:ascii="Arial" w:cs="Arial" w:eastAsia="Arial" w:hAnsi="Arial"/>
          <w:sz w:val="18"/>
          <w:szCs w:val="18"/>
          <w:color w:val="000000"/>
        </w:rPr>
        <w:t>future growth and capabilities. Adjusted efficiency ratio</w:t>
      </w:r>
      <w:r>
        <w:rPr>
          <w:rFonts w:ascii="Arial" w:cs="Arial" w:eastAsia="Arial" w:hAnsi="Arial"/>
          <w:sz w:val="26"/>
          <w:szCs w:val="26"/>
          <w:color w:val="000000"/>
          <w:vertAlign w:val="superscript"/>
        </w:rPr>
        <w:t>(1)(4)</w:t>
      </w:r>
      <w:r>
        <w:rPr>
          <w:rFonts w:ascii="Arial" w:cs="Arial" w:eastAsia="Arial" w:hAnsi="Arial"/>
          <w:sz w:val="18"/>
          <w:szCs w:val="18"/>
          <w:color w:val="000000"/>
        </w:rPr>
        <w:t xml:space="preserve"> improved to 51.8% in 2025 from 54.0% in 2024, due primarily to impacts from the Discover Transaction.</w:t>
      </w:r>
    </w:p>
    <w:p>
      <w:pPr>
        <w:spacing w:after="0" w:line="207" w:lineRule="exact"/>
        <w:rPr>
          <w:rFonts w:ascii="MS PGothic" w:cs="MS PGothic" w:eastAsia="MS PGothic" w:hAnsi="MS PGothic"/>
          <w:sz w:val="29"/>
          <w:szCs w:val="29"/>
          <w:color w:val="023C5B"/>
          <w:vertAlign w:val="superscript"/>
        </w:rPr>
      </w:pPr>
    </w:p>
    <w:p>
      <w:pPr>
        <w:ind w:left="1020" w:hanging="425"/>
        <w:spacing w:after="0" w:line="204" w:lineRule="auto"/>
        <w:tabs>
          <w:tab w:leader="none" w:pos="1020" w:val="left"/>
        </w:tabs>
        <w:numPr>
          <w:ilvl w:val="0"/>
          <w:numId w:val="10"/>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Diluted Earnings Per Share (“EPS”) </w:t>
      </w:r>
      <w:r>
        <w:rPr>
          <w:rFonts w:ascii="Arial" w:cs="Arial" w:eastAsia="Arial" w:hAnsi="Arial"/>
          <w:sz w:val="18"/>
          <w:szCs w:val="18"/>
          <w:color w:val="000000"/>
        </w:rPr>
        <w:t>of $4.03, compared to $11.59 in 2024. Adjusted diluted EPS</w:t>
      </w:r>
      <w:r>
        <w:rPr>
          <w:rFonts w:ascii="Arial" w:cs="Arial" w:eastAsia="Arial" w:hAnsi="Arial"/>
          <w:sz w:val="26"/>
          <w:szCs w:val="26"/>
          <w:color w:val="000000"/>
          <w:vertAlign w:val="superscript"/>
        </w:rPr>
        <w:t>(1)(4)</w:t>
      </w:r>
      <w:r>
        <w:rPr>
          <w:rFonts w:ascii="Arial" w:cs="Arial" w:eastAsia="Arial" w:hAnsi="Arial"/>
          <w:sz w:val="18"/>
          <w:szCs w:val="18"/>
          <w:b w:val="1"/>
          <w:bCs w:val="1"/>
          <w:color w:val="023C5B"/>
        </w:rPr>
        <w:t xml:space="preserve"> </w:t>
      </w:r>
      <w:r>
        <w:rPr>
          <w:rFonts w:ascii="Arial" w:cs="Arial" w:eastAsia="Arial" w:hAnsi="Arial"/>
          <w:sz w:val="18"/>
          <w:szCs w:val="18"/>
          <w:color w:val="000000"/>
        </w:rPr>
        <w:t>of $19.61, an increase</w:t>
      </w:r>
      <w:r>
        <w:rPr>
          <w:rFonts w:ascii="Arial" w:cs="Arial" w:eastAsia="Arial" w:hAnsi="Arial"/>
          <w:sz w:val="18"/>
          <w:szCs w:val="18"/>
          <w:b w:val="1"/>
          <w:bCs w:val="1"/>
          <w:color w:val="023C5B"/>
        </w:rPr>
        <w:t xml:space="preserve"> </w:t>
      </w:r>
      <w:r>
        <w:rPr>
          <w:rFonts w:ascii="Arial" w:cs="Arial" w:eastAsia="Arial" w:hAnsi="Arial"/>
          <w:sz w:val="18"/>
          <w:szCs w:val="18"/>
          <w:color w:val="000000"/>
        </w:rPr>
        <w:t>of 40% from $13.96 in 2024.</w:t>
      </w:r>
    </w:p>
    <w:p>
      <w:pPr>
        <w:spacing w:after="0" w:line="207"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10"/>
        </w:numPr>
        <w:rPr>
          <w:rFonts w:ascii="MS PGothic" w:cs="MS PGothic" w:eastAsia="MS PGothic" w:hAnsi="MS PGothic"/>
          <w:sz w:val="27"/>
          <w:szCs w:val="27"/>
          <w:color w:val="023C5B"/>
          <w:vertAlign w:val="superscript"/>
        </w:rPr>
      </w:pPr>
      <w:r>
        <w:rPr>
          <w:rFonts w:ascii="Arial" w:cs="Arial" w:eastAsia="Arial" w:hAnsi="Arial"/>
          <w:sz w:val="17"/>
          <w:szCs w:val="17"/>
          <w:b w:val="1"/>
          <w:bCs w:val="1"/>
          <w:color w:val="023C5B"/>
        </w:rPr>
        <w:t>Return on Average Tangible Common Equity (“ROTCE”)</w:t>
      </w:r>
      <w:r>
        <w:rPr>
          <w:rFonts w:ascii="Arial" w:cs="Arial" w:eastAsia="Arial" w:hAnsi="Arial"/>
          <w:sz w:val="25"/>
          <w:szCs w:val="25"/>
          <w:b w:val="1"/>
          <w:bCs w:val="1"/>
          <w:color w:val="023C5B"/>
          <w:vertAlign w:val="superscript"/>
        </w:rPr>
        <w:t>(1)(5)</w:t>
      </w:r>
      <w:r>
        <w:rPr>
          <w:rFonts w:ascii="Arial" w:cs="Arial" w:eastAsia="Arial" w:hAnsi="Arial"/>
          <w:sz w:val="17"/>
          <w:szCs w:val="17"/>
          <w:b w:val="1"/>
          <w:bCs w:val="1"/>
          <w:color w:val="023C5B"/>
        </w:rPr>
        <w:t xml:space="preserve"> </w:t>
      </w:r>
      <w:r>
        <w:rPr>
          <w:rFonts w:ascii="Arial" w:cs="Arial" w:eastAsia="Arial" w:hAnsi="Arial"/>
          <w:sz w:val="17"/>
          <w:szCs w:val="17"/>
          <w:color w:val="000000"/>
        </w:rPr>
        <w:t>of 3.2%, compared to 11.2% in 2024. Adjusted ROTCE</w:t>
      </w:r>
      <w:r>
        <w:rPr>
          <w:rFonts w:ascii="Arial" w:cs="Arial" w:eastAsia="Arial" w:hAnsi="Arial"/>
          <w:sz w:val="25"/>
          <w:szCs w:val="25"/>
          <w:color w:val="000000"/>
          <w:vertAlign w:val="superscript"/>
        </w:rPr>
        <w:t>(1)(5)</w:t>
      </w:r>
      <w:r>
        <w:rPr>
          <w:rFonts w:ascii="Arial" w:cs="Arial" w:eastAsia="Arial" w:hAnsi="Arial"/>
          <w:sz w:val="17"/>
          <w:szCs w:val="17"/>
          <w:b w:val="1"/>
          <w:bCs w:val="1"/>
          <w:color w:val="023C5B"/>
        </w:rPr>
        <w:t xml:space="preserve"> </w:t>
      </w:r>
      <w:r>
        <w:rPr>
          <w:rFonts w:ascii="Arial" w:cs="Arial" w:eastAsia="Arial" w:hAnsi="Arial"/>
          <w:sz w:val="17"/>
          <w:szCs w:val="17"/>
          <w:color w:val="000000"/>
        </w:rPr>
        <w:t>of</w:t>
      </w:r>
      <w:r>
        <w:rPr>
          <w:rFonts w:ascii="Arial" w:cs="Arial" w:eastAsia="Arial" w:hAnsi="Arial"/>
          <w:sz w:val="17"/>
          <w:szCs w:val="17"/>
          <w:b w:val="1"/>
          <w:bCs w:val="1"/>
          <w:color w:val="023C5B"/>
        </w:rPr>
        <w:t xml:space="preserve"> </w:t>
      </w:r>
      <w:r>
        <w:rPr>
          <w:rFonts w:ascii="Arial" w:cs="Arial" w:eastAsia="Arial" w:hAnsi="Arial"/>
          <w:sz w:val="17"/>
          <w:szCs w:val="17"/>
          <w:color w:val="000000"/>
        </w:rPr>
        <w:t>18.5%, an increase from 13.5% in 2024.</w:t>
      </w:r>
    </w:p>
    <w:p>
      <w:pPr>
        <w:spacing w:after="0" w:line="207" w:lineRule="exact"/>
        <w:rPr>
          <w:rFonts w:ascii="MS PGothic" w:cs="MS PGothic" w:eastAsia="MS PGothic" w:hAnsi="MS PGothic"/>
          <w:sz w:val="27"/>
          <w:szCs w:val="27"/>
          <w:color w:val="023C5B"/>
          <w:vertAlign w:val="superscript"/>
        </w:rPr>
      </w:pPr>
    </w:p>
    <w:p>
      <w:pPr>
        <w:jc w:val="both"/>
        <w:ind w:left="1020" w:hanging="425"/>
        <w:spacing w:after="0" w:line="217" w:lineRule="auto"/>
        <w:tabs>
          <w:tab w:leader="none" w:pos="1020" w:val="left"/>
        </w:tabs>
        <w:numPr>
          <w:ilvl w:val="0"/>
          <w:numId w:val="10"/>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The Closing of the Discover Transaction. </w:t>
      </w:r>
      <w:r>
        <w:rPr>
          <w:rFonts w:ascii="Arial" w:cs="Arial" w:eastAsia="Arial" w:hAnsi="Arial"/>
          <w:sz w:val="18"/>
          <w:szCs w:val="18"/>
          <w:color w:val="000000"/>
        </w:rPr>
        <w:t>We received regulatory approval for the acquisition of Discover in April of 2025 and</w:t>
      </w:r>
      <w:r>
        <w:rPr>
          <w:rFonts w:ascii="Arial" w:cs="Arial" w:eastAsia="Arial" w:hAnsi="Arial"/>
          <w:sz w:val="18"/>
          <w:szCs w:val="18"/>
          <w:b w:val="1"/>
          <w:bCs w:val="1"/>
          <w:color w:val="023C5B"/>
        </w:rPr>
        <w:t xml:space="preserve"> </w:t>
      </w:r>
      <w:r>
        <w:rPr>
          <w:rFonts w:ascii="Arial" w:cs="Arial" w:eastAsia="Arial" w:hAnsi="Arial"/>
          <w:sz w:val="18"/>
          <w:szCs w:val="18"/>
          <w:color w:val="000000"/>
        </w:rPr>
        <w:t>completed the transaction on May 18, 2025. The successful closing marked 15 months since the announcement of the deal in February of 2024, and reflected significant effort and investment across leadership and line of business teams.</w:t>
      </w:r>
    </w:p>
    <w:p>
      <w:pPr>
        <w:spacing w:after="0" w:line="206" w:lineRule="exact"/>
        <w:rPr>
          <w:rFonts w:ascii="MS PGothic" w:cs="MS PGothic" w:eastAsia="MS PGothic" w:hAnsi="MS PGothic"/>
          <w:sz w:val="29"/>
          <w:szCs w:val="29"/>
          <w:color w:val="023C5B"/>
          <w:vertAlign w:val="superscript"/>
        </w:rPr>
      </w:pPr>
    </w:p>
    <w:p>
      <w:pPr>
        <w:jc w:val="both"/>
        <w:ind w:left="1020" w:hanging="425"/>
        <w:spacing w:after="0" w:line="220" w:lineRule="auto"/>
        <w:tabs>
          <w:tab w:leader="none" w:pos="1020" w:val="left"/>
        </w:tabs>
        <w:numPr>
          <w:ilvl w:val="0"/>
          <w:numId w:val="10"/>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Initial Integration of Discover </w:t>
      </w:r>
      <w:r>
        <w:rPr>
          <w:rFonts w:ascii="Arial" w:cs="Arial" w:eastAsia="Arial" w:hAnsi="Arial"/>
          <w:sz w:val="18"/>
          <w:szCs w:val="18"/>
          <w:color w:val="000000"/>
        </w:rPr>
        <w:t>included successful closing day activities across critical financial and risk management</w:t>
      </w:r>
      <w:r>
        <w:rPr>
          <w:rFonts w:ascii="Arial" w:cs="Arial" w:eastAsia="Arial" w:hAnsi="Arial"/>
          <w:sz w:val="18"/>
          <w:szCs w:val="18"/>
          <w:b w:val="1"/>
          <w:bCs w:val="1"/>
          <w:color w:val="023C5B"/>
        </w:rPr>
        <w:t xml:space="preserve"> </w:t>
      </w:r>
      <w:r>
        <w:rPr>
          <w:rFonts w:ascii="Arial" w:cs="Arial" w:eastAsia="Arial" w:hAnsi="Arial"/>
          <w:sz w:val="18"/>
          <w:szCs w:val="18"/>
          <w:color w:val="000000"/>
        </w:rPr>
        <w:t>systems, the conversion of key HR experiences and programs, and the substantial completion of the reissuance of legacy Capital One customer debit cards onto the Global Payment Network. Successful early integration activities during the year kept the Company on track to deliver expected deal synergies.</w:t>
      </w:r>
    </w:p>
    <w:p>
      <w:pPr>
        <w:spacing w:after="0" w:line="208" w:lineRule="exact"/>
        <w:rPr>
          <w:rFonts w:ascii="MS PGothic" w:cs="MS PGothic" w:eastAsia="MS PGothic" w:hAnsi="MS PGothic"/>
          <w:sz w:val="29"/>
          <w:szCs w:val="29"/>
          <w:color w:val="023C5B"/>
          <w:vertAlign w:val="superscript"/>
        </w:rPr>
      </w:pPr>
    </w:p>
    <w:p>
      <w:pPr>
        <w:jc w:val="both"/>
        <w:ind w:left="1020" w:hanging="425"/>
        <w:spacing w:after="0" w:line="230" w:lineRule="auto"/>
        <w:tabs>
          <w:tab w:leader="none" w:pos="1020" w:val="left"/>
        </w:tabs>
        <w:numPr>
          <w:ilvl w:val="0"/>
          <w:numId w:val="10"/>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Strong Liquidity and Capital Management </w:t>
      </w:r>
      <w:r>
        <w:rPr>
          <w:rFonts w:ascii="Arial" w:cs="Arial" w:eastAsia="Arial" w:hAnsi="Arial"/>
          <w:sz w:val="18"/>
          <w:szCs w:val="18"/>
          <w:color w:val="000000"/>
        </w:rPr>
        <w:t>with continued balance sheet strength. As of year end: (i) total deposits were</w:t>
      </w:r>
      <w:r>
        <w:rPr>
          <w:rFonts w:ascii="Arial" w:cs="Arial" w:eastAsia="Arial" w:hAnsi="Arial"/>
          <w:sz w:val="18"/>
          <w:szCs w:val="18"/>
          <w:b w:val="1"/>
          <w:bCs w:val="1"/>
          <w:color w:val="023C5B"/>
        </w:rPr>
        <w:t xml:space="preserve"> </w:t>
      </w:r>
      <w:r>
        <w:rPr>
          <w:rFonts w:ascii="Arial" w:cs="Arial" w:eastAsia="Arial" w:hAnsi="Arial"/>
          <w:sz w:val="18"/>
          <w:szCs w:val="18"/>
          <w:color w:val="000000"/>
        </w:rPr>
        <w:t>$475.8 billion, an increase of 31% from 2024 driven by both organic growth and the addition of Discover; (ii) approximately 85% of Capital One’s total deposits were Federal Deposit Insurance Corporation (“FDIC”) insured; (iii) common equity Tier 1 capital ratio</w:t>
      </w:r>
      <w:r>
        <w:rPr>
          <w:rFonts w:ascii="Arial" w:cs="Arial" w:eastAsia="Arial" w:hAnsi="Arial"/>
          <w:sz w:val="26"/>
          <w:szCs w:val="26"/>
          <w:color w:val="000000"/>
          <w:vertAlign w:val="superscript"/>
        </w:rPr>
        <w:t>(6)</w:t>
      </w:r>
      <w:r>
        <w:rPr>
          <w:rFonts w:ascii="Arial" w:cs="Arial" w:eastAsia="Arial" w:hAnsi="Arial"/>
          <w:sz w:val="18"/>
          <w:szCs w:val="18"/>
          <w:color w:val="000000"/>
        </w:rPr>
        <w:t xml:space="preserve"> was 14.3%, an increase</w:t>
      </w:r>
    </w:p>
    <w:p>
      <w:pPr>
        <w:ind w:left="180"/>
        <w:spacing w:after="0"/>
        <w:tabs>
          <w:tab w:leader="none" w:pos="500" w:val="left"/>
          <w:tab w:leader="none" w:pos="36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2272030</wp:posOffset>
            </wp:positionH>
            <wp:positionV relativeFrom="paragraph">
              <wp:posOffset>-123190</wp:posOffset>
            </wp:positionV>
            <wp:extent cx="8255" cy="178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040"/>
        <w:spacing w:after="0" w:line="286" w:lineRule="auto"/>
        <w:rPr>
          <w:sz w:val="20"/>
          <w:szCs w:val="20"/>
          <w:color w:val="auto"/>
        </w:rPr>
      </w:pPr>
      <w:r>
        <w:rPr>
          <w:rFonts w:ascii="Arial" w:cs="Arial" w:eastAsia="Arial" w:hAnsi="Arial"/>
          <w:sz w:val="18"/>
          <w:szCs w:val="18"/>
          <w:color w:val="auto"/>
        </w:rPr>
        <w:t>from 13.5% at year end 2024 and significantly above regulatory requirements; and (iv) Capital One’s fourth quarter average Liquidity Coverage Ratio (“LCR”)</w:t>
      </w:r>
      <w:r>
        <w:rPr>
          <w:rFonts w:ascii="Arial" w:cs="Arial" w:eastAsia="Arial" w:hAnsi="Arial"/>
          <w:sz w:val="26"/>
          <w:szCs w:val="26"/>
          <w:color w:val="auto"/>
          <w:vertAlign w:val="superscript"/>
        </w:rPr>
        <w:t>(7)</w:t>
      </w:r>
      <w:r>
        <w:rPr>
          <w:rFonts w:ascii="Arial" w:cs="Arial" w:eastAsia="Arial" w:hAnsi="Arial"/>
          <w:sz w:val="18"/>
          <w:szCs w:val="18"/>
          <w:color w:val="auto"/>
        </w:rPr>
        <w:t xml:space="preserve"> was 173%.</w:t>
      </w:r>
    </w:p>
    <w:p>
      <w:pPr>
        <w:spacing w:after="0" w:line="39" w:lineRule="exact"/>
        <w:rPr>
          <w:sz w:val="20"/>
          <w:szCs w:val="20"/>
          <w:color w:val="auto"/>
        </w:rPr>
      </w:pPr>
    </w:p>
    <w:p>
      <w:pPr>
        <w:jc w:val="both"/>
        <w:ind w:left="1020" w:hanging="425"/>
        <w:spacing w:after="0" w:line="217" w:lineRule="auto"/>
        <w:tabs>
          <w:tab w:leader="none" w:pos="1020" w:val="left"/>
        </w:tabs>
        <w:numPr>
          <w:ilvl w:val="0"/>
          <w:numId w:val="11"/>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Strong Credit Risk Management </w:t>
      </w:r>
      <w:r>
        <w:rPr>
          <w:rFonts w:ascii="Arial" w:cs="Arial" w:eastAsia="Arial" w:hAnsi="Arial"/>
          <w:sz w:val="18"/>
          <w:szCs w:val="18"/>
          <w:color w:val="000000"/>
        </w:rPr>
        <w:t>with a net charge-off rate of 3.3%, versus 3.4% in 2024. Business line credit trends in Card,</w:t>
      </w:r>
      <w:r>
        <w:rPr>
          <w:rFonts w:ascii="Arial" w:cs="Arial" w:eastAsia="Arial" w:hAnsi="Arial"/>
          <w:sz w:val="18"/>
          <w:szCs w:val="18"/>
          <w:b w:val="1"/>
          <w:bCs w:val="1"/>
          <w:color w:val="023C5B"/>
        </w:rPr>
        <w:t xml:space="preserve"> </w:t>
      </w:r>
      <w:r>
        <w:rPr>
          <w:rFonts w:ascii="Arial" w:cs="Arial" w:eastAsia="Arial" w:hAnsi="Arial"/>
          <w:sz w:val="18"/>
          <w:szCs w:val="18"/>
          <w:color w:val="000000"/>
        </w:rPr>
        <w:t>Auto, and Commercial were favorable to market and industry peers, primarily the result of modern technology and analytics, as well as strategic choices and actions to manage evolving credit risks.</w:t>
      </w:r>
    </w:p>
    <w:p>
      <w:pPr>
        <w:spacing w:after="0" w:line="206" w:lineRule="exact"/>
        <w:rPr>
          <w:rFonts w:ascii="MS PGothic" w:cs="MS PGothic" w:eastAsia="MS PGothic" w:hAnsi="MS PGothic"/>
          <w:sz w:val="29"/>
          <w:szCs w:val="29"/>
          <w:color w:val="023C5B"/>
          <w:vertAlign w:val="superscript"/>
        </w:rPr>
      </w:pPr>
    </w:p>
    <w:p>
      <w:pPr>
        <w:ind w:left="1020" w:hanging="425"/>
        <w:spacing w:after="0"/>
        <w:tabs>
          <w:tab w:leader="none" w:pos="1020" w:val="left"/>
        </w:tabs>
        <w:numPr>
          <w:ilvl w:val="0"/>
          <w:numId w:val="11"/>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Tangible Book Value Per Common Share</w:t>
      </w:r>
      <w:r>
        <w:rPr>
          <w:rFonts w:ascii="Arial" w:cs="Arial" w:eastAsia="Arial" w:hAnsi="Arial"/>
          <w:sz w:val="26"/>
          <w:szCs w:val="26"/>
          <w:b w:val="1"/>
          <w:bCs w:val="1"/>
          <w:color w:val="023C5B"/>
          <w:vertAlign w:val="superscript"/>
        </w:rPr>
        <w:t>(8)</w:t>
      </w:r>
      <w:r>
        <w:rPr>
          <w:rFonts w:ascii="Arial" w:cs="Arial" w:eastAsia="Arial" w:hAnsi="Arial"/>
          <w:sz w:val="18"/>
          <w:szCs w:val="18"/>
          <w:b w:val="1"/>
          <w:bCs w:val="1"/>
          <w:color w:val="023C5B"/>
        </w:rPr>
        <w:t xml:space="preserve"> </w:t>
      </w:r>
      <w:r>
        <w:rPr>
          <w:rFonts w:ascii="Arial" w:cs="Arial" w:eastAsia="Arial" w:hAnsi="Arial"/>
          <w:sz w:val="18"/>
          <w:szCs w:val="18"/>
          <w:color w:val="000000"/>
        </w:rPr>
        <w:t>was $107.72, an increase of 0.7% from $106.97 in 2024.</w:t>
      </w:r>
    </w:p>
    <w:p>
      <w:pPr>
        <w:spacing w:after="0" w:line="137" w:lineRule="exact"/>
        <w:rPr>
          <w:rFonts w:ascii="MS PGothic" w:cs="MS PGothic" w:eastAsia="MS PGothic" w:hAnsi="MS PGothic"/>
          <w:sz w:val="29"/>
          <w:szCs w:val="29"/>
          <w:color w:val="023C5B"/>
          <w:vertAlign w:val="superscript"/>
        </w:rPr>
      </w:pPr>
    </w:p>
    <w:p>
      <w:pPr>
        <w:jc w:val="both"/>
        <w:ind w:left="1020" w:hanging="425"/>
        <w:spacing w:after="0" w:line="220" w:lineRule="auto"/>
        <w:tabs>
          <w:tab w:leader="none" w:pos="1020" w:val="left"/>
        </w:tabs>
        <w:numPr>
          <w:ilvl w:val="0"/>
          <w:numId w:val="11"/>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Total Shareholder Return (“TSR”) </w:t>
      </w:r>
      <w:r>
        <w:rPr>
          <w:rFonts w:ascii="Arial" w:cs="Arial" w:eastAsia="Arial" w:hAnsi="Arial"/>
          <w:sz w:val="18"/>
          <w:szCs w:val="18"/>
          <w:color w:val="000000"/>
        </w:rPr>
        <w:t>of 37.7% for the one-year period ended December 31, 2025, outpacing both the KBW</w:t>
      </w:r>
      <w:r>
        <w:rPr>
          <w:rFonts w:ascii="Arial" w:cs="Arial" w:eastAsia="Arial" w:hAnsi="Arial"/>
          <w:sz w:val="18"/>
          <w:szCs w:val="18"/>
          <w:b w:val="1"/>
          <w:bCs w:val="1"/>
          <w:color w:val="023C5B"/>
        </w:rPr>
        <w:t xml:space="preserve"> </w:t>
      </w:r>
      <w:r>
        <w:rPr>
          <w:rFonts w:ascii="Arial" w:cs="Arial" w:eastAsia="Arial" w:hAnsi="Arial"/>
          <w:sz w:val="18"/>
          <w:szCs w:val="18"/>
          <w:color w:val="000000"/>
        </w:rPr>
        <w:t>Bank Index total return of 32.6%, and the S&amp;P 500 total return of 17.9%. Capital One’s three-year and five-year TSR for the periods ended December 31, 2025 were 174.7%, and 168.0%, respectively, significantly outperforming the total return of the KBW Bank Index, which was 80.3%, and 96.0% over the same time periods.</w:t>
      </w:r>
    </w:p>
    <w:p>
      <w:pPr>
        <w:spacing w:after="0" w:line="208"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11"/>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Strong Enterprise Risk Management. </w:t>
      </w:r>
      <w:r>
        <w:rPr>
          <w:rFonts w:ascii="Arial" w:cs="Arial" w:eastAsia="Arial" w:hAnsi="Arial"/>
          <w:sz w:val="18"/>
          <w:szCs w:val="18"/>
          <w:color w:val="000000"/>
        </w:rPr>
        <w:t>Capital One continued to deliver high-quality foundational risk management activities</w:t>
      </w:r>
      <w:r>
        <w:rPr>
          <w:rFonts w:ascii="Arial" w:cs="Arial" w:eastAsia="Arial" w:hAnsi="Arial"/>
          <w:sz w:val="18"/>
          <w:szCs w:val="18"/>
          <w:b w:val="1"/>
          <w:bCs w:val="1"/>
          <w:color w:val="023C5B"/>
        </w:rPr>
        <w:t xml:space="preserve"> </w:t>
      </w:r>
      <w:r>
        <w:rPr>
          <w:rFonts w:ascii="Arial" w:cs="Arial" w:eastAsia="Arial" w:hAnsi="Arial"/>
          <w:sz w:val="18"/>
          <w:szCs w:val="18"/>
          <w:color w:val="000000"/>
        </w:rPr>
        <w:t>and achieved strong results on its critical regulatory exams and engagements.</w:t>
      </w:r>
    </w:p>
    <w:p>
      <w:pPr>
        <w:spacing w:after="0" w:line="207" w:lineRule="exact"/>
        <w:rPr>
          <w:rFonts w:ascii="MS PGothic" w:cs="MS PGothic" w:eastAsia="MS PGothic" w:hAnsi="MS PGothic"/>
          <w:sz w:val="29"/>
          <w:szCs w:val="29"/>
          <w:color w:val="023C5B"/>
          <w:vertAlign w:val="superscript"/>
        </w:rPr>
      </w:pPr>
    </w:p>
    <w:p>
      <w:pPr>
        <w:jc w:val="both"/>
        <w:ind w:left="1020" w:hanging="425"/>
        <w:spacing w:after="0" w:line="217" w:lineRule="auto"/>
        <w:tabs>
          <w:tab w:leader="none" w:pos="1020" w:val="left"/>
        </w:tabs>
        <w:numPr>
          <w:ilvl w:val="0"/>
          <w:numId w:val="11"/>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Customer Service and Advocacy. </w:t>
      </w:r>
      <w:r>
        <w:rPr>
          <w:rFonts w:ascii="Arial" w:cs="Arial" w:eastAsia="Arial" w:hAnsi="Arial"/>
          <w:sz w:val="18"/>
          <w:szCs w:val="18"/>
          <w:color w:val="000000"/>
        </w:rPr>
        <w:t>The Company enjoyed strong customer advocacy; achieved high Net Promoter Scores</w:t>
      </w:r>
      <w:r>
        <w:rPr>
          <w:rFonts w:ascii="Arial" w:cs="Arial" w:eastAsia="Arial" w:hAnsi="Arial"/>
          <w:sz w:val="18"/>
          <w:szCs w:val="18"/>
          <w:b w:val="1"/>
          <w:bCs w:val="1"/>
          <w:color w:val="023C5B"/>
        </w:rPr>
        <w:t xml:space="preserve"> </w:t>
      </w:r>
      <w:r>
        <w:rPr>
          <w:rFonts w:ascii="Arial" w:cs="Arial" w:eastAsia="Arial" w:hAnsi="Arial"/>
          <w:sz w:val="18"/>
          <w:szCs w:val="18"/>
          <w:color w:val="000000"/>
        </w:rPr>
        <w:t>across lines of business, products, and digital experiences; and earned external accolades for our products and customer service.</w:t>
      </w:r>
    </w:p>
    <w:p>
      <w:pPr>
        <w:spacing w:after="0" w:line="206" w:lineRule="exact"/>
        <w:rPr>
          <w:rFonts w:ascii="MS PGothic" w:cs="MS PGothic" w:eastAsia="MS PGothic" w:hAnsi="MS PGothic"/>
          <w:sz w:val="29"/>
          <w:szCs w:val="29"/>
          <w:color w:val="023C5B"/>
          <w:vertAlign w:val="superscript"/>
        </w:rPr>
      </w:pPr>
    </w:p>
    <w:p>
      <w:pPr>
        <w:jc w:val="both"/>
        <w:ind w:left="1020" w:hanging="425"/>
        <w:spacing w:after="0" w:line="217" w:lineRule="auto"/>
        <w:tabs>
          <w:tab w:leader="none" w:pos="1020" w:val="left"/>
        </w:tabs>
        <w:numPr>
          <w:ilvl w:val="0"/>
          <w:numId w:val="11"/>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Continued Investments in Our Long-term Future. </w:t>
      </w:r>
      <w:r>
        <w:rPr>
          <w:rFonts w:ascii="Arial" w:cs="Arial" w:eastAsia="Arial" w:hAnsi="Arial"/>
          <w:sz w:val="18"/>
          <w:szCs w:val="18"/>
          <w:color w:val="000000"/>
        </w:rPr>
        <w:t>The Company invested in: (i) marketing and product innovation to support</w:t>
      </w:r>
      <w:r>
        <w:rPr>
          <w:rFonts w:ascii="Arial" w:cs="Arial" w:eastAsia="Arial" w:hAnsi="Arial"/>
          <w:sz w:val="18"/>
          <w:szCs w:val="18"/>
          <w:b w:val="1"/>
          <w:bCs w:val="1"/>
          <w:color w:val="023C5B"/>
        </w:rPr>
        <w:t xml:space="preserve"> </w:t>
      </w:r>
      <w:r>
        <w:rPr>
          <w:rFonts w:ascii="Arial" w:cs="Arial" w:eastAsia="Arial" w:hAnsi="Arial"/>
          <w:sz w:val="18"/>
          <w:szCs w:val="18"/>
          <w:color w:val="000000"/>
        </w:rPr>
        <w:t>growth; (ii) technology, data, and modern infrastructure to support innovation; and (iii) talent and tools to deliver top tier software development, rigorous risk management, and artificial intelligence (“AI”) capabilities.</w:t>
      </w:r>
    </w:p>
    <w:p>
      <w:pPr>
        <w:spacing w:after="0" w:line="179"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See “Executive Summary” beginning on page 55 and “Company Performance Assessment” beginning on page 74 for more information regarding the Company’s 2025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7645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1" w:lineRule="exact"/>
        <w:rPr>
          <w:sz w:val="20"/>
          <w:szCs w:val="20"/>
          <w:color w:val="auto"/>
        </w:rPr>
      </w:pPr>
    </w:p>
    <w:p>
      <w:pPr>
        <w:jc w:val="both"/>
        <w:ind w:left="600" w:hanging="433"/>
        <w:spacing w:after="0" w:line="253" w:lineRule="auto"/>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Committee considers these metrics to be key financial performance measures in its assessment of the Company’s performance, including certain non-GAAP measures. We believe our non-GAAP measures help investors and other users of our financial information understand the effect of adjusting items on our selected reported results. These measures may not be comparable to similarly titled measures reported by other companies. See Appendix A for our definition and reconciliation of these non-GAAP measures to the applicable amounts measured in accordance with GAAP.</w:t>
      </w:r>
    </w:p>
    <w:p>
      <w:pPr>
        <w:spacing w:after="0" w:line="43" w:lineRule="exact"/>
        <w:rPr>
          <w:rFonts w:ascii="Arial" w:cs="Arial" w:eastAsia="Arial" w:hAnsi="Arial"/>
          <w:sz w:val="14"/>
          <w:szCs w:val="14"/>
          <w:color w:val="auto"/>
        </w:rPr>
      </w:pPr>
    </w:p>
    <w:p>
      <w:pPr>
        <w:ind w:left="600" w:hanging="433"/>
        <w:spacing w:after="0"/>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interest margin is calculated based on net interest income for the period divided by average interest-earning assets for the period.</w:t>
      </w:r>
    </w:p>
    <w:p>
      <w:pPr>
        <w:spacing w:after="0" w:line="79" w:lineRule="exact"/>
        <w:rPr>
          <w:rFonts w:ascii="Arial" w:cs="Arial" w:eastAsia="Arial" w:hAnsi="Arial"/>
          <w:sz w:val="14"/>
          <w:szCs w:val="14"/>
          <w:color w:val="auto"/>
        </w:rPr>
      </w:pPr>
    </w:p>
    <w:p>
      <w:pPr>
        <w:jc w:val="both"/>
        <w:ind w:left="600" w:hanging="433"/>
        <w:spacing w:after="0" w:line="260" w:lineRule="auto"/>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Operating efficiency ratio is calculated based on operating expense for the period divided by total net revenue for the period, and reflects as-reported results in accordance with GAAP. Efficiency ratio is calculated based on total non-interest expense for the period divided by total net revenue for the period, and reflects as-reported results in accordance with GAAP.</w:t>
      </w:r>
    </w:p>
    <w:p>
      <w:pPr>
        <w:spacing w:after="0" w:line="38"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Adjusted diluted EPS, adjusted operating efficiency ratio, and adjusted efficiency ratio are non-GAAP measures. See Appendix A for our reconciliation of these non-GAAP measures to the applicable amounts measured in accordance with GAAP.</w:t>
      </w:r>
    </w:p>
    <w:p>
      <w:pPr>
        <w:spacing w:after="0" w:line="24" w:lineRule="exact"/>
        <w:rPr>
          <w:rFonts w:ascii="Arial" w:cs="Arial" w:eastAsia="Arial" w:hAnsi="Arial"/>
          <w:sz w:val="14"/>
          <w:szCs w:val="14"/>
          <w:color w:val="auto"/>
        </w:rPr>
      </w:pPr>
    </w:p>
    <w:p>
      <w:pPr>
        <w:jc w:val="both"/>
        <w:ind w:left="600" w:hanging="433"/>
        <w:spacing w:after="0" w:line="245" w:lineRule="auto"/>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ROTCE and adjusted ROTCE are non-GAAP measures. ROTCE is calculated based on net income (loss) available to common stockholders less income (loss) from discontinued operations, net of tax, for the period, divided by average tangible common equity. Adjusted ROTCE is calculated based on adjusted net income available to common stockholders less discontinued operations (non-GAAP) (as disclosed in Appendix A) divided by average tangible common equity. Average tangible common equity is not adjusted. We consider these metrics to be part of the key financial performance measures that management uses when assessing returns and capital management over time. While these non-GAAP measures are widely used by investors, analysts, and bank regulatory agencies to assess the operating performance and capital position of financial services companies, they may not be comparable to similarly-titled measures reported by other companies. See Appendix A for our reconciliation of non-GAAP measures to the applicable amounts measured in accordance with GAAP. Adjusted ROTCE is not the same as PSU Adjusted ROTCE referenced within this proxy statement.</w:t>
      </w:r>
    </w:p>
    <w:p>
      <w:pPr>
        <w:spacing w:after="0" w:line="49" w:lineRule="exact"/>
        <w:rPr>
          <w:rFonts w:ascii="Arial" w:cs="Arial" w:eastAsia="Arial" w:hAnsi="Arial"/>
          <w:sz w:val="14"/>
          <w:szCs w:val="14"/>
          <w:color w:val="auto"/>
        </w:rPr>
      </w:pPr>
    </w:p>
    <w:p>
      <w:pPr>
        <w:ind w:left="600" w:hanging="433"/>
        <w:spacing w:after="0"/>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Common equity Tier 1 capital ratio is a regulatory capital measure calculated based on common equity Tier 1 capital divided by risk-weighted assets.</w:t>
      </w:r>
    </w:p>
    <w:p>
      <w:pPr>
        <w:spacing w:after="0" w:line="79"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LCR is a regulatory liquidity measure calculated by dividing the amount of an institution’s high quality, unencumbered liquid assets by its estimated net cash outflow, as defined and calculated in accordance with the LCR Rule.</w:t>
      </w:r>
    </w:p>
    <w:p>
      <w:pPr>
        <w:spacing w:after="0" w:line="82" w:lineRule="exact"/>
        <w:rPr>
          <w:sz w:val="20"/>
          <w:szCs w:val="20"/>
          <w:color w:val="auto"/>
        </w:rPr>
      </w:pPr>
    </w:p>
    <w:p>
      <w:pPr>
        <w:ind w:left="5700"/>
        <w:spacing w:after="0"/>
        <w:tabs>
          <w:tab w:leader="none" w:pos="8800" w:val="left"/>
          <w:tab w:leader="none" w:pos="108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-97155</wp:posOffset>
            </wp:positionV>
            <wp:extent cx="8255" cy="178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8" w:lineRule="exact"/>
        <w:rPr>
          <w:sz w:val="20"/>
          <w:szCs w:val="20"/>
          <w:color w:val="auto"/>
        </w:rPr>
      </w:pPr>
    </w:p>
    <w:p>
      <w:pPr>
        <w:jc w:val="both"/>
        <w:ind w:left="600" w:hanging="433"/>
        <w:spacing w:after="0" w:line="249" w:lineRule="auto"/>
        <w:tabs>
          <w:tab w:leader="none" w:pos="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Tangible book value per common share is a non-GAAP measure calculated based on tangible common equity divided by common shares outstanding. We consider this metric to be part of the key financial performance measures that management uses when assessing returns and capital management over time. While this non-GAAP measure is widely used by investors, analysts and bank regulatory agencies to assess the operating performance and capital position of financial services companies, it may not be comparable to similarly-titled measures reported by other companies. See Appendix A for our reconciliation of this non-GAAP measure to the applicable amounts measured in accordance with GAAP.</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Highlights of Our 2025 Compensation Programs</w:t>
      </w:r>
    </w:p>
    <w:p>
      <w:pPr>
        <w:spacing w:after="0" w:line="22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We believe that our NEO compensation programs balance the achievement of strong and sustainable financial results with appropriate risk-taking, reward NEOs for their leadership and impact, and promote our overall compensation objectives. Our compensation programs are structured to encourage our executives to deliver financial and operating results over the short term while making decisions and pursuing investments that create sustained value for our stockholders over the long term.</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Key features of our 2025 compensation programs include:</w:t>
      </w:r>
    </w:p>
    <w:p>
      <w:pPr>
        <w:spacing w:after="0" w:line="190" w:lineRule="exact"/>
        <w:rPr>
          <w:sz w:val="20"/>
          <w:szCs w:val="20"/>
          <w:color w:val="auto"/>
        </w:rPr>
      </w:pPr>
    </w:p>
    <w:p>
      <w:pPr>
        <w:ind w:left="1020" w:hanging="425"/>
        <w:spacing w:after="0"/>
        <w:tabs>
          <w:tab w:leader="none" w:pos="1020" w:val="left"/>
        </w:tabs>
        <w:numPr>
          <w:ilvl w:val="0"/>
          <w:numId w:val="1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No CEO Cash Salary. </w:t>
      </w:r>
      <w:r>
        <w:rPr>
          <w:rFonts w:ascii="Arial" w:cs="Arial" w:eastAsia="Arial" w:hAnsi="Arial"/>
          <w:sz w:val="18"/>
          <w:szCs w:val="18"/>
          <w:color w:val="000000"/>
        </w:rPr>
        <w:t>Our CEO does not receive a cash salary.</w:t>
      </w:r>
    </w:p>
    <w:p>
      <w:pPr>
        <w:spacing w:after="0" w:line="169" w:lineRule="exact"/>
        <w:rPr>
          <w:rFonts w:ascii="MS PGothic" w:cs="MS PGothic" w:eastAsia="MS PGothic" w:hAnsi="MS PGothic"/>
          <w:sz w:val="29"/>
          <w:szCs w:val="29"/>
          <w:color w:val="023C5B"/>
          <w:vertAlign w:val="superscript"/>
        </w:rPr>
      </w:pPr>
    </w:p>
    <w:p>
      <w:pPr>
        <w:ind w:left="1020" w:hanging="425"/>
        <w:spacing w:after="0" w:line="224" w:lineRule="auto"/>
        <w:tabs>
          <w:tab w:leader="none" w:pos="1020" w:val="left"/>
        </w:tabs>
        <w:numPr>
          <w:ilvl w:val="0"/>
          <w:numId w:val="1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Fully-Deferred CEO Pay. </w:t>
      </w:r>
      <w:r>
        <w:rPr>
          <w:rFonts w:ascii="Arial" w:cs="Arial" w:eastAsia="Arial" w:hAnsi="Arial"/>
          <w:sz w:val="18"/>
          <w:szCs w:val="18"/>
          <w:color w:val="000000"/>
        </w:rPr>
        <w:t>100% of CEO compensation is deferred for at least three years.</w:t>
      </w:r>
    </w:p>
    <w:p>
      <w:pPr>
        <w:spacing w:after="0" w:line="196" w:lineRule="exact"/>
        <w:rPr>
          <w:rFonts w:ascii="MS PGothic" w:cs="MS PGothic" w:eastAsia="MS PGothic" w:hAnsi="MS PGothic"/>
          <w:sz w:val="29"/>
          <w:szCs w:val="29"/>
          <w:color w:val="023C5B"/>
          <w:vertAlign w:val="superscript"/>
        </w:rPr>
      </w:pPr>
    </w:p>
    <w:p>
      <w:pPr>
        <w:jc w:val="both"/>
        <w:ind w:left="1020" w:hanging="425"/>
        <w:spacing w:after="0" w:line="222" w:lineRule="auto"/>
        <w:tabs>
          <w:tab w:leader="none" w:pos="1020" w:val="left"/>
        </w:tabs>
        <w:numPr>
          <w:ilvl w:val="0"/>
          <w:numId w:val="1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The Payout of a Majority of CEO Year-End Incentive Compensation Determined by Formula. </w:t>
      </w:r>
      <w:r>
        <w:rPr>
          <w:rFonts w:ascii="Arial" w:cs="Arial" w:eastAsia="Arial" w:hAnsi="Arial"/>
          <w:sz w:val="18"/>
          <w:szCs w:val="18"/>
          <w:color w:val="000000"/>
        </w:rPr>
        <w:t>A majority of our CEO’s</w:t>
      </w:r>
      <w:r>
        <w:rPr>
          <w:rFonts w:ascii="Arial" w:cs="Arial" w:eastAsia="Arial" w:hAnsi="Arial"/>
          <w:sz w:val="18"/>
          <w:szCs w:val="18"/>
          <w:b w:val="1"/>
          <w:bCs w:val="1"/>
          <w:color w:val="023C5B"/>
        </w:rPr>
        <w:t xml:space="preserve"> </w:t>
      </w:r>
      <w:r>
        <w:rPr>
          <w:rFonts w:ascii="Arial" w:cs="Arial" w:eastAsia="Arial" w:hAnsi="Arial"/>
          <w:sz w:val="18"/>
          <w:szCs w:val="18"/>
          <w:color w:val="000000"/>
        </w:rPr>
        <w:t>year-end incentive compensation for the 2025 performance year was awarded in the form of performance share awards that vest based entirely on the Company’s three-year performance on an absolute basis and/or relative to the Company’s peers (“Performance Share Peers”), which consists of the KBW Bank Index, excluding non-traditional banks that do not focus on lending to consumers and businesses.</w:t>
      </w:r>
    </w:p>
    <w:p>
      <w:pPr>
        <w:spacing w:after="0" w:line="209" w:lineRule="exact"/>
        <w:rPr>
          <w:rFonts w:ascii="MS PGothic" w:cs="MS PGothic" w:eastAsia="MS PGothic" w:hAnsi="MS PGothic"/>
          <w:sz w:val="29"/>
          <w:szCs w:val="29"/>
          <w:color w:val="023C5B"/>
          <w:vertAlign w:val="superscript"/>
        </w:rPr>
      </w:pPr>
    </w:p>
    <w:p>
      <w:pPr>
        <w:jc w:val="both"/>
        <w:ind w:left="1020" w:hanging="425"/>
        <w:spacing w:after="0" w:line="217" w:lineRule="auto"/>
        <w:tabs>
          <w:tab w:leader="none" w:pos="1020" w:val="left"/>
        </w:tabs>
        <w:numPr>
          <w:ilvl w:val="0"/>
          <w:numId w:val="1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A Portion of CEO 2025 Performance Share Awards Linked to TSR. </w:t>
      </w:r>
      <w:r>
        <w:rPr>
          <w:rFonts w:ascii="Arial" w:cs="Arial" w:eastAsia="Arial" w:hAnsi="Arial"/>
          <w:sz w:val="18"/>
          <w:szCs w:val="18"/>
          <w:color w:val="000000"/>
        </w:rPr>
        <w:t>A portion of our CEO year-end incentive performance</w:t>
      </w:r>
      <w:r>
        <w:rPr>
          <w:rFonts w:ascii="Arial" w:cs="Arial" w:eastAsia="Arial" w:hAnsi="Arial"/>
          <w:sz w:val="18"/>
          <w:szCs w:val="18"/>
          <w:b w:val="1"/>
          <w:bCs w:val="1"/>
          <w:color w:val="023C5B"/>
        </w:rPr>
        <w:t xml:space="preserve"> </w:t>
      </w:r>
      <w:r>
        <w:rPr>
          <w:rFonts w:ascii="Arial" w:cs="Arial" w:eastAsia="Arial" w:hAnsi="Arial"/>
          <w:sz w:val="18"/>
          <w:szCs w:val="18"/>
          <w:color w:val="000000"/>
        </w:rPr>
        <w:t>share awards will vest based entirely on the Company’s TSR performance relative to the Performance Share Peers over a three-year period.</w:t>
      </w:r>
    </w:p>
    <w:p>
      <w:pPr>
        <w:spacing w:after="0" w:line="206" w:lineRule="exact"/>
        <w:rPr>
          <w:rFonts w:ascii="MS PGothic" w:cs="MS PGothic" w:eastAsia="MS PGothic" w:hAnsi="MS PGothic"/>
          <w:sz w:val="29"/>
          <w:szCs w:val="29"/>
          <w:color w:val="023C5B"/>
          <w:vertAlign w:val="superscript"/>
        </w:rPr>
      </w:pPr>
    </w:p>
    <w:p>
      <w:pPr>
        <w:jc w:val="both"/>
        <w:ind w:left="1020" w:hanging="425"/>
        <w:spacing w:after="0" w:line="217" w:lineRule="auto"/>
        <w:tabs>
          <w:tab w:leader="none" w:pos="1020" w:val="left"/>
        </w:tabs>
        <w:numPr>
          <w:ilvl w:val="0"/>
          <w:numId w:val="1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Awards Based on Company and Individual Performance. </w:t>
      </w:r>
      <w:r>
        <w:rPr>
          <w:rFonts w:ascii="Arial" w:cs="Arial" w:eastAsia="Arial" w:hAnsi="Arial"/>
          <w:sz w:val="18"/>
          <w:szCs w:val="18"/>
          <w:color w:val="000000"/>
        </w:rPr>
        <w:t>All NEOs receive incentive awards based on Company and/or</w:t>
      </w:r>
      <w:r>
        <w:rPr>
          <w:rFonts w:ascii="Arial" w:cs="Arial" w:eastAsia="Arial" w:hAnsi="Arial"/>
          <w:sz w:val="18"/>
          <w:szCs w:val="18"/>
          <w:b w:val="1"/>
          <w:bCs w:val="1"/>
          <w:color w:val="023C5B"/>
        </w:rPr>
        <w:t xml:space="preserve"> </w:t>
      </w:r>
      <w:r>
        <w:rPr>
          <w:rFonts w:ascii="Arial" w:cs="Arial" w:eastAsia="Arial" w:hAnsi="Arial"/>
          <w:sz w:val="18"/>
          <w:szCs w:val="18"/>
          <w:color w:val="000000"/>
        </w:rPr>
        <w:t>individual performance. For 2025, 100% of CEO compensation and approximately 83% of the compensation for the other NEOs was based on Company and/or individual performance.</w:t>
      </w:r>
    </w:p>
    <w:p>
      <w:pPr>
        <w:spacing w:after="0" w:line="206" w:lineRule="exact"/>
        <w:rPr>
          <w:rFonts w:ascii="MS PGothic" w:cs="MS PGothic" w:eastAsia="MS PGothic" w:hAnsi="MS PGothic"/>
          <w:sz w:val="29"/>
          <w:szCs w:val="29"/>
          <w:color w:val="023C5B"/>
          <w:vertAlign w:val="superscript"/>
        </w:rPr>
      </w:pPr>
    </w:p>
    <w:p>
      <w:pPr>
        <w:jc w:val="both"/>
        <w:ind w:left="1020" w:hanging="425"/>
        <w:spacing w:after="0" w:line="224" w:lineRule="auto"/>
        <w:tabs>
          <w:tab w:leader="none" w:pos="1020" w:val="left"/>
        </w:tabs>
        <w:numPr>
          <w:ilvl w:val="0"/>
          <w:numId w:val="1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The Majority of CEO Compensation and Half of All Other NEO Compensation is Equity-Based and Determined After Performance Year-End. </w:t>
      </w:r>
      <w:r>
        <w:rPr>
          <w:rFonts w:ascii="Arial" w:cs="Arial" w:eastAsia="Arial" w:hAnsi="Arial"/>
          <w:sz w:val="18"/>
          <w:szCs w:val="18"/>
          <w:color w:val="000000"/>
        </w:rPr>
        <w:t>83% of our CEO’s and approximately 50% of all other NEOs’ total compensation for the 2025</w:t>
      </w:r>
      <w:r>
        <w:rPr>
          <w:rFonts w:ascii="Arial" w:cs="Arial" w:eastAsia="Arial" w:hAnsi="Arial"/>
          <w:sz w:val="18"/>
          <w:szCs w:val="18"/>
          <w:b w:val="1"/>
          <w:bCs w:val="1"/>
          <w:color w:val="023C5B"/>
        </w:rPr>
        <w:t xml:space="preserve"> </w:t>
      </w:r>
      <w:r>
        <w:rPr>
          <w:rFonts w:ascii="Arial" w:cs="Arial" w:eastAsia="Arial" w:hAnsi="Arial"/>
          <w:sz w:val="18"/>
          <w:szCs w:val="18"/>
          <w:color w:val="000000"/>
        </w:rPr>
        <w:t>performance year was equity-based to align with stockholder interests. In addition, 94% of CEO compensation and the majority of all other NEO compensation was determined after the conclusion of the performance year, allowing the Board to consider the actions and results of the executive management team and the full year of Company and individual performance when awarding year-end incentive awards.</w:t>
      </w:r>
    </w:p>
    <w:p>
      <w:pPr>
        <w:spacing w:after="0" w:line="207" w:lineRule="exact"/>
        <w:rPr>
          <w:rFonts w:ascii="MS PGothic" w:cs="MS PGothic" w:eastAsia="MS PGothic" w:hAnsi="MS PGothic"/>
          <w:sz w:val="29"/>
          <w:szCs w:val="29"/>
          <w:color w:val="023C5B"/>
          <w:vertAlign w:val="superscript"/>
        </w:rPr>
      </w:pPr>
    </w:p>
    <w:p>
      <w:pPr>
        <w:jc w:val="both"/>
        <w:ind w:left="1020" w:hanging="425"/>
        <w:spacing w:after="0" w:line="222" w:lineRule="auto"/>
        <w:tabs>
          <w:tab w:leader="none" w:pos="1020" w:val="left"/>
        </w:tabs>
        <w:numPr>
          <w:ilvl w:val="0"/>
          <w:numId w:val="1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All Equity and Equity-Based Awards Contain Performance and Recovery Provisions. </w:t>
      </w:r>
      <w:r>
        <w:rPr>
          <w:rFonts w:ascii="Arial" w:cs="Arial" w:eastAsia="Arial" w:hAnsi="Arial"/>
          <w:sz w:val="18"/>
          <w:szCs w:val="18"/>
          <w:color w:val="000000"/>
        </w:rPr>
        <w:t>All equity awards contain</w:t>
      </w:r>
      <w:r>
        <w:rPr>
          <w:rFonts w:ascii="Arial" w:cs="Arial" w:eastAsia="Arial" w:hAnsi="Arial"/>
          <w:sz w:val="18"/>
          <w:szCs w:val="18"/>
          <w:b w:val="1"/>
          <w:bCs w:val="1"/>
          <w:color w:val="023C5B"/>
        </w:rPr>
        <w:t xml:space="preserve"> </w:t>
      </w:r>
      <w:r>
        <w:rPr>
          <w:rFonts w:ascii="Arial" w:cs="Arial" w:eastAsia="Arial" w:hAnsi="Arial"/>
          <w:sz w:val="18"/>
          <w:szCs w:val="18"/>
          <w:color w:val="000000"/>
        </w:rPr>
        <w:t>performance and recovery provisions that are designed to further enhance alignment between pay and performance, balance appropriate risk-taking, and align with the best interests of stockholders. All incentive-based compensation is subject to the Capital One Financial Corporation Recoupment Policy (“Clawback Policy”). See “Additional Performance Conditions and Recovery Provisions” beginning on page 88 for more information.</w:t>
      </w:r>
    </w:p>
    <w:p>
      <w:pPr>
        <w:spacing w:after="0" w:line="108" w:lineRule="exact"/>
        <w:rPr>
          <w:sz w:val="20"/>
          <w:szCs w:val="20"/>
          <w:color w:val="auto"/>
        </w:rPr>
      </w:pPr>
    </w:p>
    <w:p>
      <w:pPr>
        <w:ind w:left="180"/>
        <w:spacing w:after="0"/>
        <w:tabs>
          <w:tab w:leader="none" w:pos="500" w:val="left"/>
          <w:tab w:leader="none" w:pos="36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2272030</wp:posOffset>
            </wp:positionH>
            <wp:positionV relativeFrom="paragraph">
              <wp:posOffset>-113665</wp:posOffset>
            </wp:positionV>
            <wp:extent cx="8255" cy="178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2025 Compensation Decisions</w:t>
      </w:r>
    </w:p>
    <w:p>
      <w:pPr>
        <w:spacing w:after="0" w:line="221"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color w:val="auto"/>
        </w:rPr>
        <w:t>All references in this Proxy Statement to our compensation “programs” and to “performance year” compensation refer to our regular recurring annual compensation programs and exclude the Discover-Related Special Awards described below.</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2025 CEO Performance Year Compensation</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CEO’s compensation for the 2025 performance year was composed of an equity award designed to provide the CEO with an incentive to focus on long-term performance and the opportunity for a year-end incentive award based on the Committee’s evaluation of the Company’s performance and the CEO’s contributions to that performance. Mr. Fairbank’s total 2025 performance year compensation was approximately $40 million and consisted of:</w:t>
      </w:r>
    </w:p>
    <w:p>
      <w:pPr>
        <w:spacing w:after="0" w:line="205" w:lineRule="exact"/>
        <w:rPr>
          <w:sz w:val="20"/>
          <w:szCs w:val="20"/>
          <w:color w:val="auto"/>
        </w:rPr>
      </w:pPr>
    </w:p>
    <w:p>
      <w:pPr>
        <w:jc w:val="both"/>
        <w:ind w:left="1020" w:hanging="425"/>
        <w:spacing w:after="0" w:line="217" w:lineRule="auto"/>
        <w:tabs>
          <w:tab w:leader="none" w:pos="1020" w:val="left"/>
        </w:tabs>
        <w:numPr>
          <w:ilvl w:val="0"/>
          <w:numId w:val="15"/>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Restricted Stock Units (“RSUs”) </w:t>
      </w:r>
      <w:r>
        <w:rPr>
          <w:rFonts w:ascii="Arial" w:cs="Arial" w:eastAsia="Arial" w:hAnsi="Arial"/>
          <w:sz w:val="18"/>
          <w:szCs w:val="18"/>
          <w:color w:val="000000"/>
        </w:rPr>
        <w:t>granted in February 2025, which had a total grant date value of approximately $2.5 million,</w:t>
      </w:r>
      <w:r>
        <w:rPr>
          <w:rFonts w:ascii="Arial" w:cs="Arial" w:eastAsia="Arial" w:hAnsi="Arial"/>
          <w:sz w:val="18"/>
          <w:szCs w:val="18"/>
          <w:b w:val="1"/>
          <w:bCs w:val="1"/>
          <w:color w:val="023C5B"/>
        </w:rPr>
        <w:t xml:space="preserve"> </w:t>
      </w:r>
      <w:r>
        <w:rPr>
          <w:rFonts w:ascii="Arial" w:cs="Arial" w:eastAsia="Arial" w:hAnsi="Arial"/>
          <w:sz w:val="18"/>
          <w:szCs w:val="18"/>
          <w:color w:val="000000"/>
        </w:rPr>
        <w:t>totaling 12,493 RSUs. The RSUs will vest in full on February 15, 2028, settle in cash based on the Company’s average stock price over the 15 trading days preceding the vesting date, and are subject to performance-based vesting provisions.</w:t>
      </w:r>
    </w:p>
    <w:p>
      <w:pPr>
        <w:spacing w:after="0" w:line="206"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15"/>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Year-End Incentive Award </w:t>
      </w:r>
      <w:r>
        <w:rPr>
          <w:rFonts w:ascii="Arial" w:cs="Arial" w:eastAsia="Arial" w:hAnsi="Arial"/>
          <w:sz w:val="18"/>
          <w:szCs w:val="18"/>
          <w:color w:val="000000"/>
        </w:rPr>
        <w:t>totaling approximately $37.5 million granted in February 2026 in recognition of the Company’s</w:t>
      </w:r>
      <w:r>
        <w:rPr>
          <w:rFonts w:ascii="Arial" w:cs="Arial" w:eastAsia="Arial" w:hAnsi="Arial"/>
          <w:sz w:val="18"/>
          <w:szCs w:val="18"/>
          <w:b w:val="1"/>
          <w:bCs w:val="1"/>
          <w:color w:val="023C5B"/>
        </w:rPr>
        <w:t xml:space="preserve"> </w:t>
      </w:r>
      <w:r>
        <w:rPr>
          <w:rFonts w:ascii="Arial" w:cs="Arial" w:eastAsia="Arial" w:hAnsi="Arial"/>
          <w:sz w:val="18"/>
          <w:szCs w:val="18"/>
          <w:color w:val="000000"/>
        </w:rPr>
        <w:t>performance and the CEO’s contribution to that performance in 2025 and consisting of:</w:t>
      </w:r>
    </w:p>
    <w:p>
      <w:pPr>
        <w:spacing w:after="0" w:line="207" w:lineRule="exact"/>
        <w:rPr>
          <w:rFonts w:ascii="MS PGothic" w:cs="MS PGothic" w:eastAsia="MS PGothic" w:hAnsi="MS PGothic"/>
          <w:sz w:val="29"/>
          <w:szCs w:val="29"/>
          <w:color w:val="023C5B"/>
          <w:vertAlign w:val="superscript"/>
        </w:rPr>
      </w:pPr>
    </w:p>
    <w:p>
      <w:pPr>
        <w:jc w:val="both"/>
        <w:ind w:left="1460" w:hanging="423"/>
        <w:spacing w:after="0" w:line="222" w:lineRule="auto"/>
        <w:tabs>
          <w:tab w:leader="none" w:pos="1460" w:val="left"/>
        </w:tabs>
        <w:numPr>
          <w:ilvl w:val="1"/>
          <w:numId w:val="15"/>
        </w:numPr>
        <w:rPr>
          <w:rFonts w:ascii="MS PGothic" w:cs="MS PGothic" w:eastAsia="MS PGothic" w:hAnsi="MS PGothic"/>
          <w:sz w:val="29"/>
          <w:szCs w:val="29"/>
          <w:color w:val="023C5B"/>
          <w:vertAlign w:val="superscript"/>
        </w:rPr>
      </w:pPr>
      <w:r>
        <w:rPr>
          <w:rFonts w:ascii="Arial" w:cs="Arial" w:eastAsia="Arial" w:hAnsi="Arial"/>
          <w:sz w:val="18"/>
          <w:szCs w:val="18"/>
          <w:b w:val="1"/>
          <w:bCs w:val="1"/>
          <w:i w:val="1"/>
          <w:iCs w:val="1"/>
          <w:color w:val="023C5B"/>
        </w:rPr>
        <w:t>Performance Shares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Performance share awards with an aggregate value of approximately $24.8 million, for which the</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CEO may receive from 0% to 150% of a total target number of 111,043 shares of the Company’s common stock based on the Company’s financial performance (with respect to 98,953 shares, or approximately $22.1 million of the awards) and TSR (with respect to 12,090 shares, or approximately $2.7 million of the awards) over a three-year period from January 1, 2026 through December 31, 2028.</w:t>
      </w:r>
    </w:p>
    <w:p>
      <w:pPr>
        <w:spacing w:after="0" w:line="209" w:lineRule="exact"/>
        <w:rPr>
          <w:rFonts w:ascii="MS PGothic" w:cs="MS PGothic" w:eastAsia="MS PGothic" w:hAnsi="MS PGothic"/>
          <w:sz w:val="29"/>
          <w:szCs w:val="29"/>
          <w:color w:val="023C5B"/>
          <w:vertAlign w:val="superscript"/>
        </w:rPr>
      </w:pPr>
    </w:p>
    <w:p>
      <w:pPr>
        <w:jc w:val="both"/>
        <w:ind w:left="1460" w:hanging="423"/>
        <w:spacing w:after="0" w:line="217" w:lineRule="auto"/>
        <w:tabs>
          <w:tab w:leader="none" w:pos="1460" w:val="left"/>
        </w:tabs>
        <w:numPr>
          <w:ilvl w:val="1"/>
          <w:numId w:val="15"/>
        </w:numPr>
        <w:rPr>
          <w:rFonts w:ascii="MS PGothic" w:cs="MS PGothic" w:eastAsia="MS PGothic" w:hAnsi="MS PGothic"/>
          <w:sz w:val="29"/>
          <w:szCs w:val="29"/>
          <w:color w:val="023C5B"/>
          <w:vertAlign w:val="superscript"/>
        </w:rPr>
      </w:pPr>
      <w:r>
        <w:rPr>
          <w:rFonts w:ascii="Arial" w:cs="Arial" w:eastAsia="Arial" w:hAnsi="Arial"/>
          <w:sz w:val="18"/>
          <w:szCs w:val="18"/>
          <w:b w:val="1"/>
          <w:bCs w:val="1"/>
          <w:i w:val="1"/>
          <w:iCs w:val="1"/>
          <w:color w:val="023C5B"/>
        </w:rPr>
        <w:t>RSUs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26,865 cash-settled RSUs (“Year-End Incentive RSUs”) valued at $6.0 million, which vest in full on February 15,</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2029, settle in cash based on the Company’s average stock price over the 15 trading days preceding the vesting date, and are subject to performance-based vesting provisions.</w:t>
      </w:r>
    </w:p>
    <w:p>
      <w:pPr>
        <w:spacing w:after="0" w:line="206" w:lineRule="exact"/>
        <w:rPr>
          <w:rFonts w:ascii="MS PGothic" w:cs="MS PGothic" w:eastAsia="MS PGothic" w:hAnsi="MS PGothic"/>
          <w:sz w:val="29"/>
          <w:szCs w:val="29"/>
          <w:color w:val="023C5B"/>
          <w:vertAlign w:val="superscript"/>
        </w:rPr>
      </w:pPr>
    </w:p>
    <w:p>
      <w:pPr>
        <w:jc w:val="both"/>
        <w:ind w:left="1460" w:hanging="423"/>
        <w:spacing w:after="0" w:line="217" w:lineRule="auto"/>
        <w:tabs>
          <w:tab w:leader="none" w:pos="1460" w:val="left"/>
        </w:tabs>
        <w:numPr>
          <w:ilvl w:val="1"/>
          <w:numId w:val="15"/>
        </w:numPr>
        <w:rPr>
          <w:rFonts w:ascii="MS PGothic" w:cs="MS PGothic" w:eastAsia="MS PGothic" w:hAnsi="MS PGothic"/>
          <w:sz w:val="29"/>
          <w:szCs w:val="29"/>
          <w:color w:val="023C5B"/>
          <w:vertAlign w:val="superscript"/>
        </w:rPr>
      </w:pPr>
      <w:r>
        <w:rPr>
          <w:rFonts w:ascii="Arial" w:cs="Arial" w:eastAsia="Arial" w:hAnsi="Arial"/>
          <w:sz w:val="18"/>
          <w:szCs w:val="18"/>
          <w:b w:val="1"/>
          <w:bCs w:val="1"/>
          <w:i w:val="1"/>
          <w:iCs w:val="1"/>
          <w:color w:val="023C5B"/>
        </w:rPr>
        <w:t>Deferred Cash Bonus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A deferred cash bonus of $6.7 million, which is mandatorily deferred for three years into the</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Company’s Voluntary Non-Qualified Deferred Compensation Plan (“VNQDCP”) and will pay out in the first calendar quarter of 2029.</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chart below shows Mr. Fairbank’s actual 2025 performance year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160655</wp:posOffset>
            </wp:positionV>
            <wp:extent cx="3125470" cy="1477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25470" cy="1477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0" w:hanging="433"/>
        <w:spacing w:after="0"/>
        <w:tabs>
          <w:tab w:leader="none" w:pos="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Does not include the Discover-Related Special Award.</w:t>
      </w:r>
    </w:p>
    <w:p>
      <w:pPr>
        <w:spacing w:after="0" w:line="137" w:lineRule="exact"/>
        <w:rPr>
          <w:sz w:val="20"/>
          <w:szCs w:val="20"/>
          <w:color w:val="auto"/>
        </w:rPr>
      </w:pPr>
    </w:p>
    <w:p>
      <w:pPr>
        <w:ind w:left="5700"/>
        <w:spacing w:after="0"/>
        <w:tabs>
          <w:tab w:leader="none" w:pos="8800" w:val="left"/>
          <w:tab w:leader="none" w:pos="108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-97155</wp:posOffset>
            </wp:positionV>
            <wp:extent cx="8255" cy="178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table below shows Mr. Fairbank’s compensation awards as they are attributable to the performance years indicated. The table shows how the Committee views compensation actions and to which year the compensation awards relate. This table differs substantially from the Summary Compensation Table and Pay Versus Performance Table required for this proxy statement beginning on page 98 and page 116, respectively, and is therefore not a substitute for the information required in those tables. See “Chief Executive Officer Compensation” beginning on page 67 for a description of the compensation paid to our CEO and additional information regarding Mr. Fairbank’s 2025 performance year compensation.</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280" w:type="dxa"/>
            <w:vAlign w:val="bottom"/>
          </w:tcPr>
          <w:p>
            <w:pPr>
              <w:spacing w:after="0"/>
              <w:rPr>
                <w:sz w:val="22"/>
                <w:szCs w:val="22"/>
                <w:color w:val="auto"/>
              </w:rPr>
            </w:pPr>
          </w:p>
        </w:tc>
        <w:tc>
          <w:tcPr>
            <w:tcW w:w="940" w:type="dxa"/>
            <w:vAlign w:val="bottom"/>
            <w:shd w:val="clear" w:color="auto" w:fill="023C5B"/>
          </w:tcPr>
          <w:p>
            <w:pPr>
              <w:spacing w:after="0"/>
              <w:rPr>
                <w:sz w:val="22"/>
                <w:szCs w:val="22"/>
                <w:color w:val="auto"/>
              </w:rPr>
            </w:pPr>
          </w:p>
        </w:tc>
        <w:tc>
          <w:tcPr>
            <w:tcW w:w="1420" w:type="dxa"/>
            <w:vAlign w:val="bottom"/>
            <w:shd w:val="clear" w:color="auto" w:fill="023C5B"/>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shd w:val="clear" w:color="auto" w:fill="023C5B"/>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shd w:val="clear" w:color="auto" w:fill="023C5B"/>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shd w:val="clear" w:color="auto" w:fill="023C5B"/>
          </w:tcPr>
          <w:p>
            <w:pPr>
              <w:spacing w:after="0"/>
              <w:rPr>
                <w:sz w:val="22"/>
                <w:szCs w:val="22"/>
                <w:color w:val="auto"/>
              </w:rPr>
            </w:pPr>
          </w:p>
        </w:tc>
        <w:tc>
          <w:tcPr>
            <w:tcW w:w="1080" w:type="dxa"/>
            <w:vAlign w:val="bottom"/>
            <w:shd w:val="clear" w:color="auto" w:fill="023C5B"/>
          </w:tcPr>
          <w:p>
            <w:pPr>
              <w:spacing w:after="0"/>
              <w:rPr>
                <w:sz w:val="22"/>
                <w:szCs w:val="22"/>
                <w:color w:val="auto"/>
              </w:rPr>
            </w:pPr>
          </w:p>
        </w:tc>
        <w:tc>
          <w:tcPr>
            <w:tcW w:w="1500" w:type="dxa"/>
            <w:vAlign w:val="bottom"/>
            <w:tcBorders>
              <w:right w:val="single" w:sz="8" w:color="023C5B"/>
            </w:tcBorders>
            <w:gridSpan w:val="3"/>
            <w:shd w:val="clear" w:color="auto" w:fill="023C5B"/>
          </w:tcPr>
          <w:p>
            <w:pPr>
              <w:ind w:left="20"/>
              <w:spacing w:after="0"/>
              <w:rPr>
                <w:sz w:val="20"/>
                <w:szCs w:val="20"/>
                <w:color w:val="auto"/>
              </w:rPr>
            </w:pPr>
            <w:r>
              <w:rPr>
                <w:rFonts w:ascii="Arial" w:cs="Arial" w:eastAsia="Arial" w:hAnsi="Arial"/>
                <w:sz w:val="16"/>
                <w:szCs w:val="16"/>
                <w:b w:val="1"/>
                <w:bCs w:val="1"/>
                <w:color w:val="FFFFFF"/>
                <w:w w:val="99"/>
              </w:rPr>
              <w:t>Year-End Incentive</w:t>
            </w:r>
          </w:p>
        </w:tc>
        <w:tc>
          <w:tcPr>
            <w:tcW w:w="1220" w:type="dxa"/>
            <w:vAlign w:val="bottom"/>
            <w:shd w:val="clear" w:color="auto" w:fill="023C5B"/>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shd w:val="clear" w:color="auto" w:fill="023C5B"/>
          </w:tcPr>
          <w:p>
            <w:pPr>
              <w:spacing w:after="0"/>
              <w:rPr>
                <w:sz w:val="22"/>
                <w:szCs w:val="22"/>
                <w:color w:val="auto"/>
              </w:rPr>
            </w:pPr>
          </w:p>
        </w:tc>
        <w:tc>
          <w:tcPr>
            <w:tcW w:w="0" w:type="dxa"/>
            <w:vAlign w:val="bottom"/>
          </w:tcPr>
          <w:p>
            <w:pPr>
              <w:spacing w:after="0"/>
              <w:rPr>
                <w:sz w:val="1"/>
                <w:szCs w:val="1"/>
                <w:color w:val="auto"/>
              </w:rPr>
            </w:pPr>
          </w:p>
        </w:tc>
      </w:tr>
      <w:tr>
        <w:trPr>
          <w:trHeight w:val="87"/>
        </w:trPr>
        <w:tc>
          <w:tcPr>
            <w:tcW w:w="280" w:type="dxa"/>
            <w:vAlign w:val="bottom"/>
          </w:tcPr>
          <w:p>
            <w:pPr>
              <w:spacing w:after="0"/>
              <w:rPr>
                <w:sz w:val="7"/>
                <w:szCs w:val="7"/>
                <w:color w:val="auto"/>
              </w:rPr>
            </w:pPr>
          </w:p>
        </w:tc>
        <w:tc>
          <w:tcPr>
            <w:tcW w:w="2360" w:type="dxa"/>
            <w:vAlign w:val="bottom"/>
            <w:gridSpan w:val="2"/>
            <w:vMerge w:val="restart"/>
            <w:shd w:val="clear" w:color="auto" w:fill="023C5B"/>
          </w:tcPr>
          <w:p>
            <w:pPr>
              <w:jc w:val="center"/>
              <w:spacing w:after="0"/>
              <w:rPr>
                <w:sz w:val="20"/>
                <w:szCs w:val="20"/>
                <w:color w:val="auto"/>
              </w:rPr>
            </w:pPr>
            <w:r>
              <w:rPr>
                <w:rFonts w:ascii="Arial" w:cs="Arial" w:eastAsia="Arial" w:hAnsi="Arial"/>
                <w:sz w:val="16"/>
                <w:szCs w:val="16"/>
                <w:b w:val="1"/>
                <w:bCs w:val="1"/>
                <w:color w:val="FFFFFF"/>
              </w:rPr>
              <w:t>Performance</w:t>
            </w:r>
          </w:p>
        </w:tc>
        <w:tc>
          <w:tcPr>
            <w:tcW w:w="100" w:type="dxa"/>
            <w:vAlign w:val="bottom"/>
          </w:tcPr>
          <w:p>
            <w:pPr>
              <w:spacing w:after="0"/>
              <w:rPr>
                <w:sz w:val="7"/>
                <w:szCs w:val="7"/>
                <w:color w:val="auto"/>
              </w:rPr>
            </w:pPr>
          </w:p>
        </w:tc>
        <w:tc>
          <w:tcPr>
            <w:tcW w:w="700" w:type="dxa"/>
            <w:vAlign w:val="bottom"/>
            <w:vMerge w:val="restart"/>
            <w:shd w:val="clear" w:color="auto" w:fill="023C5B"/>
          </w:tcPr>
          <w:p>
            <w:pPr>
              <w:ind w:left="140"/>
              <w:spacing w:after="0"/>
              <w:rPr>
                <w:sz w:val="20"/>
                <w:szCs w:val="20"/>
                <w:color w:val="auto"/>
              </w:rPr>
            </w:pPr>
            <w:r>
              <w:rPr>
                <w:rFonts w:ascii="Arial" w:cs="Arial" w:eastAsia="Arial" w:hAnsi="Arial"/>
                <w:sz w:val="16"/>
                <w:szCs w:val="16"/>
                <w:b w:val="1"/>
                <w:bCs w:val="1"/>
                <w:color w:val="FFFFFF"/>
              </w:rPr>
              <w:t>Cash</w:t>
            </w:r>
          </w:p>
        </w:tc>
        <w:tc>
          <w:tcPr>
            <w:tcW w:w="120" w:type="dxa"/>
            <w:vAlign w:val="bottom"/>
          </w:tcPr>
          <w:p>
            <w:pPr>
              <w:spacing w:after="0"/>
              <w:rPr>
                <w:sz w:val="7"/>
                <w:szCs w:val="7"/>
                <w:color w:val="auto"/>
              </w:rPr>
            </w:pPr>
          </w:p>
        </w:tc>
        <w:tc>
          <w:tcPr>
            <w:tcW w:w="1700" w:type="dxa"/>
            <w:vAlign w:val="bottom"/>
            <w:shd w:val="clear" w:color="auto" w:fill="023C5B"/>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shd w:val="clear" w:color="auto" w:fill="023C5B"/>
          </w:tcPr>
          <w:p>
            <w:pPr>
              <w:spacing w:after="0"/>
              <w:rPr>
                <w:sz w:val="7"/>
                <w:szCs w:val="7"/>
                <w:color w:val="auto"/>
              </w:rPr>
            </w:pPr>
          </w:p>
        </w:tc>
        <w:tc>
          <w:tcPr>
            <w:tcW w:w="1080" w:type="dxa"/>
            <w:vAlign w:val="bottom"/>
            <w:vMerge w:val="restart"/>
            <w:shd w:val="clear" w:color="auto" w:fill="023C5B"/>
          </w:tcPr>
          <w:p>
            <w:pPr>
              <w:jc w:val="center"/>
              <w:ind w:right="100"/>
              <w:spacing w:after="0"/>
              <w:rPr>
                <w:sz w:val="20"/>
                <w:szCs w:val="20"/>
                <w:color w:val="auto"/>
              </w:rPr>
            </w:pPr>
            <w:r>
              <w:rPr>
                <w:rFonts w:ascii="Arial" w:cs="Arial" w:eastAsia="Arial" w:hAnsi="Arial"/>
                <w:sz w:val="16"/>
                <w:szCs w:val="16"/>
                <w:b w:val="1"/>
                <w:bCs w:val="1"/>
                <w:color w:val="FFFFFF"/>
              </w:rPr>
              <w:t>Deferred</w:t>
            </w:r>
          </w:p>
        </w:tc>
        <w:tc>
          <w:tcPr>
            <w:tcW w:w="120" w:type="dxa"/>
            <w:vAlign w:val="bottom"/>
            <w:shd w:val="clear" w:color="auto" w:fill="023C5B"/>
          </w:tcPr>
          <w:p>
            <w:pPr>
              <w:spacing w:after="0"/>
              <w:rPr>
                <w:sz w:val="7"/>
                <w:szCs w:val="7"/>
                <w:color w:val="auto"/>
              </w:rPr>
            </w:pPr>
          </w:p>
        </w:tc>
        <w:tc>
          <w:tcPr>
            <w:tcW w:w="1200" w:type="dxa"/>
            <w:vAlign w:val="bottom"/>
            <w:vMerge w:val="restart"/>
            <w:shd w:val="clear" w:color="auto" w:fill="023C5B"/>
          </w:tcPr>
          <w:p>
            <w:pPr>
              <w:jc w:val="center"/>
              <w:spacing w:after="0"/>
              <w:rPr>
                <w:sz w:val="20"/>
                <w:szCs w:val="20"/>
                <w:color w:val="auto"/>
              </w:rPr>
            </w:pPr>
            <w:r>
              <w:rPr>
                <w:rFonts w:ascii="Arial" w:cs="Arial" w:eastAsia="Arial" w:hAnsi="Arial"/>
                <w:sz w:val="16"/>
                <w:szCs w:val="16"/>
                <w:b w:val="1"/>
                <w:bCs w:val="1"/>
                <w:color w:val="FFFFFF"/>
              </w:rPr>
              <w:t xml:space="preserve">Cash- </w:t>
            </w:r>
          </w:p>
        </w:tc>
        <w:tc>
          <w:tcPr>
            <w:tcW w:w="180" w:type="dxa"/>
            <w:vAlign w:val="bottom"/>
            <w:tcBorders>
              <w:right w:val="single" w:sz="8" w:color="023C5B"/>
            </w:tcBorders>
            <w:shd w:val="clear" w:color="auto" w:fill="023C5B"/>
          </w:tcPr>
          <w:p>
            <w:pPr>
              <w:spacing w:after="0"/>
              <w:rPr>
                <w:sz w:val="7"/>
                <w:szCs w:val="7"/>
                <w:color w:val="auto"/>
              </w:rPr>
            </w:pPr>
          </w:p>
        </w:tc>
        <w:tc>
          <w:tcPr>
            <w:tcW w:w="1220" w:type="dxa"/>
            <w:vAlign w:val="bottom"/>
            <w:shd w:val="clear" w:color="auto" w:fill="023C5B"/>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shd w:val="clear" w:color="auto" w:fill="023C5B"/>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80" w:type="dxa"/>
            <w:vAlign w:val="bottom"/>
          </w:tcPr>
          <w:p>
            <w:pPr>
              <w:spacing w:after="0"/>
              <w:rPr>
                <w:sz w:val="23"/>
                <w:szCs w:val="23"/>
                <w:color w:val="auto"/>
              </w:rPr>
            </w:pPr>
          </w:p>
        </w:tc>
        <w:tc>
          <w:tcPr>
            <w:tcW w:w="2360" w:type="dxa"/>
            <w:vAlign w:val="bottom"/>
            <w:gridSpan w:val="2"/>
            <w:vMerge w:val="continue"/>
            <w:shd w:val="clear" w:color="auto" w:fill="023C5B"/>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vMerge w:val="continue"/>
            <w:shd w:val="clear" w:color="auto" w:fill="023C5B"/>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shd w:val="clear" w:color="auto" w:fill="023C5B"/>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shd w:val="clear" w:color="auto" w:fill="023C5B"/>
          </w:tcPr>
          <w:p>
            <w:pPr>
              <w:spacing w:after="0"/>
              <w:rPr>
                <w:sz w:val="23"/>
                <w:szCs w:val="23"/>
                <w:color w:val="auto"/>
              </w:rPr>
            </w:pPr>
          </w:p>
        </w:tc>
        <w:tc>
          <w:tcPr>
            <w:tcW w:w="1080" w:type="dxa"/>
            <w:vAlign w:val="bottom"/>
            <w:vMerge w:val="continue"/>
            <w:shd w:val="clear" w:color="auto" w:fill="023C5B"/>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vMerge w:val="continue"/>
            <w:shd w:val="clear" w:color="auto" w:fill="023C5B"/>
          </w:tcPr>
          <w:p>
            <w:pPr>
              <w:spacing w:after="0"/>
              <w:rPr>
                <w:sz w:val="23"/>
                <w:szCs w:val="23"/>
                <w:color w:val="auto"/>
              </w:rPr>
            </w:pPr>
          </w:p>
        </w:tc>
        <w:tc>
          <w:tcPr>
            <w:tcW w:w="180" w:type="dxa"/>
            <w:vAlign w:val="bottom"/>
            <w:tcBorders>
              <w:right w:val="single" w:sz="8" w:color="023C5B"/>
            </w:tcBorders>
          </w:tcPr>
          <w:p>
            <w:pPr>
              <w:spacing w:after="0"/>
              <w:rPr>
                <w:sz w:val="23"/>
                <w:szCs w:val="23"/>
                <w:color w:val="auto"/>
              </w:rPr>
            </w:pPr>
          </w:p>
        </w:tc>
        <w:tc>
          <w:tcPr>
            <w:tcW w:w="1220" w:type="dxa"/>
            <w:vAlign w:val="bottom"/>
            <w:shd w:val="clear" w:color="auto" w:fill="023C5B"/>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shd w:val="clear" w:color="auto" w:fill="023C5B"/>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2360" w:type="dxa"/>
            <w:vAlign w:val="bottom"/>
            <w:gridSpan w:val="2"/>
            <w:vMerge w:val="continue"/>
            <w:shd w:val="clear" w:color="auto" w:fill="023C5B"/>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shd w:val="clear" w:color="auto" w:fill="023C5B"/>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shd w:val="clear" w:color="auto" w:fill="023C5B"/>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shd w:val="clear" w:color="auto" w:fill="023C5B"/>
          </w:tcPr>
          <w:p>
            <w:pPr>
              <w:spacing w:after="0"/>
              <w:rPr>
                <w:sz w:val="15"/>
                <w:szCs w:val="15"/>
                <w:color w:val="auto"/>
              </w:rPr>
            </w:pPr>
          </w:p>
        </w:tc>
        <w:tc>
          <w:tcPr>
            <w:tcW w:w="1080" w:type="dxa"/>
            <w:vAlign w:val="bottom"/>
            <w:shd w:val="clear" w:color="auto" w:fill="023C5B"/>
          </w:tcPr>
          <w:p>
            <w:pPr>
              <w:jc w:val="center"/>
              <w:ind w:right="80"/>
              <w:spacing w:after="0" w:line="175" w:lineRule="exact"/>
              <w:rPr>
                <w:sz w:val="20"/>
                <w:szCs w:val="20"/>
                <w:color w:val="auto"/>
              </w:rPr>
            </w:pPr>
            <w:r>
              <w:rPr>
                <w:rFonts w:ascii="Arial" w:cs="Arial" w:eastAsia="Arial" w:hAnsi="Arial"/>
                <w:sz w:val="16"/>
                <w:szCs w:val="16"/>
                <w:b w:val="1"/>
                <w:bCs w:val="1"/>
                <w:color w:val="FFFFFF"/>
              </w:rPr>
              <w:t>Cash</w:t>
            </w:r>
          </w:p>
        </w:tc>
        <w:tc>
          <w:tcPr>
            <w:tcW w:w="120" w:type="dxa"/>
            <w:vAlign w:val="bottom"/>
          </w:tcPr>
          <w:p>
            <w:pPr>
              <w:spacing w:after="0"/>
              <w:rPr>
                <w:sz w:val="15"/>
                <w:szCs w:val="15"/>
                <w:color w:val="auto"/>
              </w:rPr>
            </w:pPr>
          </w:p>
        </w:tc>
        <w:tc>
          <w:tcPr>
            <w:tcW w:w="1200" w:type="dxa"/>
            <w:vAlign w:val="bottom"/>
            <w:shd w:val="clear" w:color="auto" w:fill="023C5B"/>
          </w:tcPr>
          <w:p>
            <w:pPr>
              <w:jc w:val="center"/>
              <w:spacing w:after="0" w:line="175" w:lineRule="exact"/>
              <w:rPr>
                <w:sz w:val="20"/>
                <w:szCs w:val="20"/>
                <w:color w:val="auto"/>
              </w:rPr>
            </w:pPr>
            <w:r>
              <w:rPr>
                <w:rFonts w:ascii="Arial" w:cs="Arial" w:eastAsia="Arial" w:hAnsi="Arial"/>
                <w:sz w:val="16"/>
                <w:szCs w:val="16"/>
                <w:b w:val="1"/>
                <w:bCs w:val="1"/>
                <w:color w:val="FFFFFF"/>
              </w:rPr>
              <w:t>Settled</w:t>
            </w:r>
          </w:p>
        </w:tc>
        <w:tc>
          <w:tcPr>
            <w:tcW w:w="180" w:type="dxa"/>
            <w:vAlign w:val="bottom"/>
            <w:tcBorders>
              <w:right w:val="single" w:sz="8" w:color="023C5B"/>
            </w:tcBorders>
          </w:tcPr>
          <w:p>
            <w:pPr>
              <w:spacing w:after="0"/>
              <w:rPr>
                <w:sz w:val="15"/>
                <w:szCs w:val="15"/>
                <w:color w:val="auto"/>
              </w:rPr>
            </w:pPr>
          </w:p>
        </w:tc>
        <w:tc>
          <w:tcPr>
            <w:tcW w:w="1220" w:type="dxa"/>
            <w:vAlign w:val="bottom"/>
            <w:shd w:val="clear" w:color="auto" w:fill="023C5B"/>
          </w:tcPr>
          <w:p>
            <w:pPr>
              <w:ind w:left="60"/>
              <w:spacing w:after="0" w:line="175" w:lineRule="exact"/>
              <w:rPr>
                <w:sz w:val="20"/>
                <w:szCs w:val="20"/>
                <w:color w:val="auto"/>
              </w:rPr>
            </w:pPr>
            <w:r>
              <w:rPr>
                <w:rFonts w:ascii="Arial" w:cs="Arial" w:eastAsia="Arial" w:hAnsi="Arial"/>
                <w:sz w:val="16"/>
                <w:szCs w:val="16"/>
                <w:b w:val="1"/>
                <w:bCs w:val="1"/>
                <w:color w:val="FFFFFF"/>
              </w:rPr>
              <w:t>Performance</w:t>
            </w:r>
          </w:p>
        </w:tc>
        <w:tc>
          <w:tcPr>
            <w:tcW w:w="100" w:type="dxa"/>
            <w:vAlign w:val="bottom"/>
          </w:tcPr>
          <w:p>
            <w:pPr>
              <w:spacing w:after="0"/>
              <w:rPr>
                <w:sz w:val="15"/>
                <w:szCs w:val="15"/>
                <w:color w:val="auto"/>
              </w:rPr>
            </w:pPr>
          </w:p>
        </w:tc>
        <w:tc>
          <w:tcPr>
            <w:tcW w:w="1300" w:type="dxa"/>
            <w:vAlign w:val="bottom"/>
            <w:shd w:val="clear" w:color="auto" w:fill="023C5B"/>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280" w:type="dxa"/>
            <w:vAlign w:val="bottom"/>
          </w:tcPr>
          <w:p>
            <w:pPr>
              <w:spacing w:after="0"/>
              <w:rPr>
                <w:sz w:val="24"/>
                <w:szCs w:val="24"/>
                <w:color w:val="auto"/>
              </w:rPr>
            </w:pPr>
          </w:p>
        </w:tc>
        <w:tc>
          <w:tcPr>
            <w:tcW w:w="940" w:type="dxa"/>
            <w:vAlign w:val="bottom"/>
            <w:shd w:val="clear" w:color="auto" w:fill="023C5B"/>
          </w:tcPr>
          <w:p>
            <w:pPr>
              <w:spacing w:after="0"/>
              <w:rPr>
                <w:sz w:val="24"/>
                <w:szCs w:val="24"/>
                <w:color w:val="auto"/>
              </w:rPr>
            </w:pPr>
          </w:p>
        </w:tc>
        <w:tc>
          <w:tcPr>
            <w:tcW w:w="1420" w:type="dxa"/>
            <w:vAlign w:val="bottom"/>
            <w:shd w:val="clear" w:color="auto" w:fill="023C5B"/>
          </w:tcPr>
          <w:p>
            <w:pPr>
              <w:jc w:val="center"/>
              <w:ind w:right="880"/>
              <w:spacing w:after="0"/>
              <w:rPr>
                <w:sz w:val="20"/>
                <w:szCs w:val="20"/>
                <w:color w:val="auto"/>
              </w:rPr>
            </w:pPr>
            <w:r>
              <w:rPr>
                <w:rFonts w:ascii="Arial" w:cs="Arial" w:eastAsia="Arial" w:hAnsi="Arial"/>
                <w:sz w:val="16"/>
                <w:szCs w:val="16"/>
                <w:b w:val="1"/>
                <w:bCs w:val="1"/>
                <w:color w:val="FFFFFF"/>
                <w:w w:val="97"/>
              </w:rPr>
              <w:t>Year</w:t>
            </w:r>
          </w:p>
        </w:tc>
        <w:tc>
          <w:tcPr>
            <w:tcW w:w="100" w:type="dxa"/>
            <w:vAlign w:val="bottom"/>
          </w:tcPr>
          <w:p>
            <w:pPr>
              <w:spacing w:after="0"/>
              <w:rPr>
                <w:sz w:val="24"/>
                <w:szCs w:val="24"/>
                <w:color w:val="auto"/>
              </w:rPr>
            </w:pPr>
          </w:p>
        </w:tc>
        <w:tc>
          <w:tcPr>
            <w:tcW w:w="70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 xml:space="preserve"> Salary   </w:t>
            </w:r>
          </w:p>
        </w:tc>
        <w:tc>
          <w:tcPr>
            <w:tcW w:w="120" w:type="dxa"/>
            <w:vAlign w:val="bottom"/>
          </w:tcPr>
          <w:p>
            <w:pPr>
              <w:spacing w:after="0"/>
              <w:rPr>
                <w:sz w:val="24"/>
                <w:szCs w:val="24"/>
                <w:color w:val="auto"/>
              </w:rPr>
            </w:pPr>
          </w:p>
        </w:tc>
        <w:tc>
          <w:tcPr>
            <w:tcW w:w="1700" w:type="dxa"/>
            <w:vAlign w:val="bottom"/>
            <w:shd w:val="clear" w:color="auto" w:fill="023C5B"/>
          </w:tcPr>
          <w:p>
            <w:pPr>
              <w:jc w:val="center"/>
              <w:ind w:left="13"/>
              <w:spacing w:after="0"/>
              <w:rPr>
                <w:sz w:val="20"/>
                <w:szCs w:val="20"/>
                <w:color w:val="auto"/>
              </w:rPr>
            </w:pPr>
            <w:r>
              <w:rPr>
                <w:rFonts w:ascii="Arial" w:cs="Arial" w:eastAsia="Arial" w:hAnsi="Arial"/>
                <w:sz w:val="16"/>
                <w:szCs w:val="16"/>
                <w:b w:val="1"/>
                <w:bCs w:val="1"/>
                <w:color w:val="FFFFFF"/>
              </w:rPr>
              <w:t xml:space="preserve">Cash-Settled RSUs   </w:t>
            </w:r>
          </w:p>
        </w:tc>
        <w:tc>
          <w:tcPr>
            <w:tcW w:w="100" w:type="dxa"/>
            <w:vAlign w:val="bottom"/>
          </w:tcPr>
          <w:p>
            <w:pPr>
              <w:spacing w:after="0"/>
              <w:rPr>
                <w:sz w:val="24"/>
                <w:szCs w:val="24"/>
                <w:color w:val="auto"/>
              </w:rPr>
            </w:pPr>
          </w:p>
        </w:tc>
        <w:tc>
          <w:tcPr>
            <w:tcW w:w="100" w:type="dxa"/>
            <w:vAlign w:val="bottom"/>
            <w:shd w:val="clear" w:color="auto" w:fill="023C5B"/>
          </w:tcPr>
          <w:p>
            <w:pPr>
              <w:spacing w:after="0"/>
              <w:rPr>
                <w:sz w:val="24"/>
                <w:szCs w:val="24"/>
                <w:color w:val="auto"/>
              </w:rPr>
            </w:pPr>
          </w:p>
        </w:tc>
        <w:tc>
          <w:tcPr>
            <w:tcW w:w="1080" w:type="dxa"/>
            <w:vAlign w:val="bottom"/>
            <w:shd w:val="clear" w:color="auto" w:fill="023C5B"/>
          </w:tcPr>
          <w:p>
            <w:pPr>
              <w:jc w:val="center"/>
              <w:ind w:right="40"/>
              <w:spacing w:after="0"/>
              <w:rPr>
                <w:sz w:val="20"/>
                <w:szCs w:val="20"/>
                <w:color w:val="auto"/>
              </w:rPr>
            </w:pPr>
            <w:r>
              <w:rPr>
                <w:rFonts w:ascii="Arial" w:cs="Arial" w:eastAsia="Arial" w:hAnsi="Arial"/>
                <w:sz w:val="16"/>
                <w:szCs w:val="16"/>
                <w:b w:val="1"/>
                <w:bCs w:val="1"/>
                <w:color w:val="FFFFFF"/>
                <w:w w:val="85"/>
              </w:rPr>
              <w:t>Bonus </w:t>
            </w:r>
          </w:p>
        </w:tc>
        <w:tc>
          <w:tcPr>
            <w:tcW w:w="120" w:type="dxa"/>
            <w:vAlign w:val="bottom"/>
          </w:tcPr>
          <w:p>
            <w:pPr>
              <w:spacing w:after="0"/>
              <w:rPr>
                <w:sz w:val="24"/>
                <w:szCs w:val="24"/>
                <w:color w:val="auto"/>
              </w:rPr>
            </w:pPr>
          </w:p>
        </w:tc>
        <w:tc>
          <w:tcPr>
            <w:tcW w:w="120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78"/>
              </w:rPr>
              <w:t>RSUs </w:t>
            </w:r>
          </w:p>
        </w:tc>
        <w:tc>
          <w:tcPr>
            <w:tcW w:w="180" w:type="dxa"/>
            <w:vAlign w:val="bottom"/>
            <w:tcBorders>
              <w:right w:val="single" w:sz="8" w:color="023C5B"/>
            </w:tcBorders>
          </w:tcPr>
          <w:p>
            <w:pPr>
              <w:spacing w:after="0"/>
              <w:rPr>
                <w:sz w:val="24"/>
                <w:szCs w:val="24"/>
                <w:color w:val="auto"/>
              </w:rPr>
            </w:pPr>
          </w:p>
        </w:tc>
        <w:tc>
          <w:tcPr>
            <w:tcW w:w="1220" w:type="dxa"/>
            <w:vAlign w:val="bottom"/>
            <w:shd w:val="clear" w:color="auto" w:fill="023C5B"/>
          </w:tcPr>
          <w:p>
            <w:pPr>
              <w:ind w:left="200"/>
              <w:spacing w:after="0"/>
              <w:rPr>
                <w:sz w:val="20"/>
                <w:szCs w:val="20"/>
                <w:color w:val="auto"/>
              </w:rPr>
            </w:pPr>
            <w:r>
              <w:rPr>
                <w:rFonts w:ascii="Arial" w:cs="Arial" w:eastAsia="Arial" w:hAnsi="Arial"/>
                <w:sz w:val="16"/>
                <w:szCs w:val="16"/>
                <w:b w:val="1"/>
                <w:bCs w:val="1"/>
                <w:color w:val="FFFFFF"/>
              </w:rPr>
              <w:t>Shares</w:t>
            </w:r>
            <w:r>
              <w:rPr>
                <w:rFonts w:ascii="Arial" w:cs="Arial" w:eastAsia="Arial" w:hAnsi="Arial"/>
                <w:sz w:val="24"/>
                <w:szCs w:val="24"/>
                <w:b w:val="1"/>
                <w:bCs w:val="1"/>
                <w:color w:val="FFFFFF"/>
                <w:vertAlign w:val="superscript"/>
              </w:rPr>
              <w:t>(1)</w:t>
            </w:r>
            <w:r>
              <w:rPr>
                <w:rFonts w:ascii="Arial" w:cs="Arial" w:eastAsia="Arial" w:hAnsi="Arial"/>
                <w:sz w:val="16"/>
                <w:szCs w:val="16"/>
                <w:b w:val="1"/>
                <w:bCs w:val="1"/>
                <w:color w:val="FFFFFF"/>
              </w:rPr>
              <w:t xml:space="preserve"> </w:t>
            </w:r>
          </w:p>
        </w:tc>
        <w:tc>
          <w:tcPr>
            <w:tcW w:w="100" w:type="dxa"/>
            <w:vAlign w:val="bottom"/>
          </w:tcPr>
          <w:p>
            <w:pPr>
              <w:spacing w:after="0"/>
              <w:rPr>
                <w:sz w:val="24"/>
                <w:szCs w:val="24"/>
                <w:color w:val="auto"/>
              </w:rPr>
            </w:pPr>
          </w:p>
        </w:tc>
        <w:tc>
          <w:tcPr>
            <w:tcW w:w="130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4"/>
              </w:rPr>
              <w:t>Total</w:t>
            </w:r>
          </w:p>
        </w:tc>
        <w:tc>
          <w:tcPr>
            <w:tcW w:w="0" w:type="dxa"/>
            <w:vAlign w:val="bottom"/>
          </w:tcPr>
          <w:p>
            <w:pPr>
              <w:spacing w:after="0"/>
              <w:rPr>
                <w:sz w:val="1"/>
                <w:szCs w:val="1"/>
                <w:color w:val="auto"/>
              </w:rPr>
            </w:pPr>
          </w:p>
        </w:tc>
      </w:tr>
      <w:tr>
        <w:trPr>
          <w:trHeight w:val="308"/>
        </w:trPr>
        <w:tc>
          <w:tcPr>
            <w:tcW w:w="280" w:type="dxa"/>
            <w:vAlign w:val="bottom"/>
          </w:tcPr>
          <w:p>
            <w:pPr>
              <w:spacing w:after="0"/>
              <w:rPr>
                <w:sz w:val="24"/>
                <w:szCs w:val="24"/>
                <w:color w:val="auto"/>
              </w:rPr>
            </w:pPr>
          </w:p>
        </w:tc>
        <w:tc>
          <w:tcPr>
            <w:tcW w:w="2360" w:type="dxa"/>
            <w:vAlign w:val="bottom"/>
            <w:tcBorders>
              <w:bottom w:val="single" w:sz="8" w:color="023C5B"/>
            </w:tcBorders>
            <w:gridSpan w:val="2"/>
            <w:shd w:val="clear" w:color="auto" w:fill="E5EBEE"/>
          </w:tcPr>
          <w:p>
            <w:pPr>
              <w:jc w:val="center"/>
              <w:spacing w:after="0"/>
              <w:rPr>
                <w:sz w:val="20"/>
                <w:szCs w:val="20"/>
                <w:color w:val="auto"/>
              </w:rPr>
            </w:pPr>
            <w:r>
              <w:rPr>
                <w:rFonts w:ascii="Arial" w:cs="Arial" w:eastAsia="Arial" w:hAnsi="Arial"/>
                <w:sz w:val="18"/>
                <w:szCs w:val="18"/>
                <w:color w:val="auto"/>
                <w:w w:val="91"/>
              </w:rPr>
              <w:t>2025</w:t>
            </w:r>
            <w:r>
              <w:rPr>
                <w:rFonts w:ascii="Arial" w:cs="Arial" w:eastAsia="Arial" w:hAnsi="Arial"/>
                <w:sz w:val="26"/>
                <w:szCs w:val="26"/>
                <w:color w:val="auto"/>
                <w:w w:val="91"/>
                <w:vertAlign w:val="superscript"/>
              </w:rPr>
              <w:t>(2)</w:t>
            </w:r>
          </w:p>
        </w:tc>
        <w:tc>
          <w:tcPr>
            <w:tcW w:w="100" w:type="dxa"/>
            <w:vAlign w:val="bottom"/>
          </w:tcPr>
          <w:p>
            <w:pPr>
              <w:spacing w:after="0"/>
              <w:rPr>
                <w:sz w:val="24"/>
                <w:szCs w:val="24"/>
                <w:color w:val="auto"/>
              </w:rPr>
            </w:pPr>
          </w:p>
        </w:tc>
        <w:tc>
          <w:tcPr>
            <w:tcW w:w="7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7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8"/>
                <w:szCs w:val="18"/>
                <w:color w:val="auto"/>
                <w:w w:val="99"/>
              </w:rPr>
              <w:t>$2,500,099</w:t>
            </w:r>
          </w:p>
        </w:tc>
        <w:tc>
          <w:tcPr>
            <w:tcW w:w="100" w:type="dxa"/>
            <w:vAlign w:val="bottom"/>
          </w:tcPr>
          <w:p>
            <w:pPr>
              <w:spacing w:after="0"/>
              <w:rPr>
                <w:sz w:val="24"/>
                <w:szCs w:val="24"/>
                <w:color w:val="auto"/>
              </w:rPr>
            </w:pPr>
          </w:p>
        </w:tc>
        <w:tc>
          <w:tcPr>
            <w:tcW w:w="1180" w:type="dxa"/>
            <w:vAlign w:val="bottom"/>
            <w:tcBorders>
              <w:bottom w:val="single" w:sz="8" w:color="023C5B"/>
            </w:tcBorders>
            <w:gridSpan w:val="2"/>
            <w:shd w:val="clear" w:color="auto" w:fill="E5EBEE"/>
          </w:tcPr>
          <w:p>
            <w:pPr>
              <w:jc w:val="center"/>
              <w:spacing w:after="0"/>
              <w:rPr>
                <w:sz w:val="20"/>
                <w:szCs w:val="20"/>
                <w:color w:val="auto"/>
              </w:rPr>
            </w:pPr>
            <w:r>
              <w:rPr>
                <w:rFonts w:ascii="Arial" w:cs="Arial" w:eastAsia="Arial" w:hAnsi="Arial"/>
                <w:sz w:val="18"/>
                <w:szCs w:val="18"/>
                <w:color w:val="auto"/>
                <w:w w:val="86"/>
              </w:rPr>
              <w:t>$6,700,000 </w:t>
            </w:r>
          </w:p>
        </w:tc>
        <w:tc>
          <w:tcPr>
            <w:tcW w:w="120" w:type="dxa"/>
            <w:vAlign w:val="bottom"/>
          </w:tcPr>
          <w:p>
            <w:pPr>
              <w:spacing w:after="0"/>
              <w:rPr>
                <w:sz w:val="24"/>
                <w:szCs w:val="24"/>
                <w:color w:val="auto"/>
              </w:rPr>
            </w:pPr>
          </w:p>
        </w:tc>
        <w:tc>
          <w:tcPr>
            <w:tcW w:w="12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8"/>
                <w:szCs w:val="18"/>
                <w:color w:val="auto"/>
                <w:w w:val="86"/>
              </w:rPr>
              <w:t>$6,000,029 </w:t>
            </w:r>
          </w:p>
        </w:tc>
        <w:tc>
          <w:tcPr>
            <w:tcW w:w="180" w:type="dxa"/>
            <w:vAlign w:val="bottom"/>
            <w:tcBorders>
              <w:right w:val="single" w:sz="8" w:color="E5EBEE"/>
            </w:tcBorders>
          </w:tcPr>
          <w:p>
            <w:pPr>
              <w:spacing w:after="0"/>
              <w:rPr>
                <w:sz w:val="24"/>
                <w:szCs w:val="24"/>
                <w:color w:val="auto"/>
              </w:rPr>
            </w:pPr>
          </w:p>
        </w:tc>
        <w:tc>
          <w:tcPr>
            <w:tcW w:w="1220" w:type="dxa"/>
            <w:vAlign w:val="bottom"/>
            <w:tcBorders>
              <w:bottom w:val="single" w:sz="8" w:color="023C5B"/>
            </w:tcBorders>
            <w:shd w:val="clear" w:color="auto" w:fill="E5EBEE"/>
          </w:tcPr>
          <w:p>
            <w:pPr>
              <w:ind w:left="40"/>
              <w:spacing w:after="0"/>
              <w:rPr>
                <w:sz w:val="20"/>
                <w:szCs w:val="20"/>
                <w:color w:val="auto"/>
              </w:rPr>
            </w:pPr>
            <w:r>
              <w:rPr>
                <w:rFonts w:ascii="Arial" w:cs="Arial" w:eastAsia="Arial" w:hAnsi="Arial"/>
                <w:sz w:val="18"/>
                <w:szCs w:val="18"/>
                <w:color w:val="auto"/>
                <w:w w:val="98"/>
              </w:rPr>
              <w:t>$24,800,344 </w:t>
            </w:r>
          </w:p>
        </w:tc>
        <w:tc>
          <w:tcPr>
            <w:tcW w:w="100" w:type="dxa"/>
            <w:vAlign w:val="bottom"/>
          </w:tcPr>
          <w:p>
            <w:pPr>
              <w:spacing w:after="0"/>
              <w:rPr>
                <w:sz w:val="24"/>
                <w:szCs w:val="24"/>
                <w:color w:val="auto"/>
              </w:rPr>
            </w:pPr>
          </w:p>
        </w:tc>
        <w:tc>
          <w:tcPr>
            <w:tcW w:w="13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8"/>
                <w:szCs w:val="18"/>
                <w:color w:val="auto"/>
                <w:w w:val="97"/>
              </w:rPr>
              <w:t>$40,000,472</w:t>
            </w:r>
          </w:p>
        </w:tc>
        <w:tc>
          <w:tcPr>
            <w:tcW w:w="0" w:type="dxa"/>
            <w:vAlign w:val="bottom"/>
          </w:tcPr>
          <w:p>
            <w:pPr>
              <w:spacing w:after="0"/>
              <w:rPr>
                <w:sz w:val="1"/>
                <w:szCs w:val="1"/>
                <w:color w:val="auto"/>
              </w:rPr>
            </w:pPr>
          </w:p>
        </w:tc>
      </w:tr>
      <w:tr>
        <w:trPr>
          <w:trHeight w:val="250"/>
        </w:trPr>
        <w:tc>
          <w:tcPr>
            <w:tcW w:w="280" w:type="dxa"/>
            <w:vAlign w:val="bottom"/>
          </w:tcPr>
          <w:p>
            <w:pPr>
              <w:spacing w:after="0"/>
              <w:rPr>
                <w:sz w:val="21"/>
                <w:szCs w:val="21"/>
                <w:color w:val="auto"/>
              </w:rPr>
            </w:pPr>
          </w:p>
        </w:tc>
        <w:tc>
          <w:tcPr>
            <w:tcW w:w="2360" w:type="dxa"/>
            <w:vAlign w:val="bottom"/>
            <w:gridSpan w:val="2"/>
          </w:tcPr>
          <w:p>
            <w:pPr>
              <w:jc w:val="center"/>
              <w:spacing w:after="0"/>
              <w:rPr>
                <w:sz w:val="20"/>
                <w:szCs w:val="20"/>
                <w:color w:val="auto"/>
              </w:rPr>
            </w:pPr>
            <w:r>
              <w:rPr>
                <w:rFonts w:ascii="Arial" w:cs="Arial" w:eastAsia="Arial" w:hAnsi="Arial"/>
                <w:sz w:val="18"/>
                <w:szCs w:val="18"/>
                <w:color w:val="auto"/>
                <w:w w:val="99"/>
              </w:rPr>
              <w:t>2024</w:t>
            </w:r>
          </w:p>
        </w:tc>
        <w:tc>
          <w:tcPr>
            <w:tcW w:w="100" w:type="dxa"/>
            <w:vAlign w:val="bottom"/>
          </w:tcPr>
          <w:p>
            <w:pPr>
              <w:spacing w:after="0"/>
              <w:rPr>
                <w:sz w:val="21"/>
                <w:szCs w:val="21"/>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$2,500,125</w:t>
            </w:r>
          </w:p>
        </w:tc>
        <w:tc>
          <w:tcPr>
            <w:tcW w:w="10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6"/>
              </w:rPr>
              <w:t>$5,500,000 </w:t>
            </w:r>
          </w:p>
        </w:tc>
        <w:tc>
          <w:tcPr>
            <w:tcW w:w="12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$5,000,198 </w:t>
            </w:r>
          </w:p>
        </w:tc>
        <w:tc>
          <w:tcPr>
            <w:tcW w:w="1220" w:type="dxa"/>
            <w:vAlign w:val="bottom"/>
          </w:tcPr>
          <w:p>
            <w:pPr>
              <w:ind w:left="40"/>
              <w:spacing w:after="0"/>
              <w:rPr>
                <w:sz w:val="20"/>
                <w:szCs w:val="20"/>
                <w:color w:val="auto"/>
              </w:rPr>
            </w:pPr>
            <w:r>
              <w:rPr>
                <w:rFonts w:ascii="Arial" w:cs="Arial" w:eastAsia="Arial" w:hAnsi="Arial"/>
                <w:sz w:val="18"/>
                <w:szCs w:val="18"/>
                <w:color w:val="auto"/>
                <w:w w:val="98"/>
              </w:rPr>
              <w:t>$20,500,293 </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7"/>
              </w:rPr>
              <w:t>$33,500,616</w:t>
            </w:r>
          </w:p>
        </w:tc>
        <w:tc>
          <w:tcPr>
            <w:tcW w:w="0" w:type="dxa"/>
            <w:vAlign w:val="bottom"/>
          </w:tcPr>
          <w:p>
            <w:pPr>
              <w:spacing w:after="0"/>
              <w:rPr>
                <w:sz w:val="1"/>
                <w:szCs w:val="1"/>
                <w:color w:val="auto"/>
              </w:rPr>
            </w:pPr>
          </w:p>
        </w:tc>
      </w:tr>
      <w:tr>
        <w:trPr>
          <w:trHeight w:val="38"/>
        </w:trPr>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122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280" w:type="dxa"/>
            <w:vAlign w:val="bottom"/>
          </w:tcPr>
          <w:p>
            <w:pPr>
              <w:spacing w:after="0"/>
              <w:rPr>
                <w:sz w:val="24"/>
                <w:szCs w:val="24"/>
                <w:color w:val="auto"/>
              </w:rPr>
            </w:pPr>
          </w:p>
        </w:tc>
        <w:tc>
          <w:tcPr>
            <w:tcW w:w="2360" w:type="dxa"/>
            <w:vAlign w:val="bottom"/>
            <w:tcBorders>
              <w:top w:val="single" w:sz="8" w:color="023C5B"/>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24"/>
                <w:szCs w:val="24"/>
                <w:color w:val="auto"/>
              </w:rPr>
            </w:pPr>
          </w:p>
        </w:tc>
        <w:tc>
          <w:tcPr>
            <w:tcW w:w="700" w:type="dxa"/>
            <w:vAlign w:val="bottom"/>
            <w:tcBorders>
              <w:top w:val="single" w:sz="8" w:color="023C5B"/>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700" w:type="dxa"/>
            <w:vAlign w:val="bottom"/>
            <w:tcBorders>
              <w:top w:val="single" w:sz="8" w:color="023C5B"/>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$2,500,032</w:t>
            </w:r>
          </w:p>
        </w:tc>
        <w:tc>
          <w:tcPr>
            <w:tcW w:w="100" w:type="dxa"/>
            <w:vAlign w:val="bottom"/>
          </w:tcPr>
          <w:p>
            <w:pPr>
              <w:spacing w:after="0"/>
              <w:rPr>
                <w:sz w:val="24"/>
                <w:szCs w:val="24"/>
                <w:color w:val="auto"/>
              </w:rPr>
            </w:pPr>
          </w:p>
        </w:tc>
        <w:tc>
          <w:tcPr>
            <w:tcW w:w="1180" w:type="dxa"/>
            <w:vAlign w:val="bottom"/>
            <w:tcBorders>
              <w:top w:val="single" w:sz="8" w:color="023C5B"/>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86"/>
              </w:rPr>
              <w:t>$5,000,000 </w:t>
            </w:r>
          </w:p>
        </w:tc>
        <w:tc>
          <w:tcPr>
            <w:tcW w:w="120" w:type="dxa"/>
            <w:vAlign w:val="bottom"/>
          </w:tcPr>
          <w:p>
            <w:pPr>
              <w:spacing w:after="0"/>
              <w:rPr>
                <w:sz w:val="24"/>
                <w:szCs w:val="24"/>
                <w:color w:val="auto"/>
              </w:rPr>
            </w:pPr>
          </w:p>
        </w:tc>
        <w:tc>
          <w:tcPr>
            <w:tcW w:w="1200" w:type="dxa"/>
            <w:vAlign w:val="bottom"/>
            <w:tcBorders>
              <w:top w:val="single" w:sz="8" w:color="023C5B"/>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86"/>
              </w:rPr>
              <w:t>$4,700,046 </w:t>
            </w:r>
          </w:p>
        </w:tc>
        <w:tc>
          <w:tcPr>
            <w:tcW w:w="180" w:type="dxa"/>
            <w:vAlign w:val="bottom"/>
            <w:tcBorders>
              <w:right w:val="single" w:sz="8" w:color="E5EBEE"/>
            </w:tcBorders>
          </w:tcPr>
          <w:p>
            <w:pPr>
              <w:spacing w:after="0"/>
              <w:rPr>
                <w:sz w:val="24"/>
                <w:szCs w:val="24"/>
                <w:color w:val="auto"/>
              </w:rPr>
            </w:pPr>
          </w:p>
        </w:tc>
        <w:tc>
          <w:tcPr>
            <w:tcW w:w="1220" w:type="dxa"/>
            <w:vAlign w:val="bottom"/>
            <w:tcBorders>
              <w:top w:val="single" w:sz="8" w:color="023C5B"/>
              <w:bottom w:val="single" w:sz="8" w:color="E5EBEE"/>
            </w:tcBorders>
            <w:shd w:val="clear" w:color="auto" w:fill="E5EBEE"/>
          </w:tcPr>
          <w:p>
            <w:pPr>
              <w:ind w:left="40"/>
              <w:spacing w:after="0"/>
              <w:rPr>
                <w:sz w:val="20"/>
                <w:szCs w:val="20"/>
                <w:color w:val="auto"/>
              </w:rPr>
            </w:pPr>
            <w:r>
              <w:rPr>
                <w:rFonts w:ascii="Arial" w:cs="Arial" w:eastAsia="Arial" w:hAnsi="Arial"/>
                <w:sz w:val="18"/>
                <w:szCs w:val="18"/>
                <w:color w:val="auto"/>
                <w:w w:val="98"/>
              </w:rPr>
              <w:t>$16,800,085 </w:t>
            </w:r>
          </w:p>
        </w:tc>
        <w:tc>
          <w:tcPr>
            <w:tcW w:w="100" w:type="dxa"/>
            <w:vAlign w:val="bottom"/>
          </w:tcPr>
          <w:p>
            <w:pPr>
              <w:spacing w:after="0"/>
              <w:rPr>
                <w:sz w:val="24"/>
                <w:szCs w:val="24"/>
                <w:color w:val="auto"/>
              </w:rPr>
            </w:pPr>
          </w:p>
        </w:tc>
        <w:tc>
          <w:tcPr>
            <w:tcW w:w="1300" w:type="dxa"/>
            <w:vAlign w:val="bottom"/>
            <w:tcBorders>
              <w:top w:val="single" w:sz="8" w:color="023C5B"/>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7"/>
              </w:rPr>
              <w:t>$29,000,163</w:t>
            </w:r>
          </w:p>
        </w:tc>
        <w:tc>
          <w:tcPr>
            <w:tcW w:w="0" w:type="dxa"/>
            <w:vAlign w:val="bottom"/>
          </w:tcPr>
          <w:p>
            <w:pPr>
              <w:spacing w:after="0"/>
              <w:rPr>
                <w:sz w:val="1"/>
                <w:szCs w:val="1"/>
                <w:color w:val="auto"/>
              </w:rPr>
            </w:pPr>
          </w:p>
        </w:tc>
      </w:tr>
      <w:tr>
        <w:trPr>
          <w:trHeight w:val="127"/>
        </w:trPr>
        <w:tc>
          <w:tcPr>
            <w:tcW w:w="280" w:type="dxa"/>
            <w:vAlign w:val="bottom"/>
            <w:tcBorders>
              <w:bottom w:val="single" w:sz="8" w:color="auto"/>
            </w:tcBorders>
          </w:tcPr>
          <w:p>
            <w:pPr>
              <w:spacing w:after="0"/>
              <w:rPr>
                <w:sz w:val="11"/>
                <w:szCs w:val="11"/>
                <w:color w:val="auto"/>
              </w:rPr>
            </w:pPr>
          </w:p>
        </w:tc>
        <w:tc>
          <w:tcPr>
            <w:tcW w:w="940" w:type="dxa"/>
            <w:vAlign w:val="bottom"/>
            <w:tcBorders>
              <w:top w:val="single" w:sz="8" w:color="023C5B"/>
              <w:bottom w:val="single" w:sz="8" w:color="auto"/>
            </w:tcBorders>
          </w:tcPr>
          <w:p>
            <w:pPr>
              <w:spacing w:after="0"/>
              <w:rPr>
                <w:sz w:val="11"/>
                <w:szCs w:val="11"/>
                <w:color w:val="auto"/>
              </w:rPr>
            </w:pPr>
          </w:p>
        </w:tc>
        <w:tc>
          <w:tcPr>
            <w:tcW w:w="1420" w:type="dxa"/>
            <w:vAlign w:val="bottom"/>
            <w:tcBorders>
              <w:top w:val="single" w:sz="8" w:color="023C5B"/>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023C5B"/>
            </w:tcBorders>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Borders>
              <w:top w:val="single" w:sz="8" w:color="023C5B"/>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023C5B"/>
            </w:tcBorders>
          </w:tcPr>
          <w:p>
            <w:pPr>
              <w:spacing w:after="0"/>
              <w:rPr>
                <w:sz w:val="11"/>
                <w:szCs w:val="11"/>
                <w:color w:val="auto"/>
              </w:rPr>
            </w:pPr>
          </w:p>
        </w:tc>
        <w:tc>
          <w:tcPr>
            <w:tcW w:w="1080" w:type="dxa"/>
            <w:vAlign w:val="bottom"/>
            <w:tcBorders>
              <w:top w:val="single" w:sz="8" w:color="023C5B"/>
            </w:tcBorders>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top w:val="single" w:sz="8" w:color="023C5B"/>
            </w:tcBorders>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Borders>
              <w:top w:val="single" w:sz="8" w:color="023C5B"/>
            </w:tcBorders>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Borders>
              <w:top w:val="single" w:sz="8" w:color="023C5B"/>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-1162685</wp:posOffset>
            </wp:positionV>
            <wp:extent cx="247967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79675" cy="4254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-687070</wp:posOffset>
            </wp:positionV>
            <wp:extent cx="65817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1" w:lineRule="exact"/>
        <w:rPr>
          <w:sz w:val="20"/>
          <w:szCs w:val="20"/>
          <w:color w:val="auto"/>
        </w:rPr>
      </w:pPr>
    </w:p>
    <w:p>
      <w:pPr>
        <w:ind w:left="600" w:hanging="433"/>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“Performance Share Award Metrics” beginning on page 70 for a description of the metrics applicable to the performance shares.</w:t>
      </w:r>
    </w:p>
    <w:p>
      <w:pPr>
        <w:spacing w:after="0" w:line="13" w:lineRule="exact"/>
        <w:rPr>
          <w:rFonts w:ascii="Arial" w:cs="Arial" w:eastAsia="Arial" w:hAnsi="Arial"/>
          <w:sz w:val="14"/>
          <w:szCs w:val="14"/>
          <w:color w:val="auto"/>
        </w:rPr>
      </w:pPr>
    </w:p>
    <w:p>
      <w:pPr>
        <w:ind w:left="600" w:hanging="433"/>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Does not include the Discover-Related Special Award.</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2025 NEO Performance Year Compensation</w:t>
      </w:r>
    </w:p>
    <w:p>
      <w:pPr>
        <w:spacing w:after="0" w:line="20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NEO (other than the CEO) compensation for the 2025 performance year was composed of a mix of cash and equity-based compensation and consisted of (i) a base salary and (ii) an annual year-end incentive opportunity that consisted of a cash incentive and a long-term incentive opportunity. The long-term incentive opportunity was comprised of performance shares and stock-settled RSUs as determined by the Committee and the Independent Directors. The chart below shows the elements of NEO compensation as an approximate percentage of NEO actual 2025 performance year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1923415</wp:posOffset>
            </wp:positionH>
            <wp:positionV relativeFrom="paragraph">
              <wp:posOffset>144780</wp:posOffset>
            </wp:positionV>
            <wp:extent cx="3295015" cy="1426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95015" cy="142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0" w:hanging="433"/>
        <w:spacing w:after="0"/>
        <w:tabs>
          <w:tab w:leader="none" w:pos="6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Does not include the Discover-Related Special Awards.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“NEO Compensation” beginning on page 81 for a description of performance year compensation to the NEOs (other than the CEO).</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Discover-Related Special Awards</w:t>
      </w:r>
    </w:p>
    <w:p>
      <w:pPr>
        <w:spacing w:after="0" w:line="22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Committee and the Independent Directors approved special awards to our NEOs in recognition of the NEOs’ contributions to the Discover Transaction, ongoing and anticipated work to integrate the Discover business, and/or changes to their roles following the Discover Transaction, which we refer to as the “Discover-Related Special Awards.” See “Discover-Related Special Awards” beginning on page 86 for more information. The Discover-Related Special Awards are not part of our compensation programs and will not be awarded on a regular recurring basis.</w:t>
      </w:r>
    </w:p>
    <w:p>
      <w:pPr>
        <w:spacing w:after="0" w:line="107" w:lineRule="exact"/>
        <w:rPr>
          <w:sz w:val="20"/>
          <w:szCs w:val="20"/>
          <w:color w:val="auto"/>
        </w:rPr>
      </w:pPr>
    </w:p>
    <w:p>
      <w:pPr>
        <w:ind w:left="180"/>
        <w:spacing w:after="0"/>
        <w:tabs>
          <w:tab w:leader="none" w:pos="500" w:val="left"/>
          <w:tab w:leader="none" w:pos="36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2272030</wp:posOffset>
            </wp:positionH>
            <wp:positionV relativeFrom="paragraph">
              <wp:posOffset>-113665</wp:posOffset>
            </wp:positionV>
            <wp:extent cx="8255" cy="178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52" w:lineRule="exact"/>
        <w:rPr>
          <w:sz w:val="20"/>
          <w:szCs w:val="20"/>
          <w:color w:val="auto"/>
        </w:rPr>
      </w:pPr>
    </w:p>
    <w:p>
      <w:pPr>
        <w:ind w:left="160" w:right="1240"/>
        <w:spacing w:after="0" w:line="282" w:lineRule="auto"/>
        <w:rPr>
          <w:sz w:val="20"/>
          <w:szCs w:val="20"/>
          <w:color w:val="auto"/>
        </w:rPr>
      </w:pPr>
      <w:r>
        <w:rPr>
          <w:rFonts w:ascii="Arial" w:cs="Arial" w:eastAsia="Arial" w:hAnsi="Arial"/>
          <w:sz w:val="29"/>
          <w:szCs w:val="29"/>
          <w:b w:val="1"/>
          <w:bCs w:val="1"/>
          <w:color w:val="023C5B"/>
        </w:rPr>
        <w:t>Voting Item 3: Ratification of the Selection of Ernst &amp; Young LLP as Our Independent Registered Public Accounting Firm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100330</wp:posOffset>
            </wp:positionV>
            <wp:extent cx="6929755" cy="1036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29755" cy="1036320"/>
                    </a:xfrm>
                    <a:prstGeom prst="rect">
                      <a:avLst/>
                    </a:prstGeom>
                    <a:noFill/>
                  </pic:spPr>
                </pic:pic>
              </a:graphicData>
            </a:graphic>
          </wp:anchor>
        </w:drawing>
      </w:r>
    </w:p>
    <w:p>
      <w:pPr>
        <w:spacing w:after="0" w:line="213" w:lineRule="exact"/>
        <w:rPr>
          <w:sz w:val="20"/>
          <w:szCs w:val="20"/>
          <w:color w:val="auto"/>
        </w:rPr>
      </w:pPr>
    </w:p>
    <w:p>
      <w:pPr>
        <w:jc w:val="both"/>
        <w:ind w:left="1700" w:right="80"/>
        <w:spacing w:after="0" w:line="227" w:lineRule="auto"/>
        <w:rPr>
          <w:sz w:val="20"/>
          <w:szCs w:val="20"/>
          <w:color w:val="auto"/>
        </w:rPr>
      </w:pPr>
      <w:r>
        <w:rPr>
          <w:rFonts w:ascii="Arial" w:cs="Arial" w:eastAsia="Arial" w:hAnsi="Arial"/>
          <w:sz w:val="18"/>
          <w:szCs w:val="18"/>
          <w:color w:val="auto"/>
        </w:rPr>
        <w:t>You are being asked to ratify the Audit Committee’s selection of Ernst &amp; Young LLP as our independent registered public accounting firm for 2026. For additional information regarding the Audit Committee’s selection of and the fees paid to Ernst &amp; Young LLP, see “Audit Committee Report” on page 127 and “Ratification of Selection of Our</w:t>
      </w:r>
    </w:p>
    <w:p>
      <w:pPr>
        <w:ind w:left="520" w:hanging="219"/>
        <w:spacing w:after="0"/>
        <w:tabs>
          <w:tab w:leader="none" w:pos="520" w:val="left"/>
        </w:tabs>
        <w:numPr>
          <w:ilvl w:val="0"/>
          <w:numId w:val="19"/>
        </w:numPr>
        <w:rPr>
          <w:rFonts w:ascii="Arial" w:cs="Arial" w:eastAsia="Arial" w:hAnsi="Arial"/>
          <w:sz w:val="21"/>
          <w:szCs w:val="21"/>
          <w:b w:val="1"/>
          <w:bCs w:val="1"/>
          <w:color w:val="FFFFFF"/>
        </w:rPr>
      </w:pPr>
      <w:r>
        <w:rPr>
          <w:rFonts w:ascii="Arial" w:cs="Arial" w:eastAsia="Arial" w:hAnsi="Arial"/>
          <w:sz w:val="21"/>
          <w:szCs w:val="21"/>
          <w:b w:val="1"/>
          <w:bCs w:val="1"/>
          <w:color w:val="FFFFFF"/>
        </w:rPr>
        <w:t>Item 3</w:t>
      </w:r>
      <w:r>
        <w:rPr>
          <w:rFonts w:ascii="Arial" w:cs="Arial" w:eastAsia="Arial" w:hAnsi="Arial"/>
          <w:sz w:val="17"/>
          <w:szCs w:val="17"/>
          <w:color w:val="auto"/>
        </w:rPr>
        <w:t>Independent Registered Public Accounting Firm” beginning on page 125 of this proxy statement.</w:t>
      </w:r>
    </w:p>
    <w:p>
      <w:pPr>
        <w:spacing w:after="0" w:line="134" w:lineRule="exact"/>
        <w:rPr>
          <w:sz w:val="20"/>
          <w:szCs w:val="20"/>
          <w:color w:val="auto"/>
        </w:rPr>
      </w:pPr>
    </w:p>
    <w:p>
      <w:pPr>
        <w:ind w:left="1980" w:right="100" w:hanging="267"/>
        <w:spacing w:after="0" w:line="245" w:lineRule="exact"/>
        <w:rPr>
          <w:sz w:val="20"/>
          <w:szCs w:val="20"/>
          <w:color w:val="auto"/>
        </w:rPr>
      </w:pPr>
      <w:r>
        <w:rPr>
          <w:rFonts w:ascii="MS PGothic" w:cs="MS PGothic" w:eastAsia="MS PGothic" w:hAnsi="MS PGothic"/>
          <w:sz w:val="18"/>
          <w:szCs w:val="18"/>
          <w:color w:val="023C5B"/>
        </w:rPr>
        <w:t>✓</w:t>
      </w:r>
      <w:r>
        <w:rPr>
          <w:rFonts w:ascii="Arial" w:cs="Arial" w:eastAsia="Arial" w:hAnsi="Arial"/>
          <w:sz w:val="18"/>
          <w:szCs w:val="18"/>
          <w:i w:val="1"/>
          <w:iCs w:val="1"/>
          <w:color w:val="023C5B"/>
        </w:rPr>
        <w:t xml:space="preserve">   Our Board unanimously recommends that you vote “FOR” the ratification of the selection of Ernst &amp; Young LLP as our independent registered public accounting firm for 2026.</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Voting Item 4: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173990</wp:posOffset>
            </wp:positionV>
            <wp:extent cx="6929755" cy="823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823595"/>
                    </a:xfrm>
                    <a:prstGeom prst="rect">
                      <a:avLst/>
                    </a:prstGeom>
                    <a:noFill/>
                  </pic:spPr>
                </pic:pic>
              </a:graphicData>
            </a:graphic>
          </wp:anchor>
        </w:drawing>
      </w:r>
    </w:p>
    <w:p>
      <w:pPr>
        <w:spacing w:after="0" w:line="328" w:lineRule="exact"/>
        <w:rPr>
          <w:sz w:val="20"/>
          <w:szCs w:val="20"/>
          <w:color w:val="auto"/>
        </w:rPr>
      </w:pPr>
    </w:p>
    <w:p>
      <w:pPr>
        <w:ind w:left="1700" w:right="100"/>
        <w:spacing w:after="0" w:line="239" w:lineRule="auto"/>
        <w:rPr>
          <w:sz w:val="20"/>
          <w:szCs w:val="20"/>
          <w:color w:val="auto"/>
        </w:rPr>
      </w:pPr>
      <w:r>
        <w:rPr>
          <w:rFonts w:ascii="Arial" w:cs="Arial" w:eastAsia="Arial" w:hAnsi="Arial"/>
          <w:sz w:val="18"/>
          <w:szCs w:val="18"/>
          <w:color w:val="auto"/>
        </w:rPr>
        <w:t>You are being asked to vote on one stockholder proposal. For additional information regarding the proposal, see “Stockholder Proposal” beginning on page 128 of this proxy statement.</w:t>
      </w:r>
    </w:p>
    <w:p>
      <w:pPr>
        <w:ind w:left="300"/>
        <w:spacing w:after="0" w:line="210" w:lineRule="auto"/>
        <w:rPr>
          <w:sz w:val="20"/>
          <w:szCs w:val="20"/>
          <w:color w:val="auto"/>
        </w:rPr>
      </w:pPr>
      <w:r>
        <w:rPr>
          <w:rFonts w:ascii="Arial" w:cs="Arial" w:eastAsia="Arial" w:hAnsi="Arial"/>
          <w:sz w:val="21"/>
          <w:szCs w:val="21"/>
          <w:b w:val="1"/>
          <w:bCs w:val="1"/>
          <w:color w:val="FFFFFF"/>
        </w:rPr>
        <w:t>   Item 4</w:t>
      </w:r>
    </w:p>
    <w:p>
      <w:pPr>
        <w:ind w:left="1980" w:right="100" w:hanging="267"/>
        <w:spacing w:after="0" w:line="213" w:lineRule="auto"/>
        <w:rPr>
          <w:sz w:val="20"/>
          <w:szCs w:val="20"/>
          <w:color w:val="auto"/>
        </w:rPr>
      </w:pPr>
      <w:r>
        <w:rPr>
          <w:rFonts w:ascii="Wingdings" w:cs="Wingdings" w:eastAsia="Wingdings" w:hAnsi="Wingdings"/>
          <w:sz w:val="25"/>
          <w:szCs w:val="25"/>
          <w:b w:val="1"/>
          <w:bCs w:val="1"/>
          <w:color w:val="023C5B"/>
        </w:rPr>
        <w:t>û</w:t>
      </w:r>
      <w:r>
        <w:rPr>
          <w:rFonts w:ascii="Arial" w:cs="Arial" w:eastAsia="Arial" w:hAnsi="Arial"/>
          <w:sz w:val="17"/>
          <w:szCs w:val="17"/>
          <w:i w:val="1"/>
          <w:iCs w:val="1"/>
          <w:color w:val="023C5B"/>
        </w:rPr>
        <w:t xml:space="preserve">  Our Board unanimously recommends that you vote “AGAINST” the stockholder proposal as disclosed in this proxy</w:t>
      </w:r>
      <w:r>
        <w:rPr>
          <w:rFonts w:ascii="Wingdings" w:cs="Wingdings" w:eastAsia="Wingdings" w:hAnsi="Wingdings"/>
          <w:sz w:val="25"/>
          <w:szCs w:val="25"/>
          <w:b w:val="1"/>
          <w:bCs w:val="1"/>
          <w:color w:val="023C5B"/>
        </w:rPr>
        <w:t xml:space="preserve"> </w:t>
      </w:r>
      <w:r>
        <w:rPr>
          <w:rFonts w:ascii="Arial" w:cs="Arial" w:eastAsia="Arial" w:hAnsi="Arial"/>
          <w:sz w:val="17"/>
          <w:szCs w:val="17"/>
          <w:i w:val="1"/>
          <w:iCs w:val="1"/>
          <w:color w:val="023C5B"/>
        </w:rPr>
        <w:t>statement.</w:t>
      </w:r>
    </w:p>
    <w:p>
      <w:pPr>
        <w:spacing w:after="0" w:line="235" w:lineRule="exact"/>
        <w:rPr>
          <w:sz w:val="20"/>
          <w:szCs w:val="20"/>
          <w:color w:val="auto"/>
        </w:rPr>
      </w:pPr>
    </w:p>
    <w:p>
      <w:pPr>
        <w:jc w:val="right"/>
        <w:spacing w:after="0"/>
        <w:tabs>
          <w:tab w:leader="none" w:pos="2240" w:val="left"/>
          <w:tab w:leader="none" w:pos="18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5558155</wp:posOffset>
            </wp:positionH>
            <wp:positionV relativeFrom="paragraph">
              <wp:posOffset>-97155</wp:posOffset>
            </wp:positionV>
            <wp:extent cx="8255" cy="178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31"/>
          <w:szCs w:val="31"/>
          <w:b w:val="1"/>
          <w:bCs w:val="1"/>
          <w:color w:val="auto"/>
        </w:rPr>
        <w:t>Table of Contents</w:t>
      </w:r>
    </w:p>
    <w:p>
      <w:pPr>
        <w:sectPr>
          <w:pgSz w:w="11900" w:h="16838" w:orient="portrait"/>
          <w:cols w:equalWidth="0" w:num="1">
            <w:col w:w="11020"/>
          </w:cols>
          <w:pgMar w:left="320" w:top="478"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Arial" w:cs="Arial" w:eastAsia="Arial" w:hAnsi="Arial"/>
          <w:sz w:val="20"/>
          <w:szCs w:val="20"/>
          <w:b w:val="1"/>
          <w:bCs w:val="1"/>
          <w:u w:val="single" w:color="auto"/>
          <w:color w:val="0000E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38735</wp:posOffset>
            </wp:positionV>
            <wp:extent cx="33204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760" w:type="dxa"/>
            <w:vAlign w:val="bottom"/>
            <w:gridSpan w:val="31"/>
          </w:tcPr>
          <w:p>
            <w:pPr>
              <w:ind w:left="20"/>
              <w:spacing w:after="0"/>
              <w:rPr>
                <w:sz w:val="20"/>
                <w:szCs w:val="20"/>
                <w:color w:val="auto"/>
              </w:rPr>
            </w:pPr>
            <w:r>
              <w:rPr>
                <w:rFonts w:ascii="Arial" w:cs="Arial" w:eastAsia="Arial" w:hAnsi="Arial"/>
                <w:sz w:val="16"/>
                <w:szCs w:val="16"/>
                <w:b w:val="1"/>
                <w:bCs w:val="1"/>
                <w:color w:val="0000EE"/>
              </w:rPr>
              <w:t>Section I - Election of Directors (Item 1 on Proxy Card)</w:t>
            </w:r>
          </w:p>
        </w:tc>
        <w:tc>
          <w:tcPr>
            <w:tcW w:w="4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6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6"/>
                <w:szCs w:val="16"/>
                <w:color w:val="0000EE"/>
                <w:w w:val="99"/>
              </w:rPr>
              <w:t>Our Director Nominees</w:t>
            </w:r>
          </w:p>
        </w:tc>
        <w:tc>
          <w:tcPr>
            <w:tcW w:w="2280" w:type="dxa"/>
            <w:vAlign w:val="bottom"/>
            <w:tcBorders>
              <w:top w:val="single" w:sz="8" w:color="0000EE"/>
            </w:tcBorders>
            <w:gridSpan w:val="19"/>
          </w:tcPr>
          <w:p>
            <w:pPr>
              <w:spacing w:after="0"/>
              <w:rPr>
                <w:sz w:val="23"/>
                <w:szCs w:val="23"/>
                <w:color w:val="auto"/>
              </w:rPr>
            </w:pPr>
          </w:p>
        </w:tc>
        <w:tc>
          <w:tcPr>
            <w:tcW w:w="620" w:type="dxa"/>
            <w:vAlign w:val="bottom"/>
            <w:gridSpan w:val="3"/>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w w:val="99"/>
              </w:rPr>
              <w:t>Skills and Experience of Our Director Nominees</w:t>
            </w:r>
          </w:p>
        </w:tc>
        <w:tc>
          <w:tcPr>
            <w:tcW w:w="1140" w:type="dxa"/>
            <w:vAlign w:val="bottom"/>
            <w:gridSpan w:val="7"/>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4"/>
        </w:trPr>
        <w:tc>
          <w:tcPr>
            <w:tcW w:w="4760" w:type="dxa"/>
            <w:vAlign w:val="bottom"/>
            <w:gridSpan w:val="31"/>
          </w:tcPr>
          <w:p>
            <w:pPr>
              <w:ind w:left="20"/>
              <w:spacing w:after="0"/>
              <w:rPr>
                <w:sz w:val="20"/>
                <w:szCs w:val="20"/>
                <w:color w:val="auto"/>
              </w:rPr>
            </w:pPr>
            <w:r>
              <w:rPr>
                <w:rFonts w:ascii="Arial" w:cs="Arial" w:eastAsia="Arial" w:hAnsi="Arial"/>
                <w:sz w:val="16"/>
                <w:szCs w:val="16"/>
                <w:b w:val="1"/>
                <w:bCs w:val="1"/>
                <w:color w:val="0000EE"/>
              </w:rPr>
              <w:t>Section II - Corporate Governance at Capital One</w:t>
            </w: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540" w:type="dxa"/>
            <w:vAlign w:val="bottom"/>
            <w:gridSpan w:val="28"/>
          </w:tcPr>
          <w:p>
            <w:pPr>
              <w:spacing w:after="0"/>
              <w:rPr>
                <w:sz w:val="20"/>
                <w:szCs w:val="20"/>
                <w:color w:val="auto"/>
              </w:rPr>
            </w:pPr>
            <w:r>
              <w:rPr>
                <w:rFonts w:ascii="Arial" w:cs="Arial" w:eastAsia="Arial" w:hAnsi="Arial"/>
                <w:sz w:val="16"/>
                <w:szCs w:val="16"/>
                <w:color w:val="0000EE"/>
              </w:rPr>
              <w:t>Overview of Corporate Governance at Capital One</w:t>
            </w: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96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6"/>
                <w:szCs w:val="16"/>
                <w:color w:val="0000EE"/>
                <w:w w:val="99"/>
              </w:rPr>
              <w:t>Board Leadership Structure</w:t>
            </w:r>
          </w:p>
        </w:tc>
        <w:tc>
          <w:tcPr>
            <w:tcW w:w="1620" w:type="dxa"/>
            <w:vAlign w:val="bottom"/>
            <w:tcBorders>
              <w:top w:val="single" w:sz="8" w:color="0000EE"/>
            </w:tcBorders>
            <w:gridSpan w:val="14"/>
          </w:tcPr>
          <w:p>
            <w:pPr>
              <w:spacing w:after="0"/>
              <w:rPr>
                <w:sz w:val="23"/>
                <w:szCs w:val="23"/>
                <w:color w:val="auto"/>
              </w:rPr>
            </w:pPr>
          </w:p>
        </w:tc>
        <w:tc>
          <w:tcPr>
            <w:tcW w:w="960" w:type="dxa"/>
            <w:vAlign w:val="bottom"/>
            <w:gridSpan w:val="5"/>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540" w:type="dxa"/>
            <w:vAlign w:val="bottom"/>
            <w:gridSpan w:val="28"/>
          </w:tcPr>
          <w:p>
            <w:pPr>
              <w:spacing w:after="0"/>
              <w:rPr>
                <w:sz w:val="20"/>
                <w:szCs w:val="20"/>
                <w:color w:val="auto"/>
              </w:rPr>
            </w:pPr>
            <w:r>
              <w:rPr>
                <w:rFonts w:ascii="Arial" w:cs="Arial" w:eastAsia="Arial" w:hAnsi="Arial"/>
                <w:sz w:val="16"/>
                <w:szCs w:val="16"/>
                <w:color w:val="0000EE"/>
              </w:rPr>
              <w:t>Key Board Governance Practices</w:t>
            </w:r>
          </w:p>
        </w:tc>
        <w:tc>
          <w:tcPr>
            <w:tcW w:w="4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540" w:type="dxa"/>
            <w:vAlign w:val="bottom"/>
            <w:gridSpan w:val="28"/>
          </w:tcPr>
          <w:p>
            <w:pPr>
              <w:spacing w:after="0"/>
              <w:rPr>
                <w:sz w:val="20"/>
                <w:szCs w:val="20"/>
                <w:color w:val="auto"/>
              </w:rPr>
            </w:pPr>
            <w:r>
              <w:rPr>
                <w:rFonts w:ascii="Arial" w:cs="Arial" w:eastAsia="Arial" w:hAnsi="Arial"/>
                <w:sz w:val="16"/>
                <w:szCs w:val="16"/>
                <w:color w:val="0000EE"/>
              </w:rPr>
              <w:t>The Board’s Role in Corporate Oversight</w:t>
            </w:r>
          </w:p>
        </w:tc>
        <w:tc>
          <w:tcPr>
            <w:tcW w:w="4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0000EE"/>
                <w:w w:val="99"/>
              </w:rPr>
              <w:t>Stockholder Engagement</w:t>
            </w:r>
          </w:p>
        </w:tc>
        <w:tc>
          <w:tcPr>
            <w:tcW w:w="1080" w:type="dxa"/>
            <w:vAlign w:val="bottom"/>
            <w:tcBorders>
              <w:top w:val="single" w:sz="8" w:color="0000EE"/>
            </w:tcBorders>
            <w:gridSpan w:val="12"/>
          </w:tcPr>
          <w:p>
            <w:pPr>
              <w:spacing w:after="0"/>
              <w:rPr>
                <w:sz w:val="23"/>
                <w:szCs w:val="23"/>
                <w:color w:val="auto"/>
              </w:rPr>
            </w:pPr>
          </w:p>
        </w:tc>
        <w:tc>
          <w:tcPr>
            <w:tcW w:w="1660" w:type="dxa"/>
            <w:vAlign w:val="bottom"/>
            <w:gridSpan w:val="9"/>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540" w:type="dxa"/>
            <w:vAlign w:val="bottom"/>
            <w:gridSpan w:val="28"/>
          </w:tcPr>
          <w:p>
            <w:pPr>
              <w:spacing w:after="0"/>
              <w:rPr>
                <w:sz w:val="20"/>
                <w:szCs w:val="20"/>
                <w:color w:val="auto"/>
              </w:rPr>
            </w:pPr>
            <w:r>
              <w:rPr>
                <w:rFonts w:ascii="Arial" w:cs="Arial" w:eastAsia="Arial" w:hAnsi="Arial"/>
                <w:sz w:val="16"/>
                <w:szCs w:val="16"/>
                <w:color w:val="0000EE"/>
              </w:rPr>
              <w:t>Board Committees</w:t>
            </w:r>
          </w:p>
        </w:tc>
        <w:tc>
          <w:tcPr>
            <w:tcW w:w="4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2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0000EE"/>
              </w:rPr>
              <w:t>Executive Officers</w:t>
            </w:r>
          </w:p>
        </w:tc>
        <w:tc>
          <w:tcPr>
            <w:tcW w:w="3220" w:type="dxa"/>
            <w:vAlign w:val="bottom"/>
            <w:gridSpan w:val="25"/>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w w:val="98"/>
              </w:rPr>
              <w:t>Related Person Transactions</w:t>
            </w:r>
          </w:p>
        </w:tc>
        <w:tc>
          <w:tcPr>
            <w:tcW w:w="2460" w:type="dxa"/>
            <w:vAlign w:val="bottom"/>
            <w:gridSpan w:val="18"/>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8"/>
              </w:rPr>
              <w:t>How to Contact Us</w:t>
            </w:r>
          </w:p>
        </w:tc>
        <w:tc>
          <w:tcPr>
            <w:tcW w:w="3200" w:type="dxa"/>
            <w:vAlign w:val="bottom"/>
            <w:gridSpan w:val="24"/>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4"/>
        </w:trPr>
        <w:tc>
          <w:tcPr>
            <w:tcW w:w="4760" w:type="dxa"/>
            <w:vAlign w:val="bottom"/>
            <w:gridSpan w:val="31"/>
          </w:tcPr>
          <w:p>
            <w:pPr>
              <w:ind w:left="20"/>
              <w:spacing w:after="0"/>
              <w:rPr>
                <w:sz w:val="20"/>
                <w:szCs w:val="20"/>
                <w:color w:val="auto"/>
              </w:rPr>
            </w:pPr>
            <w:r>
              <w:rPr>
                <w:rFonts w:ascii="Arial" w:cs="Arial" w:eastAsia="Arial" w:hAnsi="Arial"/>
                <w:sz w:val="16"/>
                <w:szCs w:val="16"/>
                <w:b w:val="1"/>
                <w:bCs w:val="1"/>
                <w:color w:val="0000EE"/>
              </w:rPr>
              <w:t>Section III - Director Compensation</w:t>
            </w:r>
          </w:p>
        </w:tc>
        <w:tc>
          <w:tcPr>
            <w:tcW w:w="4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60" w:type="dxa"/>
            <w:vAlign w:val="bottom"/>
            <w:tcBorders>
              <w:top w:val="single" w:sz="8" w:color="0000EE"/>
            </w:tcBorders>
            <w:gridSpan w:val="14"/>
          </w:tcPr>
          <w:p>
            <w:pPr>
              <w:spacing w:after="0"/>
              <w:rPr>
                <w:sz w:val="20"/>
                <w:szCs w:val="20"/>
                <w:color w:val="auto"/>
              </w:rPr>
            </w:pPr>
            <w:r>
              <w:rPr>
                <w:rFonts w:ascii="Arial" w:cs="Arial" w:eastAsia="Arial" w:hAnsi="Arial"/>
                <w:sz w:val="16"/>
                <w:szCs w:val="16"/>
                <w:color w:val="0000EE"/>
              </w:rPr>
              <w:t>Director Compensation Objectives</w:t>
            </w:r>
          </w:p>
        </w:tc>
        <w:tc>
          <w:tcPr>
            <w:tcW w:w="2080" w:type="dxa"/>
            <w:vAlign w:val="bottom"/>
            <w:gridSpan w:val="14"/>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50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w w:val="99"/>
              </w:rPr>
              <w:t>Director Compensation Procedures</w:t>
            </w:r>
          </w:p>
        </w:tc>
        <w:tc>
          <w:tcPr>
            <w:tcW w:w="2040" w:type="dxa"/>
            <w:vAlign w:val="bottom"/>
            <w:gridSpan w:val="13"/>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540" w:type="dxa"/>
            <w:vAlign w:val="bottom"/>
            <w:gridSpan w:val="28"/>
          </w:tcPr>
          <w:p>
            <w:pPr>
              <w:spacing w:after="0"/>
              <w:rPr>
                <w:sz w:val="20"/>
                <w:szCs w:val="20"/>
                <w:color w:val="auto"/>
              </w:rPr>
            </w:pPr>
            <w:r>
              <w:rPr>
                <w:rFonts w:ascii="Arial" w:cs="Arial" w:eastAsia="Arial" w:hAnsi="Arial"/>
                <w:sz w:val="16"/>
                <w:szCs w:val="16"/>
                <w:color w:val="0000EE"/>
              </w:rPr>
              <w:t>Director Compensation Structure</w:t>
            </w:r>
          </w:p>
        </w:tc>
        <w:tc>
          <w:tcPr>
            <w:tcW w:w="4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7"/>
              </w:rPr>
              <w:t>Other Benefits</w:t>
            </w:r>
          </w:p>
        </w:tc>
        <w:tc>
          <w:tcPr>
            <w:tcW w:w="1340" w:type="dxa"/>
            <w:vAlign w:val="bottom"/>
            <w:tcBorders>
              <w:top w:val="single" w:sz="8" w:color="0000EE"/>
            </w:tcBorders>
            <w:gridSpan w:val="11"/>
          </w:tcPr>
          <w:p>
            <w:pPr>
              <w:spacing w:after="0"/>
              <w:rPr>
                <w:sz w:val="23"/>
                <w:szCs w:val="23"/>
                <w:color w:val="auto"/>
              </w:rPr>
            </w:pPr>
          </w:p>
        </w:tc>
        <w:tc>
          <w:tcPr>
            <w:tcW w:w="2180" w:type="dxa"/>
            <w:vAlign w:val="bottom"/>
            <w:gridSpan w:val="16"/>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90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99"/>
              </w:rPr>
              <w:t>Compensation of Directors</w:t>
            </w:r>
          </w:p>
        </w:tc>
        <w:tc>
          <w:tcPr>
            <w:tcW w:w="2640" w:type="dxa"/>
            <w:vAlign w:val="bottom"/>
            <w:gridSpan w:val="20"/>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540" w:type="dxa"/>
            <w:vAlign w:val="bottom"/>
            <w:gridSpan w:val="28"/>
          </w:tcPr>
          <w:p>
            <w:pPr>
              <w:spacing w:after="0"/>
              <w:rPr>
                <w:sz w:val="20"/>
                <w:szCs w:val="20"/>
                <w:color w:val="auto"/>
              </w:rPr>
            </w:pPr>
            <w:r>
              <w:rPr>
                <w:rFonts w:ascii="Arial" w:cs="Arial" w:eastAsia="Arial" w:hAnsi="Arial"/>
                <w:sz w:val="16"/>
                <w:szCs w:val="16"/>
                <w:color w:val="0000EE"/>
              </w:rPr>
              <w:t>Stock Ownership Requirements</w:t>
            </w:r>
          </w:p>
        </w:tc>
        <w:tc>
          <w:tcPr>
            <w:tcW w:w="4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660" w:type="dxa"/>
            <w:vAlign w:val="bottom"/>
            <w:tcBorders>
              <w:righ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760" w:type="dxa"/>
            <w:vAlign w:val="bottom"/>
            <w:gridSpan w:val="31"/>
          </w:tcPr>
          <w:p>
            <w:pPr>
              <w:ind w:left="20"/>
              <w:spacing w:after="0"/>
              <w:rPr>
                <w:sz w:val="20"/>
                <w:szCs w:val="20"/>
                <w:color w:val="auto"/>
              </w:rPr>
            </w:pPr>
            <w:r>
              <w:rPr>
                <w:rFonts w:ascii="Arial" w:cs="Arial" w:eastAsia="Arial" w:hAnsi="Arial"/>
                <w:sz w:val="20"/>
                <w:szCs w:val="20"/>
                <w:b w:val="1"/>
                <w:bCs w:val="1"/>
                <w:color w:val="0000EE"/>
              </w:rPr>
              <w:t>EXECUTIVE COMPENSATION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020" w:type="dxa"/>
            <w:vAlign w:val="bottom"/>
            <w:tcBorders>
              <w:top w:val="single" w:sz="8" w:color="0000EE"/>
              <w:bottom w:val="single" w:sz="8" w:color="auto"/>
            </w:tcBorders>
          </w:tcPr>
          <w:p>
            <w:pPr>
              <w:spacing w:after="0"/>
              <w:rPr>
                <w:sz w:val="5"/>
                <w:szCs w:val="5"/>
                <w:color w:val="auto"/>
              </w:rPr>
            </w:pPr>
          </w:p>
        </w:tc>
        <w:tc>
          <w:tcPr>
            <w:tcW w:w="2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1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4760" w:type="dxa"/>
            <w:vAlign w:val="bottom"/>
            <w:gridSpan w:val="31"/>
          </w:tcPr>
          <w:p>
            <w:pPr>
              <w:ind w:left="20"/>
              <w:spacing w:after="0"/>
              <w:rPr>
                <w:sz w:val="20"/>
                <w:szCs w:val="20"/>
                <w:color w:val="auto"/>
              </w:rPr>
            </w:pPr>
            <w:r>
              <w:rPr>
                <w:rFonts w:ascii="Arial" w:cs="Arial" w:eastAsia="Arial" w:hAnsi="Arial"/>
                <w:sz w:val="16"/>
                <w:szCs w:val="16"/>
                <w:b w:val="1"/>
                <w:bCs w:val="1"/>
                <w:color w:val="0000EE"/>
              </w:rPr>
              <w:t>Section IV - Advisory Vote on Our Named Executive Officer</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60" w:type="dxa"/>
            <w:vAlign w:val="bottom"/>
            <w:tcBorders>
              <w:top w:val="single" w:sz="8" w:color="0000EE"/>
              <w:bottom w:val="single" w:sz="8" w:color="0000EE"/>
            </w:tcBorders>
            <w:gridSpan w:val="27"/>
          </w:tcPr>
          <w:p>
            <w:pPr>
              <w:spacing w:after="0" w:line="168" w:lineRule="exact"/>
              <w:rPr>
                <w:sz w:val="20"/>
                <w:szCs w:val="20"/>
                <w:color w:val="auto"/>
              </w:rPr>
            </w:pPr>
            <w:r>
              <w:rPr>
                <w:rFonts w:ascii="Arial" w:cs="Arial" w:eastAsia="Arial" w:hAnsi="Arial"/>
                <w:sz w:val="16"/>
                <w:szCs w:val="16"/>
                <w:b w:val="1"/>
                <w:bCs w:val="1"/>
                <w:color w:val="0000EE"/>
                <w:w w:val="99"/>
              </w:rPr>
              <w:t>Compensation (“Say On Pay”) (Item 2 on Proxy Card)</w:t>
            </w:r>
          </w:p>
        </w:tc>
        <w:tc>
          <w:tcPr>
            <w:tcW w:w="26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4760" w:type="dxa"/>
            <w:vAlign w:val="bottom"/>
            <w:gridSpan w:val="31"/>
          </w:tcPr>
          <w:p>
            <w:pPr>
              <w:ind w:left="20"/>
              <w:spacing w:after="0"/>
              <w:rPr>
                <w:sz w:val="20"/>
                <w:szCs w:val="20"/>
                <w:color w:val="auto"/>
              </w:rPr>
            </w:pPr>
            <w:r>
              <w:rPr>
                <w:rFonts w:ascii="Arial" w:cs="Arial" w:eastAsia="Arial" w:hAnsi="Arial"/>
                <w:sz w:val="16"/>
                <w:szCs w:val="16"/>
                <w:b w:val="1"/>
                <w:bCs w:val="1"/>
                <w:color w:val="0000EE"/>
              </w:rPr>
              <w:t>Section V - Compensation Discussion and Analysis</w:t>
            </w:r>
          </w:p>
        </w:tc>
        <w:tc>
          <w:tcPr>
            <w:tcW w:w="48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4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0000EE"/>
                <w:w w:val="98"/>
              </w:rPr>
              <w:t>Executive Summary</w:t>
            </w:r>
          </w:p>
        </w:tc>
        <w:tc>
          <w:tcPr>
            <w:tcW w:w="2300" w:type="dxa"/>
            <w:vAlign w:val="bottom"/>
            <w:tcBorders>
              <w:top w:val="single" w:sz="8" w:color="0000EE"/>
            </w:tcBorders>
            <w:gridSpan w:val="19"/>
          </w:tcPr>
          <w:p>
            <w:pPr>
              <w:spacing w:after="0"/>
              <w:rPr>
                <w:sz w:val="23"/>
                <w:szCs w:val="23"/>
                <w:color w:val="auto"/>
              </w:rPr>
            </w:pPr>
          </w:p>
        </w:tc>
        <w:tc>
          <w:tcPr>
            <w:tcW w:w="820" w:type="dxa"/>
            <w:vAlign w:val="bottom"/>
            <w:gridSpan w:val="4"/>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540" w:type="dxa"/>
            <w:vAlign w:val="bottom"/>
            <w:gridSpan w:val="28"/>
          </w:tcPr>
          <w:p>
            <w:pPr>
              <w:spacing w:after="0"/>
              <w:rPr>
                <w:sz w:val="20"/>
                <w:szCs w:val="20"/>
                <w:color w:val="auto"/>
              </w:rPr>
            </w:pPr>
            <w:r>
              <w:rPr>
                <w:rFonts w:ascii="Arial" w:cs="Arial" w:eastAsia="Arial" w:hAnsi="Arial"/>
                <w:sz w:val="16"/>
                <w:szCs w:val="16"/>
                <w:color w:val="0000EE"/>
              </w:rPr>
              <w:t>Our Compensation Principles and Objectives</w:t>
            </w:r>
          </w:p>
        </w:tc>
        <w:tc>
          <w:tcPr>
            <w:tcW w:w="4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72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6"/>
                <w:szCs w:val="16"/>
                <w:color w:val="0000EE"/>
                <w:w w:val="99"/>
              </w:rPr>
              <w:t>Our Compensation Governance Cycle</w:t>
            </w:r>
          </w:p>
        </w:tc>
        <w:tc>
          <w:tcPr>
            <w:tcW w:w="460" w:type="dxa"/>
            <w:vAlign w:val="bottom"/>
            <w:tcBorders>
              <w:top w:val="single" w:sz="8" w:color="0000EE"/>
            </w:tcBorders>
            <w:gridSpan w:val="2"/>
          </w:tcPr>
          <w:p>
            <w:pPr>
              <w:spacing w:after="0"/>
              <w:rPr>
                <w:sz w:val="23"/>
                <w:szCs w:val="23"/>
                <w:color w:val="auto"/>
              </w:rPr>
            </w:pPr>
          </w:p>
        </w:tc>
        <w:tc>
          <w:tcPr>
            <w:tcW w:w="1360" w:type="dxa"/>
            <w:vAlign w:val="bottom"/>
            <w:gridSpan w:val="8"/>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540" w:type="dxa"/>
            <w:vAlign w:val="bottom"/>
            <w:gridSpan w:val="28"/>
          </w:tcPr>
          <w:p>
            <w:pPr>
              <w:spacing w:after="0"/>
              <w:rPr>
                <w:sz w:val="20"/>
                <w:szCs w:val="20"/>
                <w:color w:val="auto"/>
              </w:rPr>
            </w:pPr>
            <w:r>
              <w:rPr>
                <w:rFonts w:ascii="Arial" w:cs="Arial" w:eastAsia="Arial" w:hAnsi="Arial"/>
                <w:sz w:val="16"/>
                <w:szCs w:val="16"/>
                <w:color w:val="0000EE"/>
              </w:rPr>
              <w:t>Chief Executive Officer Compensation</w:t>
            </w:r>
          </w:p>
        </w:tc>
        <w:tc>
          <w:tcPr>
            <w:tcW w:w="4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0000EE"/>
                <w:w w:val="98"/>
              </w:rPr>
              <w:t>NEO Compensation</w:t>
            </w:r>
          </w:p>
        </w:tc>
        <w:tc>
          <w:tcPr>
            <w:tcW w:w="1280" w:type="dxa"/>
            <w:vAlign w:val="bottom"/>
            <w:tcBorders>
              <w:top w:val="single" w:sz="8" w:color="0000EE"/>
            </w:tcBorders>
            <w:gridSpan w:val="12"/>
          </w:tcPr>
          <w:p>
            <w:pPr>
              <w:spacing w:after="0"/>
              <w:rPr>
                <w:sz w:val="23"/>
                <w:szCs w:val="23"/>
                <w:color w:val="auto"/>
              </w:rPr>
            </w:pPr>
          </w:p>
        </w:tc>
        <w:tc>
          <w:tcPr>
            <w:tcW w:w="1840" w:type="dxa"/>
            <w:vAlign w:val="bottom"/>
            <w:gridSpan w:val="11"/>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2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Discover-Related Special Awards</w:t>
            </w:r>
          </w:p>
        </w:tc>
        <w:tc>
          <w:tcPr>
            <w:tcW w:w="2120" w:type="dxa"/>
            <w:vAlign w:val="bottom"/>
            <w:gridSpan w:val="15"/>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540" w:type="dxa"/>
            <w:vAlign w:val="bottom"/>
            <w:gridSpan w:val="28"/>
          </w:tcPr>
          <w:p>
            <w:pPr>
              <w:spacing w:after="0"/>
              <w:rPr>
                <w:sz w:val="20"/>
                <w:szCs w:val="20"/>
                <w:color w:val="auto"/>
              </w:rPr>
            </w:pPr>
            <w:r>
              <w:rPr>
                <w:rFonts w:ascii="Arial" w:cs="Arial" w:eastAsia="Arial" w:hAnsi="Arial"/>
                <w:sz w:val="16"/>
                <w:szCs w:val="16"/>
                <w:color w:val="0000EE"/>
              </w:rPr>
              <w:t>2026 Compensation Program</w:t>
            </w:r>
          </w:p>
        </w:tc>
        <w:tc>
          <w:tcPr>
            <w:tcW w:w="48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4320" w:type="dxa"/>
            <w:vAlign w:val="bottom"/>
            <w:gridSpan w:val="35"/>
          </w:tcPr>
          <w:p>
            <w:pPr>
              <w:spacing w:after="0"/>
              <w:rPr>
                <w:sz w:val="20"/>
                <w:szCs w:val="20"/>
                <w:color w:val="auto"/>
              </w:rPr>
            </w:pPr>
            <w:r>
              <w:rPr>
                <w:rFonts w:ascii="Arial" w:cs="Arial" w:eastAsia="Arial" w:hAnsi="Arial"/>
                <w:sz w:val="16"/>
                <w:szCs w:val="16"/>
                <w:color w:val="0000EE"/>
              </w:rPr>
              <w:t>Additional Performance Conditions and Recovery</w:t>
            </w:r>
          </w:p>
        </w:tc>
        <w:tc>
          <w:tcPr>
            <w:tcW w:w="760" w:type="dxa"/>
            <w:vAlign w:val="bottom"/>
            <w:vMerge w:val="restart"/>
          </w:tcPr>
          <w:p>
            <w:pPr>
              <w:ind w:left="50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740" w:type="dxa"/>
            <w:vAlign w:val="bottom"/>
            <w:tcBorders>
              <w:top w:val="single" w:sz="8" w:color="0000EE"/>
              <w:bottom w:val="single" w:sz="8" w:color="0000EE"/>
            </w:tcBorders>
            <w:gridSpan w:val="5"/>
          </w:tcPr>
          <w:p>
            <w:pPr>
              <w:spacing w:after="0" w:line="168" w:lineRule="exact"/>
              <w:rPr>
                <w:sz w:val="20"/>
                <w:szCs w:val="20"/>
                <w:color w:val="auto"/>
              </w:rPr>
            </w:pPr>
            <w:r>
              <w:rPr>
                <w:rFonts w:ascii="Arial" w:cs="Arial" w:eastAsia="Arial" w:hAnsi="Arial"/>
                <w:sz w:val="16"/>
                <w:szCs w:val="16"/>
                <w:color w:val="0000EE"/>
                <w:w w:val="97"/>
              </w:rPr>
              <w:t>Provisions</w:t>
            </w:r>
          </w:p>
        </w:tc>
        <w:tc>
          <w:tcPr>
            <w:tcW w:w="2580" w:type="dxa"/>
            <w:vAlign w:val="bottom"/>
            <w:tcBorders>
              <w:top w:val="single" w:sz="8" w:color="0000EE"/>
            </w:tcBorders>
            <w:gridSpan w:val="24"/>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320" w:type="dxa"/>
            <w:vAlign w:val="bottom"/>
            <w:gridSpan w:val="35"/>
          </w:tcPr>
          <w:p>
            <w:pPr>
              <w:spacing w:after="0"/>
              <w:rPr>
                <w:sz w:val="20"/>
                <w:szCs w:val="20"/>
                <w:color w:val="auto"/>
              </w:rPr>
            </w:pPr>
            <w:r>
              <w:rPr>
                <w:rFonts w:ascii="Arial" w:cs="Arial" w:eastAsia="Arial" w:hAnsi="Arial"/>
                <w:sz w:val="16"/>
                <w:szCs w:val="16"/>
                <w:color w:val="0000EE"/>
              </w:rPr>
              <w:t>Process and Criteria for Compensation Decisions</w:t>
            </w:r>
          </w:p>
        </w:tc>
        <w:tc>
          <w:tcPr>
            <w:tcW w:w="760" w:type="dxa"/>
            <w:vAlign w:val="bottom"/>
          </w:tcPr>
          <w:p>
            <w:pPr>
              <w:ind w:left="50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254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6"/>
                <w:szCs w:val="16"/>
                <w:color w:val="0000EE"/>
                <w:w w:val="99"/>
              </w:rPr>
              <w:t>Other Compensation Arrangements</w:t>
            </w:r>
          </w:p>
        </w:tc>
        <w:tc>
          <w:tcPr>
            <w:tcW w:w="960" w:type="dxa"/>
            <w:vAlign w:val="bottom"/>
            <w:tcBorders>
              <w:top w:val="single" w:sz="8" w:color="0000EE"/>
            </w:tcBorders>
            <w:gridSpan w:val="12"/>
          </w:tcPr>
          <w:p>
            <w:pPr>
              <w:spacing w:after="0"/>
              <w:rPr>
                <w:sz w:val="23"/>
                <w:szCs w:val="23"/>
                <w:color w:val="auto"/>
              </w:rPr>
            </w:pPr>
          </w:p>
        </w:tc>
        <w:tc>
          <w:tcPr>
            <w:tcW w:w="820" w:type="dxa"/>
            <w:vAlign w:val="bottom"/>
            <w:gridSpan w:val="6"/>
          </w:tcPr>
          <w:p>
            <w:pPr>
              <w:spacing w:after="0"/>
              <w:rPr>
                <w:sz w:val="23"/>
                <w:szCs w:val="23"/>
                <w:color w:val="auto"/>
              </w:rPr>
            </w:pPr>
          </w:p>
        </w:tc>
        <w:tc>
          <w:tcPr>
            <w:tcW w:w="760" w:type="dxa"/>
            <w:vAlign w:val="bottom"/>
          </w:tcPr>
          <w:p>
            <w:pPr>
              <w:ind w:left="50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302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w w:val="99"/>
              </w:rPr>
              <w:t>Other Aspects of Executive Compensation</w:t>
            </w:r>
          </w:p>
        </w:tc>
        <w:tc>
          <w:tcPr>
            <w:tcW w:w="1300" w:type="dxa"/>
            <w:vAlign w:val="bottom"/>
            <w:gridSpan w:val="12"/>
          </w:tcPr>
          <w:p>
            <w:pPr>
              <w:spacing w:after="0"/>
              <w:rPr>
                <w:sz w:val="23"/>
                <w:szCs w:val="23"/>
                <w:color w:val="auto"/>
              </w:rPr>
            </w:pPr>
          </w:p>
        </w:tc>
        <w:tc>
          <w:tcPr>
            <w:tcW w:w="760" w:type="dxa"/>
            <w:vAlign w:val="bottom"/>
          </w:tcPr>
          <w:p>
            <w:pPr>
              <w:ind w:left="50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74"/>
        </w:trPr>
        <w:tc>
          <w:tcPr>
            <w:tcW w:w="4520" w:type="dxa"/>
            <w:vAlign w:val="bottom"/>
            <w:gridSpan w:val="36"/>
          </w:tcPr>
          <w:p>
            <w:pPr>
              <w:spacing w:after="0"/>
              <w:rPr>
                <w:sz w:val="20"/>
                <w:szCs w:val="20"/>
                <w:color w:val="auto"/>
              </w:rPr>
            </w:pPr>
            <w:r>
              <w:rPr>
                <w:rFonts w:ascii="Arial" w:cs="Arial" w:eastAsia="Arial" w:hAnsi="Arial"/>
                <w:sz w:val="16"/>
                <w:szCs w:val="16"/>
                <w:b w:val="1"/>
                <w:bCs w:val="1"/>
                <w:color w:val="0000EE"/>
              </w:rPr>
              <w:t>Section VI - Compensation Committee Report</w:t>
            </w:r>
          </w:p>
        </w:tc>
        <w:tc>
          <w:tcPr>
            <w:tcW w:w="760" w:type="dxa"/>
            <w:vAlign w:val="bottom"/>
          </w:tcPr>
          <w:p>
            <w:pPr>
              <w:ind w:left="50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
        </w:trPr>
        <w:tc>
          <w:tcPr>
            <w:tcW w:w="7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020" w:type="dxa"/>
            <w:vAlign w:val="bottom"/>
            <w:tcBorders>
              <w:bottom w:val="single" w:sz="8" w:color="0000EE"/>
            </w:tcBorders>
            <w:gridSpan w:val="35"/>
          </w:tcPr>
          <w:p>
            <w:pPr>
              <w:spacing w:after="0"/>
              <w:rPr>
                <w:sz w:val="20"/>
                <w:szCs w:val="20"/>
                <w:color w:val="auto"/>
              </w:rPr>
            </w:pPr>
            <w:r>
              <w:rPr>
                <w:rFonts w:ascii="Arial" w:cs="Arial" w:eastAsia="Arial" w:hAnsi="Arial"/>
                <w:sz w:val="16"/>
                <w:szCs w:val="16"/>
                <w:b w:val="1"/>
                <w:bCs w:val="1"/>
                <w:color w:val="0000EE"/>
                <w:w w:val="99"/>
              </w:rPr>
              <w:t>Section VII - Named Executive Officer Compensation</w:t>
            </w:r>
          </w:p>
        </w:tc>
        <w:tc>
          <w:tcPr>
            <w:tcW w:w="500" w:type="dxa"/>
            <w:vAlign w:val="bottom"/>
          </w:tcPr>
          <w:p>
            <w:pPr>
              <w:spacing w:after="0"/>
              <w:rPr>
                <w:sz w:val="23"/>
                <w:szCs w:val="23"/>
                <w:color w:val="auto"/>
              </w:rPr>
            </w:pPr>
          </w:p>
        </w:tc>
        <w:tc>
          <w:tcPr>
            <w:tcW w:w="760" w:type="dxa"/>
            <w:vAlign w:val="bottom"/>
          </w:tcPr>
          <w:p>
            <w:pPr>
              <w:ind w:left="50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4"/>
        </w:trPr>
        <w:tc>
          <w:tcPr>
            <w:tcW w:w="580" w:type="dxa"/>
            <w:vAlign w:val="bottom"/>
            <w:gridSpan w:val="3"/>
          </w:tcPr>
          <w:p>
            <w:pPr>
              <w:ind w:left="200"/>
              <w:spacing w:after="0"/>
              <w:rPr>
                <w:sz w:val="20"/>
                <w:szCs w:val="20"/>
                <w:color w:val="auto"/>
              </w:rPr>
            </w:pPr>
            <w:r>
              <w:rPr>
                <w:rFonts w:ascii="Arial" w:cs="Arial" w:eastAsia="Arial" w:hAnsi="Arial"/>
                <w:sz w:val="16"/>
                <w:szCs w:val="16"/>
                <w:color w:val="0000EE"/>
              </w:rPr>
              <w:t>2025</w:t>
            </w:r>
          </w:p>
        </w:tc>
        <w:tc>
          <w:tcPr>
            <w:tcW w:w="3940" w:type="dxa"/>
            <w:vAlign w:val="bottom"/>
            <w:gridSpan w:val="33"/>
          </w:tcPr>
          <w:p>
            <w:pPr>
              <w:ind w:left="20"/>
              <w:spacing w:after="0"/>
              <w:rPr>
                <w:sz w:val="20"/>
                <w:szCs w:val="20"/>
                <w:color w:val="auto"/>
              </w:rPr>
            </w:pPr>
            <w:r>
              <w:rPr>
                <w:rFonts w:ascii="Arial" w:cs="Arial" w:eastAsia="Arial" w:hAnsi="Arial"/>
                <w:sz w:val="16"/>
                <w:szCs w:val="16"/>
                <w:color w:val="0000EE"/>
              </w:rPr>
              <w:t>Summary Compensation Table</w:t>
            </w:r>
          </w:p>
        </w:tc>
        <w:tc>
          <w:tcPr>
            <w:tcW w:w="760" w:type="dxa"/>
            <w:vAlign w:val="bottom"/>
          </w:tcPr>
          <w:p>
            <w:pPr>
              <w:ind w:left="50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80" w:type="dxa"/>
            <w:vAlign w:val="bottom"/>
            <w:gridSpan w:val="3"/>
          </w:tcPr>
          <w:p>
            <w:pPr>
              <w:ind w:left="200"/>
              <w:spacing w:after="0"/>
              <w:rPr>
                <w:sz w:val="20"/>
                <w:szCs w:val="20"/>
                <w:color w:val="auto"/>
              </w:rPr>
            </w:pPr>
            <w:r>
              <w:rPr>
                <w:rFonts w:ascii="Arial" w:cs="Arial" w:eastAsia="Arial" w:hAnsi="Arial"/>
                <w:sz w:val="16"/>
                <w:szCs w:val="16"/>
                <w:color w:val="0000EE"/>
              </w:rPr>
              <w:t>2025</w:t>
            </w:r>
          </w:p>
        </w:tc>
        <w:tc>
          <w:tcPr>
            <w:tcW w:w="3940" w:type="dxa"/>
            <w:vAlign w:val="bottom"/>
            <w:gridSpan w:val="33"/>
          </w:tcPr>
          <w:p>
            <w:pPr>
              <w:ind w:left="20"/>
              <w:spacing w:after="0"/>
              <w:rPr>
                <w:sz w:val="20"/>
                <w:szCs w:val="20"/>
                <w:color w:val="auto"/>
              </w:rPr>
            </w:pPr>
            <w:r>
              <w:rPr>
                <w:rFonts w:ascii="Arial" w:cs="Arial" w:eastAsia="Arial" w:hAnsi="Arial"/>
                <w:sz w:val="16"/>
                <w:szCs w:val="16"/>
                <w:color w:val="0000EE"/>
              </w:rPr>
              <w:t>Grants of Plan-Based Awards</w:t>
            </w: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80" w:type="dxa"/>
            <w:vAlign w:val="bottom"/>
            <w:gridSpan w:val="3"/>
          </w:tcPr>
          <w:p>
            <w:pPr>
              <w:ind w:left="200"/>
              <w:spacing w:after="0"/>
              <w:rPr>
                <w:sz w:val="20"/>
                <w:szCs w:val="20"/>
                <w:color w:val="auto"/>
              </w:rPr>
            </w:pPr>
            <w:r>
              <w:rPr>
                <w:rFonts w:ascii="Arial" w:cs="Arial" w:eastAsia="Arial" w:hAnsi="Arial"/>
                <w:sz w:val="16"/>
                <w:szCs w:val="16"/>
                <w:color w:val="0000EE"/>
              </w:rPr>
              <w:t>2025</w:t>
            </w:r>
          </w:p>
        </w:tc>
        <w:tc>
          <w:tcPr>
            <w:tcW w:w="3940" w:type="dxa"/>
            <w:vAlign w:val="bottom"/>
            <w:gridSpan w:val="33"/>
          </w:tcPr>
          <w:p>
            <w:pPr>
              <w:ind w:left="20"/>
              <w:spacing w:after="0"/>
              <w:rPr>
                <w:sz w:val="20"/>
                <w:szCs w:val="20"/>
                <w:color w:val="auto"/>
              </w:rPr>
            </w:pPr>
            <w:r>
              <w:rPr>
                <w:rFonts w:ascii="Arial" w:cs="Arial" w:eastAsia="Arial" w:hAnsi="Arial"/>
                <w:sz w:val="16"/>
                <w:szCs w:val="16"/>
                <w:color w:val="0000EE"/>
              </w:rPr>
              <w:t>Grants of Plan-Based Awards Table</w:t>
            </w: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102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80" w:type="dxa"/>
            <w:vAlign w:val="bottom"/>
            <w:gridSpan w:val="3"/>
          </w:tcPr>
          <w:p>
            <w:pPr>
              <w:ind w:left="200"/>
              <w:spacing w:after="0"/>
              <w:rPr>
                <w:sz w:val="20"/>
                <w:szCs w:val="20"/>
                <w:color w:val="auto"/>
              </w:rPr>
            </w:pPr>
            <w:r>
              <w:rPr>
                <w:rFonts w:ascii="Arial" w:cs="Arial" w:eastAsia="Arial" w:hAnsi="Arial"/>
                <w:sz w:val="16"/>
                <w:szCs w:val="16"/>
                <w:color w:val="0000EE"/>
              </w:rPr>
              <w:t>2025</w:t>
            </w:r>
          </w:p>
        </w:tc>
        <w:tc>
          <w:tcPr>
            <w:tcW w:w="3940" w:type="dxa"/>
            <w:vAlign w:val="bottom"/>
            <w:gridSpan w:val="33"/>
          </w:tcPr>
          <w:p>
            <w:pPr>
              <w:ind w:left="20"/>
              <w:spacing w:after="0"/>
              <w:rPr>
                <w:sz w:val="20"/>
                <w:szCs w:val="20"/>
                <w:color w:val="auto"/>
              </w:rPr>
            </w:pPr>
            <w:r>
              <w:rPr>
                <w:rFonts w:ascii="Arial" w:cs="Arial" w:eastAsia="Arial" w:hAnsi="Arial"/>
                <w:sz w:val="16"/>
                <w:szCs w:val="16"/>
                <w:color w:val="0000EE"/>
              </w:rPr>
              <w:t>Option Exercises and Stock Vested Table</w:t>
            </w: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103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80" w:type="dxa"/>
            <w:vAlign w:val="bottom"/>
            <w:gridSpan w:val="3"/>
          </w:tcPr>
          <w:p>
            <w:pPr>
              <w:ind w:left="200"/>
              <w:spacing w:after="0"/>
              <w:rPr>
                <w:sz w:val="20"/>
                <w:szCs w:val="20"/>
                <w:color w:val="auto"/>
              </w:rPr>
            </w:pPr>
            <w:r>
              <w:rPr>
                <w:rFonts w:ascii="Arial" w:cs="Arial" w:eastAsia="Arial" w:hAnsi="Arial"/>
                <w:sz w:val="16"/>
                <w:szCs w:val="16"/>
                <w:color w:val="0000EE"/>
              </w:rPr>
              <w:t>2025</w:t>
            </w:r>
          </w:p>
        </w:tc>
        <w:tc>
          <w:tcPr>
            <w:tcW w:w="3940" w:type="dxa"/>
            <w:vAlign w:val="bottom"/>
            <w:gridSpan w:val="33"/>
          </w:tcPr>
          <w:p>
            <w:pPr>
              <w:ind w:left="20"/>
              <w:spacing w:after="0"/>
              <w:rPr>
                <w:sz w:val="20"/>
                <w:szCs w:val="20"/>
                <w:color w:val="auto"/>
              </w:rPr>
            </w:pPr>
            <w:r>
              <w:rPr>
                <w:rFonts w:ascii="Arial" w:cs="Arial" w:eastAsia="Arial" w:hAnsi="Arial"/>
                <w:sz w:val="16"/>
                <w:szCs w:val="16"/>
                <w:color w:val="0000EE"/>
              </w:rPr>
              <w:t>Outstanding Equity Awards at Fiscal Year-End</w:t>
            </w:r>
          </w:p>
        </w:tc>
        <w:tc>
          <w:tcPr>
            <w:tcW w:w="760" w:type="dxa"/>
            <w:vAlign w:val="bottom"/>
            <w:vMerge w:val="restart"/>
          </w:tcPr>
          <w:p>
            <w:pPr>
              <w:ind w:left="500"/>
              <w:spacing w:after="0"/>
              <w:rPr>
                <w:sz w:val="20"/>
                <w:szCs w:val="20"/>
                <w:color w:val="auto"/>
              </w:rPr>
            </w:pPr>
            <w:r>
              <w:rPr>
                <w:rFonts w:ascii="Arial" w:cs="Arial" w:eastAsia="Arial" w:hAnsi="Arial"/>
                <w:sz w:val="16"/>
                <w:szCs w:val="16"/>
                <w:color w:val="auto"/>
                <w:w w:val="89"/>
              </w:rPr>
              <w:t>104</w:t>
            </w: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3480" w:type="dxa"/>
            <w:vAlign w:val="bottom"/>
            <w:tcBorders>
              <w:top w:val="single" w:sz="8" w:color="0000EE"/>
            </w:tcBorders>
            <w:gridSpan w:val="32"/>
          </w:tcPr>
          <w:p>
            <w:pPr>
              <w:spacing w:after="0" w:line="168" w:lineRule="exact"/>
              <w:rPr>
                <w:sz w:val="20"/>
                <w:szCs w:val="20"/>
                <w:color w:val="auto"/>
              </w:rPr>
            </w:pPr>
            <w:r>
              <w:rPr>
                <w:rFonts w:ascii="Arial" w:cs="Arial" w:eastAsia="Arial" w:hAnsi="Arial"/>
                <w:sz w:val="16"/>
                <w:szCs w:val="16"/>
                <w:color w:val="0000EE"/>
              </w:rPr>
              <w:t>Table</w:t>
            </w:r>
          </w:p>
        </w:tc>
        <w:tc>
          <w:tcPr>
            <w:tcW w:w="640" w:type="dxa"/>
            <w:vAlign w:val="bottom"/>
            <w:gridSpan w:val="2"/>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0" w:type="dxa"/>
            <w:vAlign w:val="bottom"/>
          </w:tcPr>
          <w:p>
            <w:pPr>
              <w:spacing w:after="0"/>
              <w:rPr>
                <w:sz w:val="23"/>
                <w:szCs w:val="23"/>
                <w:color w:val="auto"/>
              </w:rPr>
            </w:pPr>
          </w:p>
        </w:tc>
        <w:tc>
          <w:tcPr>
            <w:tcW w:w="4320" w:type="dxa"/>
            <w:vAlign w:val="bottom"/>
            <w:gridSpan w:val="35"/>
          </w:tcPr>
          <w:p>
            <w:pPr>
              <w:spacing w:after="0"/>
              <w:rPr>
                <w:sz w:val="20"/>
                <w:szCs w:val="20"/>
                <w:color w:val="auto"/>
              </w:rPr>
            </w:pPr>
            <w:r>
              <w:rPr>
                <w:rFonts w:ascii="Arial" w:cs="Arial" w:eastAsia="Arial" w:hAnsi="Arial"/>
                <w:sz w:val="16"/>
                <w:szCs w:val="16"/>
                <w:color w:val="0000EE"/>
              </w:rPr>
              <w:t>Pension Benefits</w:t>
            </w: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106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80" w:type="dxa"/>
            <w:vAlign w:val="bottom"/>
            <w:gridSpan w:val="3"/>
          </w:tcPr>
          <w:p>
            <w:pPr>
              <w:ind w:left="200"/>
              <w:spacing w:after="0"/>
              <w:rPr>
                <w:sz w:val="20"/>
                <w:szCs w:val="20"/>
                <w:color w:val="auto"/>
              </w:rPr>
            </w:pPr>
            <w:r>
              <w:rPr>
                <w:rFonts w:ascii="Arial" w:cs="Arial" w:eastAsia="Arial" w:hAnsi="Arial"/>
                <w:sz w:val="16"/>
                <w:szCs w:val="16"/>
                <w:color w:val="0000EE"/>
              </w:rPr>
              <w:t>2025</w:t>
            </w:r>
          </w:p>
        </w:tc>
        <w:tc>
          <w:tcPr>
            <w:tcW w:w="3940" w:type="dxa"/>
            <w:vAlign w:val="bottom"/>
            <w:gridSpan w:val="33"/>
          </w:tcPr>
          <w:p>
            <w:pPr>
              <w:ind w:left="20"/>
              <w:spacing w:after="0"/>
              <w:rPr>
                <w:sz w:val="20"/>
                <w:szCs w:val="20"/>
                <w:color w:val="auto"/>
              </w:rPr>
            </w:pPr>
            <w:r>
              <w:rPr>
                <w:rFonts w:ascii="Arial" w:cs="Arial" w:eastAsia="Arial" w:hAnsi="Arial"/>
                <w:sz w:val="16"/>
                <w:szCs w:val="16"/>
                <w:color w:val="0000EE"/>
              </w:rPr>
              <w:t>Pension Benefits Table</w:t>
            </w: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106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0" w:type="dxa"/>
            <w:vAlign w:val="bottom"/>
          </w:tcPr>
          <w:p>
            <w:pPr>
              <w:spacing w:after="0"/>
              <w:rPr>
                <w:sz w:val="23"/>
                <w:szCs w:val="23"/>
                <w:color w:val="auto"/>
              </w:rPr>
            </w:pPr>
          </w:p>
        </w:tc>
        <w:tc>
          <w:tcPr>
            <w:tcW w:w="4320" w:type="dxa"/>
            <w:vAlign w:val="bottom"/>
            <w:gridSpan w:val="35"/>
          </w:tcPr>
          <w:p>
            <w:pPr>
              <w:spacing w:after="0"/>
              <w:rPr>
                <w:sz w:val="20"/>
                <w:szCs w:val="20"/>
                <w:color w:val="auto"/>
              </w:rPr>
            </w:pPr>
            <w:r>
              <w:rPr>
                <w:rFonts w:ascii="Arial" w:cs="Arial" w:eastAsia="Arial" w:hAnsi="Arial"/>
                <w:sz w:val="16"/>
                <w:szCs w:val="16"/>
                <w:color w:val="0000EE"/>
              </w:rPr>
              <w:t>Capital One’s Voluntary Non-Qualified Deferred</w:t>
            </w:r>
          </w:p>
        </w:tc>
        <w:tc>
          <w:tcPr>
            <w:tcW w:w="760" w:type="dxa"/>
            <w:vAlign w:val="bottom"/>
            <w:vMerge w:val="restart"/>
          </w:tcPr>
          <w:p>
            <w:pPr>
              <w:ind w:left="500"/>
              <w:spacing w:after="0"/>
              <w:rPr>
                <w:sz w:val="20"/>
                <w:szCs w:val="20"/>
                <w:color w:val="auto"/>
              </w:rPr>
            </w:pPr>
            <w:r>
              <w:rPr>
                <w:rFonts w:ascii="Arial" w:cs="Arial" w:eastAsia="Arial" w:hAnsi="Arial"/>
                <w:sz w:val="16"/>
                <w:szCs w:val="16"/>
                <w:color w:val="auto"/>
                <w:w w:val="89"/>
              </w:rPr>
              <w:t>107</w:t>
            </w: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780" w:type="dxa"/>
            <w:vAlign w:val="bottom"/>
            <w:tcBorders>
              <w:top w:val="single" w:sz="8" w:color="0000EE"/>
              <w:bottom w:val="single" w:sz="8" w:color="0000EE"/>
            </w:tcBorders>
            <w:gridSpan w:val="10"/>
          </w:tcPr>
          <w:p>
            <w:pPr>
              <w:spacing w:after="0" w:line="168" w:lineRule="exact"/>
              <w:rPr>
                <w:sz w:val="20"/>
                <w:szCs w:val="20"/>
                <w:color w:val="auto"/>
              </w:rPr>
            </w:pPr>
            <w:r>
              <w:rPr>
                <w:rFonts w:ascii="Arial" w:cs="Arial" w:eastAsia="Arial" w:hAnsi="Arial"/>
                <w:sz w:val="16"/>
                <w:szCs w:val="16"/>
                <w:color w:val="0000EE"/>
                <w:w w:val="99"/>
              </w:rPr>
              <w:t>Compensation Programs</w:t>
            </w:r>
          </w:p>
        </w:tc>
        <w:tc>
          <w:tcPr>
            <w:tcW w:w="1380" w:type="dxa"/>
            <w:vAlign w:val="bottom"/>
            <w:tcBorders>
              <w:top w:val="single" w:sz="8" w:color="0000EE"/>
            </w:tcBorders>
            <w:gridSpan w:val="17"/>
          </w:tcPr>
          <w:p>
            <w:pPr>
              <w:spacing w:after="0"/>
              <w:rPr>
                <w:sz w:val="14"/>
                <w:szCs w:val="14"/>
                <w:color w:val="auto"/>
              </w:rPr>
            </w:pPr>
          </w:p>
        </w:tc>
        <w:tc>
          <w:tcPr>
            <w:tcW w:w="2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580" w:type="dxa"/>
            <w:vAlign w:val="bottom"/>
            <w:gridSpan w:val="3"/>
          </w:tcPr>
          <w:p>
            <w:pPr>
              <w:ind w:left="200"/>
              <w:spacing w:after="0"/>
              <w:rPr>
                <w:sz w:val="20"/>
                <w:szCs w:val="20"/>
                <w:color w:val="auto"/>
              </w:rPr>
            </w:pPr>
            <w:r>
              <w:rPr>
                <w:rFonts w:ascii="Arial" w:cs="Arial" w:eastAsia="Arial" w:hAnsi="Arial"/>
                <w:sz w:val="16"/>
                <w:szCs w:val="16"/>
                <w:color w:val="0000EE"/>
              </w:rPr>
              <w:t>2025</w:t>
            </w:r>
          </w:p>
        </w:tc>
        <w:tc>
          <w:tcPr>
            <w:tcW w:w="3940" w:type="dxa"/>
            <w:vAlign w:val="bottom"/>
            <w:gridSpan w:val="33"/>
          </w:tcPr>
          <w:p>
            <w:pPr>
              <w:ind w:left="20"/>
              <w:spacing w:after="0"/>
              <w:rPr>
                <w:sz w:val="20"/>
                <w:szCs w:val="20"/>
                <w:color w:val="auto"/>
              </w:rPr>
            </w:pPr>
            <w:r>
              <w:rPr>
                <w:rFonts w:ascii="Arial" w:cs="Arial" w:eastAsia="Arial" w:hAnsi="Arial"/>
                <w:sz w:val="16"/>
                <w:szCs w:val="16"/>
                <w:color w:val="0000EE"/>
              </w:rPr>
              <w:t>Non-Qualified Deferred Compensation Table</w:t>
            </w: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108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0" w:type="dxa"/>
            <w:vAlign w:val="bottom"/>
          </w:tcPr>
          <w:p>
            <w:pPr>
              <w:spacing w:after="0"/>
              <w:rPr>
                <w:sz w:val="23"/>
                <w:szCs w:val="23"/>
                <w:color w:val="auto"/>
              </w:rPr>
            </w:pPr>
          </w:p>
        </w:tc>
        <w:tc>
          <w:tcPr>
            <w:tcW w:w="4320" w:type="dxa"/>
            <w:vAlign w:val="bottom"/>
            <w:gridSpan w:val="35"/>
          </w:tcPr>
          <w:p>
            <w:pPr>
              <w:spacing w:after="0"/>
              <w:rPr>
                <w:sz w:val="20"/>
                <w:szCs w:val="20"/>
                <w:color w:val="auto"/>
              </w:rPr>
            </w:pPr>
            <w:r>
              <w:rPr>
                <w:rFonts w:ascii="Arial" w:cs="Arial" w:eastAsia="Arial" w:hAnsi="Arial"/>
                <w:sz w:val="16"/>
                <w:szCs w:val="16"/>
                <w:color w:val="0000EE"/>
              </w:rPr>
              <w:t>Potential Payments Upon Termination or Change of</w:t>
            </w:r>
          </w:p>
        </w:tc>
        <w:tc>
          <w:tcPr>
            <w:tcW w:w="760" w:type="dxa"/>
            <w:vAlign w:val="bottom"/>
            <w:vMerge w:val="restart"/>
          </w:tcPr>
          <w:p>
            <w:pPr>
              <w:ind w:left="500"/>
              <w:spacing w:after="0"/>
              <w:rPr>
                <w:sz w:val="20"/>
                <w:szCs w:val="20"/>
                <w:color w:val="auto"/>
              </w:rPr>
            </w:pPr>
            <w:r>
              <w:rPr>
                <w:rFonts w:ascii="Arial" w:cs="Arial" w:eastAsia="Arial" w:hAnsi="Arial"/>
                <w:sz w:val="16"/>
                <w:szCs w:val="16"/>
                <w:color w:val="auto"/>
                <w:w w:val="89"/>
              </w:rPr>
              <w:t>108</w:t>
            </w: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520" w:type="dxa"/>
            <w:vAlign w:val="bottom"/>
            <w:tcBorders>
              <w:top w:val="single" w:sz="8" w:color="0000EE"/>
              <w:bottom w:val="single" w:sz="8" w:color="0000EE"/>
            </w:tcBorders>
            <w:gridSpan w:val="3"/>
          </w:tcPr>
          <w:p>
            <w:pPr>
              <w:spacing w:after="0" w:line="168" w:lineRule="exact"/>
              <w:rPr>
                <w:sz w:val="20"/>
                <w:szCs w:val="20"/>
                <w:color w:val="auto"/>
              </w:rPr>
            </w:pPr>
            <w:r>
              <w:rPr>
                <w:rFonts w:ascii="Arial" w:cs="Arial" w:eastAsia="Arial" w:hAnsi="Arial"/>
                <w:sz w:val="16"/>
                <w:szCs w:val="16"/>
                <w:color w:val="0000EE"/>
                <w:w w:val="96"/>
              </w:rPr>
              <w:t>Control</w:t>
            </w:r>
          </w:p>
        </w:tc>
        <w:tc>
          <w:tcPr>
            <w:tcW w:w="2940" w:type="dxa"/>
            <w:vAlign w:val="bottom"/>
            <w:tcBorders>
              <w:top w:val="single" w:sz="8" w:color="0000EE"/>
            </w:tcBorders>
            <w:gridSpan w:val="28"/>
          </w:tcPr>
          <w:p>
            <w:pPr>
              <w:spacing w:after="0"/>
              <w:rPr>
                <w:sz w:val="14"/>
                <w:szCs w:val="14"/>
                <w:color w:val="auto"/>
              </w:rPr>
            </w:pPr>
          </w:p>
        </w:tc>
        <w:tc>
          <w:tcPr>
            <w:tcW w:w="660" w:type="dxa"/>
            <w:vAlign w:val="bottom"/>
            <w:gridSpan w:val="3"/>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580" w:type="dxa"/>
            <w:vAlign w:val="bottom"/>
            <w:gridSpan w:val="3"/>
          </w:tcPr>
          <w:p>
            <w:pPr>
              <w:ind w:left="200"/>
              <w:spacing w:after="0"/>
              <w:rPr>
                <w:sz w:val="20"/>
                <w:szCs w:val="20"/>
                <w:color w:val="auto"/>
              </w:rPr>
            </w:pPr>
            <w:r>
              <w:rPr>
                <w:rFonts w:ascii="Arial" w:cs="Arial" w:eastAsia="Arial" w:hAnsi="Arial"/>
                <w:sz w:val="16"/>
                <w:szCs w:val="16"/>
                <w:color w:val="0000EE"/>
              </w:rPr>
              <w:t>2025</w:t>
            </w:r>
          </w:p>
        </w:tc>
        <w:tc>
          <w:tcPr>
            <w:tcW w:w="3940" w:type="dxa"/>
            <w:vAlign w:val="bottom"/>
            <w:gridSpan w:val="33"/>
          </w:tcPr>
          <w:p>
            <w:pPr>
              <w:ind w:left="20"/>
              <w:spacing w:after="0"/>
              <w:rPr>
                <w:sz w:val="20"/>
                <w:szCs w:val="20"/>
                <w:color w:val="auto"/>
              </w:rPr>
            </w:pPr>
            <w:r>
              <w:rPr>
                <w:rFonts w:ascii="Arial" w:cs="Arial" w:eastAsia="Arial" w:hAnsi="Arial"/>
                <w:sz w:val="16"/>
                <w:szCs w:val="16"/>
                <w:color w:val="0000EE"/>
              </w:rPr>
              <w:t>Potential Payments and Benefits Upon</w:t>
            </w:r>
          </w:p>
        </w:tc>
        <w:tc>
          <w:tcPr>
            <w:tcW w:w="760" w:type="dxa"/>
            <w:vAlign w:val="bottom"/>
            <w:vMerge w:val="restart"/>
          </w:tcPr>
          <w:p>
            <w:pPr>
              <w:ind w:left="500"/>
              <w:spacing w:after="0"/>
              <w:rPr>
                <w:sz w:val="20"/>
                <w:szCs w:val="20"/>
                <w:color w:val="auto"/>
              </w:rPr>
            </w:pPr>
            <w:r>
              <w:rPr>
                <w:rFonts w:ascii="Arial" w:cs="Arial" w:eastAsia="Arial" w:hAnsi="Arial"/>
                <w:sz w:val="16"/>
                <w:szCs w:val="16"/>
                <w:color w:val="auto"/>
                <w:w w:val="89"/>
              </w:rPr>
              <w:t>113</w:t>
            </w: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0" w:type="dxa"/>
            <w:vAlign w:val="bottom"/>
            <w:tcBorders>
              <w:top w:val="single" w:sz="8" w:color="0000EE"/>
              <w:bottom w:val="single" w:sz="8" w:color="0000EE"/>
            </w:tcBorders>
            <w:gridSpan w:val="21"/>
          </w:tcPr>
          <w:p>
            <w:pPr>
              <w:spacing w:after="0" w:line="168" w:lineRule="exact"/>
              <w:rPr>
                <w:sz w:val="20"/>
                <w:szCs w:val="20"/>
                <w:color w:val="auto"/>
              </w:rPr>
            </w:pPr>
            <w:r>
              <w:rPr>
                <w:rFonts w:ascii="Arial" w:cs="Arial" w:eastAsia="Arial" w:hAnsi="Arial"/>
                <w:sz w:val="16"/>
                <w:szCs w:val="16"/>
                <w:color w:val="0000EE"/>
                <w:w w:val="98"/>
              </w:rPr>
              <w:t>Termination or Change of Control Table</w:t>
            </w:r>
          </w:p>
        </w:tc>
        <w:tc>
          <w:tcPr>
            <w:tcW w:w="140" w:type="dxa"/>
            <w:vAlign w:val="bottom"/>
            <w:tcBorders>
              <w:top w:val="single" w:sz="8" w:color="0000EE"/>
            </w:tcBorders>
            <w:gridSpan w:val="3"/>
          </w:tcPr>
          <w:p>
            <w:pPr>
              <w:spacing w:after="0"/>
              <w:rPr>
                <w:sz w:val="14"/>
                <w:szCs w:val="14"/>
                <w:color w:val="auto"/>
              </w:rPr>
            </w:pPr>
          </w:p>
        </w:tc>
        <w:tc>
          <w:tcPr>
            <w:tcW w:w="180" w:type="dxa"/>
            <w:vAlign w:val="bottom"/>
            <w:gridSpan w:val="2"/>
          </w:tcPr>
          <w:p>
            <w:pPr>
              <w:spacing w:after="0"/>
              <w:rPr>
                <w:sz w:val="14"/>
                <w:szCs w:val="14"/>
                <w:color w:val="auto"/>
              </w:rPr>
            </w:pPr>
          </w:p>
        </w:tc>
        <w:tc>
          <w:tcPr>
            <w:tcW w:w="240" w:type="dxa"/>
            <w:vAlign w:val="bottom"/>
            <w:gridSpan w:val="4"/>
          </w:tcPr>
          <w:p>
            <w:pPr>
              <w:spacing w:after="0"/>
              <w:rPr>
                <w:sz w:val="14"/>
                <w:szCs w:val="14"/>
                <w:color w:val="auto"/>
              </w:rPr>
            </w:pPr>
          </w:p>
        </w:tc>
        <w:tc>
          <w:tcPr>
            <w:tcW w:w="760" w:type="dxa"/>
            <w:vAlign w:val="bottom"/>
            <w:gridSpan w:val="4"/>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320" w:type="dxa"/>
            <w:vAlign w:val="bottom"/>
            <w:gridSpan w:val="35"/>
          </w:tcPr>
          <w:p>
            <w:pPr>
              <w:spacing w:after="0"/>
              <w:rPr>
                <w:sz w:val="20"/>
                <w:szCs w:val="20"/>
                <w:color w:val="auto"/>
              </w:rPr>
            </w:pPr>
            <w:r>
              <w:rPr>
                <w:rFonts w:ascii="Arial" w:cs="Arial" w:eastAsia="Arial" w:hAnsi="Arial"/>
                <w:sz w:val="16"/>
                <w:szCs w:val="16"/>
                <w:color w:val="0000EE"/>
              </w:rPr>
              <w:t>Estimated Ratio of CEO Compensation to Median</w:t>
            </w:r>
          </w:p>
        </w:tc>
        <w:tc>
          <w:tcPr>
            <w:tcW w:w="760" w:type="dxa"/>
            <w:vAlign w:val="bottom"/>
            <w:vMerge w:val="restart"/>
          </w:tcPr>
          <w:p>
            <w:pPr>
              <w:ind w:left="500"/>
              <w:spacing w:after="0"/>
              <w:rPr>
                <w:sz w:val="20"/>
                <w:szCs w:val="20"/>
                <w:color w:val="auto"/>
              </w:rPr>
            </w:pPr>
            <w:r>
              <w:rPr>
                <w:rFonts w:ascii="Arial" w:cs="Arial" w:eastAsia="Arial" w:hAnsi="Arial"/>
                <w:sz w:val="16"/>
                <w:szCs w:val="16"/>
                <w:color w:val="auto"/>
                <w:w w:val="89"/>
              </w:rPr>
              <w:t>115</w:t>
            </w: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840" w:type="dxa"/>
            <w:vAlign w:val="bottom"/>
            <w:tcBorders>
              <w:top w:val="single" w:sz="8" w:color="0000EE"/>
              <w:bottom w:val="single" w:sz="8" w:color="0000EE"/>
            </w:tcBorders>
            <w:gridSpan w:val="11"/>
          </w:tcPr>
          <w:p>
            <w:pPr>
              <w:spacing w:after="0" w:line="168" w:lineRule="exact"/>
              <w:rPr>
                <w:sz w:val="20"/>
                <w:szCs w:val="20"/>
                <w:color w:val="auto"/>
              </w:rPr>
            </w:pPr>
            <w:r>
              <w:rPr>
                <w:rFonts w:ascii="Arial" w:cs="Arial" w:eastAsia="Arial" w:hAnsi="Arial"/>
                <w:sz w:val="16"/>
                <w:szCs w:val="16"/>
                <w:color w:val="0000EE"/>
              </w:rPr>
              <w:t>Employee Compensation</w:t>
            </w:r>
          </w:p>
        </w:tc>
        <w:tc>
          <w:tcPr>
            <w:tcW w:w="1520" w:type="dxa"/>
            <w:vAlign w:val="bottom"/>
            <w:tcBorders>
              <w:top w:val="single" w:sz="8" w:color="0000EE"/>
            </w:tcBorders>
            <w:gridSpan w:val="19"/>
          </w:tcPr>
          <w:p>
            <w:pPr>
              <w:spacing w:after="0"/>
              <w:rPr>
                <w:sz w:val="14"/>
                <w:szCs w:val="14"/>
                <w:color w:val="auto"/>
              </w:rPr>
            </w:pPr>
          </w:p>
        </w:tc>
        <w:tc>
          <w:tcPr>
            <w:tcW w:w="760" w:type="dxa"/>
            <w:vAlign w:val="bottom"/>
            <w:gridSpan w:val="4"/>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176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w w:val="99"/>
              </w:rPr>
              <w:t>Pay versus Performance</w:t>
            </w:r>
          </w:p>
        </w:tc>
        <w:tc>
          <w:tcPr>
            <w:tcW w:w="2560" w:type="dxa"/>
            <w:vAlign w:val="bottom"/>
            <w:gridSpan w:val="25"/>
          </w:tcPr>
          <w:p>
            <w:pPr>
              <w:spacing w:after="0"/>
              <w:rPr>
                <w:sz w:val="23"/>
                <w:szCs w:val="23"/>
                <w:color w:val="auto"/>
              </w:rPr>
            </w:pP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116</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320" w:type="dxa"/>
            <w:vAlign w:val="bottom"/>
            <w:gridSpan w:val="35"/>
          </w:tcPr>
          <w:p>
            <w:pPr>
              <w:spacing w:after="0"/>
              <w:rPr>
                <w:sz w:val="20"/>
                <w:szCs w:val="20"/>
                <w:color w:val="auto"/>
              </w:rPr>
            </w:pPr>
            <w:r>
              <w:rPr>
                <w:rFonts w:ascii="Arial" w:cs="Arial" w:eastAsia="Arial" w:hAnsi="Arial"/>
                <w:sz w:val="16"/>
                <w:szCs w:val="16"/>
                <w:color w:val="0000EE"/>
              </w:rPr>
              <w:t>Pay versus Performance Table</w:t>
            </w: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116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520" w:type="dxa"/>
            <w:vAlign w:val="bottom"/>
            <w:gridSpan w:val="36"/>
          </w:tcPr>
          <w:p>
            <w:pPr>
              <w:spacing w:after="0"/>
              <w:rPr>
                <w:sz w:val="20"/>
                <w:szCs w:val="20"/>
                <w:color w:val="auto"/>
              </w:rPr>
            </w:pPr>
            <w:r>
              <w:rPr>
                <w:rFonts w:ascii="Arial" w:cs="Arial" w:eastAsia="Arial" w:hAnsi="Arial"/>
                <w:sz w:val="16"/>
                <w:szCs w:val="16"/>
                <w:b w:val="1"/>
                <w:bCs w:val="1"/>
                <w:color w:val="0000EE"/>
              </w:rPr>
              <w:t>Section VIII - Equity Compensation Plans</w:t>
            </w: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120</w:t>
            </w:r>
          </w:p>
        </w:tc>
        <w:tc>
          <w:tcPr>
            <w:tcW w:w="0" w:type="dxa"/>
            <w:vAlign w:val="bottom"/>
          </w:tcPr>
          <w:p>
            <w:pPr>
              <w:spacing w:after="0"/>
              <w:rPr>
                <w:sz w:val="1"/>
                <w:szCs w:val="1"/>
                <w:color w:val="auto"/>
              </w:rPr>
            </w:pPr>
          </w:p>
        </w:tc>
      </w:tr>
      <w:tr>
        <w:trPr>
          <w:trHeight w:val="274"/>
        </w:trPr>
        <w:tc>
          <w:tcPr>
            <w:tcW w:w="200" w:type="dxa"/>
            <w:vAlign w:val="bottom"/>
            <w:tcBorders>
              <w:top w:val="single" w:sz="8" w:color="0000EE"/>
            </w:tcBorders>
          </w:tcPr>
          <w:p>
            <w:pPr>
              <w:spacing w:after="0"/>
              <w:rPr>
                <w:sz w:val="23"/>
                <w:szCs w:val="23"/>
                <w:color w:val="auto"/>
              </w:rPr>
            </w:pPr>
          </w:p>
        </w:tc>
        <w:tc>
          <w:tcPr>
            <w:tcW w:w="2740" w:type="dxa"/>
            <w:vAlign w:val="bottom"/>
            <w:tcBorders>
              <w:top w:val="single" w:sz="8" w:color="0000EE"/>
              <w:bottom w:val="single" w:sz="8" w:color="0000EE"/>
            </w:tcBorders>
            <w:gridSpan w:val="19"/>
          </w:tcPr>
          <w:p>
            <w:pPr>
              <w:spacing w:after="0"/>
              <w:rPr>
                <w:sz w:val="20"/>
                <w:szCs w:val="20"/>
                <w:color w:val="auto"/>
              </w:rPr>
            </w:pPr>
            <w:r>
              <w:rPr>
                <w:rFonts w:ascii="Arial" w:cs="Arial" w:eastAsia="Arial" w:hAnsi="Arial"/>
                <w:sz w:val="16"/>
                <w:szCs w:val="16"/>
                <w:color w:val="0000EE"/>
                <w:w w:val="99"/>
              </w:rPr>
              <w:t>Equity Compensation Plan Information</w:t>
            </w:r>
          </w:p>
        </w:tc>
        <w:tc>
          <w:tcPr>
            <w:tcW w:w="200" w:type="dxa"/>
            <w:vAlign w:val="bottom"/>
            <w:tcBorders>
              <w:top w:val="single" w:sz="8" w:color="0000EE"/>
            </w:tcBorders>
            <w:gridSpan w:val="2"/>
          </w:tcPr>
          <w:p>
            <w:pPr>
              <w:spacing w:after="0"/>
              <w:rPr>
                <w:sz w:val="23"/>
                <w:szCs w:val="23"/>
                <w:color w:val="auto"/>
              </w:rPr>
            </w:pPr>
          </w:p>
        </w:tc>
        <w:tc>
          <w:tcPr>
            <w:tcW w:w="1380" w:type="dxa"/>
            <w:vAlign w:val="bottom"/>
            <w:gridSpan w:val="14"/>
          </w:tcPr>
          <w:p>
            <w:pPr>
              <w:spacing w:after="0"/>
              <w:rPr>
                <w:sz w:val="23"/>
                <w:szCs w:val="23"/>
                <w:color w:val="auto"/>
              </w:rPr>
            </w:pP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120</w:t>
            </w:r>
          </w:p>
        </w:tc>
        <w:tc>
          <w:tcPr>
            <w:tcW w:w="0" w:type="dxa"/>
            <w:vAlign w:val="bottom"/>
          </w:tcPr>
          <w:p>
            <w:pPr>
              <w:spacing w:after="0"/>
              <w:rPr>
                <w:sz w:val="1"/>
                <w:szCs w:val="1"/>
                <w:color w:val="auto"/>
              </w:rPr>
            </w:pPr>
          </w:p>
        </w:tc>
      </w:tr>
      <w:tr>
        <w:trPr>
          <w:trHeight w:val="274"/>
        </w:trPr>
        <w:tc>
          <w:tcPr>
            <w:tcW w:w="580" w:type="dxa"/>
            <w:vAlign w:val="bottom"/>
            <w:gridSpan w:val="3"/>
          </w:tcPr>
          <w:p>
            <w:pPr>
              <w:ind w:left="200"/>
              <w:spacing w:after="0"/>
              <w:rPr>
                <w:sz w:val="20"/>
                <w:szCs w:val="20"/>
                <w:color w:val="auto"/>
              </w:rPr>
            </w:pPr>
            <w:r>
              <w:rPr>
                <w:rFonts w:ascii="Arial" w:cs="Arial" w:eastAsia="Arial" w:hAnsi="Arial"/>
                <w:sz w:val="16"/>
                <w:szCs w:val="16"/>
                <w:color w:val="0000EE"/>
              </w:rPr>
              <w:t>1999</w:t>
            </w:r>
          </w:p>
        </w:tc>
        <w:tc>
          <w:tcPr>
            <w:tcW w:w="3940" w:type="dxa"/>
            <w:vAlign w:val="bottom"/>
            <w:gridSpan w:val="33"/>
          </w:tcPr>
          <w:p>
            <w:pPr>
              <w:ind w:left="20"/>
              <w:spacing w:after="0"/>
              <w:rPr>
                <w:sz w:val="20"/>
                <w:szCs w:val="20"/>
                <w:color w:val="auto"/>
              </w:rPr>
            </w:pPr>
            <w:r>
              <w:rPr>
                <w:rFonts w:ascii="Arial" w:cs="Arial" w:eastAsia="Arial" w:hAnsi="Arial"/>
                <w:sz w:val="16"/>
                <w:szCs w:val="16"/>
                <w:color w:val="0000EE"/>
              </w:rPr>
              <w:t>Directors Plan</w:t>
            </w: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120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0" w:type="dxa"/>
            <w:vAlign w:val="bottom"/>
          </w:tcPr>
          <w:p>
            <w:pPr>
              <w:spacing w:after="0"/>
              <w:rPr>
                <w:sz w:val="23"/>
                <w:szCs w:val="23"/>
                <w:color w:val="auto"/>
              </w:rPr>
            </w:pPr>
          </w:p>
        </w:tc>
        <w:tc>
          <w:tcPr>
            <w:tcW w:w="4320" w:type="dxa"/>
            <w:vAlign w:val="bottom"/>
            <w:gridSpan w:val="35"/>
          </w:tcPr>
          <w:p>
            <w:pPr>
              <w:spacing w:after="0"/>
              <w:rPr>
                <w:sz w:val="20"/>
                <w:szCs w:val="20"/>
                <w:color w:val="auto"/>
              </w:rPr>
            </w:pPr>
            <w:r>
              <w:rPr>
                <w:rFonts w:ascii="Arial" w:cs="Arial" w:eastAsia="Arial" w:hAnsi="Arial"/>
                <w:sz w:val="16"/>
                <w:szCs w:val="16"/>
                <w:color w:val="0000EE"/>
              </w:rPr>
              <w:t>Legacy Discover 2023 Omnibus Incentive Plan</w:t>
            </w: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121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520" w:type="dxa"/>
            <w:vAlign w:val="bottom"/>
            <w:gridSpan w:val="36"/>
          </w:tcPr>
          <w:p>
            <w:pPr>
              <w:spacing w:after="0"/>
              <w:rPr>
                <w:sz w:val="20"/>
                <w:szCs w:val="20"/>
                <w:color w:val="auto"/>
              </w:rPr>
            </w:pPr>
            <w:r>
              <w:rPr>
                <w:rFonts w:ascii="Arial" w:cs="Arial" w:eastAsia="Arial" w:hAnsi="Arial"/>
                <w:sz w:val="16"/>
                <w:szCs w:val="16"/>
                <w:b w:val="1"/>
                <w:bCs w:val="1"/>
                <w:color w:val="0000EE"/>
              </w:rPr>
              <w:t>Section IX - Security Ownership</w:t>
            </w: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122</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0" w:type="dxa"/>
            <w:vAlign w:val="bottom"/>
          </w:tcPr>
          <w:p>
            <w:pPr>
              <w:spacing w:after="0"/>
              <w:rPr>
                <w:sz w:val="23"/>
                <w:szCs w:val="23"/>
                <w:color w:val="auto"/>
              </w:rPr>
            </w:pPr>
          </w:p>
        </w:tc>
        <w:tc>
          <w:tcPr>
            <w:tcW w:w="4320" w:type="dxa"/>
            <w:vAlign w:val="bottom"/>
            <w:gridSpan w:val="35"/>
          </w:tcPr>
          <w:p>
            <w:pPr>
              <w:spacing w:after="0"/>
              <w:rPr>
                <w:sz w:val="20"/>
                <w:szCs w:val="20"/>
                <w:color w:val="auto"/>
              </w:rPr>
            </w:pPr>
            <w:r>
              <w:rPr>
                <w:rFonts w:ascii="Arial" w:cs="Arial" w:eastAsia="Arial" w:hAnsi="Arial"/>
                <w:sz w:val="16"/>
                <w:szCs w:val="16"/>
                <w:color w:val="0000EE"/>
              </w:rPr>
              <w:t>Security Ownership of Certain Beneficial</w:t>
            </w:r>
          </w:p>
        </w:tc>
        <w:tc>
          <w:tcPr>
            <w:tcW w:w="760" w:type="dxa"/>
            <w:vAlign w:val="bottom"/>
            <w:vMerge w:val="restart"/>
          </w:tcPr>
          <w:p>
            <w:pPr>
              <w:ind w:left="500"/>
              <w:spacing w:after="0"/>
              <w:rPr>
                <w:sz w:val="20"/>
                <w:szCs w:val="20"/>
                <w:color w:val="auto"/>
              </w:rPr>
            </w:pPr>
            <w:r>
              <w:rPr>
                <w:rFonts w:ascii="Arial" w:cs="Arial" w:eastAsia="Arial" w:hAnsi="Arial"/>
                <w:sz w:val="16"/>
                <w:szCs w:val="16"/>
                <w:color w:val="auto"/>
                <w:w w:val="89"/>
              </w:rPr>
              <w:t>122</w:t>
            </w: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560" w:type="dxa"/>
            <w:vAlign w:val="bottom"/>
            <w:tcBorders>
              <w:top w:val="single" w:sz="8" w:color="0000EE"/>
              <w:bottom w:val="single" w:sz="8" w:color="0000EE"/>
            </w:tcBorders>
            <w:gridSpan w:val="4"/>
          </w:tcPr>
          <w:p>
            <w:pPr>
              <w:spacing w:after="0" w:line="168" w:lineRule="exact"/>
              <w:rPr>
                <w:sz w:val="20"/>
                <w:szCs w:val="20"/>
                <w:color w:val="auto"/>
              </w:rPr>
            </w:pPr>
            <w:r>
              <w:rPr>
                <w:rFonts w:ascii="Arial" w:cs="Arial" w:eastAsia="Arial" w:hAnsi="Arial"/>
                <w:sz w:val="16"/>
                <w:szCs w:val="16"/>
                <w:color w:val="0000EE"/>
                <w:w w:val="97"/>
              </w:rPr>
              <w:t>Owners</w:t>
            </w:r>
          </w:p>
        </w:tc>
        <w:tc>
          <w:tcPr>
            <w:tcW w:w="2120" w:type="dxa"/>
            <w:vAlign w:val="bottom"/>
            <w:tcBorders>
              <w:top w:val="single" w:sz="8" w:color="0000EE"/>
            </w:tcBorders>
            <w:gridSpan w:val="15"/>
          </w:tcPr>
          <w:p>
            <w:pPr>
              <w:spacing w:after="0"/>
              <w:rPr>
                <w:sz w:val="14"/>
                <w:szCs w:val="14"/>
                <w:color w:val="auto"/>
              </w:rPr>
            </w:pPr>
          </w:p>
        </w:tc>
        <w:tc>
          <w:tcPr>
            <w:tcW w:w="240" w:type="dxa"/>
            <w:vAlign w:val="bottom"/>
            <w:gridSpan w:val="4"/>
          </w:tcPr>
          <w:p>
            <w:pPr>
              <w:spacing w:after="0"/>
              <w:rPr>
                <w:sz w:val="14"/>
                <w:szCs w:val="14"/>
                <w:color w:val="auto"/>
              </w:rPr>
            </w:pPr>
          </w:p>
        </w:tc>
        <w:tc>
          <w:tcPr>
            <w:tcW w:w="1200" w:type="dxa"/>
            <w:vAlign w:val="bottom"/>
            <w:gridSpan w:val="11"/>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4320" w:type="dxa"/>
            <w:vAlign w:val="bottom"/>
            <w:gridSpan w:val="35"/>
          </w:tcPr>
          <w:p>
            <w:pPr>
              <w:spacing w:after="0"/>
              <w:rPr>
                <w:sz w:val="20"/>
                <w:szCs w:val="20"/>
                <w:color w:val="auto"/>
              </w:rPr>
            </w:pPr>
            <w:r>
              <w:rPr>
                <w:rFonts w:ascii="Arial" w:cs="Arial" w:eastAsia="Arial" w:hAnsi="Arial"/>
                <w:sz w:val="16"/>
                <w:szCs w:val="16"/>
                <w:color w:val="0000EE"/>
              </w:rPr>
              <w:t>Security Ownership of Directors and Named</w:t>
            </w:r>
          </w:p>
        </w:tc>
        <w:tc>
          <w:tcPr>
            <w:tcW w:w="760" w:type="dxa"/>
            <w:vAlign w:val="bottom"/>
            <w:vMerge w:val="restart"/>
          </w:tcPr>
          <w:p>
            <w:pPr>
              <w:ind w:left="500"/>
              <w:spacing w:after="0"/>
              <w:rPr>
                <w:sz w:val="20"/>
                <w:szCs w:val="20"/>
                <w:color w:val="auto"/>
              </w:rPr>
            </w:pPr>
            <w:r>
              <w:rPr>
                <w:rFonts w:ascii="Arial" w:cs="Arial" w:eastAsia="Arial" w:hAnsi="Arial"/>
                <w:sz w:val="16"/>
                <w:szCs w:val="16"/>
                <w:color w:val="auto"/>
                <w:w w:val="89"/>
              </w:rPr>
              <w:t>123</w:t>
            </w: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920" w:type="dxa"/>
            <w:vAlign w:val="bottom"/>
            <w:tcBorders>
              <w:top w:val="single" w:sz="8" w:color="0000EE"/>
            </w:tcBorders>
            <w:gridSpan w:val="23"/>
          </w:tcPr>
          <w:p>
            <w:pPr>
              <w:spacing w:after="0" w:line="168" w:lineRule="exact"/>
              <w:rPr>
                <w:sz w:val="20"/>
                <w:szCs w:val="20"/>
                <w:color w:val="auto"/>
              </w:rPr>
            </w:pPr>
            <w:r>
              <w:rPr>
                <w:rFonts w:ascii="Arial" w:cs="Arial" w:eastAsia="Arial" w:hAnsi="Arial"/>
                <w:sz w:val="16"/>
                <w:szCs w:val="16"/>
                <w:color w:val="0000EE"/>
              </w:rPr>
              <w:t>Executive Officers</w:t>
            </w:r>
          </w:p>
        </w:tc>
        <w:tc>
          <w:tcPr>
            <w:tcW w:w="1200" w:type="dxa"/>
            <w:vAlign w:val="bottom"/>
            <w:gridSpan w:val="11"/>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8"/>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940" w:type="dxa"/>
            <w:vAlign w:val="bottom"/>
            <w:gridSpan w:val="2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0" w:type="dxa"/>
            <w:vAlign w:val="bottom"/>
          </w:tcPr>
          <w:p>
            <w:pPr>
              <w:spacing w:after="0"/>
              <w:rPr>
                <w:sz w:val="23"/>
                <w:szCs w:val="23"/>
                <w:color w:val="auto"/>
              </w:rPr>
            </w:pPr>
          </w:p>
        </w:tc>
        <w:tc>
          <w:tcPr>
            <w:tcW w:w="238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w w:val="99"/>
              </w:rPr>
              <w:t>Delinquent Section 16(a) Reports</w:t>
            </w:r>
          </w:p>
        </w:tc>
        <w:tc>
          <w:tcPr>
            <w:tcW w:w="1940" w:type="dxa"/>
            <w:vAlign w:val="bottom"/>
            <w:gridSpan w:val="20"/>
          </w:tcPr>
          <w:p>
            <w:pPr>
              <w:spacing w:after="0"/>
              <w:rPr>
                <w:sz w:val="23"/>
                <w:szCs w:val="23"/>
                <w:color w:val="auto"/>
              </w:rPr>
            </w:pPr>
          </w:p>
        </w:tc>
        <w:tc>
          <w:tcPr>
            <w:tcW w:w="760" w:type="dxa"/>
            <w:vAlign w:val="bottom"/>
          </w:tcPr>
          <w:p>
            <w:pPr>
              <w:ind w:left="500"/>
              <w:spacing w:after="0"/>
              <w:rPr>
                <w:sz w:val="20"/>
                <w:szCs w:val="20"/>
                <w:color w:val="auto"/>
              </w:rPr>
            </w:pPr>
            <w:r>
              <w:rPr>
                <w:rFonts w:ascii="Arial" w:cs="Arial" w:eastAsia="Arial" w:hAnsi="Arial"/>
                <w:sz w:val="16"/>
                <w:szCs w:val="16"/>
                <w:color w:val="auto"/>
                <w:w w:val="89"/>
              </w:rPr>
              <w:t>124</w:t>
            </w:r>
          </w:p>
        </w:tc>
        <w:tc>
          <w:tcPr>
            <w:tcW w:w="0" w:type="dxa"/>
            <w:vAlign w:val="bottom"/>
          </w:tcPr>
          <w:p>
            <w:pPr>
              <w:spacing w:after="0"/>
              <w:rPr>
                <w:sz w:val="1"/>
                <w:szCs w:val="1"/>
                <w:color w:val="auto"/>
              </w:rPr>
            </w:pPr>
          </w:p>
        </w:tc>
      </w:tr>
    </w:tbl>
    <w:p>
      <w:pPr>
        <w:sectPr>
          <w:pgSz w:w="11900" w:h="16838" w:orient="portrait"/>
          <w:cols w:equalWidth="0" w:num="2">
            <w:col w:w="5660" w:space="80"/>
            <w:col w:w="5280"/>
          </w:cols>
          <w:pgMar w:left="320" w:top="478" w:right="5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b w:val="1"/>
                <w:bCs w:val="1"/>
                <w:color w:val="023C5B"/>
              </w:rPr>
              <w:t>TABLE OF CONTENTS</w:t>
            </w:r>
          </w:p>
        </w:tc>
        <w:tc>
          <w:tcPr>
            <w:tcW w:w="0" w:type="dxa"/>
            <w:vAlign w:val="bottom"/>
          </w:tcPr>
          <w:p>
            <w:pPr>
              <w:spacing w:after="0"/>
              <w:rPr>
                <w:sz w:val="1"/>
                <w:szCs w:val="1"/>
                <w:color w:val="auto"/>
              </w:rPr>
            </w:pPr>
          </w:p>
        </w:tc>
      </w:tr>
      <w:tr>
        <w:trPr>
          <w:trHeight w:val="41"/>
        </w:trPr>
        <w:tc>
          <w:tcPr>
            <w:tcW w:w="20" w:type="dxa"/>
            <w:vAlign w:val="bottom"/>
            <w:tcBorders>
              <w:bottom w:val="single" w:sz="8" w:color="023C5B"/>
            </w:tcBorders>
          </w:tcPr>
          <w:p>
            <w:pPr>
              <w:spacing w:after="0"/>
              <w:rPr>
                <w:sz w:val="3"/>
                <w:szCs w:val="3"/>
                <w:color w:val="auto"/>
              </w:rPr>
            </w:pPr>
          </w:p>
        </w:tc>
        <w:tc>
          <w:tcPr>
            <w:tcW w:w="160" w:type="dxa"/>
            <w:vAlign w:val="bottom"/>
            <w:tcBorders>
              <w:bottom w:val="single" w:sz="8" w:color="023C5B"/>
            </w:tcBorders>
          </w:tcPr>
          <w:p>
            <w:pPr>
              <w:spacing w:after="0"/>
              <w:rPr>
                <w:sz w:val="3"/>
                <w:szCs w:val="3"/>
                <w:color w:val="auto"/>
              </w:rPr>
            </w:pPr>
          </w:p>
        </w:tc>
        <w:tc>
          <w:tcPr>
            <w:tcW w:w="40" w:type="dxa"/>
            <w:vAlign w:val="bottom"/>
            <w:tcBorders>
              <w:bottom w:val="single" w:sz="8" w:color="023C5B"/>
            </w:tcBorders>
          </w:tcPr>
          <w:p>
            <w:pPr>
              <w:spacing w:after="0"/>
              <w:rPr>
                <w:sz w:val="3"/>
                <w:szCs w:val="3"/>
                <w:color w:val="auto"/>
              </w:rPr>
            </w:pPr>
          </w:p>
        </w:tc>
        <w:tc>
          <w:tcPr>
            <w:tcW w:w="200" w:type="dxa"/>
            <w:vAlign w:val="bottom"/>
            <w:tcBorders>
              <w:bottom w:val="single" w:sz="8" w:color="023C5B"/>
            </w:tcBorders>
          </w:tcPr>
          <w:p>
            <w:pPr>
              <w:spacing w:after="0"/>
              <w:rPr>
                <w:sz w:val="3"/>
                <w:szCs w:val="3"/>
                <w:color w:val="auto"/>
              </w:rPr>
            </w:pPr>
          </w:p>
        </w:tc>
        <w:tc>
          <w:tcPr>
            <w:tcW w:w="500" w:type="dxa"/>
            <w:vAlign w:val="bottom"/>
            <w:tcBorders>
              <w:bottom w:val="single" w:sz="8" w:color="023C5B"/>
            </w:tcBorders>
          </w:tcPr>
          <w:p>
            <w:pPr>
              <w:spacing w:after="0"/>
              <w:rPr>
                <w:sz w:val="3"/>
                <w:szCs w:val="3"/>
                <w:color w:val="auto"/>
              </w:rPr>
            </w:pPr>
          </w:p>
        </w:tc>
        <w:tc>
          <w:tcPr>
            <w:tcW w:w="380" w:type="dxa"/>
            <w:vAlign w:val="bottom"/>
            <w:tcBorders>
              <w:bottom w:val="single" w:sz="8" w:color="023C5B"/>
            </w:tcBorders>
          </w:tcPr>
          <w:p>
            <w:pPr>
              <w:spacing w:after="0"/>
              <w:rPr>
                <w:sz w:val="3"/>
                <w:szCs w:val="3"/>
                <w:color w:val="auto"/>
              </w:rPr>
            </w:pPr>
          </w:p>
        </w:tc>
        <w:tc>
          <w:tcPr>
            <w:tcW w:w="300" w:type="dxa"/>
            <w:vAlign w:val="bottom"/>
            <w:tcBorders>
              <w:bottom w:val="single" w:sz="8" w:color="023C5B"/>
            </w:tcBorders>
          </w:tcPr>
          <w:p>
            <w:pPr>
              <w:spacing w:after="0"/>
              <w:rPr>
                <w:sz w:val="3"/>
                <w:szCs w:val="3"/>
                <w:color w:val="auto"/>
              </w:rPr>
            </w:pPr>
          </w:p>
        </w:tc>
        <w:tc>
          <w:tcPr>
            <w:tcW w:w="80" w:type="dxa"/>
            <w:vAlign w:val="bottom"/>
            <w:tcBorders>
              <w:bottom w:val="single" w:sz="8" w:color="023C5B"/>
            </w:tcBorders>
          </w:tcPr>
          <w:p>
            <w:pPr>
              <w:spacing w:after="0"/>
              <w:rPr>
                <w:sz w:val="3"/>
                <w:szCs w:val="3"/>
                <w:color w:val="auto"/>
              </w:rPr>
            </w:pPr>
          </w:p>
        </w:tc>
        <w:tc>
          <w:tcPr>
            <w:tcW w:w="200" w:type="dxa"/>
            <w:vAlign w:val="bottom"/>
            <w:tcBorders>
              <w:bottom w:val="single" w:sz="8" w:color="023C5B"/>
            </w:tcBorders>
          </w:tcPr>
          <w:p>
            <w:pPr>
              <w:spacing w:after="0"/>
              <w:rPr>
                <w:sz w:val="3"/>
                <w:szCs w:val="3"/>
                <w:color w:val="auto"/>
              </w:rPr>
            </w:pPr>
          </w:p>
        </w:tc>
        <w:tc>
          <w:tcPr>
            <w:tcW w:w="20" w:type="dxa"/>
            <w:vAlign w:val="bottom"/>
            <w:tcBorders>
              <w:bottom w:val="single" w:sz="8" w:color="023C5B"/>
            </w:tcBorders>
          </w:tcPr>
          <w:p>
            <w:pPr>
              <w:spacing w:after="0"/>
              <w:rPr>
                <w:sz w:val="3"/>
                <w:szCs w:val="3"/>
                <w:color w:val="auto"/>
              </w:rPr>
            </w:pPr>
          </w:p>
        </w:tc>
        <w:tc>
          <w:tcPr>
            <w:tcW w:w="300" w:type="dxa"/>
            <w:vAlign w:val="bottom"/>
            <w:tcBorders>
              <w:bottom w:val="single" w:sz="8" w:color="023C5B"/>
            </w:tcBorders>
          </w:tcPr>
          <w:p>
            <w:pPr>
              <w:spacing w:after="0"/>
              <w:rPr>
                <w:sz w:val="3"/>
                <w:szCs w:val="3"/>
                <w:color w:val="auto"/>
              </w:rPr>
            </w:pPr>
          </w:p>
        </w:tc>
        <w:tc>
          <w:tcPr>
            <w:tcW w:w="180" w:type="dxa"/>
            <w:vAlign w:val="bottom"/>
            <w:tcBorders>
              <w:bottom w:val="single" w:sz="8" w:color="023C5B"/>
            </w:tcBorders>
          </w:tcPr>
          <w:p>
            <w:pPr>
              <w:spacing w:after="0"/>
              <w:rPr>
                <w:sz w:val="3"/>
                <w:szCs w:val="3"/>
                <w:color w:val="auto"/>
              </w:rPr>
            </w:pPr>
          </w:p>
        </w:tc>
        <w:tc>
          <w:tcPr>
            <w:tcW w:w="400" w:type="dxa"/>
            <w:vAlign w:val="bottom"/>
            <w:tcBorders>
              <w:bottom w:val="single" w:sz="8" w:color="023C5B"/>
            </w:tcBorders>
          </w:tcPr>
          <w:p>
            <w:pPr>
              <w:spacing w:after="0"/>
              <w:rPr>
                <w:sz w:val="3"/>
                <w:szCs w:val="3"/>
                <w:color w:val="auto"/>
              </w:rPr>
            </w:pPr>
          </w:p>
        </w:tc>
        <w:tc>
          <w:tcPr>
            <w:tcW w:w="20" w:type="dxa"/>
            <w:vAlign w:val="bottom"/>
            <w:tcBorders>
              <w:bottom w:val="single" w:sz="8" w:color="023C5B"/>
            </w:tcBorders>
          </w:tcPr>
          <w:p>
            <w:pPr>
              <w:spacing w:after="0"/>
              <w:rPr>
                <w:sz w:val="3"/>
                <w:szCs w:val="3"/>
                <w:color w:val="auto"/>
              </w:rPr>
            </w:pPr>
          </w:p>
        </w:tc>
        <w:tc>
          <w:tcPr>
            <w:tcW w:w="200" w:type="dxa"/>
            <w:vAlign w:val="bottom"/>
            <w:tcBorders>
              <w:bottom w:val="single" w:sz="8" w:color="023C5B"/>
            </w:tcBorders>
          </w:tcPr>
          <w:p>
            <w:pPr>
              <w:spacing w:after="0"/>
              <w:rPr>
                <w:sz w:val="3"/>
                <w:szCs w:val="3"/>
                <w:color w:val="auto"/>
              </w:rPr>
            </w:pPr>
          </w:p>
        </w:tc>
        <w:tc>
          <w:tcPr>
            <w:tcW w:w="220" w:type="dxa"/>
            <w:vAlign w:val="bottom"/>
            <w:tcBorders>
              <w:bottom w:val="single" w:sz="8" w:color="023C5B"/>
            </w:tcBorders>
          </w:tcPr>
          <w:p>
            <w:pPr>
              <w:spacing w:after="0"/>
              <w:rPr>
                <w:sz w:val="3"/>
                <w:szCs w:val="3"/>
                <w:color w:val="auto"/>
              </w:rPr>
            </w:pPr>
          </w:p>
        </w:tc>
        <w:tc>
          <w:tcPr>
            <w:tcW w:w="1160" w:type="dxa"/>
            <w:vAlign w:val="bottom"/>
            <w:tcBorders>
              <w:bottom w:val="single" w:sz="8" w:color="023C5B"/>
            </w:tcBorders>
          </w:tcPr>
          <w:p>
            <w:pPr>
              <w:spacing w:after="0"/>
              <w:rPr>
                <w:sz w:val="3"/>
                <w:szCs w:val="3"/>
                <w:color w:val="auto"/>
              </w:rPr>
            </w:pPr>
          </w:p>
        </w:tc>
        <w:tc>
          <w:tcPr>
            <w:tcW w:w="20" w:type="dxa"/>
            <w:vAlign w:val="bottom"/>
            <w:tcBorders>
              <w:bottom w:val="single" w:sz="8" w:color="023C5B"/>
            </w:tcBorders>
          </w:tcPr>
          <w:p>
            <w:pPr>
              <w:spacing w:after="0"/>
              <w:rPr>
                <w:sz w:val="3"/>
                <w:szCs w:val="3"/>
                <w:color w:val="auto"/>
              </w:rPr>
            </w:pPr>
          </w:p>
        </w:tc>
        <w:tc>
          <w:tcPr>
            <w:tcW w:w="440" w:type="dxa"/>
            <w:vAlign w:val="bottom"/>
            <w:tcBorders>
              <w:bottom w:val="single" w:sz="8" w:color="023C5B"/>
            </w:tcBorders>
          </w:tcPr>
          <w:p>
            <w:pPr>
              <w:spacing w:after="0"/>
              <w:rPr>
                <w:sz w:val="3"/>
                <w:szCs w:val="3"/>
                <w:color w:val="auto"/>
              </w:rPr>
            </w:pPr>
          </w:p>
        </w:tc>
        <w:tc>
          <w:tcPr>
            <w:tcW w:w="20" w:type="dxa"/>
            <w:vAlign w:val="bottom"/>
            <w:tcBorders>
              <w:bottom w:val="single" w:sz="8" w:color="023C5B"/>
            </w:tcBorders>
          </w:tcPr>
          <w:p>
            <w:pPr>
              <w:spacing w:after="0"/>
              <w:rPr>
                <w:sz w:val="3"/>
                <w:szCs w:val="3"/>
                <w:color w:val="auto"/>
              </w:rPr>
            </w:pPr>
          </w:p>
        </w:tc>
        <w:tc>
          <w:tcPr>
            <w:tcW w:w="60" w:type="dxa"/>
            <w:vAlign w:val="bottom"/>
            <w:tcBorders>
              <w:bottom w:val="single" w:sz="8" w:color="023C5B"/>
            </w:tcBorders>
          </w:tcPr>
          <w:p>
            <w:pPr>
              <w:spacing w:after="0"/>
              <w:rPr>
                <w:sz w:val="3"/>
                <w:szCs w:val="3"/>
                <w:color w:val="auto"/>
              </w:rPr>
            </w:pPr>
          </w:p>
        </w:tc>
        <w:tc>
          <w:tcPr>
            <w:tcW w:w="320" w:type="dxa"/>
            <w:vAlign w:val="bottom"/>
            <w:tcBorders>
              <w:bottom w:val="single" w:sz="8" w:color="023C5B"/>
            </w:tcBorders>
          </w:tcPr>
          <w:p>
            <w:pPr>
              <w:spacing w:after="0"/>
              <w:rPr>
                <w:sz w:val="3"/>
                <w:szCs w:val="3"/>
                <w:color w:val="auto"/>
              </w:rPr>
            </w:pPr>
          </w:p>
        </w:tc>
        <w:tc>
          <w:tcPr>
            <w:tcW w:w="3280" w:type="dxa"/>
            <w:vAlign w:val="bottom"/>
            <w:tcBorders>
              <w:bottom w:val="single" w:sz="8" w:color="023C5B"/>
            </w:tcBorders>
          </w:tcPr>
          <w:p>
            <w:pPr>
              <w:spacing w:after="0"/>
              <w:rPr>
                <w:sz w:val="3"/>
                <w:szCs w:val="3"/>
                <w:color w:val="auto"/>
              </w:rPr>
            </w:pPr>
          </w:p>
        </w:tc>
        <w:tc>
          <w:tcPr>
            <w:tcW w:w="20" w:type="dxa"/>
            <w:vAlign w:val="bottom"/>
            <w:tcBorders>
              <w:bottom w:val="single" w:sz="8" w:color="023C5B"/>
            </w:tcBorders>
          </w:tcPr>
          <w:p>
            <w:pPr>
              <w:spacing w:after="0"/>
              <w:rPr>
                <w:sz w:val="3"/>
                <w:szCs w:val="3"/>
                <w:color w:val="auto"/>
              </w:rPr>
            </w:pPr>
          </w:p>
        </w:tc>
        <w:tc>
          <w:tcPr>
            <w:tcW w:w="2080" w:type="dxa"/>
            <w:vAlign w:val="bottom"/>
            <w:tcBorders>
              <w:bottom w:val="single" w:sz="8" w:color="023C5B"/>
            </w:tcBorders>
          </w:tcPr>
          <w:p>
            <w:pPr>
              <w:spacing w:after="0"/>
              <w:rPr>
                <w:sz w:val="3"/>
                <w:szCs w:val="3"/>
                <w:color w:val="auto"/>
              </w:rPr>
            </w:pPr>
          </w:p>
        </w:tc>
        <w:tc>
          <w:tcPr>
            <w:tcW w:w="30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0" w:type="dxa"/>
            <w:vAlign w:val="bottom"/>
          </w:tcPr>
          <w:p>
            <w:pPr>
              <w:jc w:val="center"/>
              <w:spacing w:after="0"/>
              <w:rPr>
                <w:sz w:val="20"/>
                <w:szCs w:val="20"/>
                <w:color w:val="auto"/>
              </w:rPr>
            </w:pPr>
            <w:r>
              <w:rPr>
                <w:rFonts w:ascii="Arial" w:cs="Arial" w:eastAsia="Arial" w:hAnsi="Arial"/>
                <w:sz w:val="5"/>
                <w:szCs w:val="5"/>
                <w:b w:val="1"/>
                <w:bCs w:val="1"/>
                <w:color w:val="023C5B"/>
                <w:w w:val="79"/>
              </w:rPr>
              <w:t> </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4900" w:type="dxa"/>
            <w:vAlign w:val="bottom"/>
            <w:gridSpan w:val="20"/>
          </w:tcPr>
          <w:p>
            <w:pPr>
              <w:spacing w:after="0"/>
              <w:rPr>
                <w:sz w:val="20"/>
                <w:szCs w:val="20"/>
                <w:color w:val="auto"/>
              </w:rPr>
            </w:pPr>
            <w:r>
              <w:rPr>
                <w:rFonts w:ascii="Arial" w:cs="Arial" w:eastAsia="Arial" w:hAnsi="Arial"/>
                <w:sz w:val="20"/>
                <w:szCs w:val="20"/>
                <w:b w:val="1"/>
                <w:bCs w:val="1"/>
                <w:color w:val="0000EE"/>
              </w:rPr>
              <w:t>AUDIT MATTERS</w:t>
            </w:r>
          </w:p>
        </w:tc>
        <w:tc>
          <w:tcPr>
            <w:tcW w:w="320" w:type="dxa"/>
            <w:vAlign w:val="bottom"/>
          </w:tcPr>
          <w:p>
            <w:pPr>
              <w:spacing w:after="0"/>
              <w:rPr>
                <w:sz w:val="24"/>
                <w:szCs w:val="24"/>
                <w:color w:val="auto"/>
              </w:rPr>
            </w:pPr>
          </w:p>
        </w:tc>
        <w:tc>
          <w:tcPr>
            <w:tcW w:w="5380" w:type="dxa"/>
            <w:vAlign w:val="bottom"/>
            <w:gridSpan w:val="3"/>
          </w:tcPr>
          <w:p>
            <w:pPr>
              <w:ind w:left="340"/>
              <w:spacing w:after="0"/>
              <w:rPr>
                <w:sz w:val="20"/>
                <w:szCs w:val="20"/>
                <w:color w:val="auto"/>
              </w:rPr>
            </w:pPr>
            <w:r>
              <w:rPr>
                <w:rFonts w:ascii="Arial" w:cs="Arial" w:eastAsia="Arial" w:hAnsi="Arial"/>
                <w:sz w:val="16"/>
                <w:szCs w:val="16"/>
                <w:b w:val="1"/>
                <w:bCs w:val="1"/>
                <w:i w:val="1"/>
                <w:iCs w:val="1"/>
                <w:color w:val="023C5B"/>
              </w:rPr>
              <w:t>Cautionary Note Regarding Forward-Looking Statements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80" w:type="dxa"/>
            <w:vAlign w:val="bottom"/>
            <w:gridSpan w:val="4"/>
            <w:vMerge w:val="restart"/>
          </w:tcPr>
          <w:p>
            <w:pPr>
              <w:ind w:left="340"/>
              <w:spacing w:after="0"/>
              <w:rPr>
                <w:sz w:val="20"/>
                <w:szCs w:val="20"/>
                <w:color w:val="auto"/>
              </w:rPr>
            </w:pPr>
            <w:r>
              <w:rPr>
                <w:rFonts w:ascii="Arial" w:cs="Arial" w:eastAsia="Arial" w:hAnsi="Arial"/>
                <w:sz w:val="18"/>
                <w:szCs w:val="18"/>
                <w:color w:val="auto"/>
              </w:rPr>
              <w:t>Certain statements in this proxy statement may constitute forward-</w:t>
            </w: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gridSpan w:val="20"/>
          </w:tcPr>
          <w:p>
            <w:pPr>
              <w:spacing w:after="0"/>
              <w:rPr>
                <w:sz w:val="20"/>
                <w:szCs w:val="20"/>
                <w:color w:val="auto"/>
              </w:rPr>
            </w:pPr>
            <w:r>
              <w:rPr>
                <w:rFonts w:ascii="Arial" w:cs="Arial" w:eastAsia="Arial" w:hAnsi="Arial"/>
                <w:sz w:val="16"/>
                <w:szCs w:val="16"/>
                <w:b w:val="1"/>
                <w:bCs w:val="1"/>
                <w:color w:val="0000EE"/>
              </w:rPr>
              <w:t>Section X- Ratification of the Selection of Ernst &amp; Young LLP as</w:t>
            </w:r>
          </w:p>
        </w:tc>
        <w:tc>
          <w:tcPr>
            <w:tcW w:w="320" w:type="dxa"/>
            <w:vAlign w:val="bottom"/>
          </w:tcPr>
          <w:p>
            <w:pPr>
              <w:spacing w:after="0"/>
              <w:rPr>
                <w:sz w:val="20"/>
                <w:szCs w:val="20"/>
                <w:color w:val="auto"/>
              </w:rPr>
            </w:pPr>
          </w:p>
        </w:tc>
        <w:tc>
          <w:tcPr>
            <w:tcW w:w="568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660" w:type="dxa"/>
            <w:vAlign w:val="bottom"/>
            <w:tcBorders>
              <w:top w:val="single" w:sz="8" w:color="0000EE"/>
              <w:bottom w:val="single" w:sz="8" w:color="0000EE"/>
            </w:tcBorders>
            <w:gridSpan w:val="17"/>
          </w:tcPr>
          <w:p>
            <w:pPr>
              <w:spacing w:after="0" w:line="154" w:lineRule="exact"/>
              <w:rPr>
                <w:sz w:val="20"/>
                <w:szCs w:val="20"/>
                <w:color w:val="auto"/>
              </w:rPr>
            </w:pPr>
            <w:r>
              <w:rPr>
                <w:rFonts w:ascii="Arial" w:cs="Arial" w:eastAsia="Arial" w:hAnsi="Arial"/>
                <w:sz w:val="16"/>
                <w:szCs w:val="16"/>
                <w:b w:val="1"/>
                <w:bCs w:val="1"/>
                <w:color w:val="0000EE"/>
                <w:w w:val="99"/>
              </w:rPr>
              <w:t>Our Independent Registered Public Accounting Firm for 2026</w:t>
            </w:r>
          </w:p>
        </w:tc>
        <w:tc>
          <w:tcPr>
            <w:tcW w:w="20" w:type="dxa"/>
            <w:vAlign w:val="bottom"/>
            <w:tcBorders>
              <w:top w:val="single" w:sz="8" w:color="0000EE"/>
              <w:bottom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80" w:type="dxa"/>
            <w:vAlign w:val="bottom"/>
            <w:gridSpan w:val="4"/>
          </w:tcPr>
          <w:p>
            <w:pPr>
              <w:ind w:left="340"/>
              <w:spacing w:after="0" w:line="167" w:lineRule="exact"/>
              <w:rPr>
                <w:sz w:val="20"/>
                <w:szCs w:val="20"/>
                <w:color w:val="auto"/>
              </w:rPr>
            </w:pPr>
            <w:r>
              <w:rPr>
                <w:rFonts w:ascii="Arial" w:cs="Arial" w:eastAsia="Arial" w:hAnsi="Arial"/>
                <w:sz w:val="18"/>
                <w:szCs w:val="18"/>
                <w:color w:val="auto"/>
              </w:rPr>
              <w:t>looking  statements,  which  involve  a  number  of  risks  and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Borders>
              <w:bottom w:val="single" w:sz="8" w:color="0000EE"/>
            </w:tcBorders>
            <w:gridSpan w:val="8"/>
          </w:tcPr>
          <w:p>
            <w:pPr>
              <w:spacing w:after="0" w:line="154" w:lineRule="exact"/>
              <w:rPr>
                <w:sz w:val="20"/>
                <w:szCs w:val="20"/>
                <w:color w:val="auto"/>
              </w:rPr>
            </w:pPr>
            <w:r>
              <w:rPr>
                <w:rFonts w:ascii="Arial" w:cs="Arial" w:eastAsia="Arial" w:hAnsi="Arial"/>
                <w:sz w:val="16"/>
                <w:szCs w:val="16"/>
                <w:b w:val="1"/>
                <w:bCs w:val="1"/>
                <w:color w:val="0000EE"/>
                <w:w w:val="99"/>
              </w:rPr>
              <w:t>(Item 3 on Proxy Card)</w:t>
            </w:r>
          </w:p>
        </w:tc>
        <w:tc>
          <w:tcPr>
            <w:tcW w:w="30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40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11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520" w:type="dxa"/>
            <w:vAlign w:val="bottom"/>
            <w:gridSpan w:val="3"/>
            <w:vMerge w:val="restart"/>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5680" w:type="dxa"/>
            <w:vAlign w:val="bottom"/>
            <w:gridSpan w:val="4"/>
            <w:vMerge w:val="restart"/>
          </w:tcPr>
          <w:p>
            <w:pPr>
              <w:ind w:left="340"/>
              <w:spacing w:after="0"/>
              <w:rPr>
                <w:sz w:val="20"/>
                <w:szCs w:val="20"/>
                <w:color w:val="auto"/>
              </w:rPr>
            </w:pPr>
            <w:r>
              <w:rPr>
                <w:rFonts w:ascii="Arial" w:cs="Arial" w:eastAsia="Arial" w:hAnsi="Arial"/>
                <w:sz w:val="18"/>
                <w:szCs w:val="18"/>
                <w:color w:val="auto"/>
              </w:rPr>
              <w:t>uncertainties.  Capital  One  cautions  readers  that  any  forward-</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4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520" w:type="dxa"/>
            <w:vAlign w:val="bottom"/>
            <w:gridSpan w:val="3"/>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56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gridSpan w:val="20"/>
            <w:vMerge w:val="restart"/>
          </w:tcPr>
          <w:p>
            <w:pPr>
              <w:spacing w:after="0"/>
              <w:rPr>
                <w:sz w:val="20"/>
                <w:szCs w:val="20"/>
                <w:color w:val="auto"/>
              </w:rPr>
            </w:pPr>
            <w:r>
              <w:rPr>
                <w:rFonts w:ascii="Arial" w:cs="Arial" w:eastAsia="Arial" w:hAnsi="Arial"/>
                <w:sz w:val="16"/>
                <w:szCs w:val="16"/>
                <w:b w:val="1"/>
                <w:bCs w:val="1"/>
                <w:color w:val="0000EE"/>
              </w:rPr>
              <w:t>Section XI - Audit Committee Report</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127</w:t>
            </w:r>
          </w:p>
        </w:tc>
        <w:tc>
          <w:tcPr>
            <w:tcW w:w="568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looking information is not a guarantee of future performance and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4900" w:type="dxa"/>
            <w:vAlign w:val="bottom"/>
            <w:gridSpan w:val="20"/>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680" w:type="dxa"/>
            <w:vAlign w:val="bottom"/>
            <w:gridSpan w:val="4"/>
            <w:vMerge w:val="restart"/>
          </w:tcPr>
          <w:p>
            <w:pPr>
              <w:ind w:left="340"/>
              <w:spacing w:after="0" w:line="201" w:lineRule="exact"/>
              <w:rPr>
                <w:sz w:val="20"/>
                <w:szCs w:val="20"/>
                <w:color w:val="auto"/>
              </w:rPr>
            </w:pPr>
            <w:r>
              <w:rPr>
                <w:rFonts w:ascii="Arial" w:cs="Arial" w:eastAsia="Arial" w:hAnsi="Arial"/>
                <w:sz w:val="18"/>
                <w:szCs w:val="18"/>
                <w:color w:val="auto"/>
                <w:w w:val="98"/>
              </w:rPr>
              <w:t>that actual results could differ materially from those contained in the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gridSpan w:val="20"/>
            <w:vMerge w:val="restart"/>
          </w:tcPr>
          <w:p>
            <w:pPr>
              <w:spacing w:after="0"/>
              <w:rPr>
                <w:sz w:val="20"/>
                <w:szCs w:val="20"/>
                <w:color w:val="auto"/>
              </w:rPr>
            </w:pPr>
            <w:r>
              <w:rPr>
                <w:rFonts w:ascii="Arial" w:cs="Arial" w:eastAsia="Arial" w:hAnsi="Arial"/>
                <w:sz w:val="20"/>
                <w:szCs w:val="20"/>
                <w:b w:val="1"/>
                <w:bCs w:val="1"/>
                <w:color w:val="0000EE"/>
              </w:rPr>
              <w:t>STOCKHOLDER PROPOSALS</w:t>
            </w:r>
          </w:p>
        </w:tc>
        <w:tc>
          <w:tcPr>
            <w:tcW w:w="320" w:type="dxa"/>
            <w:vAlign w:val="bottom"/>
          </w:tcPr>
          <w:p>
            <w:pPr>
              <w:spacing w:after="0"/>
              <w:rPr>
                <w:sz w:val="17"/>
                <w:szCs w:val="17"/>
                <w:color w:val="auto"/>
              </w:rPr>
            </w:pPr>
          </w:p>
        </w:tc>
        <w:tc>
          <w:tcPr>
            <w:tcW w:w="568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forward-looking information due to a number of factors, including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4900" w:type="dxa"/>
            <w:vAlign w:val="bottom"/>
            <w:gridSpan w:val="20"/>
            <w:vMerge w:val="continue"/>
          </w:tcPr>
          <w:p>
            <w:pPr>
              <w:spacing w:after="0"/>
              <w:rPr>
                <w:sz w:val="6"/>
                <w:szCs w:val="6"/>
                <w:color w:val="auto"/>
              </w:rPr>
            </w:pPr>
          </w:p>
        </w:tc>
        <w:tc>
          <w:tcPr>
            <w:tcW w:w="320" w:type="dxa"/>
            <w:vAlign w:val="bottom"/>
          </w:tcPr>
          <w:p>
            <w:pPr>
              <w:spacing w:after="0"/>
              <w:rPr>
                <w:sz w:val="6"/>
                <w:szCs w:val="6"/>
                <w:color w:val="auto"/>
              </w:rPr>
            </w:pPr>
          </w:p>
        </w:tc>
        <w:tc>
          <w:tcPr>
            <w:tcW w:w="5680" w:type="dxa"/>
            <w:vAlign w:val="bottom"/>
            <w:gridSpan w:val="4"/>
            <w:vMerge w:val="restart"/>
          </w:tcPr>
          <w:p>
            <w:pPr>
              <w:ind w:left="340"/>
              <w:spacing w:after="0" w:line="201" w:lineRule="exact"/>
              <w:rPr>
                <w:sz w:val="20"/>
                <w:szCs w:val="20"/>
                <w:color w:val="auto"/>
              </w:rPr>
            </w:pPr>
            <w:r>
              <w:rPr>
                <w:rFonts w:ascii="Arial" w:cs="Arial" w:eastAsia="Arial" w:hAnsi="Arial"/>
                <w:sz w:val="18"/>
                <w:szCs w:val="18"/>
                <w:color w:val="auto"/>
              </w:rPr>
              <w:t>those listed from time to time in reports that Capital One files with</w:t>
            </w:r>
          </w:p>
        </w:tc>
        <w:tc>
          <w:tcPr>
            <w:tcW w:w="0" w:type="dxa"/>
            <w:vAlign w:val="bottom"/>
          </w:tcPr>
          <w:p>
            <w:pPr>
              <w:spacing w:after="0"/>
              <w:rPr>
                <w:sz w:val="1"/>
                <w:szCs w:val="1"/>
                <w:color w:val="auto"/>
              </w:rPr>
            </w:pPr>
          </w:p>
        </w:tc>
      </w:tr>
      <w:tr>
        <w:trPr>
          <w:trHeight w:val="60"/>
        </w:trPr>
        <w:tc>
          <w:tcPr>
            <w:tcW w:w="20" w:type="dxa"/>
            <w:vAlign w:val="bottom"/>
            <w:tcBorders>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500" w:type="dxa"/>
            <w:vAlign w:val="bottom"/>
            <w:tcBorders>
              <w:top w:val="single" w:sz="8" w:color="0000EE"/>
              <w:bottom w:val="single" w:sz="8" w:color="auto"/>
            </w:tcBorders>
          </w:tcPr>
          <w:p>
            <w:pPr>
              <w:spacing w:after="0"/>
              <w:rPr>
                <w:sz w:val="5"/>
                <w:szCs w:val="5"/>
                <w:color w:val="auto"/>
              </w:rPr>
            </w:pPr>
          </w:p>
        </w:tc>
        <w:tc>
          <w:tcPr>
            <w:tcW w:w="38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40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5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380" w:type="dxa"/>
            <w:vAlign w:val="bottom"/>
            <w:gridSpan w:val="17"/>
            <w:vMerge w:val="restart"/>
          </w:tcPr>
          <w:p>
            <w:pPr>
              <w:spacing w:after="0"/>
              <w:rPr>
                <w:sz w:val="20"/>
                <w:szCs w:val="20"/>
                <w:color w:val="auto"/>
              </w:rPr>
            </w:pPr>
            <w:r>
              <w:rPr>
                <w:rFonts w:ascii="Arial" w:cs="Arial" w:eastAsia="Arial" w:hAnsi="Arial"/>
                <w:sz w:val="16"/>
                <w:szCs w:val="16"/>
                <w:b w:val="1"/>
                <w:bCs w:val="1"/>
                <w:color w:val="0000EE"/>
                <w:w w:val="99"/>
              </w:rPr>
              <w:t>Section XII - Stockholder Proposal (Item 4 on Proxy Card)</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128</w:t>
            </w:r>
          </w:p>
        </w:tc>
        <w:tc>
          <w:tcPr>
            <w:tcW w:w="568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9"/>
              </w:rPr>
              <w:t>the Securities and Exchange Commission, including, but not limited</w:t>
            </w:r>
          </w:p>
        </w:tc>
        <w:tc>
          <w:tcPr>
            <w:tcW w:w="0" w:type="dxa"/>
            <w:vAlign w:val="bottom"/>
          </w:tcPr>
          <w:p>
            <w:pPr>
              <w:spacing w:after="0"/>
              <w:rPr>
                <w:sz w:val="1"/>
                <w:szCs w:val="1"/>
                <w:color w:val="auto"/>
              </w:rPr>
            </w:pPr>
          </w:p>
        </w:tc>
      </w:tr>
      <w:tr>
        <w:trPr>
          <w:trHeight w:val="131"/>
        </w:trPr>
        <w:tc>
          <w:tcPr>
            <w:tcW w:w="20" w:type="dxa"/>
            <w:vAlign w:val="bottom"/>
            <w:vMerge w:val="restart"/>
          </w:tcPr>
          <w:p>
            <w:pPr>
              <w:spacing w:after="0"/>
              <w:rPr>
                <w:sz w:val="10"/>
                <w:szCs w:val="10"/>
                <w:color w:val="auto"/>
              </w:rPr>
            </w:pPr>
          </w:p>
        </w:tc>
        <w:tc>
          <w:tcPr>
            <w:tcW w:w="4380" w:type="dxa"/>
            <w:vAlign w:val="bottom"/>
            <w:tcBorders>
              <w:bottom w:val="single" w:sz="8" w:color="0000EE"/>
            </w:tcBorders>
            <w:gridSpan w:val="17"/>
            <w:vMerge w:val="continue"/>
          </w:tcPr>
          <w:p>
            <w:pPr>
              <w:spacing w:after="0"/>
              <w:rPr>
                <w:sz w:val="10"/>
                <w:szCs w:val="10"/>
                <w:color w:val="auto"/>
              </w:rPr>
            </w:pPr>
          </w:p>
        </w:tc>
        <w:tc>
          <w:tcPr>
            <w:tcW w:w="520" w:type="dxa"/>
            <w:vAlign w:val="bottom"/>
            <w:gridSpan w:val="3"/>
            <w:vMerge w:val="restart"/>
          </w:tcPr>
          <w:p>
            <w:pPr>
              <w:spacing w:after="0"/>
              <w:rPr>
                <w:sz w:val="10"/>
                <w:szCs w:val="10"/>
                <w:color w:val="auto"/>
              </w:rPr>
            </w:pPr>
          </w:p>
        </w:tc>
        <w:tc>
          <w:tcPr>
            <w:tcW w:w="320" w:type="dxa"/>
            <w:vAlign w:val="bottom"/>
            <w:vMerge w:val="continue"/>
          </w:tcPr>
          <w:p>
            <w:pPr>
              <w:spacing w:after="0"/>
              <w:rPr>
                <w:sz w:val="10"/>
                <w:szCs w:val="10"/>
                <w:color w:val="auto"/>
              </w:rPr>
            </w:pPr>
          </w:p>
        </w:tc>
        <w:tc>
          <w:tcPr>
            <w:tcW w:w="5680" w:type="dxa"/>
            <w:vAlign w:val="bottom"/>
            <w:gridSpan w:val="4"/>
            <w:vMerge w:val="restart"/>
          </w:tcPr>
          <w:p>
            <w:pPr>
              <w:ind w:left="340"/>
              <w:spacing w:after="0" w:line="201" w:lineRule="exact"/>
              <w:rPr>
                <w:sz w:val="20"/>
                <w:szCs w:val="20"/>
                <w:color w:val="auto"/>
              </w:rPr>
            </w:pPr>
            <w:r>
              <w:rPr>
                <w:rFonts w:ascii="Arial" w:cs="Arial" w:eastAsia="Arial" w:hAnsi="Arial"/>
                <w:sz w:val="18"/>
                <w:szCs w:val="18"/>
                <w:color w:val="auto"/>
              </w:rPr>
              <w:t>to, the Annual Report on the Form 10-K for the year ended</w:t>
            </w:r>
          </w:p>
        </w:tc>
        <w:tc>
          <w:tcPr>
            <w:tcW w:w="0" w:type="dxa"/>
            <w:vAlign w:val="bottom"/>
          </w:tcPr>
          <w:p>
            <w:pPr>
              <w:spacing w:after="0"/>
              <w:rPr>
                <w:sz w:val="1"/>
                <w:szCs w:val="1"/>
                <w:color w:val="auto"/>
              </w:rPr>
            </w:pPr>
          </w:p>
        </w:tc>
      </w:tr>
      <w:tr>
        <w:trPr>
          <w:trHeight w:val="55"/>
        </w:trPr>
        <w:tc>
          <w:tcPr>
            <w:tcW w:w="20" w:type="dxa"/>
            <w:vAlign w:val="bottom"/>
            <w:vMerge w:val="continue"/>
          </w:tcPr>
          <w:p>
            <w:pPr>
              <w:spacing w:after="0"/>
              <w:rPr>
                <w:sz w:val="4"/>
                <w:szCs w:val="4"/>
                <w:color w:val="auto"/>
              </w:rPr>
            </w:pPr>
          </w:p>
        </w:tc>
        <w:tc>
          <w:tcPr>
            <w:tcW w:w="2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56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60" w:type="dxa"/>
            <w:vAlign w:val="bottom"/>
            <w:gridSpan w:val="7"/>
            <w:vMerge w:val="restart"/>
          </w:tcPr>
          <w:p>
            <w:pPr>
              <w:spacing w:after="0"/>
              <w:rPr>
                <w:sz w:val="20"/>
                <w:szCs w:val="20"/>
                <w:color w:val="auto"/>
              </w:rPr>
            </w:pPr>
            <w:r>
              <w:rPr>
                <w:rFonts w:ascii="Arial" w:cs="Arial" w:eastAsia="Arial" w:hAnsi="Arial"/>
                <w:sz w:val="20"/>
                <w:szCs w:val="20"/>
                <w:b w:val="1"/>
                <w:bCs w:val="1"/>
                <w:color w:val="0000EE"/>
                <w:w w:val="95"/>
              </w:rPr>
              <w:t>OTHER MATTERS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8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9"/>
              </w:rPr>
              <w:t>December 31, 2025 (“Form 10-K”). The forward-looking statements</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1660" w:type="dxa"/>
            <w:vAlign w:val="bottom"/>
            <w:tcBorders>
              <w:bottom w:val="single" w:sz="8" w:color="0000EE"/>
            </w:tcBorders>
            <w:gridSpan w:val="7"/>
            <w:vMerge w:val="continue"/>
          </w:tcPr>
          <w:p>
            <w:pPr>
              <w:spacing w:after="0"/>
              <w:rPr>
                <w:sz w:val="13"/>
                <w:szCs w:val="13"/>
                <w:color w:val="auto"/>
              </w:rPr>
            </w:pPr>
          </w:p>
        </w:tc>
        <w:tc>
          <w:tcPr>
            <w:tcW w:w="200" w:type="dxa"/>
            <w:vAlign w:val="bottom"/>
            <w:vMerge w:val="restart"/>
          </w:tcPr>
          <w:p>
            <w:pPr>
              <w:spacing w:after="0"/>
              <w:rPr>
                <w:sz w:val="13"/>
                <w:szCs w:val="13"/>
                <w:color w:val="auto"/>
              </w:rPr>
            </w:pPr>
          </w:p>
        </w:tc>
        <w:tc>
          <w:tcPr>
            <w:tcW w:w="320" w:type="dxa"/>
            <w:vAlign w:val="bottom"/>
            <w:gridSpan w:val="2"/>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620" w:type="dxa"/>
            <w:vAlign w:val="bottom"/>
            <w:gridSpan w:val="3"/>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1160" w:type="dxa"/>
            <w:vAlign w:val="bottom"/>
            <w:vMerge w:val="restart"/>
          </w:tcPr>
          <w:p>
            <w:pPr>
              <w:spacing w:after="0"/>
              <w:rPr>
                <w:sz w:val="13"/>
                <w:szCs w:val="13"/>
                <w:color w:val="auto"/>
              </w:rPr>
            </w:pPr>
          </w:p>
        </w:tc>
        <w:tc>
          <w:tcPr>
            <w:tcW w:w="540" w:type="dxa"/>
            <w:vAlign w:val="bottom"/>
            <w:gridSpan w:val="4"/>
            <w:vMerge w:val="restart"/>
          </w:tcPr>
          <w:p>
            <w:pPr>
              <w:spacing w:after="0"/>
              <w:rPr>
                <w:sz w:val="13"/>
                <w:szCs w:val="13"/>
                <w:color w:val="auto"/>
              </w:rPr>
            </w:pPr>
          </w:p>
        </w:tc>
        <w:tc>
          <w:tcPr>
            <w:tcW w:w="320" w:type="dxa"/>
            <w:vAlign w:val="bottom"/>
          </w:tcPr>
          <w:p>
            <w:pPr>
              <w:spacing w:after="0"/>
              <w:rPr>
                <w:sz w:val="13"/>
                <w:szCs w:val="13"/>
                <w:color w:val="auto"/>
              </w:rPr>
            </w:pPr>
          </w:p>
        </w:tc>
        <w:tc>
          <w:tcPr>
            <w:tcW w:w="5680" w:type="dxa"/>
            <w:vAlign w:val="bottom"/>
            <w:gridSpan w:val="4"/>
            <w:vMerge w:val="restart"/>
          </w:tcPr>
          <w:p>
            <w:pPr>
              <w:ind w:left="340"/>
              <w:spacing w:after="0" w:line="201" w:lineRule="exact"/>
              <w:rPr>
                <w:sz w:val="20"/>
                <w:szCs w:val="20"/>
                <w:color w:val="auto"/>
              </w:rPr>
            </w:pPr>
            <w:r>
              <w:rPr>
                <w:rFonts w:ascii="Arial" w:cs="Arial" w:eastAsia="Arial" w:hAnsi="Arial"/>
                <w:sz w:val="18"/>
                <w:szCs w:val="18"/>
                <w:color w:val="auto"/>
              </w:rPr>
              <w:t>in this proxy statement are made as of the date of this proxy</w:t>
            </w:r>
          </w:p>
        </w:tc>
        <w:tc>
          <w:tcPr>
            <w:tcW w:w="0" w:type="dxa"/>
            <w:vAlign w:val="bottom"/>
          </w:tcPr>
          <w:p>
            <w:pPr>
              <w:spacing w:after="0"/>
              <w:rPr>
                <w:sz w:val="1"/>
                <w:szCs w:val="1"/>
                <w:color w:val="auto"/>
              </w:rPr>
            </w:pPr>
          </w:p>
        </w:tc>
      </w:tr>
      <w:tr>
        <w:trPr>
          <w:trHeight w:val="28"/>
        </w:trPr>
        <w:tc>
          <w:tcPr>
            <w:tcW w:w="20" w:type="dxa"/>
            <w:vAlign w:val="bottom"/>
            <w:vMerge w:val="continue"/>
          </w:tcPr>
          <w:p>
            <w:pPr>
              <w:spacing w:after="0"/>
              <w:rPr>
                <w:sz w:val="2"/>
                <w:szCs w:val="2"/>
                <w:color w:val="auto"/>
              </w:rPr>
            </w:pPr>
          </w:p>
        </w:tc>
        <w:tc>
          <w:tcPr>
            <w:tcW w:w="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0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620" w:type="dxa"/>
            <w:vAlign w:val="bottom"/>
            <w:gridSpan w:val="3"/>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540" w:type="dxa"/>
            <w:vAlign w:val="bottom"/>
            <w:gridSpan w:val="4"/>
            <w:vMerge w:val="continue"/>
          </w:tcPr>
          <w:p>
            <w:pPr>
              <w:spacing w:after="0"/>
              <w:rPr>
                <w:sz w:val="2"/>
                <w:szCs w:val="2"/>
                <w:color w:val="auto"/>
              </w:rPr>
            </w:pPr>
          </w:p>
        </w:tc>
        <w:tc>
          <w:tcPr>
            <w:tcW w:w="320" w:type="dxa"/>
            <w:vAlign w:val="bottom"/>
          </w:tcPr>
          <w:p>
            <w:pPr>
              <w:spacing w:after="0"/>
              <w:rPr>
                <w:sz w:val="2"/>
                <w:szCs w:val="2"/>
                <w:color w:val="auto"/>
              </w:rPr>
            </w:pPr>
          </w:p>
        </w:tc>
        <w:tc>
          <w:tcPr>
            <w:tcW w:w="56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80" w:type="dxa"/>
            <w:vAlign w:val="bottom"/>
            <w:gridSpan w:val="4"/>
            <w:vMerge w:val="restart"/>
          </w:tcPr>
          <w:p>
            <w:pPr>
              <w:ind w:left="340"/>
              <w:spacing w:after="0" w:line="201" w:lineRule="exact"/>
              <w:rPr>
                <w:sz w:val="20"/>
                <w:szCs w:val="20"/>
                <w:color w:val="auto"/>
              </w:rPr>
            </w:pPr>
            <w:r>
              <w:rPr>
                <w:rFonts w:ascii="Arial" w:cs="Arial" w:eastAsia="Arial" w:hAnsi="Arial"/>
                <w:sz w:val="18"/>
                <w:szCs w:val="18"/>
                <w:color w:val="auto"/>
                <w:w w:val="99"/>
              </w:rPr>
              <w:t>statement, unless otherwise indicated, and Capital One undertakes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gridSpan w:val="20"/>
          </w:tcPr>
          <w:p>
            <w:pPr>
              <w:spacing w:after="0"/>
              <w:rPr>
                <w:sz w:val="20"/>
                <w:szCs w:val="20"/>
                <w:color w:val="auto"/>
              </w:rPr>
            </w:pPr>
            <w:r>
              <w:rPr>
                <w:rFonts w:ascii="Arial" w:cs="Arial" w:eastAsia="Arial" w:hAnsi="Arial"/>
                <w:sz w:val="16"/>
                <w:szCs w:val="16"/>
                <w:b w:val="1"/>
                <w:bCs w:val="1"/>
                <w:color w:val="0000EE"/>
              </w:rPr>
              <w:t>Section XIII - Other Business</w:t>
            </w:r>
          </w:p>
        </w:tc>
        <w:tc>
          <w:tcPr>
            <w:tcW w:w="320" w:type="dxa"/>
            <w:vAlign w:val="bottom"/>
          </w:tcPr>
          <w:p>
            <w:pPr>
              <w:jc w:val="right"/>
              <w:spacing w:after="0"/>
              <w:rPr>
                <w:sz w:val="20"/>
                <w:szCs w:val="20"/>
                <w:color w:val="auto"/>
              </w:rPr>
            </w:pPr>
            <w:r>
              <w:rPr>
                <w:rFonts w:ascii="Arial" w:cs="Arial" w:eastAsia="Arial" w:hAnsi="Arial"/>
                <w:sz w:val="16"/>
                <w:szCs w:val="16"/>
                <w:color w:val="auto"/>
              </w:rPr>
              <w:t>132</w:t>
            </w:r>
          </w:p>
        </w:tc>
        <w:tc>
          <w:tcPr>
            <w:tcW w:w="5680" w:type="dxa"/>
            <w:vAlign w:val="bottom"/>
            <w:gridSpan w:val="4"/>
          </w:tcPr>
          <w:p>
            <w:pPr>
              <w:ind w:left="340"/>
              <w:spacing w:after="0"/>
              <w:rPr>
                <w:sz w:val="20"/>
                <w:szCs w:val="20"/>
                <w:color w:val="auto"/>
              </w:rPr>
            </w:pPr>
            <w:r>
              <w:rPr>
                <w:rFonts w:ascii="Arial" w:cs="Arial" w:eastAsia="Arial" w:hAnsi="Arial"/>
                <w:sz w:val="18"/>
                <w:szCs w:val="18"/>
                <w:color w:val="auto"/>
              </w:rPr>
              <w:t>no obligation to revise or update any forward-looking statements,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gridSpan w:val="8"/>
            <w:vMerge w:val="restart"/>
          </w:tcPr>
          <w:p>
            <w:pPr>
              <w:spacing w:after="0"/>
              <w:rPr>
                <w:sz w:val="20"/>
                <w:szCs w:val="20"/>
                <w:color w:val="auto"/>
              </w:rPr>
            </w:pPr>
            <w:r>
              <w:rPr>
                <w:rFonts w:ascii="Arial" w:cs="Arial" w:eastAsia="Arial" w:hAnsi="Arial"/>
                <w:sz w:val="16"/>
                <w:szCs w:val="16"/>
                <w:color w:val="0000EE"/>
              </w:rPr>
              <w:t>Other Business</w:t>
            </w:r>
          </w:p>
        </w:tc>
        <w:tc>
          <w:tcPr>
            <w:tcW w:w="2720" w:type="dxa"/>
            <w:vAlign w:val="bottom"/>
            <w:gridSpan w:val="10"/>
            <w:vMerge w:val="restart"/>
          </w:tcPr>
          <w:p>
            <w:pPr>
              <w:spacing w:after="0"/>
              <w:rPr>
                <w:sz w:val="18"/>
                <w:szCs w:val="18"/>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132</w:t>
            </w:r>
          </w:p>
        </w:tc>
        <w:tc>
          <w:tcPr>
            <w:tcW w:w="5380" w:type="dxa"/>
            <w:vAlign w:val="bottom"/>
            <w:gridSpan w:val="3"/>
          </w:tcPr>
          <w:p>
            <w:pPr>
              <w:ind w:left="340"/>
              <w:spacing w:after="0"/>
              <w:rPr>
                <w:sz w:val="20"/>
                <w:szCs w:val="20"/>
                <w:color w:val="auto"/>
              </w:rPr>
            </w:pPr>
            <w:r>
              <w:rPr>
                <w:rFonts w:ascii="Arial" w:cs="Arial" w:eastAsia="Arial" w:hAnsi="Arial"/>
                <w:sz w:val="18"/>
                <w:szCs w:val="18"/>
                <w:color w:val="auto"/>
              </w:rPr>
              <w:t>except to the extent required by applicable law or regulation.</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gridSpan w:val="8"/>
            <w:vMerge w:val="continue"/>
          </w:tcPr>
          <w:p>
            <w:pPr>
              <w:spacing w:after="0"/>
              <w:rPr>
                <w:sz w:val="5"/>
                <w:szCs w:val="5"/>
                <w:color w:val="auto"/>
              </w:rPr>
            </w:pPr>
          </w:p>
        </w:tc>
        <w:tc>
          <w:tcPr>
            <w:tcW w:w="2720" w:type="dxa"/>
            <w:vAlign w:val="bottom"/>
            <w:gridSpan w:val="10"/>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3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80" w:type="dxa"/>
            <w:vAlign w:val="bottom"/>
            <w:gridSpan w:val="4"/>
            <w:vMerge w:val="restart"/>
          </w:tcPr>
          <w:p>
            <w:pPr>
              <w:ind w:left="340"/>
              <w:spacing w:after="0"/>
              <w:rPr>
                <w:sz w:val="20"/>
                <w:szCs w:val="20"/>
                <w:color w:val="auto"/>
              </w:rPr>
            </w:pPr>
            <w:r>
              <w:rPr>
                <w:rFonts w:ascii="Arial" w:cs="Arial" w:eastAsia="Arial" w:hAnsi="Arial"/>
                <w:sz w:val="18"/>
                <w:szCs w:val="18"/>
                <w:color w:val="auto"/>
              </w:rPr>
              <w:t>No reports, documents, or websites that are cited or referred to in</w:t>
            </w: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700" w:type="dxa"/>
            <w:vAlign w:val="bottom"/>
            <w:gridSpan w:val="18"/>
          </w:tcPr>
          <w:p>
            <w:pPr>
              <w:spacing w:after="0"/>
              <w:rPr>
                <w:sz w:val="20"/>
                <w:szCs w:val="20"/>
                <w:color w:val="auto"/>
              </w:rPr>
            </w:pPr>
            <w:r>
              <w:rPr>
                <w:rFonts w:ascii="Arial" w:cs="Arial" w:eastAsia="Arial" w:hAnsi="Arial"/>
                <w:sz w:val="16"/>
                <w:szCs w:val="16"/>
                <w:color w:val="0000EE"/>
              </w:rPr>
              <w:t>Annual Report to Stockholders</w:t>
            </w:r>
          </w:p>
        </w:tc>
        <w:tc>
          <w:tcPr>
            <w:tcW w:w="320" w:type="dxa"/>
            <w:vAlign w:val="bottom"/>
          </w:tcPr>
          <w:p>
            <w:pPr>
              <w:jc w:val="right"/>
              <w:spacing w:after="0"/>
              <w:rPr>
                <w:sz w:val="20"/>
                <w:szCs w:val="20"/>
                <w:color w:val="auto"/>
              </w:rPr>
            </w:pPr>
            <w:r>
              <w:rPr>
                <w:rFonts w:ascii="Arial" w:cs="Arial" w:eastAsia="Arial" w:hAnsi="Arial"/>
                <w:sz w:val="16"/>
                <w:szCs w:val="16"/>
                <w:color w:val="auto"/>
              </w:rPr>
              <w:t>132</w:t>
            </w:r>
          </w:p>
        </w:tc>
        <w:tc>
          <w:tcPr>
            <w:tcW w:w="568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80" w:type="dxa"/>
            <w:vAlign w:val="bottom"/>
            <w:gridSpan w:val="3"/>
            <w:vMerge w:val="restart"/>
          </w:tcPr>
          <w:p>
            <w:pPr>
              <w:ind w:left="340"/>
              <w:spacing w:after="0"/>
              <w:rPr>
                <w:sz w:val="20"/>
                <w:szCs w:val="20"/>
                <w:color w:val="auto"/>
              </w:rPr>
            </w:pPr>
            <w:r>
              <w:rPr>
                <w:rFonts w:ascii="Arial" w:cs="Arial" w:eastAsia="Arial" w:hAnsi="Arial"/>
                <w:sz w:val="18"/>
                <w:szCs w:val="18"/>
                <w:color w:val="auto"/>
              </w:rPr>
              <w:t>this  proxy  statement  shall  be  deemed  to  be  incorporated</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by</w:t>
            </w: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80" w:type="dxa"/>
            <w:vAlign w:val="bottom"/>
            <w:gridSpan w:val="12"/>
            <w:vMerge w:val="restart"/>
          </w:tcPr>
          <w:p>
            <w:pPr>
              <w:spacing w:after="0"/>
              <w:rPr>
                <w:sz w:val="20"/>
                <w:szCs w:val="20"/>
                <w:color w:val="auto"/>
              </w:rPr>
            </w:pPr>
            <w:r>
              <w:rPr>
                <w:rFonts w:ascii="Arial" w:cs="Arial" w:eastAsia="Arial" w:hAnsi="Arial"/>
                <w:sz w:val="16"/>
                <w:szCs w:val="16"/>
                <w:color w:val="0000EE"/>
                <w:w w:val="99"/>
              </w:rPr>
              <w:t>Stockholder Proposals for 2027 Annual</w:t>
            </w:r>
          </w:p>
        </w:tc>
        <w:tc>
          <w:tcPr>
            <w:tcW w:w="1920" w:type="dxa"/>
            <w:vAlign w:val="bottom"/>
            <w:gridSpan w:val="6"/>
            <w:vMerge w:val="restart"/>
          </w:tcPr>
          <w:p>
            <w:pPr>
              <w:spacing w:after="0"/>
              <w:rPr>
                <w:sz w:val="17"/>
                <w:szCs w:val="17"/>
                <w:color w:val="auto"/>
              </w:rPr>
            </w:pPr>
          </w:p>
        </w:tc>
        <w:tc>
          <w:tcPr>
            <w:tcW w:w="320" w:type="dxa"/>
            <w:vAlign w:val="bottom"/>
          </w:tcPr>
          <w:p>
            <w:pPr>
              <w:spacing w:after="0"/>
              <w:rPr>
                <w:sz w:val="17"/>
                <w:szCs w:val="17"/>
                <w:color w:val="auto"/>
              </w:rPr>
            </w:pPr>
          </w:p>
        </w:tc>
        <w:tc>
          <w:tcPr>
            <w:tcW w:w="5380" w:type="dxa"/>
            <w:vAlign w:val="bottom"/>
            <w:gridSpan w:val="3"/>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780" w:type="dxa"/>
            <w:vAlign w:val="bottom"/>
            <w:tcBorders>
              <w:bottom w:val="single" w:sz="8" w:color="0000EE"/>
            </w:tcBorders>
            <w:gridSpan w:val="12"/>
            <w:vMerge w:val="continue"/>
          </w:tcPr>
          <w:p>
            <w:pPr>
              <w:spacing w:after="0"/>
              <w:rPr>
                <w:sz w:val="6"/>
                <w:szCs w:val="6"/>
                <w:color w:val="auto"/>
              </w:rPr>
            </w:pPr>
          </w:p>
        </w:tc>
        <w:tc>
          <w:tcPr>
            <w:tcW w:w="1920" w:type="dxa"/>
            <w:vAlign w:val="bottom"/>
            <w:gridSpan w:val="6"/>
            <w:vMerge w:val="continue"/>
          </w:tcPr>
          <w:p>
            <w:pPr>
              <w:spacing w:after="0"/>
              <w:rPr>
                <w:sz w:val="6"/>
                <w:szCs w:val="6"/>
                <w:color w:val="auto"/>
              </w:rPr>
            </w:pPr>
          </w:p>
        </w:tc>
        <w:tc>
          <w:tcPr>
            <w:tcW w:w="320" w:type="dxa"/>
            <w:vAlign w:val="bottom"/>
          </w:tcPr>
          <w:p>
            <w:pPr>
              <w:spacing w:after="0"/>
              <w:rPr>
                <w:sz w:val="6"/>
                <w:szCs w:val="6"/>
                <w:color w:val="auto"/>
              </w:rPr>
            </w:pPr>
          </w:p>
        </w:tc>
        <w:tc>
          <w:tcPr>
            <w:tcW w:w="5380" w:type="dxa"/>
            <w:vAlign w:val="bottom"/>
            <w:gridSpan w:val="3"/>
            <w:vMerge w:val="restart"/>
          </w:tcPr>
          <w:p>
            <w:pPr>
              <w:ind w:left="340"/>
              <w:spacing w:after="0"/>
              <w:rPr>
                <w:sz w:val="20"/>
                <w:szCs w:val="20"/>
                <w:color w:val="auto"/>
              </w:rPr>
            </w:pPr>
            <w:r>
              <w:rPr>
                <w:rFonts w:ascii="Arial" w:cs="Arial" w:eastAsia="Arial" w:hAnsi="Arial"/>
                <w:sz w:val="18"/>
                <w:szCs w:val="18"/>
                <w:color w:val="auto"/>
              </w:rPr>
              <w:t>reference into this document.</w:t>
            </w: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5"/>
            <w:vMerge w:val="restart"/>
          </w:tcPr>
          <w:p>
            <w:pPr>
              <w:spacing w:after="0" w:line="168" w:lineRule="exact"/>
              <w:rPr>
                <w:sz w:val="20"/>
                <w:szCs w:val="20"/>
                <w:color w:val="auto"/>
              </w:rPr>
            </w:pPr>
            <w:r>
              <w:rPr>
                <w:rFonts w:ascii="Arial" w:cs="Arial" w:eastAsia="Arial" w:hAnsi="Arial"/>
                <w:sz w:val="16"/>
                <w:szCs w:val="16"/>
                <w:color w:val="0000EE"/>
                <w:w w:val="98"/>
              </w:rPr>
              <w:t>Stockholder Meeting</w:t>
            </w:r>
          </w:p>
        </w:tc>
        <w:tc>
          <w:tcPr>
            <w:tcW w:w="3040" w:type="dxa"/>
            <w:vAlign w:val="bottom"/>
            <w:gridSpan w:val="12"/>
            <w:vMerge w:val="restart"/>
          </w:tcPr>
          <w:p>
            <w:pPr>
              <w:spacing w:after="0"/>
              <w:rPr>
                <w:sz w:val="12"/>
                <w:szCs w:val="12"/>
                <w:color w:val="auto"/>
              </w:rPr>
            </w:pPr>
          </w:p>
        </w:tc>
        <w:tc>
          <w:tcPr>
            <w:tcW w:w="320" w:type="dxa"/>
            <w:vAlign w:val="bottom"/>
            <w:vMerge w:val="restart"/>
          </w:tcPr>
          <w:p>
            <w:pPr>
              <w:jc w:val="right"/>
              <w:spacing w:after="0" w:line="168" w:lineRule="exact"/>
              <w:rPr>
                <w:sz w:val="20"/>
                <w:szCs w:val="20"/>
                <w:color w:val="auto"/>
              </w:rPr>
            </w:pPr>
            <w:r>
              <w:rPr>
                <w:rFonts w:ascii="Arial" w:cs="Arial" w:eastAsia="Arial" w:hAnsi="Arial"/>
                <w:sz w:val="16"/>
                <w:szCs w:val="16"/>
                <w:color w:val="auto"/>
              </w:rPr>
              <w:t>132</w:t>
            </w:r>
          </w:p>
        </w:tc>
        <w:tc>
          <w:tcPr>
            <w:tcW w:w="53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Borders>
              <w:bottom w:val="single" w:sz="8" w:color="0000EE"/>
            </w:tcBorders>
            <w:gridSpan w:val="5"/>
            <w:vMerge w:val="continue"/>
          </w:tcPr>
          <w:p>
            <w:pPr>
              <w:spacing w:after="0"/>
              <w:rPr>
                <w:sz w:val="2"/>
                <w:szCs w:val="2"/>
                <w:color w:val="auto"/>
              </w:rPr>
            </w:pPr>
          </w:p>
        </w:tc>
        <w:tc>
          <w:tcPr>
            <w:tcW w:w="3040" w:type="dxa"/>
            <w:vAlign w:val="bottom"/>
            <w:gridSpan w:val="12"/>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3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0" w:type="dxa"/>
            <w:vAlign w:val="bottom"/>
            <w:tcBorders>
              <w:bottom w:val="single" w:sz="8" w:color="0000EE"/>
            </w:tcBorders>
          </w:tcPr>
          <w:p>
            <w:pPr>
              <w:spacing w:after="0"/>
              <w:rPr>
                <w:sz w:val="23"/>
                <w:szCs w:val="23"/>
                <w:color w:val="auto"/>
              </w:rPr>
            </w:pPr>
          </w:p>
        </w:tc>
        <w:tc>
          <w:tcPr>
            <w:tcW w:w="320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b w:val="1"/>
                <w:bCs w:val="1"/>
                <w:color w:val="0000EE"/>
                <w:w w:val="99"/>
              </w:rPr>
              <w:t>Section XIV - Frequently Asked Questions</w:t>
            </w:r>
          </w:p>
        </w:tc>
        <w:tc>
          <w:tcPr>
            <w:tcW w:w="1700" w:type="dxa"/>
            <w:vAlign w:val="bottom"/>
            <w:gridSpan w:val="5"/>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133</w:t>
            </w:r>
          </w:p>
        </w:tc>
        <w:tc>
          <w:tcPr>
            <w:tcW w:w="3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900" w:type="dxa"/>
            <w:vAlign w:val="bottom"/>
            <w:gridSpan w:val="20"/>
          </w:tcPr>
          <w:p>
            <w:pPr>
              <w:spacing w:after="0"/>
              <w:rPr>
                <w:sz w:val="20"/>
                <w:szCs w:val="20"/>
                <w:color w:val="auto"/>
              </w:rPr>
            </w:pPr>
            <w:r>
              <w:rPr>
                <w:rFonts w:ascii="Arial" w:cs="Arial" w:eastAsia="Arial" w:hAnsi="Arial"/>
                <w:sz w:val="16"/>
                <w:szCs w:val="16"/>
                <w:b w:val="1"/>
                <w:bCs w:val="1"/>
                <w:color w:val="0000EE"/>
              </w:rPr>
              <w:t>Appendix A - Information Regarding Non-GAAP Financial</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137</w:t>
            </w:r>
          </w:p>
        </w:tc>
        <w:tc>
          <w:tcPr>
            <w:tcW w:w="3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200" w:type="dxa"/>
            <w:vAlign w:val="bottom"/>
            <w:tcBorders>
              <w:top w:val="single" w:sz="8" w:color="0000EE"/>
            </w:tcBorders>
            <w:gridSpan w:val="15"/>
          </w:tcPr>
          <w:p>
            <w:pPr>
              <w:spacing w:after="0" w:line="168" w:lineRule="exact"/>
              <w:rPr>
                <w:sz w:val="20"/>
                <w:szCs w:val="20"/>
                <w:color w:val="auto"/>
              </w:rPr>
            </w:pPr>
            <w:r>
              <w:rPr>
                <w:rFonts w:ascii="Arial" w:cs="Arial" w:eastAsia="Arial" w:hAnsi="Arial"/>
                <w:sz w:val="16"/>
                <w:szCs w:val="16"/>
                <w:b w:val="1"/>
                <w:bCs w:val="1"/>
                <w:color w:val="0000EE"/>
              </w:rPr>
              <w:t>Measures</w:t>
            </w:r>
          </w:p>
        </w:tc>
        <w:tc>
          <w:tcPr>
            <w:tcW w:w="540" w:type="dxa"/>
            <w:vAlign w:val="bottom"/>
            <w:gridSpan w:val="4"/>
          </w:tcPr>
          <w:p>
            <w:pPr>
              <w:spacing w:after="0"/>
              <w:rPr>
                <w:sz w:val="14"/>
                <w:szCs w:val="14"/>
                <w:color w:val="auto"/>
              </w:rPr>
            </w:pPr>
          </w:p>
        </w:tc>
        <w:tc>
          <w:tcPr>
            <w:tcW w:w="320" w:type="dxa"/>
            <w:vAlign w:val="bottom"/>
            <w:vMerge w:val="continue"/>
          </w:tcPr>
          <w:p>
            <w:pPr>
              <w:spacing w:after="0"/>
              <w:rPr>
                <w:sz w:val="14"/>
                <w:szCs w:val="14"/>
                <w:color w:val="auto"/>
              </w:rPr>
            </w:pPr>
          </w:p>
        </w:tc>
        <w:tc>
          <w:tcPr>
            <w:tcW w:w="3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vMerge w:val="restart"/>
          </w:tcPr>
          <w:p>
            <w:pPr>
              <w:ind w:left="220"/>
              <w:spacing w:after="0"/>
              <w:rPr>
                <w:sz w:val="20"/>
                <w:szCs w:val="20"/>
                <w:color w:val="auto"/>
              </w:rPr>
            </w:pPr>
            <w:r>
              <w:rPr>
                <w:rFonts w:ascii="Arial" w:cs="Arial" w:eastAsia="Arial" w:hAnsi="Arial"/>
                <w:sz w:val="15"/>
                <w:szCs w:val="15"/>
                <w:color w:val="023C5B"/>
              </w:rPr>
              <w:t>CAPITAL ONE FINANCIAL CORPORATION</w:t>
            </w:r>
          </w:p>
        </w:tc>
        <w:tc>
          <w:tcPr>
            <w:tcW w:w="20" w:type="dxa"/>
            <w:vAlign w:val="bottom"/>
          </w:tcPr>
          <w:p>
            <w:pPr>
              <w:spacing w:after="0"/>
              <w:rPr>
                <w:sz w:val="24"/>
                <w:szCs w:val="24"/>
                <w:color w:val="auto"/>
              </w:rPr>
            </w:pPr>
          </w:p>
        </w:tc>
        <w:tc>
          <w:tcPr>
            <w:tcW w:w="2080" w:type="dxa"/>
            <w:vAlign w:val="bottom"/>
            <w:vMerge w:val="restart"/>
          </w:tcPr>
          <w:p>
            <w:pPr>
              <w:ind w:left="40"/>
              <w:spacing w:after="0"/>
              <w:rPr>
                <w:sz w:val="20"/>
                <w:szCs w:val="20"/>
                <w:color w:val="auto"/>
              </w:rPr>
            </w:pPr>
            <w:r>
              <w:rPr>
                <w:rFonts w:ascii="Arial" w:cs="Arial" w:eastAsia="Arial" w:hAnsi="Arial"/>
                <w:sz w:val="15"/>
                <w:szCs w:val="15"/>
                <w:b w:val="1"/>
                <w:bCs w:val="1"/>
                <w:color w:val="023C5B"/>
              </w:rPr>
              <w:t>  2026 PROXY STATEMENT</w:t>
            </w:r>
          </w:p>
        </w:tc>
        <w:tc>
          <w:tcPr>
            <w:tcW w:w="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2"/>
              </w:rPr>
              <w:t>  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vMerge w:val="continue"/>
          </w:tcPr>
          <w:p>
            <w:pPr>
              <w:spacing w:after="0"/>
              <w:rPr>
                <w:sz w:val="19"/>
                <w:szCs w:val="19"/>
                <w:color w:val="auto"/>
              </w:rPr>
            </w:pPr>
          </w:p>
        </w:tc>
        <w:tc>
          <w:tcPr>
            <w:tcW w:w="20" w:type="dxa"/>
            <w:vAlign w:val="bottom"/>
            <w:shd w:val="clear" w:color="auto" w:fill="023C5B"/>
          </w:tcPr>
          <w:p>
            <w:pPr>
              <w:spacing w:after="0"/>
              <w:rPr>
                <w:sz w:val="19"/>
                <w:szCs w:val="19"/>
                <w:color w:val="auto"/>
              </w:rPr>
            </w:pPr>
          </w:p>
        </w:tc>
        <w:tc>
          <w:tcPr>
            <w:tcW w:w="20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80" w:type="dxa"/>
            <w:vAlign w:val="bottom"/>
          </w:tcPr>
          <w:p>
            <w:pPr>
              <w:spacing w:after="0"/>
              <w:rPr>
                <w:sz w:val="4"/>
                <w:szCs w:val="4"/>
                <w:color w:val="auto"/>
              </w:rPr>
            </w:pPr>
          </w:p>
        </w:tc>
        <w:tc>
          <w:tcPr>
            <w:tcW w:w="20" w:type="dxa"/>
            <w:vAlign w:val="bottom"/>
            <w:shd w:val="clear" w:color="auto" w:fill="023C5B"/>
          </w:tcPr>
          <w:p>
            <w:pPr>
              <w:spacing w:after="0"/>
              <w:rPr>
                <w:sz w:val="4"/>
                <w:szCs w:val="4"/>
                <w:color w:val="auto"/>
              </w:rPr>
            </w:pPr>
          </w:p>
        </w:tc>
        <w:tc>
          <w:tcPr>
            <w:tcW w:w="2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78"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I - Election of Directors (Item 1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47625</wp:posOffset>
            </wp:positionV>
            <wp:extent cx="69297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3"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All of Capital One’s directors are elected for one-year terms at each annual stockholder meeting and hold office until their successors are duly elected and qualified. Our Board is presenting the following thirteen nominees for election as directors at the 2026 Annual Stockholder Meeting. Each nominee is a current Board member, eleven of whom were elected by stockholders at the 2025 Annual Stockholder Meeting and two of whom were appointed by the Board in May 2025 in connection with the closing of the Discover Transaction. Each nominee has consented to serve a one-year term. Additional information about each of the nominees is set forth under “Our Director Nominees” beginning on page 14.</w:t>
      </w:r>
    </w:p>
    <w:p>
      <w:pPr>
        <w:spacing w:after="0" w:line="18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In the event a nominee becomes unable to serve, or for good cause, will not serve as a director, the Board may designate a substitute nominee or reduce the size of the Board. If the Board designates a substitute nominee, proxies will be voted for the election of such substitute. As of the date of this proxy statement, the Board has no reason to believe that any of the nominees will be unable or unwilling to serve as a director.</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nominees for election as directors at the 2026 Annual Stockholder Meeting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29755" cy="47898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4789805"/>
                    </a:xfrm>
                    <a:prstGeom prst="rect">
                      <a:avLst/>
                    </a:prstGeom>
                    <a:noFill/>
                  </pic:spPr>
                </pic:pic>
              </a:graphicData>
            </a:graphic>
          </wp:anchor>
        </w:drawing>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53"/>
        </w:trPr>
        <w:tc>
          <w:tcPr>
            <w:tcW w:w="2040" w:type="dxa"/>
            <w:vAlign w:val="bottom"/>
            <w:shd w:val="clear" w:color="auto" w:fill="023C5B"/>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shd w:val="clear" w:color="auto" w:fill="023C5B"/>
          </w:tcPr>
          <w:p>
            <w:pPr>
              <w:spacing w:after="0"/>
              <w:rPr>
                <w:sz w:val="4"/>
                <w:szCs w:val="4"/>
                <w:color w:val="auto"/>
              </w:rPr>
            </w:pPr>
          </w:p>
        </w:tc>
        <w:tc>
          <w:tcPr>
            <w:tcW w:w="100" w:type="dxa"/>
            <w:vAlign w:val="bottom"/>
          </w:tcPr>
          <w:p>
            <w:pPr>
              <w:spacing w:after="0"/>
              <w:rPr>
                <w:sz w:val="4"/>
                <w:szCs w:val="4"/>
                <w:color w:val="auto"/>
              </w:rPr>
            </w:pPr>
          </w:p>
        </w:tc>
        <w:tc>
          <w:tcPr>
            <w:tcW w:w="4840" w:type="dxa"/>
            <w:vAlign w:val="bottom"/>
            <w:shd w:val="clear" w:color="auto" w:fill="023C5B"/>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shd w:val="clear" w:color="auto" w:fill="023C5B"/>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shd w:val="clear" w:color="auto" w:fill="023C5B"/>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shd w:val="clear" w:color="auto" w:fill="023C5B"/>
          </w:tcPr>
          <w:p>
            <w:pPr>
              <w:jc w:val="center"/>
              <w:spacing w:after="0"/>
              <w:rPr>
                <w:sz w:val="20"/>
                <w:szCs w:val="20"/>
                <w:color w:val="auto"/>
              </w:rPr>
            </w:pPr>
            <w:r>
              <w:rPr>
                <w:rFonts w:ascii="Arial" w:cs="Arial" w:eastAsia="Arial" w:hAnsi="Arial"/>
                <w:sz w:val="16"/>
                <w:szCs w:val="16"/>
                <w:b w:val="1"/>
                <w:bCs w:val="1"/>
                <w:color w:val="FFFFFF"/>
                <w:w w:val="98"/>
              </w:rPr>
              <w:t>Other</w:t>
            </w:r>
          </w:p>
        </w:tc>
        <w:tc>
          <w:tcPr>
            <w:tcW w:w="0" w:type="dxa"/>
            <w:vAlign w:val="bottom"/>
          </w:tcPr>
          <w:p>
            <w:pPr>
              <w:spacing w:after="0"/>
              <w:rPr>
                <w:sz w:val="1"/>
                <w:szCs w:val="1"/>
                <w:color w:val="auto"/>
              </w:rPr>
            </w:pPr>
          </w:p>
        </w:tc>
      </w:tr>
      <w:tr>
        <w:trPr>
          <w:trHeight w:val="173"/>
        </w:trPr>
        <w:tc>
          <w:tcPr>
            <w:tcW w:w="2040" w:type="dxa"/>
            <w:vAlign w:val="bottom"/>
            <w:shd w:val="clear" w:color="auto" w:fill="023C5B"/>
          </w:tcPr>
          <w:p>
            <w:pPr>
              <w:spacing w:after="0"/>
              <w:rPr>
                <w:sz w:val="15"/>
                <w:szCs w:val="15"/>
                <w:color w:val="auto"/>
              </w:rPr>
            </w:pPr>
          </w:p>
        </w:tc>
        <w:tc>
          <w:tcPr>
            <w:tcW w:w="120" w:type="dxa"/>
            <w:vAlign w:val="bottom"/>
            <w:shd w:val="clear" w:color="auto" w:fill="023C5B"/>
          </w:tcPr>
          <w:p>
            <w:pPr>
              <w:spacing w:after="0"/>
              <w:rPr>
                <w:sz w:val="15"/>
                <w:szCs w:val="15"/>
                <w:color w:val="auto"/>
              </w:rPr>
            </w:pPr>
          </w:p>
        </w:tc>
        <w:tc>
          <w:tcPr>
            <w:tcW w:w="520" w:type="dxa"/>
            <w:vAlign w:val="bottom"/>
            <w:shd w:val="clear" w:color="auto" w:fill="023C5B"/>
          </w:tcPr>
          <w:p>
            <w:pPr>
              <w:spacing w:after="0"/>
              <w:rPr>
                <w:sz w:val="15"/>
                <w:szCs w:val="15"/>
                <w:color w:val="auto"/>
              </w:rPr>
            </w:pPr>
          </w:p>
        </w:tc>
        <w:tc>
          <w:tcPr>
            <w:tcW w:w="100" w:type="dxa"/>
            <w:vAlign w:val="bottom"/>
            <w:shd w:val="clear" w:color="auto" w:fill="023C5B"/>
          </w:tcPr>
          <w:p>
            <w:pPr>
              <w:spacing w:after="0"/>
              <w:rPr>
                <w:sz w:val="15"/>
                <w:szCs w:val="15"/>
                <w:color w:val="auto"/>
              </w:rPr>
            </w:pPr>
          </w:p>
        </w:tc>
        <w:tc>
          <w:tcPr>
            <w:tcW w:w="4840" w:type="dxa"/>
            <w:vAlign w:val="bottom"/>
            <w:shd w:val="clear" w:color="auto" w:fill="023C5B"/>
          </w:tcPr>
          <w:p>
            <w:pPr>
              <w:spacing w:after="0"/>
              <w:rPr>
                <w:sz w:val="15"/>
                <w:szCs w:val="15"/>
                <w:color w:val="auto"/>
              </w:rPr>
            </w:pPr>
          </w:p>
        </w:tc>
        <w:tc>
          <w:tcPr>
            <w:tcW w:w="100" w:type="dxa"/>
            <w:vAlign w:val="bottom"/>
            <w:shd w:val="clear" w:color="auto" w:fill="023C5B"/>
          </w:tcPr>
          <w:p>
            <w:pPr>
              <w:spacing w:after="0"/>
              <w:rPr>
                <w:sz w:val="15"/>
                <w:szCs w:val="15"/>
                <w:color w:val="auto"/>
              </w:rPr>
            </w:pPr>
          </w:p>
        </w:tc>
        <w:tc>
          <w:tcPr>
            <w:tcW w:w="840" w:type="dxa"/>
            <w:vAlign w:val="bottom"/>
            <w:shd w:val="clear" w:color="auto" w:fill="023C5B"/>
          </w:tcPr>
          <w:p>
            <w:pPr>
              <w:spacing w:after="0"/>
              <w:rPr>
                <w:sz w:val="15"/>
                <w:szCs w:val="15"/>
                <w:color w:val="auto"/>
              </w:rPr>
            </w:pPr>
          </w:p>
        </w:tc>
        <w:tc>
          <w:tcPr>
            <w:tcW w:w="120" w:type="dxa"/>
            <w:vAlign w:val="bottom"/>
            <w:shd w:val="clear" w:color="auto" w:fill="023C5B"/>
          </w:tcPr>
          <w:p>
            <w:pPr>
              <w:spacing w:after="0"/>
              <w:rPr>
                <w:sz w:val="15"/>
                <w:szCs w:val="15"/>
                <w:color w:val="auto"/>
              </w:rPr>
            </w:pPr>
          </w:p>
        </w:tc>
        <w:tc>
          <w:tcPr>
            <w:tcW w:w="1180" w:type="dxa"/>
            <w:vAlign w:val="bottom"/>
            <w:shd w:val="clear" w:color="auto" w:fill="023C5B"/>
          </w:tcPr>
          <w:p>
            <w:pPr>
              <w:spacing w:after="0"/>
              <w:rPr>
                <w:sz w:val="15"/>
                <w:szCs w:val="15"/>
                <w:color w:val="auto"/>
              </w:rPr>
            </w:pPr>
          </w:p>
        </w:tc>
        <w:tc>
          <w:tcPr>
            <w:tcW w:w="140" w:type="dxa"/>
            <w:vAlign w:val="bottom"/>
            <w:shd w:val="clear" w:color="auto" w:fill="023C5B"/>
          </w:tcPr>
          <w:p>
            <w:pPr>
              <w:spacing w:after="0"/>
              <w:rPr>
                <w:sz w:val="15"/>
                <w:szCs w:val="15"/>
                <w:color w:val="auto"/>
              </w:rPr>
            </w:pPr>
          </w:p>
        </w:tc>
        <w:tc>
          <w:tcPr>
            <w:tcW w:w="920" w:type="dxa"/>
            <w:vAlign w:val="bottom"/>
            <w:vMerge w:val="continue"/>
            <w:shd w:val="clear" w:color="auto" w:fill="023C5B"/>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40" w:type="dxa"/>
            <w:vAlign w:val="bottom"/>
            <w:shd w:val="clear" w:color="auto" w:fill="023C5B"/>
          </w:tcPr>
          <w:p>
            <w:pPr>
              <w:spacing w:after="0"/>
              <w:rPr>
                <w:sz w:val="16"/>
                <w:szCs w:val="16"/>
                <w:color w:val="auto"/>
              </w:rPr>
            </w:pPr>
          </w:p>
        </w:tc>
        <w:tc>
          <w:tcPr>
            <w:tcW w:w="120" w:type="dxa"/>
            <w:vAlign w:val="bottom"/>
            <w:shd w:val="clear" w:color="auto" w:fill="023C5B"/>
          </w:tcPr>
          <w:p>
            <w:pPr>
              <w:spacing w:after="0"/>
              <w:rPr>
                <w:sz w:val="16"/>
                <w:szCs w:val="16"/>
                <w:color w:val="auto"/>
              </w:rPr>
            </w:pPr>
          </w:p>
        </w:tc>
        <w:tc>
          <w:tcPr>
            <w:tcW w:w="520" w:type="dxa"/>
            <w:vAlign w:val="bottom"/>
            <w:shd w:val="clear" w:color="auto" w:fill="023C5B"/>
          </w:tcPr>
          <w:p>
            <w:pPr>
              <w:spacing w:after="0"/>
              <w:rPr>
                <w:sz w:val="16"/>
                <w:szCs w:val="16"/>
                <w:color w:val="auto"/>
              </w:rPr>
            </w:pPr>
          </w:p>
        </w:tc>
        <w:tc>
          <w:tcPr>
            <w:tcW w:w="100" w:type="dxa"/>
            <w:vAlign w:val="bottom"/>
            <w:shd w:val="clear" w:color="auto" w:fill="023C5B"/>
          </w:tcPr>
          <w:p>
            <w:pPr>
              <w:spacing w:after="0"/>
              <w:rPr>
                <w:sz w:val="16"/>
                <w:szCs w:val="16"/>
                <w:color w:val="auto"/>
              </w:rPr>
            </w:pPr>
          </w:p>
        </w:tc>
        <w:tc>
          <w:tcPr>
            <w:tcW w:w="4840" w:type="dxa"/>
            <w:vAlign w:val="bottom"/>
            <w:shd w:val="clear" w:color="auto" w:fill="023C5B"/>
          </w:tcPr>
          <w:p>
            <w:pPr>
              <w:spacing w:after="0"/>
              <w:rPr>
                <w:sz w:val="16"/>
                <w:szCs w:val="16"/>
                <w:color w:val="auto"/>
              </w:rPr>
            </w:pPr>
          </w:p>
        </w:tc>
        <w:tc>
          <w:tcPr>
            <w:tcW w:w="100" w:type="dxa"/>
            <w:vAlign w:val="bottom"/>
            <w:shd w:val="clear" w:color="auto" w:fill="023C5B"/>
          </w:tcPr>
          <w:p>
            <w:pPr>
              <w:spacing w:after="0"/>
              <w:rPr>
                <w:sz w:val="16"/>
                <w:szCs w:val="16"/>
                <w:color w:val="auto"/>
              </w:rPr>
            </w:pPr>
          </w:p>
        </w:tc>
        <w:tc>
          <w:tcPr>
            <w:tcW w:w="840" w:type="dxa"/>
            <w:vAlign w:val="bottom"/>
            <w:shd w:val="clear" w:color="auto" w:fill="023C5B"/>
          </w:tcPr>
          <w:p>
            <w:pPr>
              <w:ind w:left="60"/>
              <w:spacing w:after="0"/>
              <w:rPr>
                <w:sz w:val="20"/>
                <w:szCs w:val="20"/>
                <w:color w:val="auto"/>
              </w:rPr>
            </w:pPr>
            <w:r>
              <w:rPr>
                <w:rFonts w:ascii="Arial" w:cs="Arial" w:eastAsia="Arial" w:hAnsi="Arial"/>
                <w:sz w:val="16"/>
                <w:szCs w:val="16"/>
                <w:b w:val="1"/>
                <w:bCs w:val="1"/>
                <w:color w:val="FFFFFF"/>
              </w:rPr>
              <w:t>  Director</w:t>
            </w:r>
          </w:p>
        </w:tc>
        <w:tc>
          <w:tcPr>
            <w:tcW w:w="120" w:type="dxa"/>
            <w:vAlign w:val="bottom"/>
            <w:shd w:val="clear" w:color="auto" w:fill="023C5B"/>
          </w:tcPr>
          <w:p>
            <w:pPr>
              <w:spacing w:after="0"/>
              <w:rPr>
                <w:sz w:val="16"/>
                <w:szCs w:val="16"/>
                <w:color w:val="auto"/>
              </w:rPr>
            </w:pPr>
          </w:p>
        </w:tc>
        <w:tc>
          <w:tcPr>
            <w:tcW w:w="1180" w:type="dxa"/>
            <w:vAlign w:val="bottom"/>
            <w:shd w:val="clear" w:color="auto" w:fill="023C5B"/>
          </w:tcPr>
          <w:p>
            <w:pPr>
              <w:spacing w:after="0"/>
              <w:rPr>
                <w:sz w:val="16"/>
                <w:szCs w:val="16"/>
                <w:color w:val="auto"/>
              </w:rPr>
            </w:pPr>
          </w:p>
        </w:tc>
        <w:tc>
          <w:tcPr>
            <w:tcW w:w="140" w:type="dxa"/>
            <w:vAlign w:val="bottom"/>
            <w:shd w:val="clear" w:color="auto" w:fill="023C5B"/>
          </w:tcPr>
          <w:p>
            <w:pPr>
              <w:spacing w:after="0"/>
              <w:rPr>
                <w:sz w:val="16"/>
                <w:szCs w:val="16"/>
                <w:color w:val="auto"/>
              </w:rPr>
            </w:pPr>
          </w:p>
        </w:tc>
        <w:tc>
          <w:tcPr>
            <w:tcW w:w="92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Public</w:t>
            </w:r>
          </w:p>
        </w:tc>
        <w:tc>
          <w:tcPr>
            <w:tcW w:w="0" w:type="dxa"/>
            <w:vAlign w:val="bottom"/>
          </w:tcPr>
          <w:p>
            <w:pPr>
              <w:spacing w:after="0"/>
              <w:rPr>
                <w:sz w:val="1"/>
                <w:szCs w:val="1"/>
                <w:color w:val="auto"/>
              </w:rPr>
            </w:pPr>
          </w:p>
        </w:tc>
      </w:tr>
      <w:tr>
        <w:trPr>
          <w:trHeight w:val="288"/>
        </w:trPr>
        <w:tc>
          <w:tcPr>
            <w:tcW w:w="2040" w:type="dxa"/>
            <w:vAlign w:val="bottom"/>
            <w:tcBorders>
              <w:bottom w:val="single" w:sz="8" w:color="E5EBEE"/>
            </w:tcBorders>
            <w:shd w:val="clear" w:color="auto" w:fill="023C5B"/>
          </w:tcPr>
          <w:p>
            <w:pPr>
              <w:spacing w:after="0" w:line="255" w:lineRule="exact"/>
              <w:rPr>
                <w:sz w:val="20"/>
                <w:szCs w:val="20"/>
                <w:color w:val="auto"/>
              </w:rPr>
            </w:pPr>
            <w:r>
              <w:rPr>
                <w:rFonts w:ascii="Arial" w:cs="Arial" w:eastAsia="Arial" w:hAnsi="Arial"/>
                <w:sz w:val="16"/>
                <w:szCs w:val="16"/>
                <w:b w:val="1"/>
                <w:bCs w:val="1"/>
                <w:color w:val="FFFFFF"/>
              </w:rPr>
              <w:t> Name</w:t>
            </w:r>
            <w:r>
              <w:rPr>
                <w:rFonts w:ascii="Arial" w:cs="Arial" w:eastAsia="Arial" w:hAnsi="Arial"/>
                <w:sz w:val="24"/>
                <w:szCs w:val="24"/>
                <w:b w:val="1"/>
                <w:bCs w:val="1"/>
                <w:color w:val="FFFFFF"/>
                <w:vertAlign w:val="superscript"/>
              </w:rPr>
              <w:t>(1)</w:t>
            </w:r>
          </w:p>
        </w:tc>
        <w:tc>
          <w:tcPr>
            <w:tcW w:w="120" w:type="dxa"/>
            <w:vAlign w:val="bottom"/>
            <w:shd w:val="clear" w:color="auto" w:fill="023C5B"/>
          </w:tcPr>
          <w:p>
            <w:pPr>
              <w:spacing w:after="0"/>
              <w:rPr>
                <w:sz w:val="24"/>
                <w:szCs w:val="24"/>
                <w:color w:val="auto"/>
              </w:rPr>
            </w:pPr>
          </w:p>
        </w:tc>
        <w:tc>
          <w:tcPr>
            <w:tcW w:w="520" w:type="dxa"/>
            <w:vAlign w:val="bottom"/>
            <w:tcBorders>
              <w:bottom w:val="single" w:sz="8" w:color="E5EBEE"/>
            </w:tcBorders>
            <w:shd w:val="clear" w:color="auto" w:fill="023C5B"/>
          </w:tcPr>
          <w:p>
            <w:pPr>
              <w:jc w:val="center"/>
              <w:spacing w:after="0"/>
              <w:rPr>
                <w:sz w:val="20"/>
                <w:szCs w:val="20"/>
                <w:color w:val="auto"/>
              </w:rPr>
            </w:pPr>
            <w:r>
              <w:rPr>
                <w:rFonts w:ascii="Arial" w:cs="Arial" w:eastAsia="Arial" w:hAnsi="Arial"/>
                <w:sz w:val="16"/>
                <w:szCs w:val="16"/>
                <w:b w:val="1"/>
                <w:bCs w:val="1"/>
                <w:color w:val="FFFFFF"/>
                <w:w w:val="82"/>
              </w:rPr>
              <w:t>  Age </w:t>
            </w:r>
          </w:p>
        </w:tc>
        <w:tc>
          <w:tcPr>
            <w:tcW w:w="100" w:type="dxa"/>
            <w:vAlign w:val="bottom"/>
            <w:shd w:val="clear" w:color="auto" w:fill="023C5B"/>
          </w:tcPr>
          <w:p>
            <w:pPr>
              <w:spacing w:after="0"/>
              <w:rPr>
                <w:sz w:val="24"/>
                <w:szCs w:val="24"/>
                <w:color w:val="auto"/>
              </w:rPr>
            </w:pPr>
          </w:p>
        </w:tc>
        <w:tc>
          <w:tcPr>
            <w:tcW w:w="4840" w:type="dxa"/>
            <w:vAlign w:val="bottom"/>
            <w:tcBorders>
              <w:bottom w:val="single" w:sz="8" w:color="E5EBEE"/>
            </w:tcBorders>
            <w:shd w:val="clear" w:color="auto" w:fill="023C5B"/>
          </w:tcPr>
          <w:p>
            <w:pPr>
              <w:ind w:left="60"/>
              <w:spacing w:after="0"/>
              <w:rPr>
                <w:sz w:val="20"/>
                <w:szCs w:val="20"/>
                <w:color w:val="auto"/>
              </w:rPr>
            </w:pPr>
            <w:r>
              <w:rPr>
                <w:rFonts w:ascii="Arial" w:cs="Arial" w:eastAsia="Arial" w:hAnsi="Arial"/>
                <w:sz w:val="16"/>
                <w:szCs w:val="16"/>
                <w:b w:val="1"/>
                <w:bCs w:val="1"/>
                <w:color w:val="FFFFFF"/>
              </w:rPr>
              <w:t>Occupation</w:t>
            </w:r>
          </w:p>
        </w:tc>
        <w:tc>
          <w:tcPr>
            <w:tcW w:w="100" w:type="dxa"/>
            <w:vAlign w:val="bottom"/>
            <w:shd w:val="clear" w:color="auto" w:fill="023C5B"/>
          </w:tcPr>
          <w:p>
            <w:pPr>
              <w:spacing w:after="0"/>
              <w:rPr>
                <w:sz w:val="24"/>
                <w:szCs w:val="24"/>
                <w:color w:val="auto"/>
              </w:rPr>
            </w:pPr>
          </w:p>
        </w:tc>
        <w:tc>
          <w:tcPr>
            <w:tcW w:w="840" w:type="dxa"/>
            <w:vAlign w:val="bottom"/>
            <w:tcBorders>
              <w:bottom w:val="single" w:sz="8" w:color="E5EBEE"/>
            </w:tcBorders>
            <w:shd w:val="clear" w:color="auto" w:fill="023C5B"/>
          </w:tcPr>
          <w:p>
            <w:pPr>
              <w:jc w:val="center"/>
              <w:spacing w:after="0"/>
              <w:rPr>
                <w:sz w:val="20"/>
                <w:szCs w:val="20"/>
                <w:color w:val="auto"/>
              </w:rPr>
            </w:pPr>
            <w:r>
              <w:rPr>
                <w:rFonts w:ascii="Arial" w:cs="Arial" w:eastAsia="Arial" w:hAnsi="Arial"/>
                <w:sz w:val="16"/>
                <w:szCs w:val="16"/>
                <w:b w:val="1"/>
                <w:bCs w:val="1"/>
                <w:color w:val="FFFFFF"/>
                <w:w w:val="98"/>
              </w:rPr>
              <w:t>Since</w:t>
            </w:r>
          </w:p>
        </w:tc>
        <w:tc>
          <w:tcPr>
            <w:tcW w:w="120" w:type="dxa"/>
            <w:vAlign w:val="bottom"/>
            <w:shd w:val="clear" w:color="auto" w:fill="023C5B"/>
          </w:tcPr>
          <w:p>
            <w:pPr>
              <w:spacing w:after="0"/>
              <w:rPr>
                <w:sz w:val="24"/>
                <w:szCs w:val="24"/>
                <w:color w:val="auto"/>
              </w:rPr>
            </w:pPr>
          </w:p>
        </w:tc>
        <w:tc>
          <w:tcPr>
            <w:tcW w:w="1180" w:type="dxa"/>
            <w:vAlign w:val="bottom"/>
            <w:tcBorders>
              <w:bottom w:val="single" w:sz="8" w:color="E5EBEE"/>
            </w:tcBorders>
            <w:shd w:val="clear" w:color="auto" w:fill="023C5B"/>
          </w:tcPr>
          <w:p>
            <w:pPr>
              <w:jc w:val="center"/>
              <w:spacing w:after="0"/>
              <w:rPr>
                <w:sz w:val="20"/>
                <w:szCs w:val="20"/>
                <w:color w:val="auto"/>
              </w:rPr>
            </w:pPr>
            <w:r>
              <w:rPr>
                <w:rFonts w:ascii="Arial" w:cs="Arial" w:eastAsia="Arial" w:hAnsi="Arial"/>
                <w:sz w:val="16"/>
                <w:szCs w:val="16"/>
                <w:b w:val="1"/>
                <w:bCs w:val="1"/>
                <w:color w:val="FFFFFF"/>
                <w:w w:val="93"/>
              </w:rPr>
              <w:t>  Independent </w:t>
            </w:r>
          </w:p>
        </w:tc>
        <w:tc>
          <w:tcPr>
            <w:tcW w:w="140" w:type="dxa"/>
            <w:vAlign w:val="bottom"/>
            <w:shd w:val="clear" w:color="auto" w:fill="023C5B"/>
          </w:tcPr>
          <w:p>
            <w:pPr>
              <w:spacing w:after="0"/>
              <w:rPr>
                <w:sz w:val="24"/>
                <w:szCs w:val="24"/>
                <w:color w:val="auto"/>
              </w:rPr>
            </w:pPr>
          </w:p>
        </w:tc>
        <w:tc>
          <w:tcPr>
            <w:tcW w:w="920" w:type="dxa"/>
            <w:vAlign w:val="bottom"/>
            <w:tcBorders>
              <w:bottom w:val="single" w:sz="8" w:color="E5EBEE"/>
            </w:tcBorders>
            <w:shd w:val="clear" w:color="auto" w:fill="023C5B"/>
          </w:tcPr>
          <w:p>
            <w:pPr>
              <w:jc w:val="center"/>
              <w:spacing w:after="0" w:line="255" w:lineRule="exact"/>
              <w:rPr>
                <w:sz w:val="20"/>
                <w:szCs w:val="20"/>
                <w:color w:val="auto"/>
              </w:rPr>
            </w:pPr>
            <w:r>
              <w:rPr>
                <w:rFonts w:ascii="Arial" w:cs="Arial" w:eastAsia="Arial" w:hAnsi="Arial"/>
                <w:sz w:val="16"/>
                <w:szCs w:val="16"/>
                <w:b w:val="1"/>
                <w:bCs w:val="1"/>
                <w:color w:val="FFFFFF"/>
                <w:w w:val="94"/>
              </w:rPr>
              <w:t>  Boards</w:t>
            </w:r>
            <w:r>
              <w:rPr>
                <w:rFonts w:ascii="Arial" w:cs="Arial" w:eastAsia="Arial" w:hAnsi="Arial"/>
                <w:sz w:val="24"/>
                <w:szCs w:val="24"/>
                <w:b w:val="1"/>
                <w:bCs w:val="1"/>
                <w:color w:val="FFFFFF"/>
                <w:w w:val="94"/>
                <w:vertAlign w:val="superscript"/>
              </w:rPr>
              <w:t>(2)</w:t>
            </w:r>
            <w:r>
              <w:rPr>
                <w:rFonts w:ascii="Arial" w:cs="Arial" w:eastAsia="Arial" w:hAnsi="Arial"/>
                <w:sz w:val="16"/>
                <w:szCs w:val="16"/>
                <w:b w:val="1"/>
                <w:bCs w:val="1"/>
                <w:color w:val="FFFFFF"/>
                <w:w w:val="94"/>
              </w:rPr>
              <w:t xml:space="preserve"> </w:t>
            </w:r>
          </w:p>
        </w:tc>
        <w:tc>
          <w:tcPr>
            <w:tcW w:w="0" w:type="dxa"/>
            <w:vAlign w:val="bottom"/>
          </w:tcPr>
          <w:p>
            <w:pPr>
              <w:spacing w:after="0"/>
              <w:rPr>
                <w:sz w:val="1"/>
                <w:szCs w:val="1"/>
                <w:color w:val="auto"/>
              </w:rPr>
            </w:pPr>
          </w:p>
        </w:tc>
      </w:tr>
      <w:tr>
        <w:trPr>
          <w:trHeight w:val="173"/>
        </w:trPr>
        <w:tc>
          <w:tcPr>
            <w:tcW w:w="2040" w:type="dxa"/>
            <w:vAlign w:val="bottom"/>
            <w:vMerge w:val="restart"/>
            <w:shd w:val="clear" w:color="auto" w:fill="E5EBEE"/>
          </w:tcPr>
          <w:p>
            <w:pPr>
              <w:spacing w:after="0"/>
              <w:rPr>
                <w:sz w:val="20"/>
                <w:szCs w:val="20"/>
                <w:color w:val="auto"/>
              </w:rPr>
            </w:pPr>
            <w:r>
              <w:rPr>
                <w:rFonts w:ascii="Arial" w:cs="Arial" w:eastAsia="Arial" w:hAnsi="Arial"/>
                <w:sz w:val="16"/>
                <w:szCs w:val="16"/>
                <w:color w:val="auto"/>
              </w:rPr>
              <w:t xml:space="preserve"> Richard D. Fairbank         </w:t>
            </w:r>
          </w:p>
        </w:tc>
        <w:tc>
          <w:tcPr>
            <w:tcW w:w="120" w:type="dxa"/>
            <w:vAlign w:val="bottom"/>
            <w:shd w:val="clear" w:color="auto" w:fill="E5EBEE"/>
          </w:tcPr>
          <w:p>
            <w:pPr>
              <w:spacing w:after="0"/>
              <w:rPr>
                <w:sz w:val="15"/>
                <w:szCs w:val="15"/>
                <w:color w:val="auto"/>
              </w:rPr>
            </w:pPr>
          </w:p>
        </w:tc>
        <w:tc>
          <w:tcPr>
            <w:tcW w:w="52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75</w:t>
            </w:r>
          </w:p>
        </w:tc>
        <w:tc>
          <w:tcPr>
            <w:tcW w:w="100" w:type="dxa"/>
            <w:vAlign w:val="bottom"/>
            <w:shd w:val="clear" w:color="auto" w:fill="E5EBEE"/>
          </w:tcPr>
          <w:p>
            <w:pPr>
              <w:spacing w:after="0"/>
              <w:rPr>
                <w:sz w:val="15"/>
                <w:szCs w:val="15"/>
                <w:color w:val="auto"/>
              </w:rPr>
            </w:pPr>
          </w:p>
        </w:tc>
        <w:tc>
          <w:tcPr>
            <w:tcW w:w="4840" w:type="dxa"/>
            <w:vAlign w:val="bottom"/>
            <w:shd w:val="clear" w:color="auto" w:fill="E5EBEE"/>
          </w:tcPr>
          <w:p>
            <w:pPr>
              <w:ind w:left="60"/>
              <w:spacing w:after="0" w:line="173" w:lineRule="exact"/>
              <w:rPr>
                <w:sz w:val="20"/>
                <w:szCs w:val="20"/>
                <w:color w:val="auto"/>
              </w:rPr>
            </w:pPr>
            <w:r>
              <w:rPr>
                <w:rFonts w:ascii="Arial" w:cs="Arial" w:eastAsia="Arial" w:hAnsi="Arial"/>
                <w:sz w:val="16"/>
                <w:szCs w:val="16"/>
                <w:color w:val="auto"/>
              </w:rPr>
              <w:t>Chairman and Chief Executive Officer,</w:t>
            </w:r>
          </w:p>
        </w:tc>
        <w:tc>
          <w:tcPr>
            <w:tcW w:w="940" w:type="dxa"/>
            <w:vAlign w:val="bottom"/>
            <w:gridSpan w:val="2"/>
            <w:vMerge w:val="restart"/>
            <w:shd w:val="clear" w:color="auto" w:fill="E5EBEE"/>
          </w:tcPr>
          <w:p>
            <w:pPr>
              <w:jc w:val="center"/>
              <w:ind w:left="100"/>
              <w:spacing w:after="0"/>
              <w:rPr>
                <w:sz w:val="20"/>
                <w:szCs w:val="20"/>
                <w:color w:val="auto"/>
              </w:rPr>
            </w:pPr>
            <w:r>
              <w:rPr>
                <w:rFonts w:ascii="Arial" w:cs="Arial" w:eastAsia="Arial" w:hAnsi="Arial"/>
                <w:sz w:val="16"/>
                <w:szCs w:val="16"/>
                <w:color w:val="auto"/>
              </w:rPr>
              <w:t>1994</w:t>
            </w:r>
          </w:p>
        </w:tc>
        <w:tc>
          <w:tcPr>
            <w:tcW w:w="120" w:type="dxa"/>
            <w:vAlign w:val="bottom"/>
            <w:shd w:val="clear" w:color="auto" w:fill="E5EBEE"/>
          </w:tcPr>
          <w:p>
            <w:pPr>
              <w:spacing w:after="0"/>
              <w:rPr>
                <w:sz w:val="15"/>
                <w:szCs w:val="15"/>
                <w:color w:val="auto"/>
              </w:rPr>
            </w:pPr>
          </w:p>
        </w:tc>
        <w:tc>
          <w:tcPr>
            <w:tcW w:w="118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No</w:t>
            </w:r>
          </w:p>
        </w:tc>
        <w:tc>
          <w:tcPr>
            <w:tcW w:w="1060" w:type="dxa"/>
            <w:vAlign w:val="bottom"/>
            <w:gridSpan w:val="2"/>
            <w:vMerge w:val="restart"/>
            <w:shd w:val="clear" w:color="auto" w:fill="E5EBEE"/>
          </w:tcPr>
          <w:p>
            <w:pPr>
              <w:jc w:val="cente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8"/>
        </w:trPr>
        <w:tc>
          <w:tcPr>
            <w:tcW w:w="2040" w:type="dxa"/>
            <w:vAlign w:val="bottom"/>
            <w:vMerge w:val="continue"/>
            <w:shd w:val="clear" w:color="auto" w:fill="E5EBEE"/>
          </w:tcPr>
          <w:p>
            <w:pPr>
              <w:spacing w:after="0"/>
              <w:rPr>
                <w:sz w:val="10"/>
                <w:szCs w:val="10"/>
                <w:color w:val="auto"/>
              </w:rPr>
            </w:pPr>
          </w:p>
        </w:tc>
        <w:tc>
          <w:tcPr>
            <w:tcW w:w="120" w:type="dxa"/>
            <w:vAlign w:val="bottom"/>
            <w:shd w:val="clear" w:color="auto" w:fill="E5EBEE"/>
          </w:tcPr>
          <w:p>
            <w:pPr>
              <w:spacing w:after="0"/>
              <w:rPr>
                <w:sz w:val="10"/>
                <w:szCs w:val="10"/>
                <w:color w:val="auto"/>
              </w:rPr>
            </w:pPr>
          </w:p>
        </w:tc>
        <w:tc>
          <w:tcPr>
            <w:tcW w:w="520" w:type="dxa"/>
            <w:vAlign w:val="bottom"/>
            <w:vMerge w:val="continue"/>
            <w:shd w:val="clear" w:color="auto" w:fill="E5EBEE"/>
          </w:tcPr>
          <w:p>
            <w:pPr>
              <w:spacing w:after="0"/>
              <w:rPr>
                <w:sz w:val="10"/>
                <w:szCs w:val="10"/>
                <w:color w:val="auto"/>
              </w:rPr>
            </w:pPr>
          </w:p>
        </w:tc>
        <w:tc>
          <w:tcPr>
            <w:tcW w:w="100" w:type="dxa"/>
            <w:vAlign w:val="bottom"/>
            <w:shd w:val="clear" w:color="auto" w:fill="E5EBEE"/>
          </w:tcPr>
          <w:p>
            <w:pPr>
              <w:spacing w:after="0"/>
              <w:rPr>
                <w:sz w:val="10"/>
                <w:szCs w:val="10"/>
                <w:color w:val="auto"/>
              </w:rPr>
            </w:pPr>
          </w:p>
        </w:tc>
        <w:tc>
          <w:tcPr>
            <w:tcW w:w="4840" w:type="dxa"/>
            <w:vAlign w:val="bottom"/>
            <w:vMerge w:val="restart"/>
            <w:shd w:val="clear" w:color="auto" w:fill="E5EBEE"/>
          </w:tcPr>
          <w:p>
            <w:pPr>
              <w:ind w:left="60"/>
              <w:spacing w:after="0"/>
              <w:rPr>
                <w:sz w:val="20"/>
                <w:szCs w:val="20"/>
                <w:color w:val="auto"/>
              </w:rPr>
            </w:pPr>
            <w:r>
              <w:rPr>
                <w:rFonts w:ascii="Arial" w:cs="Arial" w:eastAsia="Arial" w:hAnsi="Arial"/>
                <w:sz w:val="16"/>
                <w:szCs w:val="16"/>
                <w:color w:val="auto"/>
              </w:rPr>
              <w:t>Capital One Financial Corporation</w:t>
            </w:r>
          </w:p>
        </w:tc>
        <w:tc>
          <w:tcPr>
            <w:tcW w:w="940" w:type="dxa"/>
            <w:vAlign w:val="bottom"/>
            <w:gridSpan w:val="2"/>
            <w:vMerge w:val="continue"/>
            <w:shd w:val="clear" w:color="auto" w:fill="E5EBEE"/>
          </w:tcPr>
          <w:p>
            <w:pPr>
              <w:spacing w:after="0"/>
              <w:rPr>
                <w:sz w:val="10"/>
                <w:szCs w:val="10"/>
                <w:color w:val="auto"/>
              </w:rPr>
            </w:pPr>
          </w:p>
        </w:tc>
        <w:tc>
          <w:tcPr>
            <w:tcW w:w="120" w:type="dxa"/>
            <w:vAlign w:val="bottom"/>
            <w:shd w:val="clear" w:color="auto" w:fill="E5EBEE"/>
          </w:tcPr>
          <w:p>
            <w:pPr>
              <w:spacing w:after="0"/>
              <w:rPr>
                <w:sz w:val="10"/>
                <w:szCs w:val="10"/>
                <w:color w:val="auto"/>
              </w:rPr>
            </w:pPr>
          </w:p>
        </w:tc>
        <w:tc>
          <w:tcPr>
            <w:tcW w:w="1180" w:type="dxa"/>
            <w:vAlign w:val="bottom"/>
            <w:vMerge w:val="continue"/>
            <w:shd w:val="clear" w:color="auto" w:fill="E5EBEE"/>
          </w:tcPr>
          <w:p>
            <w:pPr>
              <w:spacing w:after="0"/>
              <w:rPr>
                <w:sz w:val="10"/>
                <w:szCs w:val="10"/>
                <w:color w:val="auto"/>
              </w:rPr>
            </w:pPr>
          </w:p>
        </w:tc>
        <w:tc>
          <w:tcPr>
            <w:tcW w:w="1060" w:type="dxa"/>
            <w:vAlign w:val="bottom"/>
            <w:gridSpan w:val="2"/>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40" w:type="dxa"/>
            <w:vAlign w:val="bottom"/>
            <w:tcBorders>
              <w:bottom w:val="single" w:sz="8" w:color="023C5B"/>
            </w:tcBorders>
            <w:shd w:val="clear" w:color="auto" w:fill="E5EBEE"/>
          </w:tcPr>
          <w:p>
            <w:pPr>
              <w:spacing w:after="0"/>
              <w:rPr>
                <w:sz w:val="9"/>
                <w:szCs w:val="9"/>
                <w:color w:val="auto"/>
              </w:rPr>
            </w:pPr>
          </w:p>
        </w:tc>
        <w:tc>
          <w:tcPr>
            <w:tcW w:w="120" w:type="dxa"/>
            <w:vAlign w:val="bottom"/>
            <w:shd w:val="clear" w:color="auto" w:fill="E5EBEE"/>
          </w:tcPr>
          <w:p>
            <w:pPr>
              <w:spacing w:after="0"/>
              <w:rPr>
                <w:sz w:val="9"/>
                <w:szCs w:val="9"/>
                <w:color w:val="auto"/>
              </w:rPr>
            </w:pPr>
          </w:p>
        </w:tc>
        <w:tc>
          <w:tcPr>
            <w:tcW w:w="520" w:type="dxa"/>
            <w:vAlign w:val="bottom"/>
            <w:tcBorders>
              <w:bottom w:val="single" w:sz="8" w:color="023C5B"/>
            </w:tcBorders>
            <w:shd w:val="clear" w:color="auto" w:fill="E5EBEE"/>
          </w:tcPr>
          <w:p>
            <w:pPr>
              <w:spacing w:after="0"/>
              <w:rPr>
                <w:sz w:val="9"/>
                <w:szCs w:val="9"/>
                <w:color w:val="auto"/>
              </w:rPr>
            </w:pPr>
          </w:p>
        </w:tc>
        <w:tc>
          <w:tcPr>
            <w:tcW w:w="100" w:type="dxa"/>
            <w:vAlign w:val="bottom"/>
            <w:shd w:val="clear" w:color="auto" w:fill="E5EBEE"/>
          </w:tcPr>
          <w:p>
            <w:pPr>
              <w:spacing w:after="0"/>
              <w:rPr>
                <w:sz w:val="9"/>
                <w:szCs w:val="9"/>
                <w:color w:val="auto"/>
              </w:rPr>
            </w:pPr>
          </w:p>
        </w:tc>
        <w:tc>
          <w:tcPr>
            <w:tcW w:w="4840" w:type="dxa"/>
            <w:vAlign w:val="bottom"/>
            <w:tcBorders>
              <w:bottom w:val="single" w:sz="8" w:color="023C5B"/>
            </w:tcBorders>
            <w:vMerge w:val="continue"/>
            <w:shd w:val="clear" w:color="auto" w:fill="E5EBEE"/>
          </w:tcPr>
          <w:p>
            <w:pPr>
              <w:spacing w:after="0"/>
              <w:rPr>
                <w:sz w:val="9"/>
                <w:szCs w:val="9"/>
                <w:color w:val="auto"/>
              </w:rPr>
            </w:pPr>
          </w:p>
        </w:tc>
        <w:tc>
          <w:tcPr>
            <w:tcW w:w="100" w:type="dxa"/>
            <w:vAlign w:val="bottom"/>
            <w:shd w:val="clear" w:color="auto" w:fill="E5EBEE"/>
          </w:tcPr>
          <w:p>
            <w:pPr>
              <w:spacing w:after="0"/>
              <w:rPr>
                <w:sz w:val="9"/>
                <w:szCs w:val="9"/>
                <w:color w:val="auto"/>
              </w:rPr>
            </w:pPr>
          </w:p>
        </w:tc>
        <w:tc>
          <w:tcPr>
            <w:tcW w:w="840" w:type="dxa"/>
            <w:vAlign w:val="bottom"/>
            <w:tcBorders>
              <w:bottom w:val="single" w:sz="8" w:color="023C5B"/>
            </w:tcBorders>
            <w:shd w:val="clear" w:color="auto" w:fill="E5EBEE"/>
          </w:tcPr>
          <w:p>
            <w:pPr>
              <w:spacing w:after="0"/>
              <w:rPr>
                <w:sz w:val="9"/>
                <w:szCs w:val="9"/>
                <w:color w:val="auto"/>
              </w:rPr>
            </w:pPr>
          </w:p>
        </w:tc>
        <w:tc>
          <w:tcPr>
            <w:tcW w:w="120" w:type="dxa"/>
            <w:vAlign w:val="bottom"/>
            <w:shd w:val="clear" w:color="auto" w:fill="E5EBEE"/>
          </w:tcPr>
          <w:p>
            <w:pPr>
              <w:spacing w:after="0"/>
              <w:rPr>
                <w:sz w:val="9"/>
                <w:szCs w:val="9"/>
                <w:color w:val="auto"/>
              </w:rPr>
            </w:pPr>
          </w:p>
        </w:tc>
        <w:tc>
          <w:tcPr>
            <w:tcW w:w="1180" w:type="dxa"/>
            <w:vAlign w:val="bottom"/>
            <w:tcBorders>
              <w:bottom w:val="single" w:sz="8" w:color="023C5B"/>
            </w:tcBorders>
            <w:shd w:val="clear" w:color="auto" w:fill="E5EBEE"/>
          </w:tcPr>
          <w:p>
            <w:pPr>
              <w:spacing w:after="0"/>
              <w:rPr>
                <w:sz w:val="9"/>
                <w:szCs w:val="9"/>
                <w:color w:val="auto"/>
              </w:rPr>
            </w:pPr>
          </w:p>
        </w:tc>
        <w:tc>
          <w:tcPr>
            <w:tcW w:w="140" w:type="dxa"/>
            <w:vAlign w:val="bottom"/>
            <w:shd w:val="clear" w:color="auto" w:fill="E5EBEE"/>
          </w:tcPr>
          <w:p>
            <w:pPr>
              <w:spacing w:after="0"/>
              <w:rPr>
                <w:sz w:val="9"/>
                <w:szCs w:val="9"/>
                <w:color w:val="auto"/>
              </w:rPr>
            </w:pPr>
          </w:p>
        </w:tc>
        <w:tc>
          <w:tcPr>
            <w:tcW w:w="920" w:type="dxa"/>
            <w:vAlign w:val="bottom"/>
            <w:tcBorders>
              <w:bottom w:val="single" w:sz="8" w:color="023C5B"/>
            </w:tcBorders>
            <w:shd w:val="clear" w:color="auto" w:fill="E5EBE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160" w:type="dxa"/>
            <w:vAlign w:val="bottom"/>
            <w:gridSpan w:val="2"/>
            <w:vMerge w:val="restart"/>
          </w:tcPr>
          <w:p>
            <w:pPr>
              <w:spacing w:after="0"/>
              <w:rPr>
                <w:sz w:val="20"/>
                <w:szCs w:val="20"/>
                <w:color w:val="auto"/>
              </w:rPr>
            </w:pPr>
            <w:r>
              <w:rPr>
                <w:rFonts w:ascii="Arial" w:cs="Arial" w:eastAsia="Arial" w:hAnsi="Arial"/>
                <w:sz w:val="16"/>
                <w:szCs w:val="16"/>
                <w:color w:val="auto"/>
              </w:rPr>
              <w:t> Ime Archibong</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Arial" w:cs="Arial" w:eastAsia="Arial" w:hAnsi="Arial"/>
                <w:sz w:val="16"/>
                <w:szCs w:val="16"/>
                <w:color w:val="auto"/>
              </w:rPr>
              <w:t>Vice President, Product Management and</w:t>
            </w:r>
          </w:p>
        </w:tc>
        <w:tc>
          <w:tcPr>
            <w:tcW w:w="940" w:type="dxa"/>
            <w:vAlign w:val="bottom"/>
            <w:gridSpan w:val="2"/>
            <w:vMerge w:val="restart"/>
          </w:tcPr>
          <w:p>
            <w:pPr>
              <w:jc w:val="center"/>
              <w:ind w:left="10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94"/>
              </w:rPr>
              <w:t>Yes</w:t>
            </w:r>
          </w:p>
        </w:tc>
        <w:tc>
          <w:tcPr>
            <w:tcW w:w="1060" w:type="dxa"/>
            <w:vAlign w:val="bottom"/>
            <w:gridSpan w:val="2"/>
            <w:vMerge w:val="restart"/>
          </w:tcPr>
          <w:p>
            <w:pPr>
              <w:jc w:val="cente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8"/>
        </w:trPr>
        <w:tc>
          <w:tcPr>
            <w:tcW w:w="21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840" w:type="dxa"/>
            <w:vAlign w:val="bottom"/>
            <w:vMerge w:val="restart"/>
          </w:tcPr>
          <w:p>
            <w:pPr>
              <w:ind w:left="60"/>
              <w:spacing w:after="0"/>
              <w:rPr>
                <w:sz w:val="20"/>
                <w:szCs w:val="20"/>
                <w:color w:val="auto"/>
              </w:rPr>
            </w:pPr>
            <w:r>
              <w:rPr>
                <w:rFonts w:ascii="Arial" w:cs="Arial" w:eastAsia="Arial" w:hAnsi="Arial"/>
                <w:sz w:val="16"/>
                <w:szCs w:val="16"/>
                <w:color w:val="auto"/>
              </w:rPr>
              <w:t>Head of Product at Messenger, Meta</w:t>
            </w: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40" w:type="dxa"/>
            <w:vAlign w:val="bottom"/>
            <w:tcBorders>
              <w:bottom w:val="single" w:sz="8" w:color="023C5B"/>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023C5B"/>
            </w:tcBorders>
          </w:tcPr>
          <w:p>
            <w:pPr>
              <w:spacing w:after="0"/>
              <w:rPr>
                <w:sz w:val="12"/>
                <w:szCs w:val="12"/>
                <w:color w:val="auto"/>
              </w:rPr>
            </w:pPr>
          </w:p>
        </w:tc>
        <w:tc>
          <w:tcPr>
            <w:tcW w:w="100" w:type="dxa"/>
            <w:vAlign w:val="bottom"/>
          </w:tcPr>
          <w:p>
            <w:pPr>
              <w:spacing w:after="0"/>
              <w:rPr>
                <w:sz w:val="12"/>
                <w:szCs w:val="12"/>
                <w:color w:val="auto"/>
              </w:rPr>
            </w:pPr>
          </w:p>
        </w:tc>
        <w:tc>
          <w:tcPr>
            <w:tcW w:w="4840" w:type="dxa"/>
            <w:vAlign w:val="bottom"/>
            <w:tcBorders>
              <w:bottom w:val="single" w:sz="8" w:color="023C5B"/>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023C5B"/>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bottom w:val="single" w:sz="8" w:color="023C5B"/>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023C5B"/>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40" w:type="dxa"/>
            <w:vAlign w:val="bottom"/>
            <w:tcBorders>
              <w:top w:val="single" w:sz="8" w:color="E5EBEE"/>
            </w:tcBorders>
            <w:shd w:val="clear" w:color="auto" w:fill="E5EBEE"/>
          </w:tcPr>
          <w:p>
            <w:pPr>
              <w:spacing w:after="0"/>
              <w:rPr>
                <w:sz w:val="15"/>
                <w:szCs w:val="15"/>
                <w:color w:val="auto"/>
              </w:rPr>
            </w:pPr>
          </w:p>
        </w:tc>
        <w:tc>
          <w:tcPr>
            <w:tcW w:w="120" w:type="dxa"/>
            <w:vAlign w:val="bottom"/>
            <w:shd w:val="clear" w:color="auto" w:fill="E5EBEE"/>
          </w:tcPr>
          <w:p>
            <w:pPr>
              <w:spacing w:after="0"/>
              <w:rPr>
                <w:sz w:val="15"/>
                <w:szCs w:val="15"/>
                <w:color w:val="auto"/>
              </w:rPr>
            </w:pPr>
          </w:p>
        </w:tc>
        <w:tc>
          <w:tcPr>
            <w:tcW w:w="520" w:type="dxa"/>
            <w:vAlign w:val="bottom"/>
            <w:tcBorders>
              <w:top w:val="single" w:sz="8" w:color="E5EBEE"/>
            </w:tcBorders>
            <w:shd w:val="clear" w:color="auto" w:fill="E5EBEE"/>
          </w:tcPr>
          <w:p>
            <w:pPr>
              <w:spacing w:after="0"/>
              <w:rPr>
                <w:sz w:val="15"/>
                <w:szCs w:val="15"/>
                <w:color w:val="auto"/>
              </w:rPr>
            </w:pPr>
          </w:p>
        </w:tc>
        <w:tc>
          <w:tcPr>
            <w:tcW w:w="100" w:type="dxa"/>
            <w:vAlign w:val="bottom"/>
            <w:shd w:val="clear" w:color="auto" w:fill="E5EBEE"/>
          </w:tcPr>
          <w:p>
            <w:pPr>
              <w:spacing w:after="0"/>
              <w:rPr>
                <w:sz w:val="15"/>
                <w:szCs w:val="15"/>
                <w:color w:val="auto"/>
              </w:rPr>
            </w:pPr>
          </w:p>
        </w:tc>
        <w:tc>
          <w:tcPr>
            <w:tcW w:w="4840" w:type="dxa"/>
            <w:vAlign w:val="bottom"/>
            <w:tcBorders>
              <w:top w:val="single" w:sz="8" w:color="E5EBEE"/>
            </w:tcBorders>
            <w:shd w:val="clear" w:color="auto" w:fill="E5EBEE"/>
          </w:tcPr>
          <w:p>
            <w:pPr>
              <w:ind w:left="60"/>
              <w:spacing w:after="0" w:line="173" w:lineRule="exact"/>
              <w:rPr>
                <w:sz w:val="20"/>
                <w:szCs w:val="20"/>
                <w:color w:val="auto"/>
              </w:rPr>
            </w:pPr>
            <w:r>
              <w:rPr>
                <w:rFonts w:ascii="Arial" w:cs="Arial" w:eastAsia="Arial" w:hAnsi="Arial"/>
                <w:sz w:val="16"/>
                <w:szCs w:val="16"/>
                <w:color w:val="auto"/>
              </w:rPr>
              <w:t>Former Director, Head of the Americas</w:t>
            </w:r>
          </w:p>
        </w:tc>
        <w:tc>
          <w:tcPr>
            <w:tcW w:w="100" w:type="dxa"/>
            <w:vAlign w:val="bottom"/>
            <w:shd w:val="clear" w:color="auto" w:fill="E5EBEE"/>
          </w:tcPr>
          <w:p>
            <w:pPr>
              <w:spacing w:after="0"/>
              <w:rPr>
                <w:sz w:val="15"/>
                <w:szCs w:val="15"/>
                <w:color w:val="auto"/>
              </w:rPr>
            </w:pPr>
          </w:p>
        </w:tc>
        <w:tc>
          <w:tcPr>
            <w:tcW w:w="840" w:type="dxa"/>
            <w:vAlign w:val="bottom"/>
            <w:tcBorders>
              <w:top w:val="single" w:sz="8" w:color="E5EBEE"/>
            </w:tcBorders>
            <w:shd w:val="clear" w:color="auto" w:fill="E5EBEE"/>
          </w:tcPr>
          <w:p>
            <w:pPr>
              <w:spacing w:after="0"/>
              <w:rPr>
                <w:sz w:val="15"/>
                <w:szCs w:val="15"/>
                <w:color w:val="auto"/>
              </w:rPr>
            </w:pPr>
          </w:p>
        </w:tc>
        <w:tc>
          <w:tcPr>
            <w:tcW w:w="120" w:type="dxa"/>
            <w:vAlign w:val="bottom"/>
            <w:shd w:val="clear" w:color="auto" w:fill="E5EBEE"/>
          </w:tcPr>
          <w:p>
            <w:pPr>
              <w:spacing w:after="0"/>
              <w:rPr>
                <w:sz w:val="15"/>
                <w:szCs w:val="15"/>
                <w:color w:val="auto"/>
              </w:rPr>
            </w:pPr>
          </w:p>
        </w:tc>
        <w:tc>
          <w:tcPr>
            <w:tcW w:w="1180" w:type="dxa"/>
            <w:vAlign w:val="bottom"/>
            <w:tcBorders>
              <w:top w:val="single" w:sz="8" w:color="E5EBEE"/>
            </w:tcBorders>
            <w:shd w:val="clear" w:color="auto" w:fill="E5EBEE"/>
          </w:tcPr>
          <w:p>
            <w:pPr>
              <w:spacing w:after="0"/>
              <w:rPr>
                <w:sz w:val="15"/>
                <w:szCs w:val="15"/>
                <w:color w:val="auto"/>
              </w:rPr>
            </w:pPr>
          </w:p>
        </w:tc>
        <w:tc>
          <w:tcPr>
            <w:tcW w:w="140" w:type="dxa"/>
            <w:vAlign w:val="bottom"/>
            <w:shd w:val="clear" w:color="auto" w:fill="E5EBEE"/>
          </w:tcPr>
          <w:p>
            <w:pPr>
              <w:spacing w:after="0"/>
              <w:rPr>
                <w:sz w:val="15"/>
                <w:szCs w:val="15"/>
                <w:color w:val="auto"/>
              </w:rPr>
            </w:pPr>
          </w:p>
        </w:tc>
        <w:tc>
          <w:tcPr>
            <w:tcW w:w="920" w:type="dxa"/>
            <w:vAlign w:val="bottom"/>
            <w:tcBorders>
              <w:top w:val="single" w:sz="8" w:color="E5EBEE"/>
            </w:tcBorders>
            <w:shd w:val="clear" w:color="auto" w:fill="E5EB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40" w:type="dxa"/>
            <w:vAlign w:val="bottom"/>
            <w:shd w:val="clear" w:color="auto" w:fill="E5EBEE"/>
          </w:tcPr>
          <w:p>
            <w:pPr>
              <w:spacing w:after="0"/>
              <w:rPr>
                <w:sz w:val="20"/>
                <w:szCs w:val="20"/>
                <w:color w:val="auto"/>
              </w:rPr>
            </w:pPr>
            <w:r>
              <w:rPr>
                <w:rFonts w:ascii="Arial" w:cs="Arial" w:eastAsia="Arial" w:hAnsi="Arial"/>
                <w:sz w:val="16"/>
                <w:szCs w:val="16"/>
                <w:color w:val="auto"/>
              </w:rPr>
              <w:t> Christine Detrick</w:t>
            </w:r>
          </w:p>
        </w:tc>
        <w:tc>
          <w:tcPr>
            <w:tcW w:w="120" w:type="dxa"/>
            <w:vAlign w:val="bottom"/>
            <w:shd w:val="clear" w:color="auto" w:fill="E5EBEE"/>
          </w:tcPr>
          <w:p>
            <w:pPr>
              <w:spacing w:after="0"/>
              <w:rPr>
                <w:sz w:val="16"/>
                <w:szCs w:val="16"/>
                <w:color w:val="auto"/>
              </w:rPr>
            </w:pPr>
          </w:p>
        </w:tc>
        <w:tc>
          <w:tcPr>
            <w:tcW w:w="52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67</w:t>
            </w:r>
          </w:p>
        </w:tc>
        <w:tc>
          <w:tcPr>
            <w:tcW w:w="100" w:type="dxa"/>
            <w:vAlign w:val="bottom"/>
            <w:shd w:val="clear" w:color="auto" w:fill="E5EBEE"/>
          </w:tcPr>
          <w:p>
            <w:pPr>
              <w:spacing w:after="0"/>
              <w:rPr>
                <w:sz w:val="16"/>
                <w:szCs w:val="16"/>
                <w:color w:val="auto"/>
              </w:rPr>
            </w:pPr>
          </w:p>
        </w:tc>
        <w:tc>
          <w:tcPr>
            <w:tcW w:w="4840" w:type="dxa"/>
            <w:vAlign w:val="bottom"/>
            <w:shd w:val="clear" w:color="auto" w:fill="E5EBEE"/>
          </w:tcPr>
          <w:p>
            <w:pPr>
              <w:ind w:left="60"/>
              <w:spacing w:after="0"/>
              <w:rPr>
                <w:sz w:val="20"/>
                <w:szCs w:val="20"/>
                <w:color w:val="auto"/>
              </w:rPr>
            </w:pPr>
            <w:r>
              <w:rPr>
                <w:rFonts w:ascii="Arial" w:cs="Arial" w:eastAsia="Arial" w:hAnsi="Arial"/>
                <w:sz w:val="16"/>
                <w:szCs w:val="16"/>
                <w:color w:val="auto"/>
              </w:rPr>
              <w:t>Financial Services Practice; Former Senior</w:t>
            </w:r>
          </w:p>
        </w:tc>
        <w:tc>
          <w:tcPr>
            <w:tcW w:w="940" w:type="dxa"/>
            <w:vAlign w:val="bottom"/>
            <w:gridSpan w:val="2"/>
            <w:shd w:val="clear" w:color="auto" w:fill="E5EBEE"/>
          </w:tcPr>
          <w:p>
            <w:pPr>
              <w:jc w:val="center"/>
              <w:ind w:left="10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E5EBEE"/>
          </w:tcPr>
          <w:p>
            <w:pPr>
              <w:spacing w:after="0"/>
              <w:rPr>
                <w:sz w:val="16"/>
                <w:szCs w:val="16"/>
                <w:color w:val="auto"/>
              </w:rPr>
            </w:pPr>
          </w:p>
        </w:tc>
        <w:tc>
          <w:tcPr>
            <w:tcW w:w="118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4"/>
              </w:rPr>
              <w:t>Yes</w:t>
            </w:r>
          </w:p>
        </w:tc>
        <w:tc>
          <w:tcPr>
            <w:tcW w:w="1060" w:type="dxa"/>
            <w:vAlign w:val="bottom"/>
            <w:gridSpan w:val="2"/>
            <w:shd w:val="clear" w:color="auto" w:fill="E5EBEE"/>
          </w:tcPr>
          <w:p>
            <w:pPr>
              <w:jc w:val="cente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40" w:type="dxa"/>
            <w:vAlign w:val="bottom"/>
            <w:tcBorders>
              <w:bottom w:val="single" w:sz="8" w:color="023C5B"/>
            </w:tcBorders>
            <w:shd w:val="clear" w:color="auto" w:fill="E5EBEE"/>
          </w:tcPr>
          <w:p>
            <w:pPr>
              <w:spacing w:after="0"/>
              <w:rPr>
                <w:sz w:val="19"/>
                <w:szCs w:val="19"/>
                <w:color w:val="auto"/>
              </w:rPr>
            </w:pPr>
          </w:p>
        </w:tc>
        <w:tc>
          <w:tcPr>
            <w:tcW w:w="120" w:type="dxa"/>
            <w:vAlign w:val="bottom"/>
            <w:shd w:val="clear" w:color="auto" w:fill="E5EBEE"/>
          </w:tcPr>
          <w:p>
            <w:pPr>
              <w:spacing w:after="0"/>
              <w:rPr>
                <w:sz w:val="19"/>
                <w:szCs w:val="19"/>
                <w:color w:val="auto"/>
              </w:rPr>
            </w:pPr>
          </w:p>
        </w:tc>
        <w:tc>
          <w:tcPr>
            <w:tcW w:w="520" w:type="dxa"/>
            <w:vAlign w:val="bottom"/>
            <w:tcBorders>
              <w:bottom w:val="single" w:sz="8" w:color="023C5B"/>
            </w:tcBorders>
            <w:shd w:val="clear" w:color="auto" w:fill="E5EBEE"/>
          </w:tcPr>
          <w:p>
            <w:pPr>
              <w:spacing w:after="0"/>
              <w:rPr>
                <w:sz w:val="19"/>
                <w:szCs w:val="19"/>
                <w:color w:val="auto"/>
              </w:rPr>
            </w:pPr>
          </w:p>
        </w:tc>
        <w:tc>
          <w:tcPr>
            <w:tcW w:w="100" w:type="dxa"/>
            <w:vAlign w:val="bottom"/>
            <w:shd w:val="clear" w:color="auto" w:fill="E5EBEE"/>
          </w:tcPr>
          <w:p>
            <w:pPr>
              <w:spacing w:after="0"/>
              <w:rPr>
                <w:sz w:val="19"/>
                <w:szCs w:val="19"/>
                <w:color w:val="auto"/>
              </w:rPr>
            </w:pPr>
          </w:p>
        </w:tc>
        <w:tc>
          <w:tcPr>
            <w:tcW w:w="4840" w:type="dxa"/>
            <w:vAlign w:val="bottom"/>
            <w:tcBorders>
              <w:bottom w:val="single" w:sz="8" w:color="023C5B"/>
            </w:tcBorders>
            <w:shd w:val="clear" w:color="auto" w:fill="E5EBEE"/>
          </w:tcPr>
          <w:p>
            <w:pPr>
              <w:ind w:left="60"/>
              <w:spacing w:after="0"/>
              <w:rPr>
                <w:sz w:val="20"/>
                <w:szCs w:val="20"/>
                <w:color w:val="auto"/>
              </w:rPr>
            </w:pPr>
            <w:r>
              <w:rPr>
                <w:rFonts w:ascii="Arial" w:cs="Arial" w:eastAsia="Arial" w:hAnsi="Arial"/>
                <w:sz w:val="16"/>
                <w:szCs w:val="16"/>
                <w:color w:val="auto"/>
              </w:rPr>
              <w:t>Advisor, Bain &amp; Company</w:t>
            </w:r>
          </w:p>
        </w:tc>
        <w:tc>
          <w:tcPr>
            <w:tcW w:w="100" w:type="dxa"/>
            <w:vAlign w:val="bottom"/>
            <w:shd w:val="clear" w:color="auto" w:fill="E5EBEE"/>
          </w:tcPr>
          <w:p>
            <w:pPr>
              <w:spacing w:after="0"/>
              <w:rPr>
                <w:sz w:val="19"/>
                <w:szCs w:val="19"/>
                <w:color w:val="auto"/>
              </w:rPr>
            </w:pPr>
          </w:p>
        </w:tc>
        <w:tc>
          <w:tcPr>
            <w:tcW w:w="840" w:type="dxa"/>
            <w:vAlign w:val="bottom"/>
            <w:tcBorders>
              <w:bottom w:val="single" w:sz="8" w:color="023C5B"/>
            </w:tcBorders>
            <w:shd w:val="clear" w:color="auto" w:fill="E5EBEE"/>
          </w:tcPr>
          <w:p>
            <w:pPr>
              <w:spacing w:after="0"/>
              <w:rPr>
                <w:sz w:val="19"/>
                <w:szCs w:val="19"/>
                <w:color w:val="auto"/>
              </w:rPr>
            </w:pPr>
          </w:p>
        </w:tc>
        <w:tc>
          <w:tcPr>
            <w:tcW w:w="120" w:type="dxa"/>
            <w:vAlign w:val="bottom"/>
            <w:shd w:val="clear" w:color="auto" w:fill="E5EBEE"/>
          </w:tcPr>
          <w:p>
            <w:pPr>
              <w:spacing w:after="0"/>
              <w:rPr>
                <w:sz w:val="19"/>
                <w:szCs w:val="19"/>
                <w:color w:val="auto"/>
              </w:rPr>
            </w:pPr>
          </w:p>
        </w:tc>
        <w:tc>
          <w:tcPr>
            <w:tcW w:w="1180" w:type="dxa"/>
            <w:vAlign w:val="bottom"/>
            <w:tcBorders>
              <w:bottom w:val="single" w:sz="8" w:color="023C5B"/>
            </w:tcBorders>
            <w:shd w:val="clear" w:color="auto" w:fill="E5EBEE"/>
          </w:tcPr>
          <w:p>
            <w:pPr>
              <w:spacing w:after="0"/>
              <w:rPr>
                <w:sz w:val="19"/>
                <w:szCs w:val="19"/>
                <w:color w:val="auto"/>
              </w:rPr>
            </w:pPr>
          </w:p>
        </w:tc>
        <w:tc>
          <w:tcPr>
            <w:tcW w:w="140" w:type="dxa"/>
            <w:vAlign w:val="bottom"/>
            <w:shd w:val="clear" w:color="auto" w:fill="E5EBEE"/>
          </w:tcPr>
          <w:p>
            <w:pPr>
              <w:spacing w:after="0"/>
              <w:rPr>
                <w:sz w:val="19"/>
                <w:szCs w:val="19"/>
                <w:color w:val="auto"/>
              </w:rPr>
            </w:pPr>
          </w:p>
        </w:tc>
        <w:tc>
          <w:tcPr>
            <w:tcW w:w="920" w:type="dxa"/>
            <w:vAlign w:val="bottom"/>
            <w:tcBorders>
              <w:bottom w:val="single" w:sz="8" w:color="023C5B"/>
            </w:tcBorders>
            <w:shd w:val="clear" w:color="auto" w:fill="E5EBEE"/>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40" w:type="dxa"/>
            <w:vAlign w:val="bottom"/>
            <w:tcBorders>
              <w:bottom w:val="single" w:sz="8" w:color="023C5B"/>
            </w:tcBorders>
          </w:tcPr>
          <w:p>
            <w:pPr>
              <w:spacing w:after="0"/>
              <w:rPr>
                <w:sz w:val="20"/>
                <w:szCs w:val="20"/>
                <w:color w:val="auto"/>
              </w:rPr>
            </w:pPr>
            <w:r>
              <w:rPr>
                <w:rFonts w:ascii="Arial" w:cs="Arial" w:eastAsia="Arial" w:hAnsi="Arial"/>
                <w:sz w:val="16"/>
                <w:szCs w:val="16"/>
                <w:color w:val="auto"/>
              </w:rPr>
              <w:t> Suni P. Harford</w:t>
            </w:r>
          </w:p>
        </w:tc>
        <w:tc>
          <w:tcPr>
            <w:tcW w:w="120" w:type="dxa"/>
            <w:vAlign w:val="bottom"/>
          </w:tcPr>
          <w:p>
            <w:pPr>
              <w:spacing w:after="0"/>
              <w:rPr>
                <w:sz w:val="24"/>
                <w:szCs w:val="24"/>
                <w:color w:val="auto"/>
              </w:rPr>
            </w:pPr>
          </w:p>
        </w:tc>
        <w:tc>
          <w:tcPr>
            <w:tcW w:w="52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4"/>
                <w:szCs w:val="24"/>
                <w:color w:val="auto"/>
              </w:rPr>
            </w:pPr>
          </w:p>
        </w:tc>
        <w:tc>
          <w:tcPr>
            <w:tcW w:w="4840" w:type="dxa"/>
            <w:vAlign w:val="bottom"/>
            <w:tcBorders>
              <w:bottom w:val="single" w:sz="8" w:color="023C5B"/>
            </w:tcBorders>
          </w:tcPr>
          <w:p>
            <w:pPr>
              <w:ind w:left="60"/>
              <w:spacing w:after="0"/>
              <w:rPr>
                <w:sz w:val="20"/>
                <w:szCs w:val="20"/>
                <w:color w:val="auto"/>
              </w:rPr>
            </w:pPr>
            <w:r>
              <w:rPr>
                <w:rFonts w:ascii="Arial" w:cs="Arial" w:eastAsia="Arial" w:hAnsi="Arial"/>
                <w:sz w:val="16"/>
                <w:szCs w:val="16"/>
                <w:color w:val="auto"/>
              </w:rPr>
              <w:t>Former President, UBS Asset Management</w:t>
            </w:r>
          </w:p>
        </w:tc>
        <w:tc>
          <w:tcPr>
            <w:tcW w:w="100" w:type="dxa"/>
            <w:vAlign w:val="bottom"/>
          </w:tcPr>
          <w:p>
            <w:pPr>
              <w:spacing w:after="0"/>
              <w:rPr>
                <w:sz w:val="24"/>
                <w:szCs w:val="24"/>
                <w:color w:val="auto"/>
              </w:rPr>
            </w:pPr>
          </w:p>
        </w:tc>
        <w:tc>
          <w:tcPr>
            <w:tcW w:w="84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4"/>
                <w:szCs w:val="24"/>
                <w:color w:val="auto"/>
              </w:rPr>
            </w:pPr>
          </w:p>
        </w:tc>
        <w:tc>
          <w:tcPr>
            <w:tcW w:w="118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4"/>
              </w:rPr>
              <w:t>Yes</w:t>
            </w:r>
          </w:p>
        </w:tc>
        <w:tc>
          <w:tcPr>
            <w:tcW w:w="140" w:type="dxa"/>
            <w:vAlign w:val="bottom"/>
          </w:tcPr>
          <w:p>
            <w:pPr>
              <w:spacing w:after="0"/>
              <w:rPr>
                <w:sz w:val="24"/>
                <w:szCs w:val="24"/>
                <w:color w:val="auto"/>
              </w:rPr>
            </w:pPr>
          </w:p>
        </w:tc>
        <w:tc>
          <w:tcPr>
            <w:tcW w:w="92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3"/>
        </w:trPr>
        <w:tc>
          <w:tcPr>
            <w:tcW w:w="2040" w:type="dxa"/>
            <w:vAlign w:val="bottom"/>
            <w:vMerge w:val="restart"/>
            <w:shd w:val="clear" w:color="auto" w:fill="E5EBEE"/>
          </w:tcPr>
          <w:p>
            <w:pPr>
              <w:spacing w:after="0"/>
              <w:rPr>
                <w:sz w:val="20"/>
                <w:szCs w:val="20"/>
                <w:color w:val="auto"/>
              </w:rPr>
            </w:pPr>
            <w:r>
              <w:rPr>
                <w:rFonts w:ascii="Arial" w:cs="Arial" w:eastAsia="Arial" w:hAnsi="Arial"/>
                <w:sz w:val="16"/>
                <w:szCs w:val="16"/>
                <w:color w:val="auto"/>
              </w:rPr>
              <w:t> Peter Thomas Killalea</w:t>
            </w:r>
          </w:p>
        </w:tc>
        <w:tc>
          <w:tcPr>
            <w:tcW w:w="120" w:type="dxa"/>
            <w:vAlign w:val="bottom"/>
            <w:shd w:val="clear" w:color="auto" w:fill="E5EBEE"/>
          </w:tcPr>
          <w:p>
            <w:pPr>
              <w:spacing w:after="0"/>
              <w:rPr>
                <w:sz w:val="15"/>
                <w:szCs w:val="15"/>
                <w:color w:val="auto"/>
              </w:rPr>
            </w:pPr>
          </w:p>
        </w:tc>
        <w:tc>
          <w:tcPr>
            <w:tcW w:w="52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58</w:t>
            </w:r>
          </w:p>
        </w:tc>
        <w:tc>
          <w:tcPr>
            <w:tcW w:w="100" w:type="dxa"/>
            <w:vAlign w:val="bottom"/>
            <w:shd w:val="clear" w:color="auto" w:fill="E5EBEE"/>
          </w:tcPr>
          <w:p>
            <w:pPr>
              <w:spacing w:after="0"/>
              <w:rPr>
                <w:sz w:val="15"/>
                <w:szCs w:val="15"/>
                <w:color w:val="auto"/>
              </w:rPr>
            </w:pPr>
          </w:p>
        </w:tc>
        <w:tc>
          <w:tcPr>
            <w:tcW w:w="4840" w:type="dxa"/>
            <w:vAlign w:val="bottom"/>
            <w:shd w:val="clear" w:color="auto" w:fill="E5EBEE"/>
          </w:tcPr>
          <w:p>
            <w:pPr>
              <w:ind w:left="60"/>
              <w:spacing w:after="0" w:line="173" w:lineRule="exact"/>
              <w:rPr>
                <w:sz w:val="20"/>
                <w:szCs w:val="20"/>
                <w:color w:val="auto"/>
              </w:rPr>
            </w:pPr>
            <w:r>
              <w:rPr>
                <w:rFonts w:ascii="Arial" w:cs="Arial" w:eastAsia="Arial" w:hAnsi="Arial"/>
                <w:sz w:val="16"/>
                <w:szCs w:val="16"/>
                <w:color w:val="auto"/>
              </w:rPr>
              <w:t>Former Vice President of Technology,</w:t>
            </w:r>
          </w:p>
        </w:tc>
        <w:tc>
          <w:tcPr>
            <w:tcW w:w="940" w:type="dxa"/>
            <w:vAlign w:val="bottom"/>
            <w:gridSpan w:val="2"/>
            <w:vMerge w:val="restart"/>
            <w:shd w:val="clear" w:color="auto" w:fill="E5EBEE"/>
          </w:tcPr>
          <w:p>
            <w:pPr>
              <w:jc w:val="center"/>
              <w:ind w:left="10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E5EBEE"/>
          </w:tcPr>
          <w:p>
            <w:pPr>
              <w:spacing w:after="0"/>
              <w:rPr>
                <w:sz w:val="15"/>
                <w:szCs w:val="15"/>
                <w:color w:val="auto"/>
              </w:rPr>
            </w:pPr>
          </w:p>
        </w:tc>
        <w:tc>
          <w:tcPr>
            <w:tcW w:w="118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w w:val="94"/>
              </w:rPr>
              <w:t>Yes</w:t>
            </w:r>
          </w:p>
        </w:tc>
        <w:tc>
          <w:tcPr>
            <w:tcW w:w="1060" w:type="dxa"/>
            <w:vAlign w:val="bottom"/>
            <w:gridSpan w:val="2"/>
            <w:vMerge w:val="restart"/>
            <w:shd w:val="clear" w:color="auto" w:fill="E5EBEE"/>
          </w:tcPr>
          <w:p>
            <w:pPr>
              <w:jc w:val="center"/>
              <w:ind w:lef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18"/>
        </w:trPr>
        <w:tc>
          <w:tcPr>
            <w:tcW w:w="2040" w:type="dxa"/>
            <w:vAlign w:val="bottom"/>
            <w:vMerge w:val="continue"/>
            <w:shd w:val="clear" w:color="auto" w:fill="E5EBEE"/>
          </w:tcPr>
          <w:p>
            <w:pPr>
              <w:spacing w:after="0"/>
              <w:rPr>
                <w:sz w:val="10"/>
                <w:szCs w:val="10"/>
                <w:color w:val="auto"/>
              </w:rPr>
            </w:pPr>
          </w:p>
        </w:tc>
        <w:tc>
          <w:tcPr>
            <w:tcW w:w="120" w:type="dxa"/>
            <w:vAlign w:val="bottom"/>
            <w:shd w:val="clear" w:color="auto" w:fill="E5EBEE"/>
          </w:tcPr>
          <w:p>
            <w:pPr>
              <w:spacing w:after="0"/>
              <w:rPr>
                <w:sz w:val="10"/>
                <w:szCs w:val="10"/>
                <w:color w:val="auto"/>
              </w:rPr>
            </w:pPr>
          </w:p>
        </w:tc>
        <w:tc>
          <w:tcPr>
            <w:tcW w:w="520" w:type="dxa"/>
            <w:vAlign w:val="bottom"/>
            <w:vMerge w:val="continue"/>
            <w:shd w:val="clear" w:color="auto" w:fill="E5EBEE"/>
          </w:tcPr>
          <w:p>
            <w:pPr>
              <w:spacing w:after="0"/>
              <w:rPr>
                <w:sz w:val="10"/>
                <w:szCs w:val="10"/>
                <w:color w:val="auto"/>
              </w:rPr>
            </w:pPr>
          </w:p>
        </w:tc>
        <w:tc>
          <w:tcPr>
            <w:tcW w:w="100" w:type="dxa"/>
            <w:vAlign w:val="bottom"/>
            <w:shd w:val="clear" w:color="auto" w:fill="E5EBEE"/>
          </w:tcPr>
          <w:p>
            <w:pPr>
              <w:spacing w:after="0"/>
              <w:rPr>
                <w:sz w:val="10"/>
                <w:szCs w:val="10"/>
                <w:color w:val="auto"/>
              </w:rPr>
            </w:pPr>
          </w:p>
        </w:tc>
        <w:tc>
          <w:tcPr>
            <w:tcW w:w="4840" w:type="dxa"/>
            <w:vAlign w:val="bottom"/>
            <w:vMerge w:val="restart"/>
            <w:shd w:val="clear" w:color="auto" w:fill="E5EBEE"/>
          </w:tcPr>
          <w:p>
            <w:pPr>
              <w:ind w:left="60"/>
              <w:spacing w:after="0"/>
              <w:rPr>
                <w:sz w:val="20"/>
                <w:szCs w:val="20"/>
                <w:color w:val="auto"/>
              </w:rPr>
            </w:pPr>
            <w:r>
              <w:rPr>
                <w:rFonts w:ascii="Arial" w:cs="Arial" w:eastAsia="Arial" w:hAnsi="Arial"/>
                <w:sz w:val="16"/>
                <w:szCs w:val="16"/>
                <w:color w:val="auto"/>
              </w:rPr>
              <w:t>Amazon.com</w:t>
            </w:r>
          </w:p>
        </w:tc>
        <w:tc>
          <w:tcPr>
            <w:tcW w:w="940" w:type="dxa"/>
            <w:vAlign w:val="bottom"/>
            <w:gridSpan w:val="2"/>
            <w:vMerge w:val="continue"/>
            <w:shd w:val="clear" w:color="auto" w:fill="E5EBEE"/>
          </w:tcPr>
          <w:p>
            <w:pPr>
              <w:spacing w:after="0"/>
              <w:rPr>
                <w:sz w:val="10"/>
                <w:szCs w:val="10"/>
                <w:color w:val="auto"/>
              </w:rPr>
            </w:pPr>
          </w:p>
        </w:tc>
        <w:tc>
          <w:tcPr>
            <w:tcW w:w="120" w:type="dxa"/>
            <w:vAlign w:val="bottom"/>
            <w:shd w:val="clear" w:color="auto" w:fill="E5EBEE"/>
          </w:tcPr>
          <w:p>
            <w:pPr>
              <w:spacing w:after="0"/>
              <w:rPr>
                <w:sz w:val="10"/>
                <w:szCs w:val="10"/>
                <w:color w:val="auto"/>
              </w:rPr>
            </w:pPr>
          </w:p>
        </w:tc>
        <w:tc>
          <w:tcPr>
            <w:tcW w:w="1180" w:type="dxa"/>
            <w:vAlign w:val="bottom"/>
            <w:vMerge w:val="continue"/>
            <w:shd w:val="clear" w:color="auto" w:fill="E5EBEE"/>
          </w:tcPr>
          <w:p>
            <w:pPr>
              <w:spacing w:after="0"/>
              <w:rPr>
                <w:sz w:val="10"/>
                <w:szCs w:val="10"/>
                <w:color w:val="auto"/>
              </w:rPr>
            </w:pPr>
          </w:p>
        </w:tc>
        <w:tc>
          <w:tcPr>
            <w:tcW w:w="1060" w:type="dxa"/>
            <w:vAlign w:val="bottom"/>
            <w:gridSpan w:val="2"/>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40" w:type="dxa"/>
            <w:vAlign w:val="bottom"/>
            <w:tcBorders>
              <w:bottom w:val="single" w:sz="8" w:color="023C5B"/>
            </w:tcBorders>
            <w:shd w:val="clear" w:color="auto" w:fill="E5EBEE"/>
          </w:tcPr>
          <w:p>
            <w:pPr>
              <w:spacing w:after="0"/>
              <w:rPr>
                <w:sz w:val="9"/>
                <w:szCs w:val="9"/>
                <w:color w:val="auto"/>
              </w:rPr>
            </w:pPr>
          </w:p>
        </w:tc>
        <w:tc>
          <w:tcPr>
            <w:tcW w:w="120" w:type="dxa"/>
            <w:vAlign w:val="bottom"/>
            <w:shd w:val="clear" w:color="auto" w:fill="E5EBEE"/>
          </w:tcPr>
          <w:p>
            <w:pPr>
              <w:spacing w:after="0"/>
              <w:rPr>
                <w:sz w:val="9"/>
                <w:szCs w:val="9"/>
                <w:color w:val="auto"/>
              </w:rPr>
            </w:pPr>
          </w:p>
        </w:tc>
        <w:tc>
          <w:tcPr>
            <w:tcW w:w="520" w:type="dxa"/>
            <w:vAlign w:val="bottom"/>
            <w:tcBorders>
              <w:bottom w:val="single" w:sz="8" w:color="023C5B"/>
            </w:tcBorders>
            <w:shd w:val="clear" w:color="auto" w:fill="E5EBEE"/>
          </w:tcPr>
          <w:p>
            <w:pPr>
              <w:spacing w:after="0"/>
              <w:rPr>
                <w:sz w:val="9"/>
                <w:szCs w:val="9"/>
                <w:color w:val="auto"/>
              </w:rPr>
            </w:pPr>
          </w:p>
        </w:tc>
        <w:tc>
          <w:tcPr>
            <w:tcW w:w="100" w:type="dxa"/>
            <w:vAlign w:val="bottom"/>
            <w:shd w:val="clear" w:color="auto" w:fill="E5EBEE"/>
          </w:tcPr>
          <w:p>
            <w:pPr>
              <w:spacing w:after="0"/>
              <w:rPr>
                <w:sz w:val="9"/>
                <w:szCs w:val="9"/>
                <w:color w:val="auto"/>
              </w:rPr>
            </w:pPr>
          </w:p>
        </w:tc>
        <w:tc>
          <w:tcPr>
            <w:tcW w:w="4840" w:type="dxa"/>
            <w:vAlign w:val="bottom"/>
            <w:tcBorders>
              <w:bottom w:val="single" w:sz="8" w:color="023C5B"/>
            </w:tcBorders>
            <w:vMerge w:val="continue"/>
            <w:shd w:val="clear" w:color="auto" w:fill="E5EBEE"/>
          </w:tcPr>
          <w:p>
            <w:pPr>
              <w:spacing w:after="0"/>
              <w:rPr>
                <w:sz w:val="9"/>
                <w:szCs w:val="9"/>
                <w:color w:val="auto"/>
              </w:rPr>
            </w:pPr>
          </w:p>
        </w:tc>
        <w:tc>
          <w:tcPr>
            <w:tcW w:w="100" w:type="dxa"/>
            <w:vAlign w:val="bottom"/>
            <w:shd w:val="clear" w:color="auto" w:fill="E5EBEE"/>
          </w:tcPr>
          <w:p>
            <w:pPr>
              <w:spacing w:after="0"/>
              <w:rPr>
                <w:sz w:val="9"/>
                <w:szCs w:val="9"/>
                <w:color w:val="auto"/>
              </w:rPr>
            </w:pPr>
          </w:p>
        </w:tc>
        <w:tc>
          <w:tcPr>
            <w:tcW w:w="840" w:type="dxa"/>
            <w:vAlign w:val="bottom"/>
            <w:tcBorders>
              <w:bottom w:val="single" w:sz="8" w:color="023C5B"/>
            </w:tcBorders>
            <w:shd w:val="clear" w:color="auto" w:fill="E5EBEE"/>
          </w:tcPr>
          <w:p>
            <w:pPr>
              <w:spacing w:after="0"/>
              <w:rPr>
                <w:sz w:val="9"/>
                <w:szCs w:val="9"/>
                <w:color w:val="auto"/>
              </w:rPr>
            </w:pPr>
          </w:p>
        </w:tc>
        <w:tc>
          <w:tcPr>
            <w:tcW w:w="120" w:type="dxa"/>
            <w:vAlign w:val="bottom"/>
            <w:shd w:val="clear" w:color="auto" w:fill="E5EBEE"/>
          </w:tcPr>
          <w:p>
            <w:pPr>
              <w:spacing w:after="0"/>
              <w:rPr>
                <w:sz w:val="9"/>
                <w:szCs w:val="9"/>
                <w:color w:val="auto"/>
              </w:rPr>
            </w:pPr>
          </w:p>
        </w:tc>
        <w:tc>
          <w:tcPr>
            <w:tcW w:w="1180" w:type="dxa"/>
            <w:vAlign w:val="bottom"/>
            <w:tcBorders>
              <w:bottom w:val="single" w:sz="8" w:color="023C5B"/>
            </w:tcBorders>
            <w:shd w:val="clear" w:color="auto" w:fill="E5EBEE"/>
          </w:tcPr>
          <w:p>
            <w:pPr>
              <w:spacing w:after="0"/>
              <w:rPr>
                <w:sz w:val="9"/>
                <w:szCs w:val="9"/>
                <w:color w:val="auto"/>
              </w:rPr>
            </w:pPr>
          </w:p>
        </w:tc>
        <w:tc>
          <w:tcPr>
            <w:tcW w:w="140" w:type="dxa"/>
            <w:vAlign w:val="bottom"/>
            <w:shd w:val="clear" w:color="auto" w:fill="E5EBEE"/>
          </w:tcPr>
          <w:p>
            <w:pPr>
              <w:spacing w:after="0"/>
              <w:rPr>
                <w:sz w:val="9"/>
                <w:szCs w:val="9"/>
                <w:color w:val="auto"/>
              </w:rPr>
            </w:pPr>
          </w:p>
        </w:tc>
        <w:tc>
          <w:tcPr>
            <w:tcW w:w="920" w:type="dxa"/>
            <w:vAlign w:val="bottom"/>
            <w:tcBorders>
              <w:bottom w:val="single" w:sz="8" w:color="023C5B"/>
            </w:tcBorders>
            <w:shd w:val="clear" w:color="auto" w:fill="E5EBE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160" w:type="dxa"/>
            <w:vAlign w:val="bottom"/>
            <w:gridSpan w:val="2"/>
            <w:vMerge w:val="restart"/>
          </w:tcPr>
          <w:p>
            <w:pPr>
              <w:spacing w:after="0"/>
              <w:rPr>
                <w:sz w:val="20"/>
                <w:szCs w:val="20"/>
                <w:color w:val="auto"/>
              </w:rPr>
            </w:pPr>
            <w:r>
              <w:rPr>
                <w:rFonts w:ascii="Arial" w:cs="Arial" w:eastAsia="Arial" w:hAnsi="Arial"/>
                <w:sz w:val="16"/>
                <w:szCs w:val="16"/>
                <w:color w:val="auto"/>
              </w:rPr>
              <w:t> Eli Leenaars</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Arial" w:cs="Arial" w:eastAsia="Arial" w:hAnsi="Arial"/>
                <w:sz w:val="16"/>
                <w:szCs w:val="16"/>
                <w:color w:val="auto"/>
              </w:rPr>
              <w:t>Former Group Chief Operating Officer,</w:t>
            </w:r>
          </w:p>
        </w:tc>
        <w:tc>
          <w:tcPr>
            <w:tcW w:w="940" w:type="dxa"/>
            <w:vAlign w:val="bottom"/>
            <w:gridSpan w:val="2"/>
            <w:vMerge w:val="restart"/>
          </w:tcPr>
          <w:p>
            <w:pPr>
              <w:jc w:val="center"/>
              <w:ind w:left="100"/>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94"/>
              </w:rPr>
              <w:t>Yes</w:t>
            </w:r>
          </w:p>
        </w:tc>
        <w:tc>
          <w:tcPr>
            <w:tcW w:w="1060" w:type="dxa"/>
            <w:vAlign w:val="bottom"/>
            <w:gridSpan w:val="2"/>
            <w:vMerge w:val="restart"/>
          </w:tcPr>
          <w:p>
            <w:pPr>
              <w:jc w:val="cente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8"/>
        </w:trPr>
        <w:tc>
          <w:tcPr>
            <w:tcW w:w="21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840" w:type="dxa"/>
            <w:vAlign w:val="bottom"/>
            <w:vMerge w:val="restart"/>
          </w:tcPr>
          <w:p>
            <w:pPr>
              <w:ind w:left="60"/>
              <w:spacing w:after="0"/>
              <w:rPr>
                <w:sz w:val="20"/>
                <w:szCs w:val="20"/>
                <w:color w:val="auto"/>
              </w:rPr>
            </w:pPr>
            <w:r>
              <w:rPr>
                <w:rFonts w:ascii="Arial" w:cs="Arial" w:eastAsia="Arial" w:hAnsi="Arial"/>
                <w:sz w:val="16"/>
                <w:szCs w:val="16"/>
                <w:color w:val="auto"/>
              </w:rPr>
              <w:t>Quintet Private Bank</w:t>
            </w: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40" w:type="dxa"/>
            <w:vAlign w:val="bottom"/>
            <w:tcBorders>
              <w:bottom w:val="single" w:sz="8" w:color="023C5B"/>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023C5B"/>
            </w:tcBorders>
          </w:tcPr>
          <w:p>
            <w:pPr>
              <w:spacing w:after="0"/>
              <w:rPr>
                <w:sz w:val="12"/>
                <w:szCs w:val="12"/>
                <w:color w:val="auto"/>
              </w:rPr>
            </w:pPr>
          </w:p>
        </w:tc>
        <w:tc>
          <w:tcPr>
            <w:tcW w:w="100" w:type="dxa"/>
            <w:vAlign w:val="bottom"/>
          </w:tcPr>
          <w:p>
            <w:pPr>
              <w:spacing w:after="0"/>
              <w:rPr>
                <w:sz w:val="12"/>
                <w:szCs w:val="12"/>
                <w:color w:val="auto"/>
              </w:rPr>
            </w:pPr>
          </w:p>
        </w:tc>
        <w:tc>
          <w:tcPr>
            <w:tcW w:w="4840" w:type="dxa"/>
            <w:vAlign w:val="bottom"/>
            <w:tcBorders>
              <w:bottom w:val="single" w:sz="8" w:color="023C5B"/>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023C5B"/>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bottom w:val="single" w:sz="8" w:color="023C5B"/>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023C5B"/>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40" w:type="dxa"/>
            <w:vAlign w:val="bottom"/>
            <w:tcBorders>
              <w:top w:val="single" w:sz="8" w:color="E5EBEE"/>
            </w:tcBorders>
            <w:vMerge w:val="restart"/>
            <w:shd w:val="clear" w:color="auto" w:fill="E5EBEE"/>
          </w:tcPr>
          <w:p>
            <w:pPr>
              <w:spacing w:after="0"/>
              <w:rPr>
                <w:sz w:val="20"/>
                <w:szCs w:val="20"/>
                <w:color w:val="auto"/>
              </w:rPr>
            </w:pPr>
            <w:r>
              <w:rPr>
                <w:rFonts w:ascii="Arial" w:cs="Arial" w:eastAsia="Arial" w:hAnsi="Arial"/>
                <w:sz w:val="16"/>
                <w:szCs w:val="16"/>
                <w:color w:val="auto"/>
              </w:rPr>
              <w:t> François Locoh-Donou</w:t>
            </w:r>
          </w:p>
        </w:tc>
        <w:tc>
          <w:tcPr>
            <w:tcW w:w="120" w:type="dxa"/>
            <w:vAlign w:val="bottom"/>
            <w:shd w:val="clear" w:color="auto" w:fill="E5EBEE"/>
          </w:tcPr>
          <w:p>
            <w:pPr>
              <w:spacing w:after="0"/>
              <w:rPr>
                <w:sz w:val="15"/>
                <w:szCs w:val="15"/>
                <w:color w:val="auto"/>
              </w:rPr>
            </w:pPr>
          </w:p>
        </w:tc>
        <w:tc>
          <w:tcPr>
            <w:tcW w:w="520" w:type="dxa"/>
            <w:vAlign w:val="bottom"/>
            <w:tcBorders>
              <w:top w:val="single" w:sz="8" w:color="E5EBEE"/>
            </w:tcBorders>
            <w:vMerge w:val="restart"/>
            <w:shd w:val="clear" w:color="auto" w:fill="E5EBEE"/>
          </w:tcPr>
          <w:p>
            <w:pPr>
              <w:jc w:val="center"/>
              <w:spacing w:after="0"/>
              <w:rPr>
                <w:sz w:val="20"/>
                <w:szCs w:val="20"/>
                <w:color w:val="auto"/>
              </w:rPr>
            </w:pPr>
            <w:r>
              <w:rPr>
                <w:rFonts w:ascii="Arial" w:cs="Arial" w:eastAsia="Arial" w:hAnsi="Arial"/>
                <w:sz w:val="16"/>
                <w:szCs w:val="16"/>
                <w:color w:val="auto"/>
              </w:rPr>
              <w:t>54</w:t>
            </w:r>
          </w:p>
        </w:tc>
        <w:tc>
          <w:tcPr>
            <w:tcW w:w="100" w:type="dxa"/>
            <w:vAlign w:val="bottom"/>
            <w:shd w:val="clear" w:color="auto" w:fill="E5EBEE"/>
          </w:tcPr>
          <w:p>
            <w:pPr>
              <w:spacing w:after="0"/>
              <w:rPr>
                <w:sz w:val="15"/>
                <w:szCs w:val="15"/>
                <w:color w:val="auto"/>
              </w:rPr>
            </w:pPr>
          </w:p>
        </w:tc>
        <w:tc>
          <w:tcPr>
            <w:tcW w:w="4840" w:type="dxa"/>
            <w:vAlign w:val="bottom"/>
            <w:tcBorders>
              <w:top w:val="single" w:sz="8" w:color="E5EBEE"/>
            </w:tcBorders>
            <w:shd w:val="clear" w:color="auto" w:fill="E5EBEE"/>
          </w:tcPr>
          <w:p>
            <w:pPr>
              <w:ind w:left="60"/>
              <w:spacing w:after="0" w:line="173" w:lineRule="exact"/>
              <w:rPr>
                <w:sz w:val="20"/>
                <w:szCs w:val="20"/>
                <w:color w:val="auto"/>
              </w:rPr>
            </w:pPr>
            <w:r>
              <w:rPr>
                <w:rFonts w:ascii="Arial" w:cs="Arial" w:eastAsia="Arial" w:hAnsi="Arial"/>
                <w:sz w:val="16"/>
                <w:szCs w:val="16"/>
                <w:color w:val="auto"/>
              </w:rPr>
              <w:t>President, Chief Executive Officer, and</w:t>
            </w:r>
          </w:p>
        </w:tc>
        <w:tc>
          <w:tcPr>
            <w:tcW w:w="100" w:type="dxa"/>
            <w:vAlign w:val="bottom"/>
            <w:vMerge w:val="restart"/>
            <w:shd w:val="clear" w:color="auto" w:fill="E5EBEE"/>
          </w:tcPr>
          <w:p>
            <w:pPr>
              <w:spacing w:after="0"/>
              <w:rPr>
                <w:sz w:val="15"/>
                <w:szCs w:val="15"/>
                <w:color w:val="auto"/>
              </w:rPr>
            </w:pPr>
          </w:p>
        </w:tc>
        <w:tc>
          <w:tcPr>
            <w:tcW w:w="840" w:type="dxa"/>
            <w:vAlign w:val="bottom"/>
            <w:tcBorders>
              <w:top w:val="single" w:sz="8" w:color="E5EBEE"/>
            </w:tcBorders>
            <w:vMerge w:val="restart"/>
            <w:shd w:val="clear" w:color="auto" w:fill="E5EBEE"/>
          </w:tcPr>
          <w:p>
            <w:pPr>
              <w:jc w:val="center"/>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E5EBEE"/>
          </w:tcPr>
          <w:p>
            <w:pPr>
              <w:spacing w:after="0"/>
              <w:rPr>
                <w:sz w:val="15"/>
                <w:szCs w:val="15"/>
                <w:color w:val="auto"/>
              </w:rPr>
            </w:pPr>
          </w:p>
        </w:tc>
        <w:tc>
          <w:tcPr>
            <w:tcW w:w="1180" w:type="dxa"/>
            <w:vAlign w:val="bottom"/>
            <w:tcBorders>
              <w:top w:val="single" w:sz="8" w:color="E5EBEE"/>
            </w:tcBorders>
            <w:vMerge w:val="restart"/>
            <w:shd w:val="clear" w:color="auto" w:fill="E5EBEE"/>
          </w:tcPr>
          <w:p>
            <w:pPr>
              <w:jc w:val="center"/>
              <w:spacing w:after="0"/>
              <w:rPr>
                <w:sz w:val="20"/>
                <w:szCs w:val="20"/>
                <w:color w:val="auto"/>
              </w:rPr>
            </w:pPr>
            <w:r>
              <w:rPr>
                <w:rFonts w:ascii="Arial" w:cs="Arial" w:eastAsia="Arial" w:hAnsi="Arial"/>
                <w:sz w:val="16"/>
                <w:szCs w:val="16"/>
                <w:color w:val="auto"/>
                <w:w w:val="94"/>
              </w:rPr>
              <w:t>Yes</w:t>
            </w:r>
          </w:p>
        </w:tc>
        <w:tc>
          <w:tcPr>
            <w:tcW w:w="140" w:type="dxa"/>
            <w:vAlign w:val="bottom"/>
            <w:vMerge w:val="restart"/>
            <w:shd w:val="clear" w:color="auto" w:fill="E5EBEE"/>
          </w:tcPr>
          <w:p>
            <w:pPr>
              <w:spacing w:after="0"/>
              <w:rPr>
                <w:sz w:val="15"/>
                <w:szCs w:val="15"/>
                <w:color w:val="auto"/>
              </w:rPr>
            </w:pPr>
          </w:p>
        </w:tc>
        <w:tc>
          <w:tcPr>
            <w:tcW w:w="920" w:type="dxa"/>
            <w:vAlign w:val="bottom"/>
            <w:tcBorders>
              <w:top w:val="single" w:sz="8" w:color="E5EBEE"/>
            </w:tcBorders>
            <w:vMerge w:val="restart"/>
            <w:shd w:val="clear" w:color="auto" w:fill="E5EBEE"/>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18"/>
        </w:trPr>
        <w:tc>
          <w:tcPr>
            <w:tcW w:w="2040" w:type="dxa"/>
            <w:vAlign w:val="bottom"/>
            <w:vMerge w:val="continue"/>
            <w:shd w:val="clear" w:color="auto" w:fill="E5EBEE"/>
          </w:tcPr>
          <w:p>
            <w:pPr>
              <w:spacing w:after="0"/>
              <w:rPr>
                <w:sz w:val="10"/>
                <w:szCs w:val="10"/>
                <w:color w:val="auto"/>
              </w:rPr>
            </w:pPr>
          </w:p>
        </w:tc>
        <w:tc>
          <w:tcPr>
            <w:tcW w:w="120" w:type="dxa"/>
            <w:vAlign w:val="bottom"/>
            <w:shd w:val="clear" w:color="auto" w:fill="E5EBEE"/>
          </w:tcPr>
          <w:p>
            <w:pPr>
              <w:spacing w:after="0"/>
              <w:rPr>
                <w:sz w:val="10"/>
                <w:szCs w:val="10"/>
                <w:color w:val="auto"/>
              </w:rPr>
            </w:pPr>
          </w:p>
        </w:tc>
        <w:tc>
          <w:tcPr>
            <w:tcW w:w="520" w:type="dxa"/>
            <w:vAlign w:val="bottom"/>
            <w:vMerge w:val="continue"/>
            <w:shd w:val="clear" w:color="auto" w:fill="E5EBEE"/>
          </w:tcPr>
          <w:p>
            <w:pPr>
              <w:spacing w:after="0"/>
              <w:rPr>
                <w:sz w:val="10"/>
                <w:szCs w:val="10"/>
                <w:color w:val="auto"/>
              </w:rPr>
            </w:pPr>
          </w:p>
        </w:tc>
        <w:tc>
          <w:tcPr>
            <w:tcW w:w="100" w:type="dxa"/>
            <w:vAlign w:val="bottom"/>
            <w:shd w:val="clear" w:color="auto" w:fill="E5EBEE"/>
          </w:tcPr>
          <w:p>
            <w:pPr>
              <w:spacing w:after="0"/>
              <w:rPr>
                <w:sz w:val="10"/>
                <w:szCs w:val="10"/>
                <w:color w:val="auto"/>
              </w:rPr>
            </w:pPr>
          </w:p>
        </w:tc>
        <w:tc>
          <w:tcPr>
            <w:tcW w:w="4840" w:type="dxa"/>
            <w:vAlign w:val="bottom"/>
            <w:vMerge w:val="restart"/>
            <w:shd w:val="clear" w:color="auto" w:fill="E5EBEE"/>
          </w:tcPr>
          <w:p>
            <w:pPr>
              <w:ind w:left="60"/>
              <w:spacing w:after="0"/>
              <w:rPr>
                <w:sz w:val="20"/>
                <w:szCs w:val="20"/>
                <w:color w:val="auto"/>
              </w:rPr>
            </w:pPr>
            <w:r>
              <w:rPr>
                <w:rFonts w:ascii="Arial" w:cs="Arial" w:eastAsia="Arial" w:hAnsi="Arial"/>
                <w:sz w:val="16"/>
                <w:szCs w:val="16"/>
                <w:color w:val="auto"/>
              </w:rPr>
              <w:t>Director, F5 Networks, Inc.</w:t>
            </w:r>
          </w:p>
        </w:tc>
        <w:tc>
          <w:tcPr>
            <w:tcW w:w="100" w:type="dxa"/>
            <w:vAlign w:val="bottom"/>
            <w:vMerge w:val="continue"/>
            <w:shd w:val="clear" w:color="auto" w:fill="E5EBEE"/>
          </w:tcPr>
          <w:p>
            <w:pPr>
              <w:spacing w:after="0"/>
              <w:rPr>
                <w:sz w:val="10"/>
                <w:szCs w:val="10"/>
                <w:color w:val="auto"/>
              </w:rPr>
            </w:pPr>
          </w:p>
        </w:tc>
        <w:tc>
          <w:tcPr>
            <w:tcW w:w="840" w:type="dxa"/>
            <w:vAlign w:val="bottom"/>
            <w:vMerge w:val="continue"/>
            <w:shd w:val="clear" w:color="auto" w:fill="E5EBEE"/>
          </w:tcPr>
          <w:p>
            <w:pPr>
              <w:spacing w:after="0"/>
              <w:rPr>
                <w:sz w:val="10"/>
                <w:szCs w:val="10"/>
                <w:color w:val="auto"/>
              </w:rPr>
            </w:pPr>
          </w:p>
        </w:tc>
        <w:tc>
          <w:tcPr>
            <w:tcW w:w="120" w:type="dxa"/>
            <w:vAlign w:val="bottom"/>
            <w:shd w:val="clear" w:color="auto" w:fill="E5EBEE"/>
          </w:tcPr>
          <w:p>
            <w:pPr>
              <w:spacing w:after="0"/>
              <w:rPr>
                <w:sz w:val="10"/>
                <w:szCs w:val="10"/>
                <w:color w:val="auto"/>
              </w:rPr>
            </w:pPr>
          </w:p>
        </w:tc>
        <w:tc>
          <w:tcPr>
            <w:tcW w:w="1180" w:type="dxa"/>
            <w:vAlign w:val="bottom"/>
            <w:vMerge w:val="continue"/>
            <w:shd w:val="clear" w:color="auto" w:fill="E5EBEE"/>
          </w:tcPr>
          <w:p>
            <w:pPr>
              <w:spacing w:after="0"/>
              <w:rPr>
                <w:sz w:val="10"/>
                <w:szCs w:val="10"/>
                <w:color w:val="auto"/>
              </w:rPr>
            </w:pPr>
          </w:p>
        </w:tc>
        <w:tc>
          <w:tcPr>
            <w:tcW w:w="140" w:type="dxa"/>
            <w:vAlign w:val="bottom"/>
            <w:vMerge w:val="continue"/>
            <w:shd w:val="clear" w:color="auto" w:fill="E5EBEE"/>
          </w:tcPr>
          <w:p>
            <w:pPr>
              <w:spacing w:after="0"/>
              <w:rPr>
                <w:sz w:val="10"/>
                <w:szCs w:val="10"/>
                <w:color w:val="auto"/>
              </w:rPr>
            </w:pPr>
          </w:p>
        </w:tc>
        <w:tc>
          <w:tcPr>
            <w:tcW w:w="920" w:type="dxa"/>
            <w:vAlign w:val="bottom"/>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40" w:type="dxa"/>
            <w:vAlign w:val="bottom"/>
            <w:tcBorders>
              <w:bottom w:val="single" w:sz="8" w:color="023C5B"/>
            </w:tcBorders>
            <w:shd w:val="clear" w:color="auto" w:fill="E5EBEE"/>
          </w:tcPr>
          <w:p>
            <w:pPr>
              <w:spacing w:after="0"/>
              <w:rPr>
                <w:sz w:val="9"/>
                <w:szCs w:val="9"/>
                <w:color w:val="auto"/>
              </w:rPr>
            </w:pPr>
          </w:p>
        </w:tc>
        <w:tc>
          <w:tcPr>
            <w:tcW w:w="120" w:type="dxa"/>
            <w:vAlign w:val="bottom"/>
            <w:shd w:val="clear" w:color="auto" w:fill="E5EBEE"/>
          </w:tcPr>
          <w:p>
            <w:pPr>
              <w:spacing w:after="0"/>
              <w:rPr>
                <w:sz w:val="9"/>
                <w:szCs w:val="9"/>
                <w:color w:val="auto"/>
              </w:rPr>
            </w:pPr>
          </w:p>
        </w:tc>
        <w:tc>
          <w:tcPr>
            <w:tcW w:w="520" w:type="dxa"/>
            <w:vAlign w:val="bottom"/>
            <w:tcBorders>
              <w:bottom w:val="single" w:sz="8" w:color="023C5B"/>
            </w:tcBorders>
            <w:shd w:val="clear" w:color="auto" w:fill="E5EBEE"/>
          </w:tcPr>
          <w:p>
            <w:pPr>
              <w:spacing w:after="0"/>
              <w:rPr>
                <w:sz w:val="9"/>
                <w:szCs w:val="9"/>
                <w:color w:val="auto"/>
              </w:rPr>
            </w:pPr>
          </w:p>
        </w:tc>
        <w:tc>
          <w:tcPr>
            <w:tcW w:w="100" w:type="dxa"/>
            <w:vAlign w:val="bottom"/>
            <w:shd w:val="clear" w:color="auto" w:fill="E5EBEE"/>
          </w:tcPr>
          <w:p>
            <w:pPr>
              <w:spacing w:after="0"/>
              <w:rPr>
                <w:sz w:val="9"/>
                <w:szCs w:val="9"/>
                <w:color w:val="auto"/>
              </w:rPr>
            </w:pPr>
          </w:p>
        </w:tc>
        <w:tc>
          <w:tcPr>
            <w:tcW w:w="4840" w:type="dxa"/>
            <w:vAlign w:val="bottom"/>
            <w:tcBorders>
              <w:bottom w:val="single" w:sz="8" w:color="023C5B"/>
            </w:tcBorders>
            <w:vMerge w:val="continue"/>
            <w:shd w:val="clear" w:color="auto" w:fill="E5EBEE"/>
          </w:tcPr>
          <w:p>
            <w:pPr>
              <w:spacing w:after="0"/>
              <w:rPr>
                <w:sz w:val="9"/>
                <w:szCs w:val="9"/>
                <w:color w:val="auto"/>
              </w:rPr>
            </w:pPr>
          </w:p>
        </w:tc>
        <w:tc>
          <w:tcPr>
            <w:tcW w:w="100" w:type="dxa"/>
            <w:vAlign w:val="bottom"/>
            <w:shd w:val="clear" w:color="auto" w:fill="E5EBEE"/>
          </w:tcPr>
          <w:p>
            <w:pPr>
              <w:spacing w:after="0"/>
              <w:rPr>
                <w:sz w:val="9"/>
                <w:szCs w:val="9"/>
                <w:color w:val="auto"/>
              </w:rPr>
            </w:pPr>
          </w:p>
        </w:tc>
        <w:tc>
          <w:tcPr>
            <w:tcW w:w="840" w:type="dxa"/>
            <w:vAlign w:val="bottom"/>
            <w:tcBorders>
              <w:bottom w:val="single" w:sz="8" w:color="023C5B"/>
            </w:tcBorders>
            <w:shd w:val="clear" w:color="auto" w:fill="E5EBEE"/>
          </w:tcPr>
          <w:p>
            <w:pPr>
              <w:spacing w:after="0"/>
              <w:rPr>
                <w:sz w:val="9"/>
                <w:szCs w:val="9"/>
                <w:color w:val="auto"/>
              </w:rPr>
            </w:pPr>
          </w:p>
        </w:tc>
        <w:tc>
          <w:tcPr>
            <w:tcW w:w="120" w:type="dxa"/>
            <w:vAlign w:val="bottom"/>
            <w:shd w:val="clear" w:color="auto" w:fill="E5EBEE"/>
          </w:tcPr>
          <w:p>
            <w:pPr>
              <w:spacing w:after="0"/>
              <w:rPr>
                <w:sz w:val="9"/>
                <w:szCs w:val="9"/>
                <w:color w:val="auto"/>
              </w:rPr>
            </w:pPr>
          </w:p>
        </w:tc>
        <w:tc>
          <w:tcPr>
            <w:tcW w:w="1180" w:type="dxa"/>
            <w:vAlign w:val="bottom"/>
            <w:tcBorders>
              <w:bottom w:val="single" w:sz="8" w:color="023C5B"/>
            </w:tcBorders>
            <w:shd w:val="clear" w:color="auto" w:fill="E5EBEE"/>
          </w:tcPr>
          <w:p>
            <w:pPr>
              <w:spacing w:after="0"/>
              <w:rPr>
                <w:sz w:val="9"/>
                <w:szCs w:val="9"/>
                <w:color w:val="auto"/>
              </w:rPr>
            </w:pPr>
          </w:p>
        </w:tc>
        <w:tc>
          <w:tcPr>
            <w:tcW w:w="140" w:type="dxa"/>
            <w:vAlign w:val="bottom"/>
            <w:shd w:val="clear" w:color="auto" w:fill="E5EBEE"/>
          </w:tcPr>
          <w:p>
            <w:pPr>
              <w:spacing w:after="0"/>
              <w:rPr>
                <w:sz w:val="9"/>
                <w:szCs w:val="9"/>
                <w:color w:val="auto"/>
              </w:rPr>
            </w:pPr>
          </w:p>
        </w:tc>
        <w:tc>
          <w:tcPr>
            <w:tcW w:w="920" w:type="dxa"/>
            <w:vAlign w:val="bottom"/>
            <w:tcBorders>
              <w:bottom w:val="single" w:sz="8" w:color="023C5B"/>
            </w:tcBorders>
            <w:shd w:val="clear" w:color="auto" w:fill="E5EBE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160" w:type="dxa"/>
            <w:vAlign w:val="bottom"/>
            <w:gridSpan w:val="2"/>
            <w:vMerge w:val="restart"/>
          </w:tcPr>
          <w:p>
            <w:pPr>
              <w:spacing w:after="0"/>
              <w:rPr>
                <w:sz w:val="20"/>
                <w:szCs w:val="20"/>
                <w:color w:val="auto"/>
              </w:rPr>
            </w:pPr>
            <w:r>
              <w:rPr>
                <w:rFonts w:ascii="Arial" w:cs="Arial" w:eastAsia="Arial" w:hAnsi="Arial"/>
                <w:sz w:val="16"/>
                <w:szCs w:val="16"/>
                <w:color w:val="auto"/>
              </w:rPr>
              <w:t> Peter E. Raskind</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Arial" w:cs="Arial" w:eastAsia="Arial" w:hAnsi="Arial"/>
                <w:sz w:val="16"/>
                <w:szCs w:val="16"/>
                <w:color w:val="auto"/>
              </w:rPr>
              <w:t>Former Chairman, President and Chief</w:t>
            </w:r>
          </w:p>
        </w:tc>
        <w:tc>
          <w:tcPr>
            <w:tcW w:w="940" w:type="dxa"/>
            <w:vAlign w:val="bottom"/>
            <w:gridSpan w:val="2"/>
            <w:vMerge w:val="restart"/>
          </w:tcPr>
          <w:p>
            <w:pPr>
              <w:jc w:val="center"/>
              <w:ind w:left="100"/>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94"/>
              </w:rPr>
              <w:t>Yes</w:t>
            </w:r>
          </w:p>
        </w:tc>
        <w:tc>
          <w:tcPr>
            <w:tcW w:w="1060" w:type="dxa"/>
            <w:vAlign w:val="bottom"/>
            <w:gridSpan w:val="2"/>
            <w:vMerge w:val="restart"/>
          </w:tcPr>
          <w:p>
            <w:pPr>
              <w:jc w:val="cente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8"/>
        </w:trPr>
        <w:tc>
          <w:tcPr>
            <w:tcW w:w="21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840" w:type="dxa"/>
            <w:vAlign w:val="bottom"/>
            <w:vMerge w:val="restart"/>
          </w:tcPr>
          <w:p>
            <w:pPr>
              <w:ind w:left="60"/>
              <w:spacing w:after="0"/>
              <w:rPr>
                <w:sz w:val="20"/>
                <w:szCs w:val="20"/>
                <w:color w:val="auto"/>
              </w:rPr>
            </w:pPr>
            <w:r>
              <w:rPr>
                <w:rFonts w:ascii="Arial" w:cs="Arial" w:eastAsia="Arial" w:hAnsi="Arial"/>
                <w:sz w:val="16"/>
                <w:szCs w:val="16"/>
                <w:color w:val="auto"/>
              </w:rPr>
              <w:t>Executive Officer, National City Corporation</w:t>
            </w: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40" w:type="dxa"/>
            <w:vAlign w:val="bottom"/>
            <w:tcBorders>
              <w:bottom w:val="single" w:sz="8" w:color="023C5B"/>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023C5B"/>
            </w:tcBorders>
          </w:tcPr>
          <w:p>
            <w:pPr>
              <w:spacing w:after="0"/>
              <w:rPr>
                <w:sz w:val="12"/>
                <w:szCs w:val="12"/>
                <w:color w:val="auto"/>
              </w:rPr>
            </w:pPr>
          </w:p>
        </w:tc>
        <w:tc>
          <w:tcPr>
            <w:tcW w:w="100" w:type="dxa"/>
            <w:vAlign w:val="bottom"/>
          </w:tcPr>
          <w:p>
            <w:pPr>
              <w:spacing w:after="0"/>
              <w:rPr>
                <w:sz w:val="12"/>
                <w:szCs w:val="12"/>
                <w:color w:val="auto"/>
              </w:rPr>
            </w:pPr>
          </w:p>
        </w:tc>
        <w:tc>
          <w:tcPr>
            <w:tcW w:w="4840" w:type="dxa"/>
            <w:vAlign w:val="bottom"/>
            <w:tcBorders>
              <w:bottom w:val="single" w:sz="8" w:color="023C5B"/>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023C5B"/>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bottom w:val="single" w:sz="8" w:color="023C5B"/>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023C5B"/>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40" w:type="dxa"/>
            <w:vAlign w:val="bottom"/>
            <w:tcBorders>
              <w:top w:val="single" w:sz="8" w:color="E5EBEE"/>
            </w:tcBorders>
            <w:shd w:val="clear" w:color="auto" w:fill="E5EBEE"/>
          </w:tcPr>
          <w:p>
            <w:pPr>
              <w:spacing w:after="0"/>
              <w:rPr>
                <w:sz w:val="15"/>
                <w:szCs w:val="15"/>
                <w:color w:val="auto"/>
              </w:rPr>
            </w:pPr>
          </w:p>
        </w:tc>
        <w:tc>
          <w:tcPr>
            <w:tcW w:w="120" w:type="dxa"/>
            <w:vAlign w:val="bottom"/>
            <w:shd w:val="clear" w:color="auto" w:fill="E5EBEE"/>
          </w:tcPr>
          <w:p>
            <w:pPr>
              <w:spacing w:after="0"/>
              <w:rPr>
                <w:sz w:val="15"/>
                <w:szCs w:val="15"/>
                <w:color w:val="auto"/>
              </w:rPr>
            </w:pPr>
          </w:p>
        </w:tc>
        <w:tc>
          <w:tcPr>
            <w:tcW w:w="520" w:type="dxa"/>
            <w:vAlign w:val="bottom"/>
            <w:tcBorders>
              <w:top w:val="single" w:sz="8" w:color="E5EBEE"/>
            </w:tcBorders>
            <w:shd w:val="clear" w:color="auto" w:fill="E5EBEE"/>
          </w:tcPr>
          <w:p>
            <w:pPr>
              <w:spacing w:after="0"/>
              <w:rPr>
                <w:sz w:val="15"/>
                <w:szCs w:val="15"/>
                <w:color w:val="auto"/>
              </w:rPr>
            </w:pPr>
          </w:p>
        </w:tc>
        <w:tc>
          <w:tcPr>
            <w:tcW w:w="100" w:type="dxa"/>
            <w:vAlign w:val="bottom"/>
            <w:shd w:val="clear" w:color="auto" w:fill="E5EBEE"/>
          </w:tcPr>
          <w:p>
            <w:pPr>
              <w:spacing w:after="0"/>
              <w:rPr>
                <w:sz w:val="15"/>
                <w:szCs w:val="15"/>
                <w:color w:val="auto"/>
              </w:rPr>
            </w:pPr>
          </w:p>
        </w:tc>
        <w:tc>
          <w:tcPr>
            <w:tcW w:w="4840" w:type="dxa"/>
            <w:vAlign w:val="bottom"/>
            <w:tcBorders>
              <w:top w:val="single" w:sz="8" w:color="E5EBEE"/>
            </w:tcBorders>
            <w:shd w:val="clear" w:color="auto" w:fill="E5EBEE"/>
          </w:tcPr>
          <w:p>
            <w:pPr>
              <w:ind w:left="60"/>
              <w:spacing w:after="0" w:line="173" w:lineRule="exact"/>
              <w:rPr>
                <w:sz w:val="20"/>
                <w:szCs w:val="20"/>
                <w:color w:val="auto"/>
              </w:rPr>
            </w:pPr>
            <w:r>
              <w:rPr>
                <w:rFonts w:ascii="Arial" w:cs="Arial" w:eastAsia="Arial" w:hAnsi="Arial"/>
                <w:sz w:val="16"/>
                <w:szCs w:val="16"/>
                <w:color w:val="auto"/>
              </w:rPr>
              <w:t>Former Senior Advisor, JP Morgan Chase &amp;</w:t>
            </w:r>
          </w:p>
        </w:tc>
        <w:tc>
          <w:tcPr>
            <w:tcW w:w="100" w:type="dxa"/>
            <w:vAlign w:val="bottom"/>
            <w:shd w:val="clear" w:color="auto" w:fill="E5EBEE"/>
          </w:tcPr>
          <w:p>
            <w:pPr>
              <w:spacing w:after="0"/>
              <w:rPr>
                <w:sz w:val="15"/>
                <w:szCs w:val="15"/>
                <w:color w:val="auto"/>
              </w:rPr>
            </w:pPr>
          </w:p>
        </w:tc>
        <w:tc>
          <w:tcPr>
            <w:tcW w:w="840" w:type="dxa"/>
            <w:vAlign w:val="bottom"/>
            <w:tcBorders>
              <w:top w:val="single" w:sz="8" w:color="E5EBEE"/>
            </w:tcBorders>
            <w:shd w:val="clear" w:color="auto" w:fill="E5EBEE"/>
          </w:tcPr>
          <w:p>
            <w:pPr>
              <w:spacing w:after="0"/>
              <w:rPr>
                <w:sz w:val="15"/>
                <w:szCs w:val="15"/>
                <w:color w:val="auto"/>
              </w:rPr>
            </w:pPr>
          </w:p>
        </w:tc>
        <w:tc>
          <w:tcPr>
            <w:tcW w:w="120" w:type="dxa"/>
            <w:vAlign w:val="bottom"/>
            <w:shd w:val="clear" w:color="auto" w:fill="E5EBEE"/>
          </w:tcPr>
          <w:p>
            <w:pPr>
              <w:spacing w:after="0"/>
              <w:rPr>
                <w:sz w:val="15"/>
                <w:szCs w:val="15"/>
                <w:color w:val="auto"/>
              </w:rPr>
            </w:pPr>
          </w:p>
        </w:tc>
        <w:tc>
          <w:tcPr>
            <w:tcW w:w="1180" w:type="dxa"/>
            <w:vAlign w:val="bottom"/>
            <w:tcBorders>
              <w:top w:val="single" w:sz="8" w:color="E5EBEE"/>
            </w:tcBorders>
            <w:shd w:val="clear" w:color="auto" w:fill="E5EBEE"/>
          </w:tcPr>
          <w:p>
            <w:pPr>
              <w:spacing w:after="0"/>
              <w:rPr>
                <w:sz w:val="15"/>
                <w:szCs w:val="15"/>
                <w:color w:val="auto"/>
              </w:rPr>
            </w:pPr>
          </w:p>
        </w:tc>
        <w:tc>
          <w:tcPr>
            <w:tcW w:w="140" w:type="dxa"/>
            <w:vAlign w:val="bottom"/>
            <w:shd w:val="clear" w:color="auto" w:fill="E5EBEE"/>
          </w:tcPr>
          <w:p>
            <w:pPr>
              <w:spacing w:after="0"/>
              <w:rPr>
                <w:sz w:val="15"/>
                <w:szCs w:val="15"/>
                <w:color w:val="auto"/>
              </w:rPr>
            </w:pPr>
          </w:p>
        </w:tc>
        <w:tc>
          <w:tcPr>
            <w:tcW w:w="920" w:type="dxa"/>
            <w:vAlign w:val="bottom"/>
            <w:tcBorders>
              <w:top w:val="single" w:sz="8" w:color="E5EBEE"/>
            </w:tcBorders>
            <w:shd w:val="clear" w:color="auto" w:fill="E5EB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40" w:type="dxa"/>
            <w:vAlign w:val="bottom"/>
            <w:shd w:val="clear" w:color="auto" w:fill="E5EBEE"/>
          </w:tcPr>
          <w:p>
            <w:pPr>
              <w:spacing w:after="0"/>
              <w:rPr>
                <w:sz w:val="20"/>
                <w:szCs w:val="20"/>
                <w:color w:val="auto"/>
              </w:rPr>
            </w:pPr>
            <w:r>
              <w:rPr>
                <w:rFonts w:ascii="Arial" w:cs="Arial" w:eastAsia="Arial" w:hAnsi="Arial"/>
                <w:sz w:val="16"/>
                <w:szCs w:val="16"/>
                <w:color w:val="auto"/>
              </w:rPr>
              <w:t> Eileen Serra</w:t>
            </w:r>
          </w:p>
        </w:tc>
        <w:tc>
          <w:tcPr>
            <w:tcW w:w="120" w:type="dxa"/>
            <w:vAlign w:val="bottom"/>
            <w:shd w:val="clear" w:color="auto" w:fill="E5EBEE"/>
          </w:tcPr>
          <w:p>
            <w:pPr>
              <w:spacing w:after="0"/>
              <w:rPr>
                <w:sz w:val="16"/>
                <w:szCs w:val="16"/>
                <w:color w:val="auto"/>
              </w:rPr>
            </w:pPr>
          </w:p>
        </w:tc>
        <w:tc>
          <w:tcPr>
            <w:tcW w:w="52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71</w:t>
            </w:r>
          </w:p>
        </w:tc>
        <w:tc>
          <w:tcPr>
            <w:tcW w:w="100" w:type="dxa"/>
            <w:vAlign w:val="bottom"/>
            <w:shd w:val="clear" w:color="auto" w:fill="E5EBEE"/>
          </w:tcPr>
          <w:p>
            <w:pPr>
              <w:spacing w:after="0"/>
              <w:rPr>
                <w:sz w:val="16"/>
                <w:szCs w:val="16"/>
                <w:color w:val="auto"/>
              </w:rPr>
            </w:pPr>
          </w:p>
        </w:tc>
        <w:tc>
          <w:tcPr>
            <w:tcW w:w="4840" w:type="dxa"/>
            <w:vAlign w:val="bottom"/>
            <w:shd w:val="clear" w:color="auto" w:fill="E5EBEE"/>
          </w:tcPr>
          <w:p>
            <w:pPr>
              <w:ind w:left="60"/>
              <w:spacing w:after="0"/>
              <w:rPr>
                <w:sz w:val="20"/>
                <w:szCs w:val="20"/>
                <w:color w:val="auto"/>
              </w:rPr>
            </w:pPr>
            <w:r>
              <w:rPr>
                <w:rFonts w:ascii="Arial" w:cs="Arial" w:eastAsia="Arial" w:hAnsi="Arial"/>
                <w:sz w:val="16"/>
                <w:szCs w:val="16"/>
                <w:color w:val="auto"/>
              </w:rPr>
              <w:t>Co.; Former Chief Executive Officer, Chase</w:t>
            </w:r>
          </w:p>
        </w:tc>
        <w:tc>
          <w:tcPr>
            <w:tcW w:w="940" w:type="dxa"/>
            <w:vAlign w:val="bottom"/>
            <w:gridSpan w:val="2"/>
            <w:shd w:val="clear" w:color="auto" w:fill="E5EBEE"/>
          </w:tcPr>
          <w:p>
            <w:pPr>
              <w:jc w:val="center"/>
              <w:ind w:left="10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E5EBEE"/>
          </w:tcPr>
          <w:p>
            <w:pPr>
              <w:spacing w:after="0"/>
              <w:rPr>
                <w:sz w:val="16"/>
                <w:szCs w:val="16"/>
                <w:color w:val="auto"/>
              </w:rPr>
            </w:pPr>
          </w:p>
        </w:tc>
        <w:tc>
          <w:tcPr>
            <w:tcW w:w="118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4"/>
              </w:rPr>
              <w:t>Yes</w:t>
            </w:r>
          </w:p>
        </w:tc>
        <w:tc>
          <w:tcPr>
            <w:tcW w:w="1060" w:type="dxa"/>
            <w:vAlign w:val="bottom"/>
            <w:gridSpan w:val="2"/>
            <w:shd w:val="clear" w:color="auto" w:fill="E5EBEE"/>
          </w:tcPr>
          <w:p>
            <w:pPr>
              <w:jc w:val="cente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40" w:type="dxa"/>
            <w:vAlign w:val="bottom"/>
            <w:tcBorders>
              <w:bottom w:val="single" w:sz="8" w:color="023C5B"/>
            </w:tcBorders>
            <w:shd w:val="clear" w:color="auto" w:fill="E5EBEE"/>
          </w:tcPr>
          <w:p>
            <w:pPr>
              <w:spacing w:after="0"/>
              <w:rPr>
                <w:sz w:val="19"/>
                <w:szCs w:val="19"/>
                <w:color w:val="auto"/>
              </w:rPr>
            </w:pPr>
          </w:p>
        </w:tc>
        <w:tc>
          <w:tcPr>
            <w:tcW w:w="120" w:type="dxa"/>
            <w:vAlign w:val="bottom"/>
            <w:shd w:val="clear" w:color="auto" w:fill="E5EBEE"/>
          </w:tcPr>
          <w:p>
            <w:pPr>
              <w:spacing w:after="0"/>
              <w:rPr>
                <w:sz w:val="19"/>
                <w:szCs w:val="19"/>
                <w:color w:val="auto"/>
              </w:rPr>
            </w:pPr>
          </w:p>
        </w:tc>
        <w:tc>
          <w:tcPr>
            <w:tcW w:w="520" w:type="dxa"/>
            <w:vAlign w:val="bottom"/>
            <w:tcBorders>
              <w:bottom w:val="single" w:sz="8" w:color="023C5B"/>
            </w:tcBorders>
            <w:shd w:val="clear" w:color="auto" w:fill="E5EBEE"/>
          </w:tcPr>
          <w:p>
            <w:pPr>
              <w:spacing w:after="0"/>
              <w:rPr>
                <w:sz w:val="19"/>
                <w:szCs w:val="19"/>
                <w:color w:val="auto"/>
              </w:rPr>
            </w:pPr>
          </w:p>
        </w:tc>
        <w:tc>
          <w:tcPr>
            <w:tcW w:w="100" w:type="dxa"/>
            <w:vAlign w:val="bottom"/>
            <w:shd w:val="clear" w:color="auto" w:fill="E5EBEE"/>
          </w:tcPr>
          <w:p>
            <w:pPr>
              <w:spacing w:after="0"/>
              <w:rPr>
                <w:sz w:val="19"/>
                <w:szCs w:val="19"/>
                <w:color w:val="auto"/>
              </w:rPr>
            </w:pPr>
          </w:p>
        </w:tc>
        <w:tc>
          <w:tcPr>
            <w:tcW w:w="4840" w:type="dxa"/>
            <w:vAlign w:val="bottom"/>
            <w:tcBorders>
              <w:bottom w:val="single" w:sz="8" w:color="023C5B"/>
            </w:tcBorders>
            <w:shd w:val="clear" w:color="auto" w:fill="E5EBEE"/>
          </w:tcPr>
          <w:p>
            <w:pPr>
              <w:ind w:left="60"/>
              <w:spacing w:after="0"/>
              <w:rPr>
                <w:sz w:val="20"/>
                <w:szCs w:val="20"/>
                <w:color w:val="auto"/>
              </w:rPr>
            </w:pPr>
            <w:r>
              <w:rPr>
                <w:rFonts w:ascii="Arial" w:cs="Arial" w:eastAsia="Arial" w:hAnsi="Arial"/>
                <w:sz w:val="16"/>
                <w:szCs w:val="16"/>
                <w:color w:val="auto"/>
              </w:rPr>
              <w:t>Card Services</w:t>
            </w:r>
          </w:p>
        </w:tc>
        <w:tc>
          <w:tcPr>
            <w:tcW w:w="100" w:type="dxa"/>
            <w:vAlign w:val="bottom"/>
            <w:shd w:val="clear" w:color="auto" w:fill="E5EBEE"/>
          </w:tcPr>
          <w:p>
            <w:pPr>
              <w:spacing w:after="0"/>
              <w:rPr>
                <w:sz w:val="19"/>
                <w:szCs w:val="19"/>
                <w:color w:val="auto"/>
              </w:rPr>
            </w:pPr>
          </w:p>
        </w:tc>
        <w:tc>
          <w:tcPr>
            <w:tcW w:w="840" w:type="dxa"/>
            <w:vAlign w:val="bottom"/>
            <w:tcBorders>
              <w:bottom w:val="single" w:sz="8" w:color="023C5B"/>
            </w:tcBorders>
            <w:shd w:val="clear" w:color="auto" w:fill="E5EBEE"/>
          </w:tcPr>
          <w:p>
            <w:pPr>
              <w:spacing w:after="0"/>
              <w:rPr>
                <w:sz w:val="19"/>
                <w:szCs w:val="19"/>
                <w:color w:val="auto"/>
              </w:rPr>
            </w:pPr>
          </w:p>
        </w:tc>
        <w:tc>
          <w:tcPr>
            <w:tcW w:w="120" w:type="dxa"/>
            <w:vAlign w:val="bottom"/>
            <w:shd w:val="clear" w:color="auto" w:fill="E5EBEE"/>
          </w:tcPr>
          <w:p>
            <w:pPr>
              <w:spacing w:after="0"/>
              <w:rPr>
                <w:sz w:val="19"/>
                <w:szCs w:val="19"/>
                <w:color w:val="auto"/>
              </w:rPr>
            </w:pPr>
          </w:p>
        </w:tc>
        <w:tc>
          <w:tcPr>
            <w:tcW w:w="1180" w:type="dxa"/>
            <w:vAlign w:val="bottom"/>
            <w:tcBorders>
              <w:bottom w:val="single" w:sz="8" w:color="023C5B"/>
            </w:tcBorders>
            <w:shd w:val="clear" w:color="auto" w:fill="E5EBEE"/>
          </w:tcPr>
          <w:p>
            <w:pPr>
              <w:spacing w:after="0"/>
              <w:rPr>
                <w:sz w:val="19"/>
                <w:szCs w:val="19"/>
                <w:color w:val="auto"/>
              </w:rPr>
            </w:pPr>
          </w:p>
        </w:tc>
        <w:tc>
          <w:tcPr>
            <w:tcW w:w="140" w:type="dxa"/>
            <w:vAlign w:val="bottom"/>
            <w:shd w:val="clear" w:color="auto" w:fill="E5EBEE"/>
          </w:tcPr>
          <w:p>
            <w:pPr>
              <w:spacing w:after="0"/>
              <w:rPr>
                <w:sz w:val="19"/>
                <w:szCs w:val="19"/>
                <w:color w:val="auto"/>
              </w:rPr>
            </w:pPr>
          </w:p>
        </w:tc>
        <w:tc>
          <w:tcPr>
            <w:tcW w:w="920" w:type="dxa"/>
            <w:vAlign w:val="bottom"/>
            <w:tcBorders>
              <w:bottom w:val="single" w:sz="8" w:color="023C5B"/>
            </w:tcBorders>
            <w:shd w:val="clear" w:color="auto" w:fill="E5EBE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Arial" w:cs="Arial" w:eastAsia="Arial" w:hAnsi="Arial"/>
                <w:sz w:val="16"/>
                <w:szCs w:val="16"/>
                <w:color w:val="auto"/>
              </w:rPr>
              <w:t>Former Chairman, Exelon Corporation;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160" w:type="dxa"/>
            <w:vAlign w:val="bottom"/>
            <w:gridSpan w:val="2"/>
            <w:vMerge w:val="restart"/>
          </w:tcPr>
          <w:p>
            <w:pPr>
              <w:spacing w:after="0"/>
              <w:rPr>
                <w:sz w:val="20"/>
                <w:szCs w:val="20"/>
                <w:color w:val="auto"/>
              </w:rPr>
            </w:pPr>
            <w:r>
              <w:rPr>
                <w:rFonts w:ascii="Arial" w:cs="Arial" w:eastAsia="Arial" w:hAnsi="Arial"/>
                <w:sz w:val="16"/>
                <w:szCs w:val="16"/>
                <w:color w:val="auto"/>
              </w:rPr>
              <w:t> Mayo A. Shattuck III</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6"/>
                <w:szCs w:val="16"/>
                <w:color w:val="auto"/>
              </w:rPr>
            </w:pPr>
          </w:p>
        </w:tc>
        <w:tc>
          <w:tcPr>
            <w:tcW w:w="4840" w:type="dxa"/>
            <w:vAlign w:val="bottom"/>
          </w:tcPr>
          <w:p>
            <w:pPr>
              <w:ind w:left="60"/>
              <w:spacing w:after="0"/>
              <w:rPr>
                <w:sz w:val="20"/>
                <w:szCs w:val="20"/>
                <w:color w:val="auto"/>
              </w:rPr>
            </w:pPr>
            <w:r>
              <w:rPr>
                <w:rFonts w:ascii="Arial" w:cs="Arial" w:eastAsia="Arial" w:hAnsi="Arial"/>
                <w:sz w:val="16"/>
                <w:szCs w:val="16"/>
                <w:color w:val="auto"/>
              </w:rPr>
              <w:t>Former Chairman, President and Chief</w:t>
            </w:r>
          </w:p>
        </w:tc>
        <w:tc>
          <w:tcPr>
            <w:tcW w:w="940" w:type="dxa"/>
            <w:vAlign w:val="bottom"/>
            <w:gridSpan w:val="2"/>
            <w:vMerge w:val="restart"/>
          </w:tcPr>
          <w:p>
            <w:pPr>
              <w:jc w:val="center"/>
              <w:ind w:left="100"/>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94"/>
              </w:rPr>
              <w:t>Yes</w:t>
            </w:r>
          </w:p>
        </w:tc>
        <w:tc>
          <w:tcPr>
            <w:tcW w:w="1060" w:type="dxa"/>
            <w:vAlign w:val="bottom"/>
            <w:gridSpan w:val="2"/>
            <w:vMerge w:val="restart"/>
          </w:tcPr>
          <w:p>
            <w:pPr>
              <w:jc w:val="center"/>
              <w:ind w:lef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18"/>
        </w:trPr>
        <w:tc>
          <w:tcPr>
            <w:tcW w:w="21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840" w:type="dxa"/>
            <w:vAlign w:val="bottom"/>
            <w:vMerge w:val="restart"/>
          </w:tcPr>
          <w:p>
            <w:pPr>
              <w:ind w:left="60"/>
              <w:spacing w:after="0"/>
              <w:rPr>
                <w:sz w:val="20"/>
                <w:szCs w:val="20"/>
                <w:color w:val="auto"/>
              </w:rPr>
            </w:pPr>
            <w:r>
              <w:rPr>
                <w:rFonts w:ascii="Arial" w:cs="Arial" w:eastAsia="Arial" w:hAnsi="Arial"/>
                <w:sz w:val="16"/>
                <w:szCs w:val="16"/>
                <w:color w:val="auto"/>
              </w:rPr>
              <w:t>Executive Officer, Constellation Energy</w:t>
            </w: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Arial" w:cs="Arial" w:eastAsia="Arial" w:hAnsi="Arial"/>
                <w:sz w:val="16"/>
                <w:szCs w:val="16"/>
                <w:color w:val="auto"/>
              </w:rPr>
              <w:t>Group</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2040" w:type="dxa"/>
            <w:vAlign w:val="bottom"/>
            <w:tcBorders>
              <w:bottom w:val="single" w:sz="8" w:color="023C5B"/>
            </w:tcBorders>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Borders>
              <w:bottom w:val="single" w:sz="8" w:color="023C5B"/>
            </w:tcBorders>
          </w:tcPr>
          <w:p>
            <w:pPr>
              <w:spacing w:after="0"/>
              <w:rPr>
                <w:sz w:val="5"/>
                <w:szCs w:val="5"/>
                <w:color w:val="auto"/>
              </w:rPr>
            </w:pPr>
          </w:p>
        </w:tc>
        <w:tc>
          <w:tcPr>
            <w:tcW w:w="100" w:type="dxa"/>
            <w:vAlign w:val="bottom"/>
          </w:tcPr>
          <w:p>
            <w:pPr>
              <w:spacing w:after="0"/>
              <w:rPr>
                <w:sz w:val="5"/>
                <w:szCs w:val="5"/>
                <w:color w:val="auto"/>
              </w:rPr>
            </w:pPr>
          </w:p>
        </w:tc>
        <w:tc>
          <w:tcPr>
            <w:tcW w:w="4840" w:type="dxa"/>
            <w:vAlign w:val="bottom"/>
            <w:tcBorders>
              <w:bottom w:val="single" w:sz="8" w:color="023C5B"/>
            </w:tcBorders>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Borders>
              <w:bottom w:val="single" w:sz="8" w:color="023C5B"/>
            </w:tcBorders>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Borders>
              <w:bottom w:val="single" w:sz="8" w:color="023C5B"/>
            </w:tcBorders>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Borders>
              <w:bottom w:val="single" w:sz="8" w:color="023C5B"/>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40" w:type="dxa"/>
            <w:vAlign w:val="bottom"/>
            <w:tcBorders>
              <w:top w:val="single" w:sz="8" w:color="E5EBEE"/>
            </w:tcBorders>
            <w:shd w:val="clear" w:color="auto" w:fill="E5EBEE"/>
          </w:tcPr>
          <w:p>
            <w:pPr>
              <w:spacing w:after="0"/>
              <w:rPr>
                <w:sz w:val="15"/>
                <w:szCs w:val="15"/>
                <w:color w:val="auto"/>
              </w:rPr>
            </w:pPr>
          </w:p>
        </w:tc>
        <w:tc>
          <w:tcPr>
            <w:tcW w:w="120" w:type="dxa"/>
            <w:vAlign w:val="bottom"/>
            <w:shd w:val="clear" w:color="auto" w:fill="E5EBEE"/>
          </w:tcPr>
          <w:p>
            <w:pPr>
              <w:spacing w:after="0"/>
              <w:rPr>
                <w:sz w:val="15"/>
                <w:szCs w:val="15"/>
                <w:color w:val="auto"/>
              </w:rPr>
            </w:pPr>
          </w:p>
        </w:tc>
        <w:tc>
          <w:tcPr>
            <w:tcW w:w="520" w:type="dxa"/>
            <w:vAlign w:val="bottom"/>
            <w:tcBorders>
              <w:top w:val="single" w:sz="8" w:color="E5EBEE"/>
            </w:tcBorders>
            <w:shd w:val="clear" w:color="auto" w:fill="E5EBEE"/>
          </w:tcPr>
          <w:p>
            <w:pPr>
              <w:spacing w:after="0"/>
              <w:rPr>
                <w:sz w:val="15"/>
                <w:szCs w:val="15"/>
                <w:color w:val="auto"/>
              </w:rPr>
            </w:pPr>
          </w:p>
        </w:tc>
        <w:tc>
          <w:tcPr>
            <w:tcW w:w="100" w:type="dxa"/>
            <w:vAlign w:val="bottom"/>
            <w:shd w:val="clear" w:color="auto" w:fill="E5EBEE"/>
          </w:tcPr>
          <w:p>
            <w:pPr>
              <w:spacing w:after="0"/>
              <w:rPr>
                <w:sz w:val="15"/>
                <w:szCs w:val="15"/>
                <w:color w:val="auto"/>
              </w:rPr>
            </w:pPr>
          </w:p>
        </w:tc>
        <w:tc>
          <w:tcPr>
            <w:tcW w:w="4840" w:type="dxa"/>
            <w:vAlign w:val="bottom"/>
            <w:tcBorders>
              <w:top w:val="single" w:sz="8" w:color="E5EBEE"/>
            </w:tcBorders>
            <w:shd w:val="clear" w:color="auto" w:fill="E5EBEE"/>
          </w:tcPr>
          <w:p>
            <w:pPr>
              <w:ind w:left="60"/>
              <w:spacing w:after="0" w:line="173" w:lineRule="exact"/>
              <w:rPr>
                <w:sz w:val="20"/>
                <w:szCs w:val="20"/>
                <w:color w:val="auto"/>
              </w:rPr>
            </w:pPr>
            <w:r>
              <w:rPr>
                <w:rFonts w:ascii="Arial" w:cs="Arial" w:eastAsia="Arial" w:hAnsi="Arial"/>
                <w:sz w:val="16"/>
                <w:szCs w:val="16"/>
                <w:color w:val="auto"/>
              </w:rPr>
              <w:t>Former Interim Chief Executive Officer,</w:t>
            </w:r>
          </w:p>
        </w:tc>
        <w:tc>
          <w:tcPr>
            <w:tcW w:w="100" w:type="dxa"/>
            <w:vAlign w:val="bottom"/>
            <w:shd w:val="clear" w:color="auto" w:fill="E5EBEE"/>
          </w:tcPr>
          <w:p>
            <w:pPr>
              <w:spacing w:after="0"/>
              <w:rPr>
                <w:sz w:val="15"/>
                <w:szCs w:val="15"/>
                <w:color w:val="auto"/>
              </w:rPr>
            </w:pPr>
          </w:p>
        </w:tc>
        <w:tc>
          <w:tcPr>
            <w:tcW w:w="840" w:type="dxa"/>
            <w:vAlign w:val="bottom"/>
            <w:tcBorders>
              <w:top w:val="single" w:sz="8" w:color="E5EBEE"/>
            </w:tcBorders>
            <w:shd w:val="clear" w:color="auto" w:fill="E5EBEE"/>
          </w:tcPr>
          <w:p>
            <w:pPr>
              <w:spacing w:after="0"/>
              <w:rPr>
                <w:sz w:val="15"/>
                <w:szCs w:val="15"/>
                <w:color w:val="auto"/>
              </w:rPr>
            </w:pPr>
          </w:p>
        </w:tc>
        <w:tc>
          <w:tcPr>
            <w:tcW w:w="120" w:type="dxa"/>
            <w:vAlign w:val="bottom"/>
            <w:shd w:val="clear" w:color="auto" w:fill="E5EBEE"/>
          </w:tcPr>
          <w:p>
            <w:pPr>
              <w:spacing w:after="0"/>
              <w:rPr>
                <w:sz w:val="15"/>
                <w:szCs w:val="15"/>
                <w:color w:val="auto"/>
              </w:rPr>
            </w:pPr>
          </w:p>
        </w:tc>
        <w:tc>
          <w:tcPr>
            <w:tcW w:w="1180" w:type="dxa"/>
            <w:vAlign w:val="bottom"/>
            <w:tcBorders>
              <w:top w:val="single" w:sz="8" w:color="E5EBEE"/>
            </w:tcBorders>
            <w:shd w:val="clear" w:color="auto" w:fill="E5EBEE"/>
          </w:tcPr>
          <w:p>
            <w:pPr>
              <w:spacing w:after="0"/>
              <w:rPr>
                <w:sz w:val="15"/>
                <w:szCs w:val="15"/>
                <w:color w:val="auto"/>
              </w:rPr>
            </w:pPr>
          </w:p>
        </w:tc>
        <w:tc>
          <w:tcPr>
            <w:tcW w:w="140" w:type="dxa"/>
            <w:vAlign w:val="bottom"/>
            <w:shd w:val="clear" w:color="auto" w:fill="E5EBEE"/>
          </w:tcPr>
          <w:p>
            <w:pPr>
              <w:spacing w:after="0"/>
              <w:rPr>
                <w:sz w:val="15"/>
                <w:szCs w:val="15"/>
                <w:color w:val="auto"/>
              </w:rPr>
            </w:pPr>
          </w:p>
        </w:tc>
        <w:tc>
          <w:tcPr>
            <w:tcW w:w="920" w:type="dxa"/>
            <w:vAlign w:val="bottom"/>
            <w:tcBorders>
              <w:top w:val="single" w:sz="8" w:color="E5EBEE"/>
            </w:tcBorders>
            <w:shd w:val="clear" w:color="auto" w:fill="E5EBE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40" w:type="dxa"/>
            <w:vAlign w:val="bottom"/>
            <w:vMerge w:val="restart"/>
            <w:shd w:val="clear" w:color="auto" w:fill="E5EBEE"/>
          </w:tcPr>
          <w:p>
            <w:pPr>
              <w:spacing w:after="0"/>
              <w:rPr>
                <w:sz w:val="20"/>
                <w:szCs w:val="20"/>
                <w:color w:val="auto"/>
              </w:rPr>
            </w:pPr>
            <w:r>
              <w:rPr>
                <w:rFonts w:ascii="Arial" w:cs="Arial" w:eastAsia="Arial" w:hAnsi="Arial"/>
                <w:sz w:val="16"/>
                <w:szCs w:val="16"/>
                <w:color w:val="auto"/>
              </w:rPr>
              <w:t> J. Michael Shepherd</w:t>
            </w:r>
          </w:p>
        </w:tc>
        <w:tc>
          <w:tcPr>
            <w:tcW w:w="120" w:type="dxa"/>
            <w:vAlign w:val="bottom"/>
            <w:shd w:val="clear" w:color="auto" w:fill="E5EBEE"/>
          </w:tcPr>
          <w:p>
            <w:pPr>
              <w:spacing w:after="0"/>
              <w:rPr>
                <w:sz w:val="16"/>
                <w:szCs w:val="16"/>
                <w:color w:val="auto"/>
              </w:rPr>
            </w:pPr>
          </w:p>
        </w:tc>
        <w:tc>
          <w:tcPr>
            <w:tcW w:w="52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70</w:t>
            </w:r>
          </w:p>
        </w:tc>
        <w:tc>
          <w:tcPr>
            <w:tcW w:w="100" w:type="dxa"/>
            <w:vAlign w:val="bottom"/>
            <w:shd w:val="clear" w:color="auto" w:fill="E5EBEE"/>
          </w:tcPr>
          <w:p>
            <w:pPr>
              <w:spacing w:after="0"/>
              <w:rPr>
                <w:sz w:val="16"/>
                <w:szCs w:val="16"/>
                <w:color w:val="auto"/>
              </w:rPr>
            </w:pPr>
          </w:p>
        </w:tc>
        <w:tc>
          <w:tcPr>
            <w:tcW w:w="4840" w:type="dxa"/>
            <w:vAlign w:val="bottom"/>
            <w:shd w:val="clear" w:color="auto" w:fill="E5EBEE"/>
          </w:tcPr>
          <w:p>
            <w:pPr>
              <w:ind w:left="60"/>
              <w:spacing w:after="0"/>
              <w:rPr>
                <w:sz w:val="20"/>
                <w:szCs w:val="20"/>
                <w:color w:val="auto"/>
              </w:rPr>
            </w:pPr>
            <w:r>
              <w:rPr>
                <w:rFonts w:ascii="Arial" w:cs="Arial" w:eastAsia="Arial" w:hAnsi="Arial"/>
                <w:sz w:val="16"/>
                <w:szCs w:val="16"/>
                <w:color w:val="auto"/>
              </w:rPr>
              <w:t>Discover Financial Services, Inc.;</w:t>
            </w:r>
          </w:p>
        </w:tc>
        <w:tc>
          <w:tcPr>
            <w:tcW w:w="940" w:type="dxa"/>
            <w:vAlign w:val="bottom"/>
            <w:gridSpan w:val="2"/>
            <w:vMerge w:val="restart"/>
            <w:shd w:val="clear" w:color="auto" w:fill="E5EBEE"/>
          </w:tcPr>
          <w:p>
            <w:pPr>
              <w:jc w:val="center"/>
              <w:ind w:left="10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E5EBEE"/>
          </w:tcPr>
          <w:p>
            <w:pPr>
              <w:spacing w:after="0"/>
              <w:rPr>
                <w:sz w:val="16"/>
                <w:szCs w:val="16"/>
                <w:color w:val="auto"/>
              </w:rPr>
            </w:pPr>
          </w:p>
        </w:tc>
        <w:tc>
          <w:tcPr>
            <w:tcW w:w="118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w w:val="94"/>
              </w:rPr>
              <w:t>Yes</w:t>
            </w:r>
          </w:p>
        </w:tc>
        <w:tc>
          <w:tcPr>
            <w:tcW w:w="1060" w:type="dxa"/>
            <w:vAlign w:val="bottom"/>
            <w:gridSpan w:val="2"/>
            <w:vMerge w:val="restart"/>
            <w:shd w:val="clear" w:color="auto" w:fill="E5EBEE"/>
          </w:tcPr>
          <w:p>
            <w:pPr>
              <w:jc w:val="cente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18"/>
        </w:trPr>
        <w:tc>
          <w:tcPr>
            <w:tcW w:w="2040" w:type="dxa"/>
            <w:vAlign w:val="bottom"/>
            <w:vMerge w:val="continue"/>
            <w:shd w:val="clear" w:color="auto" w:fill="E5EBEE"/>
          </w:tcPr>
          <w:p>
            <w:pPr>
              <w:spacing w:after="0"/>
              <w:rPr>
                <w:sz w:val="10"/>
                <w:szCs w:val="10"/>
                <w:color w:val="auto"/>
              </w:rPr>
            </w:pPr>
          </w:p>
        </w:tc>
        <w:tc>
          <w:tcPr>
            <w:tcW w:w="120" w:type="dxa"/>
            <w:vAlign w:val="bottom"/>
            <w:shd w:val="clear" w:color="auto" w:fill="E5EBEE"/>
          </w:tcPr>
          <w:p>
            <w:pPr>
              <w:spacing w:after="0"/>
              <w:rPr>
                <w:sz w:val="10"/>
                <w:szCs w:val="10"/>
                <w:color w:val="auto"/>
              </w:rPr>
            </w:pPr>
          </w:p>
        </w:tc>
        <w:tc>
          <w:tcPr>
            <w:tcW w:w="520" w:type="dxa"/>
            <w:vAlign w:val="bottom"/>
            <w:vMerge w:val="continue"/>
            <w:shd w:val="clear" w:color="auto" w:fill="E5EBEE"/>
          </w:tcPr>
          <w:p>
            <w:pPr>
              <w:spacing w:after="0"/>
              <w:rPr>
                <w:sz w:val="10"/>
                <w:szCs w:val="10"/>
                <w:color w:val="auto"/>
              </w:rPr>
            </w:pPr>
          </w:p>
        </w:tc>
        <w:tc>
          <w:tcPr>
            <w:tcW w:w="100" w:type="dxa"/>
            <w:vAlign w:val="bottom"/>
            <w:shd w:val="clear" w:color="auto" w:fill="E5EBEE"/>
          </w:tcPr>
          <w:p>
            <w:pPr>
              <w:spacing w:after="0"/>
              <w:rPr>
                <w:sz w:val="10"/>
                <w:szCs w:val="10"/>
                <w:color w:val="auto"/>
              </w:rPr>
            </w:pPr>
          </w:p>
        </w:tc>
        <w:tc>
          <w:tcPr>
            <w:tcW w:w="4840" w:type="dxa"/>
            <w:vAlign w:val="bottom"/>
            <w:vMerge w:val="restart"/>
            <w:shd w:val="clear" w:color="auto" w:fill="E5EBEE"/>
          </w:tcPr>
          <w:p>
            <w:pPr>
              <w:ind w:left="60"/>
              <w:spacing w:after="0"/>
              <w:rPr>
                <w:sz w:val="20"/>
                <w:szCs w:val="20"/>
                <w:color w:val="auto"/>
              </w:rPr>
            </w:pPr>
            <w:r>
              <w:rPr>
                <w:rFonts w:ascii="Arial" w:cs="Arial" w:eastAsia="Arial" w:hAnsi="Arial"/>
                <w:sz w:val="16"/>
                <w:szCs w:val="16"/>
                <w:color w:val="auto"/>
              </w:rPr>
              <w:t>Former Chairman and Chief Executive</w:t>
            </w:r>
          </w:p>
        </w:tc>
        <w:tc>
          <w:tcPr>
            <w:tcW w:w="940" w:type="dxa"/>
            <w:vAlign w:val="bottom"/>
            <w:gridSpan w:val="2"/>
            <w:vMerge w:val="continue"/>
            <w:shd w:val="clear" w:color="auto" w:fill="E5EBEE"/>
          </w:tcPr>
          <w:p>
            <w:pPr>
              <w:spacing w:after="0"/>
              <w:rPr>
                <w:sz w:val="10"/>
                <w:szCs w:val="10"/>
                <w:color w:val="auto"/>
              </w:rPr>
            </w:pPr>
          </w:p>
        </w:tc>
        <w:tc>
          <w:tcPr>
            <w:tcW w:w="120" w:type="dxa"/>
            <w:vAlign w:val="bottom"/>
            <w:shd w:val="clear" w:color="auto" w:fill="E5EBEE"/>
          </w:tcPr>
          <w:p>
            <w:pPr>
              <w:spacing w:after="0"/>
              <w:rPr>
                <w:sz w:val="10"/>
                <w:szCs w:val="10"/>
                <w:color w:val="auto"/>
              </w:rPr>
            </w:pPr>
          </w:p>
        </w:tc>
        <w:tc>
          <w:tcPr>
            <w:tcW w:w="1180" w:type="dxa"/>
            <w:vAlign w:val="bottom"/>
            <w:vMerge w:val="continue"/>
            <w:shd w:val="clear" w:color="auto" w:fill="E5EBEE"/>
          </w:tcPr>
          <w:p>
            <w:pPr>
              <w:spacing w:after="0"/>
              <w:rPr>
                <w:sz w:val="10"/>
                <w:szCs w:val="10"/>
                <w:color w:val="auto"/>
              </w:rPr>
            </w:pPr>
          </w:p>
        </w:tc>
        <w:tc>
          <w:tcPr>
            <w:tcW w:w="1060" w:type="dxa"/>
            <w:vAlign w:val="bottom"/>
            <w:gridSpan w:val="2"/>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shd w:val="clear" w:color="auto" w:fill="E5EBEE"/>
          </w:tcPr>
          <w:p>
            <w:pPr>
              <w:spacing w:after="0"/>
              <w:rPr>
                <w:sz w:val="6"/>
                <w:szCs w:val="6"/>
                <w:color w:val="auto"/>
              </w:rPr>
            </w:pPr>
          </w:p>
        </w:tc>
        <w:tc>
          <w:tcPr>
            <w:tcW w:w="120" w:type="dxa"/>
            <w:vAlign w:val="bottom"/>
            <w:shd w:val="clear" w:color="auto" w:fill="E5EBEE"/>
          </w:tcPr>
          <w:p>
            <w:pPr>
              <w:spacing w:after="0"/>
              <w:rPr>
                <w:sz w:val="6"/>
                <w:szCs w:val="6"/>
                <w:color w:val="auto"/>
              </w:rPr>
            </w:pPr>
          </w:p>
        </w:tc>
        <w:tc>
          <w:tcPr>
            <w:tcW w:w="520" w:type="dxa"/>
            <w:vAlign w:val="bottom"/>
            <w:shd w:val="clear" w:color="auto" w:fill="E5EBEE"/>
          </w:tcPr>
          <w:p>
            <w:pPr>
              <w:spacing w:after="0"/>
              <w:rPr>
                <w:sz w:val="6"/>
                <w:szCs w:val="6"/>
                <w:color w:val="auto"/>
              </w:rPr>
            </w:pPr>
          </w:p>
        </w:tc>
        <w:tc>
          <w:tcPr>
            <w:tcW w:w="100" w:type="dxa"/>
            <w:vAlign w:val="bottom"/>
            <w:shd w:val="clear" w:color="auto" w:fill="E5EBEE"/>
          </w:tcPr>
          <w:p>
            <w:pPr>
              <w:spacing w:after="0"/>
              <w:rPr>
                <w:sz w:val="6"/>
                <w:szCs w:val="6"/>
                <w:color w:val="auto"/>
              </w:rPr>
            </w:pPr>
          </w:p>
        </w:tc>
        <w:tc>
          <w:tcPr>
            <w:tcW w:w="4840" w:type="dxa"/>
            <w:vAlign w:val="bottom"/>
            <w:vMerge w:val="continue"/>
            <w:shd w:val="clear" w:color="auto" w:fill="E5EBEE"/>
          </w:tcPr>
          <w:p>
            <w:pPr>
              <w:spacing w:after="0"/>
              <w:rPr>
                <w:sz w:val="6"/>
                <w:szCs w:val="6"/>
                <w:color w:val="auto"/>
              </w:rPr>
            </w:pPr>
          </w:p>
        </w:tc>
        <w:tc>
          <w:tcPr>
            <w:tcW w:w="100" w:type="dxa"/>
            <w:vAlign w:val="bottom"/>
            <w:shd w:val="clear" w:color="auto" w:fill="E5EBEE"/>
          </w:tcPr>
          <w:p>
            <w:pPr>
              <w:spacing w:after="0"/>
              <w:rPr>
                <w:sz w:val="6"/>
                <w:szCs w:val="6"/>
                <w:color w:val="auto"/>
              </w:rPr>
            </w:pPr>
          </w:p>
        </w:tc>
        <w:tc>
          <w:tcPr>
            <w:tcW w:w="840" w:type="dxa"/>
            <w:vAlign w:val="bottom"/>
            <w:shd w:val="clear" w:color="auto" w:fill="E5EBEE"/>
          </w:tcPr>
          <w:p>
            <w:pPr>
              <w:spacing w:after="0"/>
              <w:rPr>
                <w:sz w:val="6"/>
                <w:szCs w:val="6"/>
                <w:color w:val="auto"/>
              </w:rPr>
            </w:pPr>
          </w:p>
        </w:tc>
        <w:tc>
          <w:tcPr>
            <w:tcW w:w="120" w:type="dxa"/>
            <w:vAlign w:val="bottom"/>
            <w:shd w:val="clear" w:color="auto" w:fill="E5EBEE"/>
          </w:tcPr>
          <w:p>
            <w:pPr>
              <w:spacing w:after="0"/>
              <w:rPr>
                <w:sz w:val="6"/>
                <w:szCs w:val="6"/>
                <w:color w:val="auto"/>
              </w:rPr>
            </w:pPr>
          </w:p>
        </w:tc>
        <w:tc>
          <w:tcPr>
            <w:tcW w:w="1180" w:type="dxa"/>
            <w:vAlign w:val="bottom"/>
            <w:shd w:val="clear" w:color="auto" w:fill="E5EBEE"/>
          </w:tcPr>
          <w:p>
            <w:pPr>
              <w:spacing w:after="0"/>
              <w:rPr>
                <w:sz w:val="6"/>
                <w:szCs w:val="6"/>
                <w:color w:val="auto"/>
              </w:rPr>
            </w:pPr>
          </w:p>
        </w:tc>
        <w:tc>
          <w:tcPr>
            <w:tcW w:w="140" w:type="dxa"/>
            <w:vAlign w:val="bottom"/>
            <w:shd w:val="clear" w:color="auto" w:fill="E5EBEE"/>
          </w:tcPr>
          <w:p>
            <w:pPr>
              <w:spacing w:after="0"/>
              <w:rPr>
                <w:sz w:val="6"/>
                <w:szCs w:val="6"/>
                <w:color w:val="auto"/>
              </w:rPr>
            </w:pPr>
          </w:p>
        </w:tc>
        <w:tc>
          <w:tcPr>
            <w:tcW w:w="920" w:type="dxa"/>
            <w:vAlign w:val="bottom"/>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40" w:type="dxa"/>
            <w:vAlign w:val="bottom"/>
            <w:tcBorders>
              <w:bottom w:val="single" w:sz="8" w:color="E5EBEE"/>
            </w:tcBorders>
            <w:shd w:val="clear" w:color="auto" w:fill="E5EBEE"/>
          </w:tcPr>
          <w:p>
            <w:pPr>
              <w:spacing w:after="0"/>
              <w:rPr>
                <w:sz w:val="21"/>
                <w:szCs w:val="21"/>
                <w:color w:val="auto"/>
              </w:rPr>
            </w:pPr>
          </w:p>
        </w:tc>
        <w:tc>
          <w:tcPr>
            <w:tcW w:w="120" w:type="dxa"/>
            <w:vAlign w:val="bottom"/>
            <w:tcBorders>
              <w:bottom w:val="single" w:sz="8" w:color="E5EBEE"/>
            </w:tcBorders>
            <w:shd w:val="clear" w:color="auto" w:fill="E5EBEE"/>
          </w:tcPr>
          <w:p>
            <w:pPr>
              <w:spacing w:after="0"/>
              <w:rPr>
                <w:sz w:val="21"/>
                <w:szCs w:val="21"/>
                <w:color w:val="auto"/>
              </w:rPr>
            </w:pPr>
          </w:p>
        </w:tc>
        <w:tc>
          <w:tcPr>
            <w:tcW w:w="520" w:type="dxa"/>
            <w:vAlign w:val="bottom"/>
            <w:tcBorders>
              <w:bottom w:val="single" w:sz="8" w:color="E5EBEE"/>
            </w:tcBorders>
            <w:shd w:val="clear" w:color="auto" w:fill="E5EBEE"/>
          </w:tcPr>
          <w:p>
            <w:pPr>
              <w:spacing w:after="0"/>
              <w:rPr>
                <w:sz w:val="21"/>
                <w:szCs w:val="21"/>
                <w:color w:val="auto"/>
              </w:rPr>
            </w:pPr>
          </w:p>
        </w:tc>
        <w:tc>
          <w:tcPr>
            <w:tcW w:w="100" w:type="dxa"/>
            <w:vAlign w:val="bottom"/>
            <w:tcBorders>
              <w:bottom w:val="single" w:sz="8" w:color="E5EBEE"/>
            </w:tcBorders>
            <w:shd w:val="clear" w:color="auto" w:fill="E5EBEE"/>
          </w:tcPr>
          <w:p>
            <w:pPr>
              <w:spacing w:after="0"/>
              <w:rPr>
                <w:sz w:val="21"/>
                <w:szCs w:val="21"/>
                <w:color w:val="auto"/>
              </w:rPr>
            </w:pPr>
          </w:p>
        </w:tc>
        <w:tc>
          <w:tcPr>
            <w:tcW w:w="4840" w:type="dxa"/>
            <w:vAlign w:val="bottom"/>
            <w:tcBorders>
              <w:bottom w:val="single" w:sz="8" w:color="E5EBEE"/>
            </w:tcBorders>
            <w:shd w:val="clear" w:color="auto" w:fill="E5EBEE"/>
          </w:tcPr>
          <w:p>
            <w:pPr>
              <w:ind w:left="60"/>
              <w:spacing w:after="0"/>
              <w:rPr>
                <w:sz w:val="20"/>
                <w:szCs w:val="20"/>
                <w:color w:val="auto"/>
              </w:rPr>
            </w:pPr>
            <w:r>
              <w:rPr>
                <w:rFonts w:ascii="Arial" w:cs="Arial" w:eastAsia="Arial" w:hAnsi="Arial"/>
                <w:sz w:val="16"/>
                <w:szCs w:val="16"/>
                <w:color w:val="auto"/>
              </w:rPr>
              <w:t>Officer, BancWest Corporation</w:t>
            </w:r>
          </w:p>
        </w:tc>
        <w:tc>
          <w:tcPr>
            <w:tcW w:w="100" w:type="dxa"/>
            <w:vAlign w:val="bottom"/>
            <w:tcBorders>
              <w:bottom w:val="single" w:sz="8" w:color="E5EBEE"/>
            </w:tcBorders>
            <w:shd w:val="clear" w:color="auto" w:fill="E5EBEE"/>
          </w:tcPr>
          <w:p>
            <w:pPr>
              <w:spacing w:after="0"/>
              <w:rPr>
                <w:sz w:val="21"/>
                <w:szCs w:val="21"/>
                <w:color w:val="auto"/>
              </w:rPr>
            </w:pPr>
          </w:p>
        </w:tc>
        <w:tc>
          <w:tcPr>
            <w:tcW w:w="840" w:type="dxa"/>
            <w:vAlign w:val="bottom"/>
            <w:tcBorders>
              <w:bottom w:val="single" w:sz="8" w:color="E5EBEE"/>
            </w:tcBorders>
            <w:shd w:val="clear" w:color="auto" w:fill="E5EBEE"/>
          </w:tcPr>
          <w:p>
            <w:pPr>
              <w:spacing w:after="0"/>
              <w:rPr>
                <w:sz w:val="21"/>
                <w:szCs w:val="21"/>
                <w:color w:val="auto"/>
              </w:rPr>
            </w:pPr>
          </w:p>
        </w:tc>
        <w:tc>
          <w:tcPr>
            <w:tcW w:w="120" w:type="dxa"/>
            <w:vAlign w:val="bottom"/>
            <w:tcBorders>
              <w:bottom w:val="single" w:sz="8" w:color="E5EBEE"/>
            </w:tcBorders>
            <w:shd w:val="clear" w:color="auto" w:fill="E5EBEE"/>
          </w:tcPr>
          <w:p>
            <w:pPr>
              <w:spacing w:after="0"/>
              <w:rPr>
                <w:sz w:val="21"/>
                <w:szCs w:val="21"/>
                <w:color w:val="auto"/>
              </w:rPr>
            </w:pPr>
          </w:p>
        </w:tc>
        <w:tc>
          <w:tcPr>
            <w:tcW w:w="1180" w:type="dxa"/>
            <w:vAlign w:val="bottom"/>
            <w:tcBorders>
              <w:bottom w:val="single" w:sz="8" w:color="E5EBEE"/>
            </w:tcBorders>
            <w:shd w:val="clear" w:color="auto" w:fill="E5EBEE"/>
          </w:tcPr>
          <w:p>
            <w:pPr>
              <w:spacing w:after="0"/>
              <w:rPr>
                <w:sz w:val="21"/>
                <w:szCs w:val="21"/>
                <w:color w:val="auto"/>
              </w:rPr>
            </w:pPr>
          </w:p>
        </w:tc>
        <w:tc>
          <w:tcPr>
            <w:tcW w:w="140" w:type="dxa"/>
            <w:vAlign w:val="bottom"/>
            <w:tcBorders>
              <w:bottom w:val="single" w:sz="8" w:color="E5EBEE"/>
            </w:tcBorders>
            <w:shd w:val="clear" w:color="auto" w:fill="E5EBEE"/>
          </w:tcPr>
          <w:p>
            <w:pPr>
              <w:spacing w:after="0"/>
              <w:rPr>
                <w:sz w:val="21"/>
                <w:szCs w:val="21"/>
                <w:color w:val="auto"/>
              </w:rPr>
            </w:pPr>
          </w:p>
        </w:tc>
        <w:tc>
          <w:tcPr>
            <w:tcW w:w="920" w:type="dxa"/>
            <w:vAlign w:val="bottom"/>
            <w:tcBorders>
              <w:bottom w:val="single" w:sz="8" w:color="E5EBEE"/>
            </w:tcBorders>
            <w:shd w:val="clear" w:color="auto" w:fill="E5EBEE"/>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40" w:type="dxa"/>
            <w:vAlign w:val="bottom"/>
            <w:tcBorders>
              <w:top w:val="single" w:sz="8" w:color="023C5B"/>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023C5B"/>
            </w:tcBorders>
          </w:tcPr>
          <w:p>
            <w:pPr>
              <w:spacing w:after="0"/>
              <w:rPr>
                <w:sz w:val="17"/>
                <w:szCs w:val="17"/>
                <w:color w:val="auto"/>
              </w:rPr>
            </w:pPr>
          </w:p>
        </w:tc>
        <w:tc>
          <w:tcPr>
            <w:tcW w:w="100" w:type="dxa"/>
            <w:vAlign w:val="bottom"/>
          </w:tcPr>
          <w:p>
            <w:pPr>
              <w:spacing w:after="0"/>
              <w:rPr>
                <w:sz w:val="17"/>
                <w:szCs w:val="17"/>
                <w:color w:val="auto"/>
              </w:rPr>
            </w:pPr>
          </w:p>
        </w:tc>
        <w:tc>
          <w:tcPr>
            <w:tcW w:w="4840" w:type="dxa"/>
            <w:vAlign w:val="bottom"/>
            <w:tcBorders>
              <w:top w:val="single" w:sz="8" w:color="023C5B"/>
            </w:tcBorders>
          </w:tcPr>
          <w:p>
            <w:pPr>
              <w:ind w:left="60"/>
              <w:spacing w:after="0"/>
              <w:rPr>
                <w:sz w:val="20"/>
                <w:szCs w:val="20"/>
                <w:color w:val="auto"/>
              </w:rPr>
            </w:pPr>
            <w:r>
              <w:rPr>
                <w:rFonts w:ascii="Arial" w:cs="Arial" w:eastAsia="Arial" w:hAnsi="Arial"/>
                <w:sz w:val="16"/>
                <w:szCs w:val="16"/>
                <w:color w:val="auto"/>
              </w:rPr>
              <w:t>Advisor and Former Executive Vice</w:t>
            </w:r>
          </w:p>
        </w:tc>
        <w:tc>
          <w:tcPr>
            <w:tcW w:w="100" w:type="dxa"/>
            <w:vAlign w:val="bottom"/>
          </w:tcPr>
          <w:p>
            <w:pPr>
              <w:spacing w:after="0"/>
              <w:rPr>
                <w:sz w:val="17"/>
                <w:szCs w:val="17"/>
                <w:color w:val="auto"/>
              </w:rPr>
            </w:pPr>
          </w:p>
        </w:tc>
        <w:tc>
          <w:tcPr>
            <w:tcW w:w="840" w:type="dxa"/>
            <w:vAlign w:val="bottom"/>
            <w:tcBorders>
              <w:top w:val="single" w:sz="8" w:color="023C5B"/>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023C5B"/>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023C5B"/>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160" w:type="dxa"/>
            <w:vAlign w:val="bottom"/>
            <w:gridSpan w:val="2"/>
          </w:tcPr>
          <w:p>
            <w:pPr>
              <w:spacing w:after="0"/>
              <w:rPr>
                <w:sz w:val="20"/>
                <w:szCs w:val="20"/>
                <w:color w:val="auto"/>
              </w:rPr>
            </w:pPr>
            <w:r>
              <w:rPr>
                <w:rFonts w:ascii="Arial" w:cs="Arial" w:eastAsia="Arial" w:hAnsi="Arial"/>
                <w:sz w:val="16"/>
                <w:szCs w:val="16"/>
                <w:color w:val="auto"/>
              </w:rPr>
              <w:t> Craig Anthony Williams</w:t>
            </w:r>
          </w:p>
        </w:tc>
        <w:tc>
          <w:tcPr>
            <w:tcW w:w="520" w:type="dxa"/>
            <w:vAlign w:val="bottom"/>
          </w:tcPr>
          <w:p>
            <w:pPr>
              <w:jc w:val="center"/>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6"/>
                <w:szCs w:val="16"/>
                <w:color w:val="auto"/>
              </w:rPr>
            </w:pPr>
          </w:p>
        </w:tc>
        <w:tc>
          <w:tcPr>
            <w:tcW w:w="4840" w:type="dxa"/>
            <w:vAlign w:val="bottom"/>
          </w:tcPr>
          <w:p>
            <w:pPr>
              <w:ind w:left="60"/>
              <w:spacing w:after="0"/>
              <w:rPr>
                <w:sz w:val="20"/>
                <w:szCs w:val="20"/>
                <w:color w:val="auto"/>
              </w:rPr>
            </w:pPr>
            <w:r>
              <w:rPr>
                <w:rFonts w:ascii="Arial" w:cs="Arial" w:eastAsia="Arial" w:hAnsi="Arial"/>
                <w:sz w:val="16"/>
                <w:szCs w:val="16"/>
                <w:color w:val="auto"/>
              </w:rPr>
              <w:t>President, Chief Commercial Officer,</w:t>
            </w:r>
          </w:p>
        </w:tc>
        <w:tc>
          <w:tcPr>
            <w:tcW w:w="940" w:type="dxa"/>
            <w:vAlign w:val="bottom"/>
            <w:gridSpan w:val="2"/>
          </w:tcPr>
          <w:p>
            <w:pPr>
              <w:jc w:val="center"/>
              <w:ind w:left="10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4"/>
              </w:rPr>
              <w:t>Yes</w:t>
            </w:r>
          </w:p>
        </w:tc>
        <w:tc>
          <w:tcPr>
            <w:tcW w:w="1060" w:type="dxa"/>
            <w:vAlign w:val="bottom"/>
            <w:gridSpan w:val="2"/>
          </w:tcPr>
          <w:p>
            <w:pPr>
              <w:jc w:val="cente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1"/>
        </w:trPr>
        <w:tc>
          <w:tcPr>
            <w:tcW w:w="2040" w:type="dxa"/>
            <w:vAlign w:val="bottom"/>
            <w:tcBorders>
              <w:bottom w:val="single" w:sz="8" w:color="023C5B"/>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023C5B"/>
            </w:tcBorders>
          </w:tcPr>
          <w:p>
            <w:pPr>
              <w:spacing w:after="0"/>
              <w:rPr>
                <w:sz w:val="19"/>
                <w:szCs w:val="19"/>
                <w:color w:val="auto"/>
              </w:rPr>
            </w:pPr>
          </w:p>
        </w:tc>
        <w:tc>
          <w:tcPr>
            <w:tcW w:w="100" w:type="dxa"/>
            <w:vAlign w:val="bottom"/>
          </w:tcPr>
          <w:p>
            <w:pPr>
              <w:spacing w:after="0"/>
              <w:rPr>
                <w:sz w:val="19"/>
                <w:szCs w:val="19"/>
                <w:color w:val="auto"/>
              </w:rPr>
            </w:pPr>
          </w:p>
        </w:tc>
        <w:tc>
          <w:tcPr>
            <w:tcW w:w="4840" w:type="dxa"/>
            <w:vAlign w:val="bottom"/>
            <w:tcBorders>
              <w:bottom w:val="single" w:sz="8" w:color="023C5B"/>
            </w:tcBorders>
          </w:tcPr>
          <w:p>
            <w:pPr>
              <w:ind w:left="60"/>
              <w:spacing w:after="0"/>
              <w:rPr>
                <w:sz w:val="20"/>
                <w:szCs w:val="20"/>
                <w:color w:val="auto"/>
              </w:rPr>
            </w:pPr>
            <w:r>
              <w:rPr>
                <w:rFonts w:ascii="Arial" w:cs="Arial" w:eastAsia="Arial" w:hAnsi="Arial"/>
                <w:sz w:val="16"/>
                <w:szCs w:val="16"/>
                <w:color w:val="auto"/>
              </w:rPr>
              <w:t>NIKE, Inc.</w:t>
            </w:r>
          </w:p>
        </w:tc>
        <w:tc>
          <w:tcPr>
            <w:tcW w:w="100" w:type="dxa"/>
            <w:vAlign w:val="bottom"/>
          </w:tcPr>
          <w:p>
            <w:pPr>
              <w:spacing w:after="0"/>
              <w:rPr>
                <w:sz w:val="19"/>
                <w:szCs w:val="19"/>
                <w:color w:val="auto"/>
              </w:rPr>
            </w:pPr>
          </w:p>
        </w:tc>
        <w:tc>
          <w:tcPr>
            <w:tcW w:w="840" w:type="dxa"/>
            <w:vAlign w:val="bottom"/>
            <w:tcBorders>
              <w:bottom w:val="single" w:sz="8" w:color="023C5B"/>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023C5B"/>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bottom w:val="single" w:sz="8" w:color="023C5B"/>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40" w:type="dxa"/>
            <w:vAlign w:val="bottom"/>
            <w:vMerge w:val="restart"/>
            <w:shd w:val="clear" w:color="auto" w:fill="E5EBEE"/>
          </w:tcPr>
          <w:p>
            <w:pPr>
              <w:spacing w:after="0"/>
              <w:rPr>
                <w:sz w:val="20"/>
                <w:szCs w:val="20"/>
                <w:color w:val="auto"/>
              </w:rPr>
            </w:pPr>
            <w:r>
              <w:rPr>
                <w:rFonts w:ascii="Arial" w:cs="Arial" w:eastAsia="Arial" w:hAnsi="Arial"/>
                <w:sz w:val="16"/>
                <w:szCs w:val="16"/>
                <w:color w:val="auto"/>
              </w:rPr>
              <w:t> Jennifer L. Wong</w:t>
            </w:r>
          </w:p>
        </w:tc>
        <w:tc>
          <w:tcPr>
            <w:tcW w:w="120" w:type="dxa"/>
            <w:vAlign w:val="bottom"/>
          </w:tcPr>
          <w:p>
            <w:pPr>
              <w:spacing w:after="0"/>
              <w:rPr>
                <w:sz w:val="3"/>
                <w:szCs w:val="3"/>
                <w:color w:val="auto"/>
              </w:rPr>
            </w:pPr>
          </w:p>
        </w:tc>
        <w:tc>
          <w:tcPr>
            <w:tcW w:w="52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3"/>
                <w:szCs w:val="3"/>
                <w:color w:val="auto"/>
              </w:rPr>
            </w:pPr>
          </w:p>
        </w:tc>
        <w:tc>
          <w:tcPr>
            <w:tcW w:w="4840" w:type="dxa"/>
            <w:vAlign w:val="bottom"/>
            <w:vMerge w:val="restart"/>
            <w:shd w:val="clear" w:color="auto" w:fill="E5EBEE"/>
          </w:tcPr>
          <w:p>
            <w:pPr>
              <w:ind w:left="60"/>
              <w:spacing w:after="0"/>
              <w:rPr>
                <w:sz w:val="20"/>
                <w:szCs w:val="20"/>
                <w:color w:val="auto"/>
              </w:rPr>
            </w:pPr>
            <w:r>
              <w:rPr>
                <w:rFonts w:ascii="Arial" w:cs="Arial" w:eastAsia="Arial" w:hAnsi="Arial"/>
                <w:sz w:val="16"/>
                <w:szCs w:val="16"/>
                <w:color w:val="auto"/>
              </w:rPr>
              <w:t>Chief Operating Officer, Reddit, Inc.</w:t>
            </w:r>
          </w:p>
        </w:tc>
        <w:tc>
          <w:tcPr>
            <w:tcW w:w="100" w:type="dxa"/>
            <w:vAlign w:val="bottom"/>
          </w:tcPr>
          <w:p>
            <w:pPr>
              <w:spacing w:after="0"/>
              <w:rPr>
                <w:sz w:val="3"/>
                <w:szCs w:val="3"/>
                <w:color w:val="auto"/>
              </w:rPr>
            </w:pPr>
          </w:p>
        </w:tc>
        <w:tc>
          <w:tcPr>
            <w:tcW w:w="84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3"/>
                <w:szCs w:val="3"/>
                <w:color w:val="auto"/>
              </w:rPr>
            </w:pPr>
          </w:p>
        </w:tc>
        <w:tc>
          <w:tcPr>
            <w:tcW w:w="118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w w:val="94"/>
              </w:rPr>
              <w:t>Yes</w:t>
            </w:r>
          </w:p>
        </w:tc>
        <w:tc>
          <w:tcPr>
            <w:tcW w:w="140" w:type="dxa"/>
            <w:vAlign w:val="bottom"/>
          </w:tcPr>
          <w:p>
            <w:pPr>
              <w:spacing w:after="0"/>
              <w:rPr>
                <w:sz w:val="3"/>
                <w:szCs w:val="3"/>
                <w:color w:val="auto"/>
              </w:rPr>
            </w:pPr>
          </w:p>
        </w:tc>
        <w:tc>
          <w:tcPr>
            <w:tcW w:w="920" w:type="dxa"/>
            <w:vAlign w:val="bottom"/>
            <w:vMerge w:val="restart"/>
            <w:shd w:val="clear" w:color="auto" w:fill="E5EBEE"/>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2040" w:type="dxa"/>
            <w:vAlign w:val="bottom"/>
            <w:tcBorders>
              <w:bottom w:val="single" w:sz="8" w:color="023C5B"/>
            </w:tcBorders>
            <w:vMerge w:val="continue"/>
            <w:shd w:val="clear" w:color="auto" w:fill="E5EBEE"/>
          </w:tcPr>
          <w:p>
            <w:pPr>
              <w:spacing w:after="0"/>
              <w:rPr>
                <w:sz w:val="18"/>
                <w:szCs w:val="18"/>
                <w:color w:val="auto"/>
              </w:rPr>
            </w:pPr>
          </w:p>
        </w:tc>
        <w:tc>
          <w:tcPr>
            <w:tcW w:w="120" w:type="dxa"/>
            <w:vAlign w:val="bottom"/>
            <w:shd w:val="clear" w:color="auto" w:fill="E5EBEE"/>
          </w:tcPr>
          <w:p>
            <w:pPr>
              <w:spacing w:after="0"/>
              <w:rPr>
                <w:sz w:val="18"/>
                <w:szCs w:val="18"/>
                <w:color w:val="auto"/>
              </w:rPr>
            </w:pPr>
          </w:p>
        </w:tc>
        <w:tc>
          <w:tcPr>
            <w:tcW w:w="520" w:type="dxa"/>
            <w:vAlign w:val="bottom"/>
            <w:tcBorders>
              <w:bottom w:val="single" w:sz="8" w:color="023C5B"/>
            </w:tcBorders>
            <w:vMerge w:val="continue"/>
            <w:shd w:val="clear" w:color="auto" w:fill="E5EBEE"/>
          </w:tcPr>
          <w:p>
            <w:pPr>
              <w:spacing w:after="0"/>
              <w:rPr>
                <w:sz w:val="18"/>
                <w:szCs w:val="18"/>
                <w:color w:val="auto"/>
              </w:rPr>
            </w:pPr>
          </w:p>
        </w:tc>
        <w:tc>
          <w:tcPr>
            <w:tcW w:w="100" w:type="dxa"/>
            <w:vAlign w:val="bottom"/>
            <w:shd w:val="clear" w:color="auto" w:fill="E5EBEE"/>
          </w:tcPr>
          <w:p>
            <w:pPr>
              <w:spacing w:after="0"/>
              <w:rPr>
                <w:sz w:val="18"/>
                <w:szCs w:val="18"/>
                <w:color w:val="auto"/>
              </w:rPr>
            </w:pPr>
          </w:p>
        </w:tc>
        <w:tc>
          <w:tcPr>
            <w:tcW w:w="4840" w:type="dxa"/>
            <w:vAlign w:val="bottom"/>
            <w:tcBorders>
              <w:bottom w:val="single" w:sz="8" w:color="023C5B"/>
            </w:tcBorders>
            <w:vMerge w:val="continue"/>
            <w:shd w:val="clear" w:color="auto" w:fill="E5EBEE"/>
          </w:tcPr>
          <w:p>
            <w:pPr>
              <w:spacing w:after="0"/>
              <w:rPr>
                <w:sz w:val="18"/>
                <w:szCs w:val="18"/>
                <w:color w:val="auto"/>
              </w:rPr>
            </w:pPr>
          </w:p>
        </w:tc>
        <w:tc>
          <w:tcPr>
            <w:tcW w:w="100" w:type="dxa"/>
            <w:vAlign w:val="bottom"/>
            <w:shd w:val="clear" w:color="auto" w:fill="E5EBEE"/>
          </w:tcPr>
          <w:p>
            <w:pPr>
              <w:spacing w:after="0"/>
              <w:rPr>
                <w:sz w:val="18"/>
                <w:szCs w:val="18"/>
                <w:color w:val="auto"/>
              </w:rPr>
            </w:pPr>
          </w:p>
        </w:tc>
        <w:tc>
          <w:tcPr>
            <w:tcW w:w="840" w:type="dxa"/>
            <w:vAlign w:val="bottom"/>
            <w:tcBorders>
              <w:bottom w:val="single" w:sz="8" w:color="023C5B"/>
            </w:tcBorders>
            <w:vMerge w:val="continue"/>
            <w:shd w:val="clear" w:color="auto" w:fill="E5EBEE"/>
          </w:tcPr>
          <w:p>
            <w:pPr>
              <w:spacing w:after="0"/>
              <w:rPr>
                <w:sz w:val="18"/>
                <w:szCs w:val="18"/>
                <w:color w:val="auto"/>
              </w:rPr>
            </w:pPr>
          </w:p>
        </w:tc>
        <w:tc>
          <w:tcPr>
            <w:tcW w:w="120" w:type="dxa"/>
            <w:vAlign w:val="bottom"/>
            <w:shd w:val="clear" w:color="auto" w:fill="E5EBEE"/>
          </w:tcPr>
          <w:p>
            <w:pPr>
              <w:spacing w:after="0"/>
              <w:rPr>
                <w:sz w:val="18"/>
                <w:szCs w:val="18"/>
                <w:color w:val="auto"/>
              </w:rPr>
            </w:pPr>
          </w:p>
        </w:tc>
        <w:tc>
          <w:tcPr>
            <w:tcW w:w="1180" w:type="dxa"/>
            <w:vAlign w:val="bottom"/>
            <w:tcBorders>
              <w:bottom w:val="single" w:sz="8" w:color="023C5B"/>
            </w:tcBorders>
            <w:vMerge w:val="continue"/>
            <w:shd w:val="clear" w:color="auto" w:fill="E5EBEE"/>
          </w:tcPr>
          <w:p>
            <w:pPr>
              <w:spacing w:after="0"/>
              <w:rPr>
                <w:sz w:val="18"/>
                <w:szCs w:val="18"/>
                <w:color w:val="auto"/>
              </w:rPr>
            </w:pPr>
          </w:p>
        </w:tc>
        <w:tc>
          <w:tcPr>
            <w:tcW w:w="140" w:type="dxa"/>
            <w:vAlign w:val="bottom"/>
            <w:shd w:val="clear" w:color="auto" w:fill="E5EBEE"/>
          </w:tcPr>
          <w:p>
            <w:pPr>
              <w:spacing w:after="0"/>
              <w:rPr>
                <w:sz w:val="18"/>
                <w:szCs w:val="18"/>
                <w:color w:val="auto"/>
              </w:rPr>
            </w:pPr>
          </w:p>
        </w:tc>
        <w:tc>
          <w:tcPr>
            <w:tcW w:w="920" w:type="dxa"/>
            <w:vAlign w:val="bottom"/>
            <w:tcBorders>
              <w:bottom w:val="single" w:sz="8" w:color="023C5B"/>
            </w:tcBorders>
            <w:vMerge w:val="continue"/>
            <w:shd w:val="clear" w:color="auto" w:fill="E5EB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line="281" w:lineRule="auto"/>
        <w:tabs>
          <w:tab w:leader="none" w:pos="6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Each nominee also serves on the board of directors of Capital One, National Association, our principal operating subsidiary. Mr. Fairbank serves as Chair of the board of directors of Capital One, National Association.</w:t>
      </w:r>
    </w:p>
    <w:p>
      <w:pPr>
        <w:spacing w:after="0" w:line="74"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 - Election of Directors (Item 1 on Proxy Card)</w:t>
      </w:r>
    </w:p>
    <w:p>
      <w:pPr>
        <w:spacing w:after="0" w:line="155" w:lineRule="exact"/>
        <w:rPr>
          <w:sz w:val="20"/>
          <w:szCs w:val="20"/>
          <w:color w:val="auto"/>
        </w:rPr>
      </w:pPr>
    </w:p>
    <w:p>
      <w:pPr>
        <w:ind w:left="600" w:right="20" w:hanging="433"/>
        <w:spacing w:after="0" w:line="281" w:lineRule="auto"/>
        <w:tabs>
          <w:tab w:leader="none" w:pos="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Capital One’s Corporate Governance Guidelines limit the number of public company boards on which our directors may serve to four boards (including the Capital One Board) for non-executive directors, and two boards (including the Capital One Board) for executive officer directors.</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Board unanimously recommends that you vote “FOR” each of these director nominees.</w:t>
      </w:r>
    </w:p>
    <w:p>
      <w:pPr>
        <w:spacing w:after="0" w:line="20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would like to extend our appreciation to director Ann Fritz Hackett, who will not stand for reelection and will retire from our Board effective May 8, 2026, in accordance with our Corporate Governance Guidelines. Ms. Hackett has been a director of Capital One since 2004 and our Lead Independent Director and Chair of the Governance and Nominating Committee since 2007. During her service, she provided our Board and management with tremendous value, where she leveraged her extensive experience in leading companies that provide strategy and human capital consulting services to boards of directors and senior management teams, developed corporate and business strategy, led change initiatives, risk management, talent management, and succession planning. Ms. Hackett’s leadership as Lead Independent Director was also instrumental in guiding the Board through our successful acquisition of Discover. We are deeply grateful to Ms. Hackett for her contributions to Capital One and wish her well in her future endeavors.</w:t>
      </w:r>
    </w:p>
    <w:p>
      <w:pPr>
        <w:spacing w:after="0" w:line="184"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We would also like to extend our appreciation to director Thomas G. Maheras, who has decided to not stand for reelection and will retire from our Board effective May 8, 2026. Mr. Maheras was appointed to the Board in May 2025 in connection with the closing of the Discover Transaction. Mr. Maheras, who was a long-standing member of Discover’s board, provided the Board and management with tremendous guidance with the ongoing integration efforts related to the Discover Transaction. We are thankful for Mr. Maheras’ informed judgment and critical insights he made to our Board during his tenure.</w:t>
      </w:r>
    </w:p>
    <w:p>
      <w:pPr>
        <w:spacing w:after="0" w:line="115"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 - Election of Directors (Item 1 on Proxy Card)</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Our Director Nominees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Biographies of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6929755" cy="3133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313372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0" w:right="620"/>
        <w:spacing w:after="0" w:line="348" w:lineRule="auto"/>
        <w:rPr>
          <w:sz w:val="20"/>
          <w:szCs w:val="20"/>
          <w:color w:val="auto"/>
        </w:rPr>
      </w:pP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1994</w:t>
      </w:r>
      <w:r>
        <w:rPr>
          <w:rFonts w:ascii="Arial" w:cs="Arial" w:eastAsia="Arial" w:hAnsi="Arial"/>
          <w:sz w:val="16"/>
          <w:szCs w:val="16"/>
          <w:b w:val="1"/>
          <w:bCs w:val="1"/>
          <w:color w:val="auto"/>
        </w:rPr>
        <w:t xml:space="preserve">   Age:  </w:t>
      </w:r>
      <w:r>
        <w:rPr>
          <w:rFonts w:ascii="Arial" w:cs="Arial" w:eastAsia="Arial" w:hAnsi="Arial"/>
          <w:sz w:val="16"/>
          <w:szCs w:val="16"/>
          <w:color w:val="auto"/>
        </w:rPr>
        <w:t>75</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xml:space="preserve">  Capital One Committees:      </w:t>
      </w:r>
    </w:p>
    <w:p>
      <w:pPr>
        <w:spacing w:after="0" w:line="70"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  None</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23C5B"/>
        </w:rPr>
        <w:t>Richard D. Fairbank</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Chairman and Chief Executive Officer, Capital One Financial Corporation</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Fairbank is the founder, CEO and Chairman of Capital One and one of just a few founder-CEOs among America’s largest public companies. In 1987, Mr. Fairbank founded Capital One on the belief that data and technology could change how banking works. He has been the CEO since the Company’s initial public offering in November 1994, and has served as the Chairman since February 1995.</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Mr. Fairbank’s vision and leadership have positioned Capital One as both a top-performing financial services company and a leader in technology, data, and cloud capabilities. The Company has been recognized as one of the most innovative financial services providers in the world. Today, Capital One serves over 100 million customers and has reimagined the banking experience, built an iconic and respected brand, and been consistently recognized as one of the best companies to work for. Most recently, Mr. Fairbank led the Company’s 2025 acquisition of Discover, bringing together two innovative, mission-driven companies and positioning Capital One to compete as both a diversified bank and lender as well as a global payment network.</w:t>
      </w:r>
    </w:p>
    <w:p>
      <w:pPr>
        <w:spacing w:after="0" w:line="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Prior to Capital One, Mr. Fairbank earned his BA and MBA from Stanford University. He became a strategy consultant, advising leading companies on long-term business strategy and growth opportunities. Mr. Fairbank has over three decades of experience in banking and financial services and is deeply knowledgeable about all aspects of the Company’s businesses, capabilities and culture. His qualifications as a Director also include his broad range of skills in the areas of strategy, technology, risk management, customer experience, talent, and public company leadership and governance.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023C5B"/>
        </w:rPr>
        <w:t>Additional Public Directorships:</w:t>
      </w:r>
    </w:p>
    <w:p>
      <w:pPr>
        <w:spacing w:after="0" w:line="57"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163830</wp:posOffset>
            </wp:positionV>
            <wp:extent cx="6929755" cy="26409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26409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380"/>
            <w:col w:w="8260"/>
          </w:cols>
          <w:pgMar w:left="320" w:top="478" w:right="499" w:bottom="1440" w:gutter="0" w:footer="0" w:header="0"/>
          <w:type w:val="continuous"/>
        </w:sectPr>
      </w:pPr>
    </w:p>
    <w:p>
      <w:pPr>
        <w:spacing w:after="0" w:line="397" w:lineRule="exact"/>
        <w:rPr>
          <w:sz w:val="20"/>
          <w:szCs w:val="20"/>
          <w:color w:val="auto"/>
        </w:rPr>
      </w:pPr>
    </w:p>
    <w:p>
      <w:pPr>
        <w:ind w:left="2820"/>
        <w:spacing w:after="0"/>
        <w:rPr>
          <w:sz w:val="20"/>
          <w:szCs w:val="20"/>
          <w:color w:val="auto"/>
        </w:rPr>
      </w:pPr>
      <w:r>
        <w:rPr>
          <w:rFonts w:ascii="Arial" w:cs="Arial" w:eastAsia="Arial" w:hAnsi="Arial"/>
          <w:sz w:val="20"/>
          <w:szCs w:val="20"/>
          <w:b w:val="1"/>
          <w:bCs w:val="1"/>
          <w:i w:val="1"/>
          <w:iCs w:val="1"/>
          <w:color w:val="023C5B"/>
        </w:rPr>
        <w:t>Ime Archibong</w:t>
      </w:r>
    </w:p>
    <w:p>
      <w:pPr>
        <w:spacing w:after="0" w:line="87" w:lineRule="exact"/>
        <w:rPr>
          <w:sz w:val="20"/>
          <w:szCs w:val="20"/>
          <w:color w:val="auto"/>
        </w:rPr>
      </w:pPr>
    </w:p>
    <w:p>
      <w:pPr>
        <w:ind w:left="2820"/>
        <w:spacing w:after="0"/>
        <w:rPr>
          <w:sz w:val="20"/>
          <w:szCs w:val="20"/>
          <w:color w:val="auto"/>
        </w:rPr>
      </w:pPr>
      <w:r>
        <w:rPr>
          <w:rFonts w:ascii="Arial" w:cs="Arial" w:eastAsia="Arial" w:hAnsi="Arial"/>
          <w:sz w:val="16"/>
          <w:szCs w:val="16"/>
          <w:b w:val="1"/>
          <w:bCs w:val="1"/>
          <w:i w:val="1"/>
          <w:iCs w:val="1"/>
          <w:color w:val="auto"/>
        </w:rPr>
        <w:t>Vice President, Product Management and Head of Product at Messenger, Meta</w:t>
      </w:r>
    </w:p>
    <w:p>
      <w:pPr>
        <w:spacing w:after="0" w:line="122" w:lineRule="exact"/>
        <w:rPr>
          <w:sz w:val="20"/>
          <w:szCs w:val="20"/>
          <w:color w:val="auto"/>
        </w:rPr>
      </w:pPr>
    </w:p>
    <w:p>
      <w:pPr>
        <w:jc w:val="both"/>
        <w:ind w:left="2820"/>
        <w:spacing w:after="0" w:line="253" w:lineRule="auto"/>
        <w:rPr>
          <w:sz w:val="20"/>
          <w:szCs w:val="20"/>
          <w:color w:val="auto"/>
        </w:rPr>
      </w:pPr>
      <w:r>
        <w:rPr>
          <w:rFonts w:ascii="Arial" w:cs="Arial" w:eastAsia="Arial" w:hAnsi="Arial"/>
          <w:sz w:val="16"/>
          <w:szCs w:val="16"/>
          <w:color w:val="auto"/>
        </w:rPr>
        <w:t>Mr. Archibong is a seasoned product and business development technology executive. He has served as Vice President, Product Management and Head of Product at Messenger at Meta Platforms, Inc. since March 2023. From August 2019 until March 2023, Mr. Archibong served as Meta’s Head of New Product Experimentation, where he led a multi-disciplinary group focused on product research and development. Prior to that role, Mr. Archibong served as Meta’s Vice President, Product Partnerships from November 2010 to June 2020.</w:t>
      </w:r>
    </w:p>
    <w:p>
      <w:pPr>
        <w:spacing w:after="0" w:line="87" w:lineRule="exact"/>
        <w:rPr>
          <w:sz w:val="20"/>
          <w:szCs w:val="20"/>
          <w:color w:val="auto"/>
        </w:rPr>
      </w:pPr>
    </w:p>
    <w:p>
      <w:pPr>
        <w:jc w:val="both"/>
        <w:ind w:left="2820"/>
        <w:spacing w:after="0" w:line="256" w:lineRule="auto"/>
        <w:rPr>
          <w:sz w:val="20"/>
          <w:szCs w:val="20"/>
          <w:color w:val="auto"/>
        </w:rPr>
      </w:pPr>
      <w:r>
        <w:rPr>
          <w:rFonts w:ascii="Arial" w:cs="Arial" w:eastAsia="Arial" w:hAnsi="Arial"/>
          <w:sz w:val="16"/>
          <w:szCs w:val="16"/>
          <w:color w:val="auto"/>
        </w:rPr>
        <w:t>Prior to joining Meta, from February 2004 to October 2010, Mr. Archibong held roles of increasing responsibility at International Business Machines (IBM), including serving on the Advanced Technology Professional Business Development team focused on the future of storage, the Corporate Strategy team laying the foundation for IBM’s Smarter Cities initiative, and as a software engineer in the Systems and Technology Group.</w:t>
      </w:r>
    </w:p>
    <w:p>
      <w:pPr>
        <w:spacing w:after="0" w:line="50"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023C5B"/>
        </w:rPr>
        <w:t>Additional Public Directorships:</w:t>
      </w:r>
    </w:p>
    <w:p>
      <w:pPr>
        <w:ind w:left="160"/>
        <w:spacing w:after="0" w:line="193" w:lineRule="auto"/>
        <w:rPr>
          <w:sz w:val="20"/>
          <w:szCs w:val="20"/>
          <w:color w:val="auto"/>
        </w:rPr>
      </w:pPr>
      <w:r>
        <w:rPr>
          <w:rFonts w:ascii="Arial" w:cs="Arial" w:eastAsia="Arial" w:hAnsi="Arial"/>
          <w:sz w:val="13"/>
          <w:szCs w:val="13"/>
          <w:b w:val="1"/>
          <w:bCs w:val="1"/>
          <w:color w:val="auto"/>
        </w:rPr>
        <w:t xml:space="preserve">  Director Since:  </w:t>
      </w:r>
      <w:r>
        <w:rPr>
          <w:rFonts w:ascii="Arial" w:cs="Arial" w:eastAsia="Arial" w:hAnsi="Arial"/>
          <w:sz w:val="13"/>
          <w:szCs w:val="13"/>
          <w:color w:val="auto"/>
        </w:rPr>
        <w:t>2021</w:t>
      </w:r>
    </w:p>
    <w:p>
      <w:pPr>
        <w:ind w:left="2820"/>
        <w:spacing w:after="0" w:line="148"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  None</w:t>
      </w:r>
    </w:p>
    <w:p>
      <w:pPr>
        <w:ind w:left="160"/>
        <w:spacing w:after="0"/>
        <w:rPr>
          <w:sz w:val="20"/>
          <w:szCs w:val="20"/>
          <w:color w:val="auto"/>
        </w:rPr>
      </w:pPr>
      <w:r>
        <w:rPr>
          <w:rFonts w:ascii="Arial" w:cs="Arial" w:eastAsia="Arial" w:hAnsi="Arial"/>
          <w:sz w:val="16"/>
          <w:szCs w:val="16"/>
          <w:b w:val="1"/>
          <w:bCs w:val="1"/>
          <w:color w:val="auto"/>
        </w:rPr>
        <w:t xml:space="preserve">  Age:  </w:t>
      </w:r>
      <w:r>
        <w:rPr>
          <w:rFonts w:ascii="Arial" w:cs="Arial" w:eastAsia="Arial" w:hAnsi="Arial"/>
          <w:sz w:val="16"/>
          <w:szCs w:val="16"/>
          <w:color w:val="auto"/>
        </w:rPr>
        <w:t>44</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xml:space="preserve">  Capital One Committees:      </w:t>
      </w:r>
    </w:p>
    <w:p>
      <w:pPr>
        <w:spacing w:after="0" w:line="70"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8"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 - Election of Directors (Item 1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3006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9755" cy="300609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60" w:right="620"/>
        <w:spacing w:after="0" w:line="348" w:lineRule="auto"/>
        <w:rPr>
          <w:sz w:val="20"/>
          <w:szCs w:val="20"/>
          <w:color w:val="auto"/>
        </w:rPr>
      </w:pP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2021</w:t>
      </w:r>
      <w:r>
        <w:rPr>
          <w:rFonts w:ascii="Arial" w:cs="Arial" w:eastAsia="Arial" w:hAnsi="Arial"/>
          <w:sz w:val="16"/>
          <w:szCs w:val="16"/>
          <w:b w:val="1"/>
          <w:bCs w:val="1"/>
          <w:color w:val="auto"/>
        </w:rPr>
        <w:t xml:space="preserve">   Age:  </w:t>
      </w:r>
      <w:r>
        <w:rPr>
          <w:rFonts w:ascii="Arial" w:cs="Arial" w:eastAsia="Arial" w:hAnsi="Arial"/>
          <w:sz w:val="16"/>
          <w:szCs w:val="16"/>
          <w:color w:val="auto"/>
        </w:rPr>
        <w:t>67</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xml:space="preserve">  Capital One Committees:      </w:t>
      </w:r>
    </w:p>
    <w:p>
      <w:pPr>
        <w:spacing w:after="0" w:line="70" w:lineRule="exact"/>
        <w:rPr>
          <w:sz w:val="20"/>
          <w:szCs w:val="20"/>
          <w:color w:val="auto"/>
        </w:rPr>
      </w:pPr>
    </w:p>
    <w:p>
      <w:pPr>
        <w:ind w:left="160" w:right="800"/>
        <w:spacing w:after="0" w:line="253"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  Audit Committee   </w:t>
      </w:r>
      <w:r>
        <w:rPr>
          <w:rFonts w:ascii="MS PGothic" w:cs="MS PGothic" w:eastAsia="MS PGothic" w:hAnsi="MS PGothic"/>
          <w:sz w:val="14"/>
          <w:szCs w:val="14"/>
          <w:color w:val="023C5B"/>
        </w:rPr>
        <w:t>∎</w:t>
      </w:r>
      <w:r>
        <w:rPr>
          <w:rFonts w:ascii="Arial" w:cs="Arial" w:eastAsia="Arial" w:hAnsi="Arial"/>
          <w:sz w:val="16"/>
          <w:szCs w:val="16"/>
          <w:color w:val="auto"/>
        </w:rPr>
        <w:t xml:space="preserve">    Risk Committee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23C5B"/>
        </w:rPr>
        <w:t>Christine Detrick</w:t>
      </w:r>
    </w:p>
    <w:p>
      <w:pPr>
        <w:spacing w:after="0" w:line="87" w:lineRule="exact"/>
        <w:rPr>
          <w:sz w:val="20"/>
          <w:szCs w:val="20"/>
          <w:color w:val="auto"/>
        </w:rPr>
      </w:pPr>
    </w:p>
    <w:p>
      <w:pPr>
        <w:ind w:right="460"/>
        <w:spacing w:after="0" w:line="290" w:lineRule="auto"/>
        <w:rPr>
          <w:sz w:val="20"/>
          <w:szCs w:val="20"/>
          <w:color w:val="auto"/>
        </w:rPr>
      </w:pPr>
      <w:r>
        <w:rPr>
          <w:rFonts w:ascii="Arial" w:cs="Arial" w:eastAsia="Arial" w:hAnsi="Arial"/>
          <w:sz w:val="16"/>
          <w:szCs w:val="16"/>
          <w:b w:val="1"/>
          <w:bCs w:val="1"/>
          <w:i w:val="1"/>
          <w:iCs w:val="1"/>
          <w:color w:val="auto"/>
        </w:rPr>
        <w:t>Former Director, Head of the Americas Financial Services Practice; and Former Senior Advisor, Bain &amp; Company</w:t>
      </w:r>
    </w:p>
    <w:p>
      <w:pPr>
        <w:spacing w:after="0" w:line="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Ms. Detrick is a financial services industry veteran with more than 35 years of senior operating and executive leadership experience. She has deep expertise in the banking and insurance industries across a wide array of sectors, including asset management, credit cards, property and casualty, and life insurance, payments, and other consumer finance segments. From 2002 until 2012, Ms. Detrick was a Senior Partner, Leader of the Financial Services Practice, and a Senior Advisor at Bain &amp; Company, a management consulting firm. Before joining Bain, she served for ten years at A.T. Kearney, Inc., a management consulting firm, including as Leader of the Global Financial Institutions group and a member of the firm’s board of management and board of directors. At Bain and A.T. Kearney, Ms. Detrick served banks on issues of strategy, operational transformation, risk management, and technology.</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Prior to those roles, she was a founding member of a venture capital firm specializing in savings and loan institution turnarounds and served as the Chief Executive Officer of St. Louis Bank for Savings. She was also a consultant at McKinsey and Company earlier in her career. Ms. Detrick also serves on the board of Hartford Mutual Funds, a mutual fund company, as chairman of the board. She previously served on the board of directors of Forest City Realty Trust, a public real estate investment trust, as chair of the Compensation Committee, Reinsurance Group of America, a public reinsurance company, as chair of the Nominating and Governance Committee, and Altus Power, Inc., a public renewables company, as chairman of the board.</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023C5B"/>
        </w:rPr>
        <w:t>Additional Public Directorships:</w:t>
      </w:r>
    </w:p>
    <w:p>
      <w:pPr>
        <w:spacing w:after="0" w:line="57"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  CRA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113030</wp:posOffset>
            </wp:positionV>
            <wp:extent cx="6929755" cy="3057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3057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380"/>
            <w:col w:w="8260"/>
          </w:cols>
          <w:pgMar w:left="320" w:top="47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0" w:right="620"/>
        <w:spacing w:after="0" w:line="348" w:lineRule="auto"/>
        <w:rPr>
          <w:sz w:val="20"/>
          <w:szCs w:val="20"/>
          <w:color w:val="auto"/>
        </w:rPr>
      </w:pP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2024</w:t>
      </w:r>
      <w:r>
        <w:rPr>
          <w:rFonts w:ascii="Arial" w:cs="Arial" w:eastAsia="Arial" w:hAnsi="Arial"/>
          <w:sz w:val="16"/>
          <w:szCs w:val="16"/>
          <w:b w:val="1"/>
          <w:bCs w:val="1"/>
          <w:color w:val="auto"/>
        </w:rPr>
        <w:t xml:space="preserve">   Age:  </w:t>
      </w:r>
      <w:r>
        <w:rPr>
          <w:rFonts w:ascii="Arial" w:cs="Arial" w:eastAsia="Arial" w:hAnsi="Arial"/>
          <w:sz w:val="16"/>
          <w:szCs w:val="16"/>
          <w:color w:val="auto"/>
        </w:rPr>
        <w:t>63</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xml:space="preserve">  Capital One Committees:      </w:t>
      </w:r>
    </w:p>
    <w:p>
      <w:pPr>
        <w:spacing w:after="0" w:line="70" w:lineRule="exact"/>
        <w:rPr>
          <w:sz w:val="20"/>
          <w:szCs w:val="20"/>
          <w:color w:val="auto"/>
        </w:rPr>
      </w:pPr>
    </w:p>
    <w:p>
      <w:pPr>
        <w:ind w:left="160" w:right="800"/>
        <w:spacing w:after="0" w:line="253"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  Audit Committee   </w:t>
      </w:r>
      <w:r>
        <w:rPr>
          <w:rFonts w:ascii="MS PGothic" w:cs="MS PGothic" w:eastAsia="MS PGothic" w:hAnsi="MS PGothic"/>
          <w:sz w:val="14"/>
          <w:szCs w:val="14"/>
          <w:color w:val="023C5B"/>
        </w:rPr>
        <w:t>∎</w:t>
      </w:r>
      <w:r>
        <w:rPr>
          <w:rFonts w:ascii="Arial" w:cs="Arial" w:eastAsia="Arial" w:hAnsi="Arial"/>
          <w:sz w:val="16"/>
          <w:szCs w:val="16"/>
          <w:color w:val="auto"/>
        </w:rPr>
        <w:t xml:space="preserve">    Risk Committee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23C5B"/>
        </w:rPr>
        <w:t>Suni P. Harford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President, UBS Asset Management</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Ms. Harford is a seasoned financial services industry executive with over 30 years of risk management, compliance and banking experience. Ms. Harford served as the President of UBS Asset Management as well as Chair of UBS Asset Management’s Executive Committee and Risk Committee from October 2019 until her retirement in February 2024. From April 2021 until February 2024, Ms. Harford also served as the UBS Group Executive Board Lead for the firm’s sustainability and impact efforts. As head of UBS Group’s Sustainability and Impact organization, Ms. Harford had oversight of the Chief Sustainability Office, responsible for sustainability strategy, external engagement and corporate responsibility across UBS. Ms. Harford joined UBS as the Head of Investments in July 2017, where she was responsible for the investment teams for traditional asset classes and UBS O’Connor, a multi-strategy hedge fund, until September 2019.</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Prior to joining UBS, Ms. Harford worked at Citigroup, Inc., an investment bank and financial services corporation, for almost 25 years, most recently as the Regional Head of Markets for North America. Ms. Harford was also a member of Citibank’s Pension Plan Investment Committee and a director on the board of Citibank Canada.</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Ms. Harford served as a co-chair of the World Economic Forum Global Future Council on Investing and has held seats on the boards of several industry associations, including the Depository Trust and Clearing Corporation and the Securities Industry Financial Management Association.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23C5B"/>
        </w:rPr>
        <w:t>Additional Public Directorships:</w:t>
      </w:r>
    </w:p>
    <w:p>
      <w:pPr>
        <w:spacing w:after="0" w:line="57"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163830</wp:posOffset>
            </wp:positionV>
            <wp:extent cx="69297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380"/>
            <w:col w:w="8260"/>
          </w:cols>
          <w:pgMar w:left="320" w:top="478" w:right="499" w:bottom="1440" w:gutter="0" w:footer="0" w:header="0"/>
          <w:type w:val="continuous"/>
        </w:sectPr>
      </w:pPr>
    </w:p>
    <w:p>
      <w:pPr>
        <w:spacing w:after="0" w:line="199"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 - Election of Directors (Item 1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26498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26498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right="500"/>
        <w:spacing w:after="0" w:line="348" w:lineRule="auto"/>
        <w:rPr>
          <w:sz w:val="20"/>
          <w:szCs w:val="20"/>
          <w:color w:val="auto"/>
        </w:rPr>
      </w:pP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2016</w:t>
      </w:r>
      <w:r>
        <w:rPr>
          <w:rFonts w:ascii="Arial" w:cs="Arial" w:eastAsia="Arial" w:hAnsi="Arial"/>
          <w:sz w:val="16"/>
          <w:szCs w:val="16"/>
          <w:b w:val="1"/>
          <w:bCs w:val="1"/>
          <w:color w:val="auto"/>
        </w:rPr>
        <w:t xml:space="preserve">   Age:  </w:t>
      </w:r>
      <w:r>
        <w:rPr>
          <w:rFonts w:ascii="Arial" w:cs="Arial" w:eastAsia="Arial" w:hAnsi="Arial"/>
          <w:sz w:val="16"/>
          <w:szCs w:val="16"/>
          <w:color w:val="auto"/>
        </w:rPr>
        <w:t>58</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 Capital One Committees:</w:t>
      </w:r>
    </w:p>
    <w:p>
      <w:pPr>
        <w:spacing w:after="0" w:line="70" w:lineRule="exact"/>
        <w:rPr>
          <w:sz w:val="20"/>
          <w:szCs w:val="20"/>
          <w:color w:val="auto"/>
        </w:rPr>
      </w:pPr>
    </w:p>
    <w:p>
      <w:pPr>
        <w:ind w:left="160"/>
        <w:spacing w:after="0" w:line="253"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  Compensation Committee   </w:t>
      </w:r>
      <w:r>
        <w:rPr>
          <w:rFonts w:ascii="MS PGothic" w:cs="MS PGothic" w:eastAsia="MS PGothic" w:hAnsi="MS PGothic"/>
          <w:sz w:val="14"/>
          <w:szCs w:val="14"/>
          <w:color w:val="023C5B"/>
        </w:rPr>
        <w:t>∎</w:t>
      </w:r>
      <w:r>
        <w:rPr>
          <w:rFonts w:ascii="Arial" w:cs="Arial" w:eastAsia="Arial" w:hAnsi="Arial"/>
          <w:sz w:val="16"/>
          <w:szCs w:val="16"/>
          <w:color w:val="auto"/>
        </w:rPr>
        <w:t xml:space="preserve">    Risk Committee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23C5B"/>
        </w:rPr>
        <w:t>Peter Thomas Killalea</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Vice President of Technology, Amazon.com</w:t>
      </w:r>
    </w:p>
    <w:p>
      <w:pPr>
        <w:spacing w:after="0" w:line="1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Mr. Killalea, a seasoned technology executive and advisor, has deep expertise in product development, digital innovation, customer experience, and security. From November 2014 to December 2021, Mr. Killalea served as the owner and President of Aoinle, LLC, a consulting firm. From May 1998 to November 2014, Mr. Killalea served in various senior executive leadership roles at Amazon, most recently as Vice President of Technology for the Kindle Content Ecosystem. He led Amazon’s Infrastructure and Distributed Systems team, which later became a key part of the Amazon Web Services Platform. Prior to that, he served as Amazon’s Chief Information Security Officer and Vice President of Security.</w:t>
      </w:r>
    </w:p>
    <w:p>
      <w:pPr>
        <w:spacing w:after="0" w:line="8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Mr. Killalea previously served on the board of Xoom Corporation (acquired by PayPal Inc.) from March 2015 to November 2015 and Carbon Black, Inc. (acquired by VMware) from April 2017 to October 2019.</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23C5B"/>
        </w:rPr>
        <w:t>Additional Public Directorships:</w:t>
      </w:r>
    </w:p>
    <w:p>
      <w:pPr>
        <w:spacing w:after="0" w:line="57"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  Akamai Technologies, Inc.</w:t>
      </w:r>
    </w:p>
    <w:p>
      <w:pPr>
        <w:spacing w:after="0" w:line="70"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  MongoDB, Inc.</w:t>
      </w:r>
    </w:p>
    <w:p>
      <w:pPr>
        <w:spacing w:after="0" w:line="70"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  Satellogic,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-1658620</wp:posOffset>
            </wp:positionH>
            <wp:positionV relativeFrom="paragraph">
              <wp:posOffset>358775</wp:posOffset>
            </wp:positionV>
            <wp:extent cx="6929755" cy="35585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755" cy="3558540"/>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2320" w:space="460"/>
            <w:col w:w="8300"/>
          </w:cols>
          <w:pgMar w:left="320" w:top="47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0" w:right="620"/>
        <w:spacing w:after="0" w:line="348" w:lineRule="auto"/>
        <w:rPr>
          <w:sz w:val="20"/>
          <w:szCs w:val="20"/>
          <w:color w:val="auto"/>
        </w:rPr>
      </w:pPr>
      <w:r>
        <w:rPr>
          <w:rFonts w:ascii="Arial" w:cs="Arial" w:eastAsia="Arial" w:hAnsi="Arial"/>
          <w:sz w:val="16"/>
          <w:szCs w:val="16"/>
          <w:b w:val="1"/>
          <w:bCs w:val="1"/>
          <w:color w:val="auto"/>
        </w:rPr>
        <w:t>  Director Since:</w:t>
      </w:r>
      <w:r>
        <w:rPr>
          <w:rFonts w:ascii="Arial" w:cs="Arial" w:eastAsia="Arial" w:hAnsi="Arial"/>
          <w:sz w:val="16"/>
          <w:szCs w:val="16"/>
          <w:color w:val="auto"/>
        </w:rPr>
        <w:t xml:space="preserve">  2019</w:t>
      </w:r>
      <w:r>
        <w:rPr>
          <w:rFonts w:ascii="Arial" w:cs="Arial" w:eastAsia="Arial" w:hAnsi="Arial"/>
          <w:sz w:val="16"/>
          <w:szCs w:val="16"/>
          <w:b w:val="1"/>
          <w:bCs w:val="1"/>
          <w:color w:val="auto"/>
        </w:rPr>
        <w:t xml:space="preserve">   Age:  </w:t>
      </w:r>
      <w:r>
        <w:rPr>
          <w:rFonts w:ascii="Arial" w:cs="Arial" w:eastAsia="Arial" w:hAnsi="Arial"/>
          <w:sz w:val="16"/>
          <w:szCs w:val="16"/>
          <w:color w:val="auto"/>
        </w:rPr>
        <w:t>65</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xml:space="preserve">  Capital One Committees:      </w:t>
      </w:r>
    </w:p>
    <w:p>
      <w:pPr>
        <w:spacing w:after="0" w:line="70"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  Audit Committee</w:t>
      </w:r>
    </w:p>
    <w:p>
      <w:pPr>
        <w:spacing w:after="0" w:line="83" w:lineRule="exact"/>
        <w:rPr>
          <w:sz w:val="20"/>
          <w:szCs w:val="20"/>
          <w:color w:val="auto"/>
        </w:rPr>
      </w:pPr>
    </w:p>
    <w:p>
      <w:pPr>
        <w:ind w:left="160" w:right="120"/>
        <w:spacing w:after="0" w:line="253"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  Compensation Committee   </w:t>
      </w:r>
      <w:r>
        <w:rPr>
          <w:rFonts w:ascii="MS PGothic" w:cs="MS PGothic" w:eastAsia="MS PGothic" w:hAnsi="MS PGothic"/>
          <w:sz w:val="14"/>
          <w:szCs w:val="14"/>
          <w:color w:val="023C5B"/>
        </w:rPr>
        <w:t>∎</w:t>
      </w:r>
      <w:r>
        <w:rPr>
          <w:rFonts w:ascii="Arial" w:cs="Arial" w:eastAsia="Arial" w:hAnsi="Arial"/>
          <w:sz w:val="16"/>
          <w:szCs w:val="16"/>
          <w:color w:val="auto"/>
        </w:rPr>
        <w:t xml:space="preserve">    Risk Committee (Chair)</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23C5B"/>
        </w:rPr>
        <w:t>Eli Leenaars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Group Chief Operating Officer, Quintet Private Bank</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Leenaars has over 30 years of experience in the financial services sector, including institutional and investment banking, asset management, corporate and retail banking, and in cultivating sophisticated client relationships. Mr. Leenaars has experience managing businesses through a wide range of matters including mergers and acquisitions, complex corporate restructurings, strategic initiatives, and challenging financial environments.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From June 2021 through December 2023, Mr. Leenaars served as Group Chief Operating Officer of Quintet Private Bank and was a member of its Authorized Management Committee. Prior to joining Quintet, Mr. Leenaars served as Vice Chairman of the Global Wealth Management Division at UBS Group AG, a Swiss multinational investment bank and financial services company, from April 2015 to May 2021. In this role, he engaged on senior relationship management with a focus on UBS’s largest non-U.S. clientele.</w:t>
      </w:r>
    </w:p>
    <w:p>
      <w:pPr>
        <w:spacing w:after="0" w:line="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Prior to joining UBS, Mr. Leenaars had a 24-year career at ING Group N.V., a Dutch multinational banking and financial services company, and various of its subsidiaries. From January 2010 until March 2015, he served as the CEO of ING Retail Banking Direct and International for ING, where he was responsible for Retail Banking and Private Banking worldwide. This included serving as CEO of ING Direct N.V., the parent company of ING Direct in the U.S., which pioneered the national direct deposit platform. Between 2004 and 2010, Mr. Leenaars was also a member of ING’s Executive Board with responsibility for ING’s Global Retail and Private Banking operations and Group Technology and Operations. In addition, Mr. Leenaars previously served as a member of our Board from May 2012 to September 2012 in connection with Capital One’s acquisition of ING Direct.</w:t>
      </w:r>
    </w:p>
    <w:p>
      <w:pPr>
        <w:spacing w:after="0" w:line="9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Mr. Leenaars is a member of the Executive Committee of the Trilateral Commission (Paris, Tokyo, and Washington, DC).</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23C5B"/>
        </w:rPr>
        <w:t>Additional Public Directorships:</w:t>
      </w:r>
    </w:p>
    <w:p>
      <w:pPr>
        <w:spacing w:after="0" w:line="57"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113030</wp:posOffset>
            </wp:positionV>
            <wp:extent cx="69297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380"/>
            <w:col w:w="8260"/>
          </w:cols>
          <w:pgMar w:left="320" w:top="478" w:right="499" w:bottom="1440" w:gutter="0" w:footer="0" w:header="0"/>
          <w:type w:val="continuous"/>
        </w:sectPr>
      </w:pPr>
    </w:p>
    <w:p>
      <w:pPr>
        <w:spacing w:after="0" w:line="111"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 - Election of Directors (Item 1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289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29755" cy="28956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right="700"/>
        <w:spacing w:after="0" w:line="348" w:lineRule="auto"/>
        <w:rPr>
          <w:sz w:val="20"/>
          <w:szCs w:val="20"/>
          <w:color w:val="auto"/>
        </w:rPr>
      </w:pP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2019</w:t>
      </w:r>
      <w:r>
        <w:rPr>
          <w:rFonts w:ascii="Arial" w:cs="Arial" w:eastAsia="Arial" w:hAnsi="Arial"/>
          <w:sz w:val="16"/>
          <w:szCs w:val="16"/>
          <w:b w:val="1"/>
          <w:bCs w:val="1"/>
          <w:color w:val="auto"/>
        </w:rPr>
        <w:t xml:space="preserve">   Age:  </w:t>
      </w:r>
      <w:r>
        <w:rPr>
          <w:rFonts w:ascii="Arial" w:cs="Arial" w:eastAsia="Arial" w:hAnsi="Arial"/>
          <w:sz w:val="16"/>
          <w:szCs w:val="16"/>
          <w:color w:val="auto"/>
        </w:rPr>
        <w:t>54</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xml:space="preserve">  Capital One Committees:      </w:t>
      </w:r>
    </w:p>
    <w:p>
      <w:pPr>
        <w:spacing w:after="0" w:line="70" w:lineRule="exact"/>
        <w:rPr>
          <w:sz w:val="20"/>
          <w:szCs w:val="20"/>
          <w:color w:val="auto"/>
        </w:rPr>
      </w:pPr>
    </w:p>
    <w:p>
      <w:pPr>
        <w:ind w:left="160" w:right="200"/>
        <w:spacing w:after="0" w:line="206"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  Compensation Committee       (Chair)</w:t>
      </w:r>
    </w:p>
    <w:p>
      <w:pPr>
        <w:spacing w:after="0" w:line="44" w:lineRule="exact"/>
        <w:rPr>
          <w:sz w:val="20"/>
          <w:szCs w:val="20"/>
          <w:color w:val="auto"/>
        </w:rPr>
      </w:pPr>
    </w:p>
    <w:p>
      <w:pPr>
        <w:ind w:left="160"/>
        <w:spacing w:after="0" w:line="206"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  Governance and Nominating        Committee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23C5B"/>
        </w:rPr>
        <w:t>François Locoh-Donou</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President, Chief Executive Officer, and Director, F5, Inc.</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Mr. Locoh-Donou is President and Chief Executive Officer of F5, Inc. and a member of the company’s board of directors. Since joining F5 as CEO in April 2017, he has spearheaded the company’s business transformation from a networking hardware maker to a software- and SaaS-first leader in multi-cloud application security and delivery. He has also been instrumental in the company’s cultural transformation to a high-performance, human-first organization energized by F5’s purpose to bring a better digital world to life.</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Prior to joining F5, Mr. Locoh-Donou served as Chief Operating Officer at Ciena, a global networking solutions provider to the telecom industry. His leadership positions there also included executive roles in the Product, Sales, and Marketing organizations. He also held research and development roles at Photonetics, a French opto-electronics company.</w:t>
      </w:r>
    </w:p>
    <w:p>
      <w:pPr>
        <w:spacing w:after="0" w:line="84"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Raised in Togo and France, Mr. Locoh-Donou is the co-founder and chairman of Cajou Espoir, a cashew processing business employing several hundred people, mostly women, in rural Togo.</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23C5B"/>
        </w:rPr>
        <w:t>Additional Public Directorships:</w:t>
      </w:r>
    </w:p>
    <w:p>
      <w:pPr>
        <w:spacing w:after="0" w:line="11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  F5,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605155</wp:posOffset>
            </wp:positionV>
            <wp:extent cx="6929755" cy="43141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9755" cy="4314190"/>
                    </a:xfrm>
                    <a:prstGeom prst="rect">
                      <a:avLst/>
                    </a:prstGeom>
                    <a:noFill/>
                  </pic:spPr>
                </pic:pic>
              </a:graphicData>
            </a:graphic>
          </wp:anchor>
        </w:drawing>
      </w:r>
    </w:p>
    <w:p>
      <w:pPr>
        <w:spacing w:after="0" w:line="1015" w:lineRule="exact"/>
        <w:rPr>
          <w:sz w:val="20"/>
          <w:szCs w:val="20"/>
          <w:color w:val="auto"/>
        </w:rPr>
      </w:pPr>
    </w:p>
    <w:p>
      <w:pPr>
        <w:sectPr>
          <w:pgSz w:w="11900" w:h="16838" w:orient="portrait"/>
          <w:cols w:equalWidth="0" w:num="2">
            <w:col w:w="2520" w:space="300"/>
            <w:col w:w="8260"/>
          </w:cols>
          <w:pgMar w:left="320" w:top="47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  Lead Independent Director*</w:t>
      </w:r>
    </w:p>
    <w:p>
      <w:pPr>
        <w:spacing w:after="0" w:line="81" w:lineRule="exact"/>
        <w:rPr>
          <w:sz w:val="20"/>
          <w:szCs w:val="20"/>
          <w:color w:val="auto"/>
        </w:rPr>
      </w:pPr>
    </w:p>
    <w:p>
      <w:pPr>
        <w:ind w:left="160" w:right="740"/>
        <w:spacing w:after="0" w:line="348" w:lineRule="auto"/>
        <w:rPr>
          <w:sz w:val="20"/>
          <w:szCs w:val="20"/>
          <w:color w:val="auto"/>
        </w:rPr>
      </w:pP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2012</w:t>
      </w:r>
      <w:r>
        <w:rPr>
          <w:rFonts w:ascii="Arial" w:cs="Arial" w:eastAsia="Arial" w:hAnsi="Arial"/>
          <w:sz w:val="16"/>
          <w:szCs w:val="16"/>
          <w:b w:val="1"/>
          <w:bCs w:val="1"/>
          <w:color w:val="auto"/>
        </w:rPr>
        <w:t xml:space="preserve">   Age:  </w:t>
      </w:r>
      <w:r>
        <w:rPr>
          <w:rFonts w:ascii="Arial" w:cs="Arial" w:eastAsia="Arial" w:hAnsi="Arial"/>
          <w:sz w:val="16"/>
          <w:szCs w:val="16"/>
          <w:color w:val="auto"/>
        </w:rPr>
        <w:t>69</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xml:space="preserve">  Capital One Committees:      </w:t>
      </w:r>
    </w:p>
    <w:p>
      <w:pPr>
        <w:spacing w:after="0" w:line="70"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  Governance and Nominating</w:t>
      </w:r>
    </w:p>
    <w:p>
      <w:pPr>
        <w:spacing w:after="0" w:line="32" w:lineRule="exact"/>
        <w:rPr>
          <w:sz w:val="20"/>
          <w:szCs w:val="20"/>
          <w:color w:val="auto"/>
        </w:rPr>
      </w:pPr>
    </w:p>
    <w:p>
      <w:pPr>
        <w:ind w:left="160" w:right="680" w:firstLine="7"/>
        <w:spacing w:after="0" w:line="238" w:lineRule="exact"/>
        <w:tabs>
          <w:tab w:leader="none" w:pos="321" w:val="left"/>
        </w:tabs>
        <w:numPr>
          <w:ilvl w:val="0"/>
          <w:numId w:val="22"/>
        </w:numPr>
        <w:rPr>
          <w:rFonts w:ascii="Arial" w:cs="Arial" w:eastAsia="Arial" w:hAnsi="Arial"/>
          <w:sz w:val="15"/>
          <w:szCs w:val="15"/>
          <w:color w:val="auto"/>
        </w:rPr>
      </w:pPr>
      <w:r>
        <w:rPr>
          <w:rFonts w:ascii="Arial" w:cs="Arial" w:eastAsia="Arial" w:hAnsi="Arial"/>
          <w:sz w:val="15"/>
          <w:szCs w:val="15"/>
          <w:color w:val="auto"/>
        </w:rPr>
        <w:t>     Committee (Chair)*   </w:t>
      </w:r>
      <w:r>
        <w:rPr>
          <w:rFonts w:ascii="MS PGothic" w:cs="MS PGothic" w:eastAsia="MS PGothic" w:hAnsi="MS PGothic"/>
          <w:sz w:val="13"/>
          <w:szCs w:val="13"/>
          <w:color w:val="023C5B"/>
        </w:rPr>
        <w:t>∎</w:t>
      </w:r>
      <w:r>
        <w:rPr>
          <w:rFonts w:ascii="Arial" w:cs="Arial" w:eastAsia="Arial" w:hAnsi="Arial"/>
          <w:sz w:val="15"/>
          <w:szCs w:val="15"/>
          <w:color w:val="auto"/>
        </w:rPr>
        <w:t xml:space="preserve">    Risk Committee</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    The Board, upon the</w:t>
      </w:r>
    </w:p>
    <w:p>
      <w:pPr>
        <w:spacing w:after="0" w:line="19" w:lineRule="exact"/>
        <w:rPr>
          <w:sz w:val="20"/>
          <w:szCs w:val="20"/>
          <w:color w:val="auto"/>
        </w:rPr>
      </w:pPr>
    </w:p>
    <w:p>
      <w:pPr>
        <w:ind w:left="320" w:hanging="153"/>
        <w:spacing w:after="0"/>
        <w:tabs>
          <w:tab w:leader="none" w:pos="3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     recommendation of the</w:t>
      </w:r>
    </w:p>
    <w:p>
      <w:pPr>
        <w:spacing w:after="0" w:line="14" w:lineRule="exact"/>
        <w:rPr>
          <w:rFonts w:ascii="Arial" w:cs="Arial" w:eastAsia="Arial" w:hAnsi="Arial"/>
          <w:sz w:val="15"/>
          <w:szCs w:val="15"/>
          <w:color w:val="auto"/>
        </w:rPr>
      </w:pPr>
    </w:p>
    <w:p>
      <w:pPr>
        <w:ind w:left="160" w:right="20" w:firstLine="7"/>
        <w:spacing w:after="0" w:line="260" w:lineRule="auto"/>
        <w:tabs>
          <w:tab w:leader="none" w:pos="321" w:val="left"/>
        </w:tabs>
        <w:numPr>
          <w:ilvl w:val="0"/>
          <w:numId w:val="23"/>
        </w:numPr>
        <w:rPr>
          <w:rFonts w:ascii="Arial" w:cs="Arial" w:eastAsia="Arial" w:hAnsi="Arial"/>
          <w:sz w:val="15"/>
          <w:szCs w:val="15"/>
          <w:color w:val="auto"/>
        </w:rPr>
      </w:pPr>
      <w:r>
        <w:rPr>
          <w:rFonts w:ascii="Arial" w:cs="Arial" w:eastAsia="Arial" w:hAnsi="Arial"/>
          <w:sz w:val="15"/>
          <w:szCs w:val="15"/>
          <w:color w:val="auto"/>
        </w:rPr>
        <w:t>     Governance and Nominating        Committee, intends to</w:t>
      </w:r>
    </w:p>
    <w:p>
      <w:pPr>
        <w:spacing w:after="0" w:line="1" w:lineRule="exact"/>
        <w:rPr>
          <w:sz w:val="20"/>
          <w:szCs w:val="20"/>
          <w:color w:val="auto"/>
        </w:rPr>
      </w:pPr>
    </w:p>
    <w:p>
      <w:pPr>
        <w:ind w:left="240" w:hanging="73"/>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  appoint Mr. Raskind to the</w:t>
      </w:r>
    </w:p>
    <w:p>
      <w:pPr>
        <w:spacing w:after="0" w:line="26" w:lineRule="exact"/>
        <w:rPr>
          <w:rFonts w:ascii="Arial" w:cs="Arial" w:eastAsia="Arial" w:hAnsi="Arial"/>
          <w:sz w:val="14"/>
          <w:szCs w:val="14"/>
          <w:color w:val="auto"/>
        </w:rPr>
      </w:pPr>
    </w:p>
    <w:p>
      <w:pPr>
        <w:ind w:left="240" w:hanging="73"/>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  positions of Lead</w:t>
      </w:r>
    </w:p>
    <w:p>
      <w:pPr>
        <w:spacing w:after="0" w:line="26" w:lineRule="exact"/>
        <w:rPr>
          <w:rFonts w:ascii="Arial" w:cs="Arial" w:eastAsia="Arial" w:hAnsi="Arial"/>
          <w:sz w:val="14"/>
          <w:szCs w:val="14"/>
          <w:color w:val="auto"/>
        </w:rPr>
      </w:pPr>
    </w:p>
    <w:p>
      <w:pPr>
        <w:ind w:left="240" w:hanging="73"/>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  Independent Director and</w:t>
      </w:r>
    </w:p>
    <w:p>
      <w:pPr>
        <w:spacing w:after="0" w:line="26" w:lineRule="exact"/>
        <w:rPr>
          <w:rFonts w:ascii="Arial" w:cs="Arial" w:eastAsia="Arial" w:hAnsi="Arial"/>
          <w:sz w:val="14"/>
          <w:szCs w:val="14"/>
          <w:color w:val="auto"/>
        </w:rPr>
      </w:pPr>
    </w:p>
    <w:p>
      <w:pPr>
        <w:ind w:left="240" w:hanging="73"/>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  Chair of the Governance and</w:t>
      </w:r>
    </w:p>
    <w:p>
      <w:pPr>
        <w:spacing w:after="0" w:line="26" w:lineRule="exact"/>
        <w:rPr>
          <w:rFonts w:ascii="Arial" w:cs="Arial" w:eastAsia="Arial" w:hAnsi="Arial"/>
          <w:sz w:val="14"/>
          <w:szCs w:val="14"/>
          <w:color w:val="auto"/>
        </w:rPr>
      </w:pPr>
    </w:p>
    <w:p>
      <w:pPr>
        <w:ind w:left="240" w:hanging="73"/>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  Nominating Committee,</w:t>
      </w:r>
    </w:p>
    <w:p>
      <w:pPr>
        <w:spacing w:after="0" w:line="26" w:lineRule="exact"/>
        <w:rPr>
          <w:rFonts w:ascii="Arial" w:cs="Arial" w:eastAsia="Arial" w:hAnsi="Arial"/>
          <w:sz w:val="14"/>
          <w:szCs w:val="14"/>
          <w:color w:val="auto"/>
        </w:rPr>
      </w:pPr>
    </w:p>
    <w:p>
      <w:pPr>
        <w:ind w:left="240" w:hanging="73"/>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  effective May 8, 2026</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23C5B"/>
        </w:rPr>
        <w:t>Peter E. Raskind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Chairman, President, and Chief Executive Officer, National City Corporation</w:t>
      </w:r>
    </w:p>
    <w:p>
      <w:pPr>
        <w:spacing w:after="0" w:line="1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Mr. Raskind has more than 45 years of banking experience, including in corporate banking, retail banking, wealth management/trust, mortgage, operations, technology, strategy, product management, asset/liability management, risk management and acquisition integration. Through his extensive banking career, he has served in a number of senior executive leadership roles and held positions of successively greater responsibility in a broad range of consumer and commercial banking disciplines, including cash management services, corporate finance, international banking, wealth management and corporate trust, retail and small business banking, operations, and strategic planning.</w:t>
      </w:r>
    </w:p>
    <w:p>
      <w:pPr>
        <w:spacing w:after="0" w:line="8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Most recently, Mr. Raskind was a consultant to banks and equity bank investors as the owner of JMB Consulting, LLC, which he established in February 2009 and managed through 2017. Prior to founding JMB Consulting, Mr. Raskind served as Chairman, President and Chief Executive Officer of National City Corporation, one of the largest banks in the United States, until its merger with PNC Financial Services Group in December 2008. Mr. Raskind has served as a director of United Community Banks, Inc. and Visa USA and Visa International. He also served on the board of directors of the Consumer Bankers Association, was a member of the Financial Services Roundtable, and on the executive committee of the National Automated Clearing House Association. In addition, Mr. Raskind served as Interim Chief Executive Officer of the Cleveland Metropolitan School District in 2011, and in 2010, he served as Interim Chief Executive Officer of the Cleveland-Cuyahoga County Port Authority.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023C5B"/>
        </w:rPr>
        <w:t>Additional Public Directorships:</w:t>
      </w:r>
    </w:p>
    <w:p>
      <w:pPr>
        <w:spacing w:after="0" w:line="11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1344295</wp:posOffset>
            </wp:positionV>
            <wp:extent cx="69297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98" w:lineRule="exact"/>
        <w:rPr>
          <w:sz w:val="20"/>
          <w:szCs w:val="20"/>
          <w:color w:val="auto"/>
        </w:rPr>
      </w:pPr>
    </w:p>
    <w:p>
      <w:pPr>
        <w:sectPr>
          <w:pgSz w:w="11900" w:h="16838" w:orient="portrait"/>
          <w:cols w:equalWidth="0" w:num="2">
            <w:col w:w="2560" w:space="260"/>
            <w:col w:w="8260"/>
          </w:cols>
          <w:pgMar w:left="320" w:top="478" w:right="499" w:bottom="1440" w:gutter="0" w:footer="0" w:header="0"/>
          <w:type w:val="continuous"/>
        </w:sectPr>
      </w:pPr>
    </w:p>
    <w:p>
      <w:pPr>
        <w:spacing w:after="0" w:line="300"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 - Election of Directors (Item 1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2811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2811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right="620"/>
        <w:spacing w:after="0" w:line="348" w:lineRule="auto"/>
        <w:rPr>
          <w:sz w:val="20"/>
          <w:szCs w:val="20"/>
          <w:color w:val="auto"/>
        </w:rPr>
      </w:pP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2020</w:t>
      </w:r>
      <w:r>
        <w:rPr>
          <w:rFonts w:ascii="Arial" w:cs="Arial" w:eastAsia="Arial" w:hAnsi="Arial"/>
          <w:sz w:val="16"/>
          <w:szCs w:val="16"/>
          <w:b w:val="1"/>
          <w:bCs w:val="1"/>
          <w:color w:val="auto"/>
        </w:rPr>
        <w:t xml:space="preserve">   Age:  </w:t>
      </w:r>
      <w:r>
        <w:rPr>
          <w:rFonts w:ascii="Arial" w:cs="Arial" w:eastAsia="Arial" w:hAnsi="Arial"/>
          <w:sz w:val="16"/>
          <w:szCs w:val="16"/>
          <w:color w:val="auto"/>
        </w:rPr>
        <w:t>71</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xml:space="preserve">  Capital One Committees:      </w:t>
      </w:r>
    </w:p>
    <w:p>
      <w:pPr>
        <w:spacing w:after="0" w:line="70"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  Audit Committee (Chair)</w:t>
      </w:r>
    </w:p>
    <w:p>
      <w:pPr>
        <w:spacing w:after="0" w:line="83"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  Risk Committee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23C5B"/>
        </w:rPr>
        <w:t>Eileen Serra</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Senior Advisor, JPMorgan Chase &amp; Co.; Former Chief Executive Officer, Chase Card Services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Ms. Serra served in various leadership roles over the course of her more than 20 years in the financial services industry, which included responsibility for operations, product development, customer engagement, digital transformation, strategic and growth initiatives, and talent management. Prior to her financial services experience, Ms. Serra was a partner in a strategy consulting firm.</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 seasoned credit card industry executive, Ms. Serra served in a variety of executive positions at JPMorgan Chase</w:t>
      </w:r>
    </w:p>
    <w:p>
      <w:pPr>
        <w:spacing w:after="0" w:line="19" w:lineRule="exact"/>
        <w:rPr>
          <w:sz w:val="20"/>
          <w:szCs w:val="20"/>
          <w:color w:val="auto"/>
        </w:rPr>
      </w:pPr>
    </w:p>
    <w:p>
      <w:pPr>
        <w:jc w:val="both"/>
        <w:ind w:firstLine="4"/>
        <w:spacing w:after="0" w:line="249" w:lineRule="auto"/>
        <w:tabs>
          <w:tab w:leader="none" w:pos="158"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 including as Chief Executive Officer of Chase Card Services from 2012 to 2016 and most recently as Senior Advisor focusing on strategic growth initiatives from 2016 until her retirement in February 2018. While at JPMorgan Chase, Ms. Serra established and developed successful consumer credit card products and brands, loyalty programs, partner relationships, and digital mobile payment solutions.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Prior to joining JPMorgan Chase in 2006, Ms. Serra was a Managing Director and Head of Private Client Banking Solutions at Merrill Lynch. She also served as Senior Vice President at American Express where, among other responsibilities, she led the Small Business Credit Card and Lending businesses. Prior to American Express, she was a partner at McKinsey &amp; Company. Ms. Serra previously served as a director and member of the audit committee of Boxed, Inc.</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023C5B"/>
        </w:rPr>
        <w:t>Additional Public Directorships:</w:t>
      </w:r>
    </w:p>
    <w:p>
      <w:pPr>
        <w:spacing w:after="0" w:line="11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  Gartner,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163830</wp:posOffset>
            </wp:positionV>
            <wp:extent cx="6929755" cy="30486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29755" cy="3048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380"/>
            <w:col w:w="8260"/>
          </w:cols>
          <w:pgMar w:left="320" w:top="47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 w:right="700"/>
        <w:spacing w:after="0" w:line="348" w:lineRule="auto"/>
        <w:rPr>
          <w:sz w:val="20"/>
          <w:szCs w:val="20"/>
          <w:color w:val="auto"/>
        </w:rPr>
      </w:pP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2003</w:t>
      </w:r>
      <w:r>
        <w:rPr>
          <w:rFonts w:ascii="Arial" w:cs="Arial" w:eastAsia="Arial" w:hAnsi="Arial"/>
          <w:sz w:val="16"/>
          <w:szCs w:val="16"/>
          <w:b w:val="1"/>
          <w:bCs w:val="1"/>
          <w:color w:val="auto"/>
        </w:rPr>
        <w:t xml:space="preserve">   Age:  </w:t>
      </w:r>
      <w:r>
        <w:rPr>
          <w:rFonts w:ascii="Arial" w:cs="Arial" w:eastAsia="Arial" w:hAnsi="Arial"/>
          <w:sz w:val="16"/>
          <w:szCs w:val="16"/>
          <w:color w:val="auto"/>
        </w:rPr>
        <w:t>71</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xml:space="preserve">  Capital One Committees:      </w:t>
      </w:r>
    </w:p>
    <w:p>
      <w:pPr>
        <w:spacing w:after="0" w:line="70"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  Compensation Committee</w:t>
      </w:r>
    </w:p>
    <w:p>
      <w:pPr>
        <w:spacing w:after="0" w:line="83" w:lineRule="exact"/>
        <w:rPr>
          <w:sz w:val="20"/>
          <w:szCs w:val="20"/>
          <w:color w:val="auto"/>
        </w:rPr>
      </w:pPr>
    </w:p>
    <w:p>
      <w:pPr>
        <w:ind w:left="160"/>
        <w:spacing w:after="0" w:line="206"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  Governance and Nominating        Committee</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23C5B"/>
        </w:rPr>
        <w:t>Mayo A. Shattuck III</w:t>
      </w:r>
    </w:p>
    <w:p>
      <w:pPr>
        <w:spacing w:after="0" w:line="87" w:lineRule="exact"/>
        <w:rPr>
          <w:sz w:val="20"/>
          <w:szCs w:val="20"/>
          <w:color w:val="auto"/>
        </w:rPr>
      </w:pPr>
    </w:p>
    <w:p>
      <w:pPr>
        <w:ind w:right="880"/>
        <w:spacing w:after="0" w:line="290" w:lineRule="auto"/>
        <w:rPr>
          <w:sz w:val="20"/>
          <w:szCs w:val="20"/>
          <w:color w:val="auto"/>
        </w:rPr>
      </w:pPr>
      <w:r>
        <w:rPr>
          <w:rFonts w:ascii="Arial" w:cs="Arial" w:eastAsia="Arial" w:hAnsi="Arial"/>
          <w:sz w:val="16"/>
          <w:szCs w:val="16"/>
          <w:b w:val="1"/>
          <w:bCs w:val="1"/>
          <w:i w:val="1"/>
          <w:iCs w:val="1"/>
          <w:color w:val="auto"/>
        </w:rPr>
        <w:t>Former Chairman, Exelon Corporation; Former Chairman, President, and Chief Executive Officer, Constellation Energy Group</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Mr. Shattuck has decades of experience in global corporate finance and lending, corporate strategy, capital markets, risk management, executive compensation, and private banking. He has led two large, publicly held companies and has served on other public company boards.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From 2013 to April 2022, Mr. Shattuck served as Chairman of the Board of Chicago-based Exelon Corporation, a Fortune 100 company that owned six utilities and was the nation’s largest competitive energy provider and commercial nuclear plant operator. Previously, Mr. Shattuck was Chairman, President, and Chief Executive Officer of Constellation Energy Group, a position he held from 2001 to 2012.</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Mr. Shattuck has extensive experience in the financial services industry. He was previously at Deutsche Bank, where he served as Global Head of Investment Banking, Global Head of Private Banking and Chairman of Deutsche Bank Alex. Brown. From 1997 to 1999, Mr. Shattuck served as Vice Chairman of Bankers Trust Corporation, which merged with Deutsche Bank in 1999. In addition, from 1991 to 1997, Mr. Shattuck was President, Chief Operating Officer and a director of Alex. Brown &amp; Sons, an investment bank, which merged with Bankers Trust in 1997. Mr. Shattuck is the former Chairman of the Institute of Nuclear Power Operations.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023C5B"/>
        </w:rPr>
        <w:t>Additional Public Directorships:</w:t>
      </w:r>
    </w:p>
    <w:p>
      <w:pPr>
        <w:spacing w:after="0" w:line="57"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  Gap, Inc.</w:t>
      </w:r>
    </w:p>
    <w:p>
      <w:pPr>
        <w:spacing w:after="0" w:line="70"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  Hut 8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113030</wp:posOffset>
            </wp:positionV>
            <wp:extent cx="69297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00"/>
            <w:col w:w="8260"/>
          </w:cols>
          <w:pgMar w:left="320" w:top="478" w:right="499" w:bottom="1440" w:gutter="0" w:footer="0" w:header="0"/>
          <w:type w:val="continuous"/>
        </w:sectPr>
      </w:pPr>
    </w:p>
    <w:p>
      <w:pPr>
        <w:spacing w:after="0" w:line="111"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 - Election of Directors (Item 1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26244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26244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right="620"/>
        <w:spacing w:after="0" w:line="348" w:lineRule="auto"/>
        <w:rPr>
          <w:sz w:val="20"/>
          <w:szCs w:val="20"/>
          <w:color w:val="auto"/>
        </w:rPr>
      </w:pP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2025</w:t>
      </w:r>
      <w:r>
        <w:rPr>
          <w:rFonts w:ascii="Arial" w:cs="Arial" w:eastAsia="Arial" w:hAnsi="Arial"/>
          <w:sz w:val="16"/>
          <w:szCs w:val="16"/>
          <w:b w:val="1"/>
          <w:bCs w:val="1"/>
          <w:color w:val="auto"/>
        </w:rPr>
        <w:t xml:space="preserve">   Age:</w:t>
      </w:r>
      <w:r>
        <w:rPr>
          <w:rFonts w:ascii="Arial" w:cs="Arial" w:eastAsia="Arial" w:hAnsi="Arial"/>
          <w:sz w:val="16"/>
          <w:szCs w:val="16"/>
          <w:color w:val="auto"/>
        </w:rPr>
        <w:t xml:space="preserve">  70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xml:space="preserve">  Capital One Committees:      </w:t>
      </w:r>
    </w:p>
    <w:p>
      <w:pPr>
        <w:spacing w:after="0" w:line="70" w:lineRule="exact"/>
        <w:rPr>
          <w:sz w:val="20"/>
          <w:szCs w:val="20"/>
          <w:color w:val="auto"/>
        </w:rPr>
      </w:pPr>
    </w:p>
    <w:p>
      <w:pPr>
        <w:ind w:left="160" w:right="800"/>
        <w:spacing w:after="0" w:line="253"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  Audit Committee   </w:t>
      </w:r>
      <w:r>
        <w:rPr>
          <w:rFonts w:ascii="MS PGothic" w:cs="MS PGothic" w:eastAsia="MS PGothic" w:hAnsi="MS PGothic"/>
          <w:sz w:val="14"/>
          <w:szCs w:val="14"/>
          <w:color w:val="023C5B"/>
        </w:rPr>
        <w:t>∎</w:t>
      </w:r>
      <w:r>
        <w:rPr>
          <w:rFonts w:ascii="Arial" w:cs="Arial" w:eastAsia="Arial" w:hAnsi="Arial"/>
          <w:sz w:val="16"/>
          <w:szCs w:val="16"/>
          <w:color w:val="auto"/>
        </w:rPr>
        <w:t xml:space="preserve">    Risk Committee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23C5B"/>
        </w:rPr>
        <w:t>J. Michael Shepherd</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Former Interim Chief Executive Officer, Discover Financial Services</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Shepherd was appointed to the Capital One Board of Directors effective May 18, 2025 in connection with Capital One’s acquisition of Discover. Mr. Shepherd served as the interim Chief Executive Officer and President of Discover from April 2024 until Capital One’s acquisition of Discover. He also served as a member of the board of directors of Discover from August 2023 until Capital One’s acquisition of Discover.</w:t>
      </w:r>
    </w:p>
    <w:p>
      <w:pPr>
        <w:spacing w:after="0" w:line="8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Before joining Discover, Mr. Shepherd was Chairman and CEO of BancWest Corporation and a Director and the Chair of BNP Paribas, USA. Prior to BancWest, he was General Counsel of The Bank of New York Company, Inc. and Shawmut National Corporation. He served in government as Senior Deputy Comptroller of the Currency, Associate Counsel to the President of the United States and Deputy Assistant Attorney General.</w:t>
      </w:r>
    </w:p>
    <w:p>
      <w:pPr>
        <w:spacing w:after="0" w:line="8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Mr. Shepherd has previously served as a Member and President of the Federal Advisory Council of the Federal Reserve Board, as a Member of the FDIC Advisory Committee on Economic Inclusion and as a Director of The Clearing House.</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023C5B"/>
        </w:rPr>
        <w:t>Additional Public Directorships:</w:t>
      </w:r>
    </w:p>
    <w:p>
      <w:pPr>
        <w:spacing w:after="0" w:line="11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333375</wp:posOffset>
            </wp:positionV>
            <wp:extent cx="6929755" cy="29044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2904490"/>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2440" w:space="380"/>
            <w:col w:w="8260"/>
          </w:cols>
          <w:pgMar w:left="320" w:top="47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right="700"/>
        <w:spacing w:after="0" w:line="348" w:lineRule="auto"/>
        <w:rPr>
          <w:sz w:val="20"/>
          <w:szCs w:val="20"/>
          <w:color w:val="auto"/>
        </w:rPr>
      </w:pP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2021</w:t>
      </w:r>
      <w:r>
        <w:rPr>
          <w:rFonts w:ascii="Arial" w:cs="Arial" w:eastAsia="Arial" w:hAnsi="Arial"/>
          <w:sz w:val="16"/>
          <w:szCs w:val="16"/>
          <w:b w:val="1"/>
          <w:bCs w:val="1"/>
          <w:color w:val="auto"/>
        </w:rPr>
        <w:t xml:space="preserve">   Age:</w:t>
      </w:r>
      <w:r>
        <w:rPr>
          <w:rFonts w:ascii="Arial" w:cs="Arial" w:eastAsia="Arial" w:hAnsi="Arial"/>
          <w:sz w:val="16"/>
          <w:szCs w:val="16"/>
          <w:color w:val="auto"/>
        </w:rPr>
        <w:t xml:space="preserve">  56</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xml:space="preserve">  Capital One Committees:      </w:t>
      </w:r>
    </w:p>
    <w:p>
      <w:pPr>
        <w:spacing w:after="0" w:line="70"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  Compensation Committee</w:t>
      </w:r>
    </w:p>
    <w:p>
      <w:pPr>
        <w:spacing w:after="0" w:line="83" w:lineRule="exact"/>
        <w:rPr>
          <w:sz w:val="20"/>
          <w:szCs w:val="20"/>
          <w:color w:val="auto"/>
        </w:rPr>
      </w:pPr>
    </w:p>
    <w:p>
      <w:pPr>
        <w:ind w:left="160"/>
        <w:spacing w:after="0" w:line="206"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  Governance and Nominating        Committee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23C5B"/>
        </w:rPr>
        <w:t>Craig Anthony Williams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Advisor and Former Executive Vice President, Chief Commercial Officer, NIKE, Inc.</w:t>
      </w:r>
    </w:p>
    <w:p>
      <w:pPr>
        <w:spacing w:after="0" w:line="12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Mr. Williams, a seasoned business executive, has extensive experience in general management, marketing, product development, cross-functional team leadership and driving global strategy and operations. From March 2025 to December 2025, Mr. Williams served as the Executive Vice President, Chief Commercial Officer at NIKE, Inc., and currently serves as an advisor. He previously served as President, Geographies and Marketplace at NIKE, Inc. from May 2023 until March 2025, where he led NIKE’s direct and wholesale business in addition to leading NIKE’s supply chain and logistics. From January 2019 until May 2023, he served as President of Jordan Brand at NIKE, Inc., where he led a cross-functional team focused on the brand’s vision, strategy and global revenue growth. Prior to joining NIKE, Inc., Mr. Williams was Senior Vice President, The Coca-Cola Co. and President of The Global McDonald’s Division (TMD) from January 2016 to January 2019, where he was responsible for brand and category growth. During his time at The Coca-Cola Co., Mr. Williams held a variety of executive roles within TMD Worldwide, including Senior Vice President and Chief Operating Officer, Vice President U.S., Assistant Vice President of U.S. Marketing and Group Director of U.S. Marketing. Prior to joining The Coca-Cola Co. in June 2005, Mr. Williams was a Global Marketing Director at CIBA Vision Corporation, a contact lenses and lens care product manufacturer, a brand management executive at Kraft Foods Inc., and served as a Naval Nuclear Power Officer in the U.S. Navy.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023C5B"/>
        </w:rPr>
        <w:t>Additional Public Directorships:</w:t>
      </w:r>
    </w:p>
    <w:p>
      <w:pPr>
        <w:spacing w:after="0" w:line="11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248920</wp:posOffset>
            </wp:positionV>
            <wp:extent cx="69297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07" w:lineRule="exact"/>
        <w:rPr>
          <w:sz w:val="20"/>
          <w:szCs w:val="20"/>
          <w:color w:val="auto"/>
        </w:rPr>
      </w:pPr>
    </w:p>
    <w:p>
      <w:pPr>
        <w:sectPr>
          <w:pgSz w:w="11900" w:h="16838" w:orient="portrait"/>
          <w:cols w:equalWidth="0" w:num="2">
            <w:col w:w="2520" w:space="300"/>
            <w:col w:w="8260"/>
          </w:cols>
          <w:pgMar w:left="320" w:top="478" w:right="499" w:bottom="1440" w:gutter="0" w:footer="0" w:header="0"/>
          <w:type w:val="continuous"/>
        </w:sectPr>
      </w:pPr>
    </w:p>
    <w:p>
      <w:pPr>
        <w:spacing w:after="0" w:line="267"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 - Election of Directors (Item 1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2454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29755" cy="245427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right="620"/>
        <w:spacing w:after="0" w:line="348" w:lineRule="auto"/>
        <w:rPr>
          <w:sz w:val="20"/>
          <w:szCs w:val="20"/>
          <w:color w:val="auto"/>
        </w:rPr>
      </w:pPr>
      <w:r>
        <w:rPr>
          <w:rFonts w:ascii="Arial" w:cs="Arial" w:eastAsia="Arial" w:hAnsi="Arial"/>
          <w:sz w:val="16"/>
          <w:szCs w:val="16"/>
          <w:b w:val="1"/>
          <w:bCs w:val="1"/>
          <w:color w:val="auto"/>
        </w:rPr>
        <w:t xml:space="preserve">  Director Since:  </w:t>
      </w:r>
      <w:r>
        <w:rPr>
          <w:rFonts w:ascii="Arial" w:cs="Arial" w:eastAsia="Arial" w:hAnsi="Arial"/>
          <w:sz w:val="16"/>
          <w:szCs w:val="16"/>
          <w:color w:val="auto"/>
        </w:rPr>
        <w:t>2025</w:t>
      </w:r>
      <w:r>
        <w:rPr>
          <w:rFonts w:ascii="Arial" w:cs="Arial" w:eastAsia="Arial" w:hAnsi="Arial"/>
          <w:sz w:val="16"/>
          <w:szCs w:val="16"/>
          <w:b w:val="1"/>
          <w:bCs w:val="1"/>
          <w:color w:val="auto"/>
        </w:rPr>
        <w:t xml:space="preserve">   Age:</w:t>
      </w:r>
      <w:r>
        <w:rPr>
          <w:rFonts w:ascii="Arial" w:cs="Arial" w:eastAsia="Arial" w:hAnsi="Arial"/>
          <w:sz w:val="16"/>
          <w:szCs w:val="16"/>
          <w:color w:val="auto"/>
        </w:rPr>
        <w:t xml:space="preserve">  51</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xml:space="preserve">  Capital One Committees:      </w:t>
      </w:r>
    </w:p>
    <w:p>
      <w:pPr>
        <w:spacing w:after="0" w:line="70"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  </w:t>
      </w:r>
      <w:r>
        <w:rPr>
          <w:rFonts w:ascii="MS PGothic" w:cs="MS PGothic" w:eastAsia="MS PGothic" w:hAnsi="MS PGothic"/>
          <w:sz w:val="14"/>
          <w:szCs w:val="14"/>
          <w:color w:val="023C5B"/>
        </w:rPr>
        <w:t>∎</w:t>
      </w:r>
      <w:r>
        <w:rPr>
          <w:rFonts w:ascii="Arial" w:cs="Arial" w:eastAsia="Arial" w:hAnsi="Arial"/>
          <w:sz w:val="16"/>
          <w:szCs w:val="16"/>
          <w:color w:val="auto"/>
        </w:rPr>
        <w:t xml:space="preserve">    Risk Committee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23C5B"/>
        </w:rPr>
        <w:t>Jennifer L. Wong</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Chief Operating Officer, Reddit, Inc.</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Ms. Wong was appointed to the Board of Directors effective May 18, 2025 in connection with Capital One’s acquisition of Discover. She served as a member of the Discover board of directors from 2019 until the closing of the Discover Transaction. Ms. Wong has been Chief Operating Officer of Reddit, Inc., a community and discussion platform, since 2018, where she oversees business strategy and growth, and related terms for the company. She previously served as Time, Inc.’s president of digital and then its chief operating officer from 2016 to 2018, where she led growth strategy and digital business transformation. Prior to that, Ms. Wong held the role of Chief Business Officer, from 2011 to 2015, at Popsugar, Inc., a media and technology company, where she led business operations and the company’s media and commerce businesses.</w:t>
      </w:r>
    </w:p>
    <w:p>
      <w:pPr>
        <w:spacing w:after="0" w:line="9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Earlier in her career, Ms. Wong held several executive management roles at AOL and worked with a range of digital media and technology clients at McKinsey &amp; Company.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23C5B"/>
        </w:rPr>
        <w:t>Additional Public Directorships:</w:t>
      </w:r>
    </w:p>
    <w:p>
      <w:pPr>
        <w:spacing w:after="0" w:line="111" w:lineRule="exact"/>
        <w:rPr>
          <w:sz w:val="20"/>
          <w:szCs w:val="20"/>
          <w:color w:val="auto"/>
        </w:rPr>
      </w:pPr>
    </w:p>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  IMAX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358775</wp:posOffset>
            </wp:positionV>
            <wp:extent cx="69297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641" w:lineRule="exact"/>
        <w:rPr>
          <w:sz w:val="20"/>
          <w:szCs w:val="20"/>
          <w:color w:val="auto"/>
        </w:rPr>
      </w:pPr>
    </w:p>
    <w:p>
      <w:pPr>
        <w:sectPr>
          <w:pgSz w:w="11900" w:h="16838" w:orient="portrait"/>
          <w:cols w:equalWidth="0" w:num="2">
            <w:col w:w="2440" w:space="380"/>
            <w:col w:w="8260"/>
          </w:cols>
          <w:pgMar w:left="320" w:top="478" w:right="499" w:bottom="1440" w:gutter="0" w:footer="0" w:header="0"/>
          <w:type w:val="continuous"/>
        </w:sectPr>
      </w:pPr>
    </w:p>
    <w:p>
      <w:pPr>
        <w:spacing w:after="0" w:line="58"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7620</wp:posOffset>
            </wp:positionV>
            <wp:extent cx="69297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 - Election of Directors (Item 1 on Proxy Card)</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Director Nominee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168910</wp:posOffset>
            </wp:positionV>
            <wp:extent cx="3770630" cy="2462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770630" cy="2462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What We Look for in Individual Director Nominees</w:t>
      </w:r>
    </w:p>
    <w:p>
      <w:pPr>
        <w:spacing w:after="0" w:line="22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evaluation and selection of director nominees is a key aspect of the Governance and Nominating Committee’s regular evaluation of the composition of, and criteria for membership on, the Board and its commitment to ongoing Board refreshment. When considering director nominees, including incumbent directors standing for re-election, nominees to fill vacancies on the Board, and nominees recommended by stockholders, the Governance and Nominating Committee focuses on certain criteria when developing and evaluating the Board’s composition. Among the criteria considered, the Governance and Nominating Committee considers each director nominee’s relevant skills and experience, commitment to the Company, diversity of experience and background, and relevant personal traits. For more information regarding our Governance and Nominating Committee’s and our Board’s perspectives on Board composition, recruitment priorities, and refreshment, see “Corporate Governance at Capital One—Key Board Governance Practices—Our Perspectives on Overall Board Composition and Refreshment” beginning on page 24.</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Other Considerations</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For new candidates, the Governance and Nominating Committee also considers the results of the candidate’s interviews with directors and/or members of senior management and any background checks the Governance and Nominating Committee deems appropriate. In 2025, Capital One continued its engagement with Spencer Stuart, a third-party director search firm, to identify and evaluate potential director candidates based on the criteria and principles described above.</w:t>
      </w:r>
    </w:p>
    <w:p>
      <w:pPr>
        <w:spacing w:after="0" w:line="178" w:lineRule="exact"/>
        <w:rPr>
          <w:sz w:val="20"/>
          <w:szCs w:val="20"/>
          <w:color w:val="auto"/>
        </w:rPr>
      </w:pPr>
    </w:p>
    <w:p>
      <w:pPr>
        <w:jc w:val="both"/>
        <w:ind w:left="160"/>
        <w:spacing w:after="0" w:line="262" w:lineRule="auto"/>
        <w:rPr>
          <w:sz w:val="20"/>
          <w:szCs w:val="20"/>
          <w:color w:val="auto"/>
        </w:rPr>
      </w:pPr>
      <w:r>
        <w:rPr>
          <w:rFonts w:ascii="Arial" w:cs="Arial" w:eastAsia="Arial" w:hAnsi="Arial"/>
          <w:sz w:val="17"/>
          <w:szCs w:val="17"/>
          <w:color w:val="auto"/>
        </w:rPr>
        <w:t>When evaluating incumbent directors, the Governance and Nominating Committee also considers each director’s performance throughout the year, including the director’s attendance at, preparation for, and participation in Board and committee meetings, the director’s annual evaluation, including feedback received from fellow Board members, the director’s outside commitments, and the director’s willingness to serve for an additional term, as further described in the section “Annual Assessment of Individual Director Nominees” on page 32.</w:t>
      </w:r>
    </w:p>
    <w:p>
      <w:pPr>
        <w:spacing w:after="0" w:line="96"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 - Election of Directors (Item 1 on Proxy Card)</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Skills and Experience of Our Director Nominees</w:t>
      </w:r>
    </w:p>
    <w:p>
      <w:pPr>
        <w:spacing w:after="0" w:line="22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Governance and Nominating Committee and the Board regularly review the Board’s membership in light of Capital One’s business model and strategic goals and objectives, the regulatory environment, and financial market conditions. In its review, the Governance and Nominating Committee considers whether the Board continues to possess the appropriate mix of skills and experience to oversee the Company in achieving these goals, and may seek additional directors as a result of this review. Our director nominees have the requisite experiences that, in the aggregate, meet an articulated set of director skills established by the Governance and Nominating Committee. These skills collectively allow our director nominees to effectively oversee the Company and create an engaged, effective, and strategically oriented board. For more information on our Board’s skills, experience, tenure, and independence, please see the detailed director skills and demographics matrix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145415</wp:posOffset>
            </wp:positionV>
            <wp:extent cx="6964045" cy="68700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64045" cy="687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028"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 - Election of Directors (Item 1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46621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29755" cy="466217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19"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FFFFFF"/>
        </w:rPr>
        <w:t>Strategic Planning and</w:t>
      </w:r>
    </w:p>
    <w:p>
      <w:pPr>
        <w:spacing w:after="0" w:line="12"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FFFFFF"/>
        </w:rPr>
        <w:t>Transformation</w:t>
      </w:r>
    </w:p>
    <w:p>
      <w:pPr>
        <w:spacing w:after="0" w:line="323"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FFFFFF"/>
        </w:rPr>
        <w:t>Banking and Financial Services</w:t>
      </w:r>
    </w:p>
    <w:p>
      <w:pPr>
        <w:spacing w:after="0" w:line="248" w:lineRule="exact"/>
        <w:rPr>
          <w:sz w:val="20"/>
          <w:szCs w:val="20"/>
          <w:color w:val="auto"/>
        </w:rPr>
      </w:pPr>
    </w:p>
    <w:p>
      <w:pPr>
        <w:jc w:val="center"/>
        <w:ind w:left="200"/>
        <w:spacing w:after="0" w:line="276" w:lineRule="auto"/>
        <w:rPr>
          <w:sz w:val="20"/>
          <w:szCs w:val="20"/>
          <w:color w:val="auto"/>
        </w:rPr>
      </w:pPr>
      <w:r>
        <w:rPr>
          <w:rFonts w:ascii="Arial" w:cs="Arial" w:eastAsia="Arial" w:hAnsi="Arial"/>
          <w:sz w:val="17"/>
          <w:szCs w:val="17"/>
          <w:b w:val="1"/>
          <w:bCs w:val="1"/>
          <w:color w:val="FFFFFF"/>
        </w:rPr>
        <w:t>Consumer Lending, Retail Banking and/or Commercial Banking Executive</w:t>
      </w:r>
    </w:p>
    <w:p>
      <w:pPr>
        <w:spacing w:after="0" w:line="75"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FFFFFF"/>
        </w:rPr>
        <w:t>Digital and Technology</w:t>
      </w:r>
    </w:p>
    <w:p>
      <w:pPr>
        <w:spacing w:after="0" w:line="234"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FFFFFF"/>
        </w:rPr>
        <w:t>Cybersecurity</w:t>
      </w:r>
    </w:p>
    <w:p>
      <w:pPr>
        <w:spacing w:after="0" w:line="341"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FFFFFF"/>
        </w:rPr>
        <w:t>Technology Executive</w:t>
      </w:r>
    </w:p>
    <w:p>
      <w:pPr>
        <w:spacing w:after="0" w:line="248"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FFFFFF"/>
        </w:rPr>
        <w:t>Risk Management and</w:t>
      </w:r>
    </w:p>
    <w:p>
      <w:pPr>
        <w:spacing w:after="0" w:line="12"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FFFFFF"/>
        </w:rPr>
        <w:t>Compliance</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FFFFFF"/>
        </w:rPr>
        <w:t>Public Company Senior</w:t>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FFFFFF"/>
        </w:rPr>
        <w:t>Executive Management</w:t>
      </w:r>
    </w:p>
    <w:p>
      <w:pPr>
        <w:spacing w:after="0" w:line="123" w:lineRule="exact"/>
        <w:rPr>
          <w:sz w:val="20"/>
          <w:szCs w:val="20"/>
          <w:color w:val="auto"/>
        </w:rPr>
      </w:pPr>
    </w:p>
    <w:p>
      <w:pPr>
        <w:jc w:val="center"/>
        <w:ind w:left="200"/>
        <w:spacing w:after="0" w:line="277" w:lineRule="auto"/>
        <w:rPr>
          <w:sz w:val="20"/>
          <w:szCs w:val="20"/>
          <w:color w:val="auto"/>
        </w:rPr>
      </w:pPr>
      <w:r>
        <w:rPr>
          <w:rFonts w:ascii="Arial" w:cs="Arial" w:eastAsia="Arial" w:hAnsi="Arial"/>
          <w:sz w:val="18"/>
          <w:szCs w:val="18"/>
          <w:b w:val="1"/>
          <w:bCs w:val="1"/>
          <w:color w:val="FFFFFF"/>
        </w:rPr>
        <w:t>Public Accounting and Financial Reporting</w:t>
      </w:r>
    </w:p>
    <w:p>
      <w:pPr>
        <w:spacing w:after="0" w:line="71" w:lineRule="exact"/>
        <w:rPr>
          <w:sz w:val="20"/>
          <w:szCs w:val="20"/>
          <w:color w:val="auto"/>
        </w:rPr>
      </w:pPr>
    </w:p>
    <w:p>
      <w:pPr>
        <w:jc w:val="center"/>
        <w:ind w:left="200"/>
        <w:spacing w:after="0" w:line="254" w:lineRule="auto"/>
        <w:rPr>
          <w:sz w:val="20"/>
          <w:szCs w:val="20"/>
          <w:color w:val="auto"/>
        </w:rPr>
      </w:pPr>
      <w:r>
        <w:rPr>
          <w:rFonts w:ascii="Arial" w:cs="Arial" w:eastAsia="Arial" w:hAnsi="Arial"/>
          <w:sz w:val="18"/>
          <w:szCs w:val="18"/>
          <w:b w:val="1"/>
          <w:bCs w:val="1"/>
          <w:color w:val="FFFFFF"/>
        </w:rPr>
        <w:t>Talent Management, Compensation, and Succession Planning</w:t>
      </w:r>
    </w:p>
    <w:p>
      <w:pPr>
        <w:spacing w:after="0" w:line="185"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FFFFFF"/>
        </w:rPr>
        <w:t>Public Company Governance</w:t>
      </w:r>
    </w:p>
    <w:p>
      <w:pPr>
        <w:spacing w:after="0" w:line="248"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FFFFFF"/>
        </w:rPr>
        <w:t>Regulated Industries and</w:t>
      </w:r>
    </w:p>
    <w:p>
      <w:pPr>
        <w:spacing w:after="0" w:line="12"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FFFFFF"/>
        </w:rPr>
        <w:t>Regulatory Issues</w:t>
      </w:r>
    </w:p>
    <w:p>
      <w:pPr>
        <w:spacing w:after="0" w:line="123"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FFFFFF"/>
        </w:rPr>
        <w:t>Marketing</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ind w:right="100"/>
        <w:spacing w:after="0" w:line="249" w:lineRule="auto"/>
        <w:rPr>
          <w:sz w:val="20"/>
          <w:szCs w:val="20"/>
          <w:color w:val="auto"/>
        </w:rPr>
      </w:pPr>
      <w:r>
        <w:rPr>
          <w:rFonts w:ascii="Arial" w:cs="Arial" w:eastAsia="Arial" w:hAnsi="Arial"/>
          <w:sz w:val="18"/>
          <w:szCs w:val="18"/>
          <w:color w:val="auto"/>
        </w:rPr>
        <w:t>Experience setting a long-term corporate vision or direction, developing desirable products and customer segments, assessing geographies in which to operate, and evaluating competitive positioning</w:t>
      </w:r>
    </w:p>
    <w:p>
      <w:pPr>
        <w:spacing w:after="0" w:line="105"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Extended board experience or management experience in Retail Banking, Commercial Banking, Consumer Lending, Small Business Banking, Investment Banking, and/or other financial services</w:t>
      </w:r>
    </w:p>
    <w:p>
      <w:pPr>
        <w:spacing w:after="0" w:line="185"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Executive level experience and oversight of Retail Banking, Consumer Lending, and/or Commercial Banking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Leadership and understanding of technology and digital platforms</w:t>
      </w:r>
    </w:p>
    <w:p>
      <w:pPr>
        <w:spacing w:after="0" w:line="141"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Experience with or oversight of cybersecurity (e.g., prior work experience, possession of a cybersecurity certification or degree or other knowledge, skills or background in cybersecurity)</w:t>
      </w:r>
    </w:p>
    <w:p>
      <w:pPr>
        <w:spacing w:after="0" w:line="91"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Executive-level experience with direct oversight and expertise in technology, digital platforms, and cybersecurity risk</w:t>
      </w:r>
    </w:p>
    <w:p>
      <w:pPr>
        <w:spacing w:after="0" w:line="91"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Significant understanding with respect to the identification, assessment, and oversight of risk management programs and practices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Experience as a CEO or other senior executive at a public company</w:t>
      </w:r>
    </w:p>
    <w:p>
      <w:pPr>
        <w:spacing w:after="0" w:line="248"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Experience overseeing or assessing the performance of companies or public accountants with respect to the preparation, auditing, or evaluation of financial statements</w:t>
      </w:r>
    </w:p>
    <w:p>
      <w:pPr>
        <w:spacing w:after="0" w:line="185"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Understanding of the issues involved with executive compensation, succession planning, human capital management, and talent management and development</w:t>
      </w:r>
    </w:p>
    <w:p>
      <w:pPr>
        <w:spacing w:after="0" w:line="198"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Extended experience serving as a director on a large public company board and/or experience with public company governance issues and policies, including governance best practices</w:t>
      </w:r>
    </w:p>
    <w:p>
      <w:pPr>
        <w:spacing w:after="0" w:line="91"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Experience with regulated businesses, regulatory requirements, and relationships with state and federal agencies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Experience with or oversight of marketing strategy and brand management</w:t>
      </w:r>
    </w:p>
    <w:p>
      <w:pPr>
        <w:spacing w:after="0" w:line="221" w:lineRule="exact"/>
        <w:rPr>
          <w:sz w:val="20"/>
          <w:szCs w:val="20"/>
          <w:color w:val="auto"/>
        </w:rPr>
      </w:pPr>
    </w:p>
    <w:p>
      <w:pPr>
        <w:jc w:val="right"/>
        <w:spacing w:after="0"/>
        <w:tabs>
          <w:tab w:leader="none" w:pos="2340" w:val="left"/>
          <w:tab w:leader="none" w:pos="28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3517900</wp:posOffset>
            </wp:positionH>
            <wp:positionV relativeFrom="paragraph">
              <wp:posOffset>-97155</wp:posOffset>
            </wp:positionV>
            <wp:extent cx="8255" cy="178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2">
            <w:col w:w="2960" w:space="160"/>
            <w:col w:w="7960"/>
          </w:cols>
          <w:pgMar w:left="320" w:top="478" w:right="4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II - Corporate Governance at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297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0"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Overview of Corporate Governance at Capital One</w:t>
      </w:r>
    </w:p>
    <w:p>
      <w:pPr>
        <w:spacing w:after="0" w:line="22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Capital One is dedicated to strong and effective corporate governance that is designed to provide the appropriate framework for the Board to engage with and oversee the management of the Company. Robust and dynamic corporate governance policies and practices are the foundation of an effective and well-functioning board and are vital to preserving the trust of our stakeholders, including customers, stockholders, regulators, suppliers, associates, our communities, and the general public.</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Information About Our Corporate Governance Policies and Guidelines</w:t>
      </w:r>
    </w:p>
    <w:p>
      <w:pPr>
        <w:spacing w:after="0" w:line="22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Board has adopted Corporate Governance Guidelines to formalize its governance practices and provide its view of effective governance. Our Corporate Governance Guidelines embody many of our long-standing practices, policies, and procedures, which collectively form a corporate governance framework that promotes the long-term interests of our stockholders, promotes responsible decision-making and accountability, and fosters a culture that allows our Board and management to pursue Capital One’s strategic objectives.</w:t>
      </w:r>
    </w:p>
    <w:p>
      <w:pPr>
        <w:spacing w:after="0" w:line="182"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To maintain and enhance independent oversight, our Board regularly reviews and refreshes its governance policies and practices in connection with changes in corporate strategy, the regulatory environment, financial market conditions, industry best practices, or other significant events, as well as in response to investor and other stakeholder feedback and engagement.</w:t>
      </w:r>
    </w:p>
    <w:p>
      <w:pPr>
        <w:spacing w:after="0" w:line="17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Board has also adopted Capital One’s Code of Conduct, which applies to Capital One’s directors, executives, and associates, including Capital One’s CEO, CFO, Chief Accounting Officer, Chief Risk Officers, and other associates performing similar functions. The Code of Conduct reflects Capital One’s commitment to honesty, fair dealing, and integrity, and guides the ethical actions and working relationships of Capital One’s directors, executives, and associates.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a description of the key governance practices of our Board, see “Key Board Governance Practices” beginning on page 26.</w:t>
      </w:r>
    </w:p>
    <w:p>
      <w:pPr>
        <w:spacing w:after="0" w:line="20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following corporate governance documents are available at www.capitalone.com under “Investors,” then “Governance &amp; Leadership,” then “Board of Directors and Committee Documents” or “Organizational and Governance Documents,” as applicable.</w:t>
      </w:r>
    </w:p>
    <w:p>
      <w:pPr>
        <w:sectPr>
          <w:pgSz w:w="11900" w:h="16838" w:orient="portrait"/>
          <w:cols w:equalWidth="0" w:num="1">
            <w:col w:w="11080"/>
          </w:cols>
          <w:pgMar w:left="320" w:top="478" w:right="499" w:bottom="1440" w:gutter="0" w:footer="0" w:header="0"/>
        </w:sectPr>
      </w:pPr>
    </w:p>
    <w:p>
      <w:pPr>
        <w:spacing w:after="0" w:line="96" w:lineRule="exact"/>
        <w:rPr>
          <w:sz w:val="20"/>
          <w:szCs w:val="20"/>
          <w:color w:val="auto"/>
        </w:rPr>
      </w:pPr>
    </w:p>
    <w:p>
      <w:pPr>
        <w:ind w:left="480"/>
        <w:spacing w:after="0" w:line="141" w:lineRule="exact"/>
        <w:rPr>
          <w:sz w:val="20"/>
          <w:szCs w:val="20"/>
          <w:color w:val="auto"/>
        </w:rPr>
      </w:pPr>
      <w:r>
        <w:rPr>
          <w:rFonts w:ascii="MS PGothic" w:cs="MS PGothic" w:eastAsia="MS PGothic" w:hAnsi="MS PGothic"/>
          <w:sz w:val="14"/>
          <w:szCs w:val="14"/>
          <w:color w:val="023C5B"/>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Amended and Restated Bylaws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023C5B"/>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Restated Certificate of Incorporation</w:t>
      </w:r>
    </w:p>
    <w:p>
      <w:pPr>
        <w:spacing w:after="0" w:line="104" w:lineRule="exact"/>
        <w:rPr>
          <w:sz w:val="20"/>
          <w:szCs w:val="20"/>
          <w:color w:val="auto"/>
        </w:rPr>
      </w:pPr>
    </w:p>
    <w:p>
      <w:pPr>
        <w:sectPr>
          <w:pgSz w:w="11900" w:h="16838" w:orient="portrait"/>
          <w:cols w:equalWidth="0" w:num="4">
            <w:col w:w="580" w:space="280"/>
            <w:col w:w="4480" w:space="720"/>
            <w:col w:w="80" w:space="280"/>
            <w:col w:w="4660"/>
          </w:cols>
          <w:pgMar w:left="320" w:top="478" w:right="499" w:bottom="1440" w:gutter="0" w:footer="0" w:header="0"/>
          <w:type w:val="continuous"/>
        </w:sectPr>
      </w:pPr>
    </w:p>
    <w:p>
      <w:pPr>
        <w:ind w:left="480"/>
        <w:spacing w:after="0" w:line="141" w:lineRule="exact"/>
        <w:rPr>
          <w:sz w:val="20"/>
          <w:szCs w:val="20"/>
          <w:color w:val="auto"/>
        </w:rPr>
      </w:pPr>
      <w:r>
        <w:rPr>
          <w:rFonts w:ascii="MS PGothic" w:cs="MS PGothic" w:eastAsia="MS PGothic" w:hAnsi="MS PGothic"/>
          <w:sz w:val="14"/>
          <w:szCs w:val="14"/>
          <w:color w:val="023C5B"/>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Corporate Governance Guidelines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023C5B"/>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Code of Conduct</w:t>
      </w:r>
    </w:p>
    <w:p>
      <w:pPr>
        <w:spacing w:after="0" w:line="71" w:lineRule="exact"/>
        <w:rPr>
          <w:sz w:val="20"/>
          <w:szCs w:val="20"/>
          <w:color w:val="auto"/>
        </w:rPr>
      </w:pPr>
    </w:p>
    <w:p>
      <w:pPr>
        <w:sectPr>
          <w:pgSz w:w="11900" w:h="16838" w:orient="portrait"/>
          <w:cols w:equalWidth="0" w:num="4">
            <w:col w:w="580" w:space="280"/>
            <w:col w:w="4480" w:space="720"/>
            <w:col w:w="80" w:space="280"/>
            <w:col w:w="4660"/>
          </w:cols>
          <w:pgMar w:left="320" w:top="478" w:right="499" w:bottom="1440" w:gutter="0" w:footer="0" w:header="0"/>
          <w:type w:val="continuous"/>
        </w:sectPr>
      </w:pPr>
    </w:p>
    <w:p>
      <w:pPr>
        <w:ind w:left="860" w:hanging="372"/>
        <w:spacing w:after="0"/>
        <w:tabs>
          <w:tab w:leader="none" w:pos="860" w:val="left"/>
        </w:tabs>
        <w:numPr>
          <w:ilvl w:val="0"/>
          <w:numId w:val="2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Board Committee Charters</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Board Leadership Structure</w:t>
      </w:r>
    </w:p>
    <w:p>
      <w:pPr>
        <w:spacing w:after="0" w:line="200"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Independent Directors annually evaluate the continued effectiveness of the Board’s leadership structure, including the effectiveness of the combined Chairman/CEO and Lead Independent Director leadership structure, in the context of Capital One’s specific circumstances, culture, strategic objectives, and challenges. The Board currently believes that it is in the best interests of the Company and its stockholders that the Chairman and CEO roles should be held by the same person.</w:t>
      </w:r>
    </w:p>
    <w:p>
      <w:pPr>
        <w:spacing w:after="0" w:line="17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We believe that our existing Board leadership structure of a combined Chairman/CEO and a Lead Independent Director provides the most effective governance framework and allows our Company to benefit from</w:t>
      </w:r>
    </w:p>
    <w:p>
      <w:pPr>
        <w:spacing w:after="0" w:line="83"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4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Mr. Fairbank’s talent, knowledge, and leadership as the founder of Capital One and allows him to use the in-depth focus and perspective gained in operating the Company’s day-to-day operations, strategic planning, and risk management to effectively and efficiently lead our Board. Recognizing the importance of independent perspectives on the Board, Capital One appropriately maintains a strong counterbalance and effective oversight of our business and affairs through our Lead Independent Director and our Independent Directors; fully independent Board committees with independent chairs who oversee the Company’s operations, risks, performance, and business strategy; experienced and committed directors; and regular executive sessions.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Lead Independent Director</w:t>
      </w:r>
    </w:p>
    <w:p>
      <w:pPr>
        <w:spacing w:after="0" w:line="22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Our Board believes that an active and empowered Lead Independent Director is key to providing strong, independent leadership for the Board. The Lead Independent Director position, appointed annually by the other Independent Directors upon the recommendation of the Governance and Nominating Committee, is a critical aspect of our corporate governance framework. Our current Lead Independent Director, Ann Hackett, will not stand for reelection and will retire from the Board on May 8, 2026, and the Board intends to appoint Peter Raskind as our new Lead Independent Director. The Board believes that Mr. Raskind’s experience enables him to provide valuable and independent views to the boardroom and ensure active communication between management and our Independent Directors to support their oversight responsibilities, including with respect to management of risks and opportunities presented by the markets in which Capital One competes.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accordance with our Corporate Governance Guidelines, the Lead Independent Director’s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29755" cy="186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FFFFFF"/>
        </w:rPr>
        <w:t>Board Leadership</w:t>
      </w:r>
    </w:p>
    <w:p>
      <w:pPr>
        <w:spacing w:after="0" w:line="102" w:lineRule="exact"/>
        <w:rPr>
          <w:sz w:val="20"/>
          <w:szCs w:val="20"/>
          <w:color w:val="auto"/>
        </w:rPr>
      </w:pPr>
    </w:p>
    <w:p>
      <w:pPr>
        <w:ind w:left="700" w:hanging="399"/>
        <w:spacing w:after="0"/>
        <w:tabs>
          <w:tab w:leader="none" w:pos="700" w:val="left"/>
        </w:tabs>
        <w:numPr>
          <w:ilvl w:val="0"/>
          <w:numId w:val="27"/>
        </w:numPr>
        <w:rPr>
          <w:rFonts w:ascii="MS PGothic" w:cs="MS PGothic" w:eastAsia="MS PGothic" w:hAnsi="MS PGothic"/>
          <w:sz w:val="14"/>
          <w:szCs w:val="14"/>
          <w:color w:val="023C5B"/>
        </w:rPr>
      </w:pPr>
      <w:r>
        <w:rPr>
          <w:rFonts w:ascii="Arial" w:cs="Arial" w:eastAsia="Arial" w:hAnsi="Arial"/>
          <w:sz w:val="18"/>
          <w:szCs w:val="18"/>
          <w:color w:val="auto"/>
        </w:rPr>
        <w:t>Organizing, setting agendas for, and leading executive sessions of the Board</w:t>
      </w:r>
    </w:p>
    <w:p>
      <w:pPr>
        <w:spacing w:after="0" w:line="60" w:lineRule="exact"/>
        <w:rPr>
          <w:rFonts w:ascii="MS PGothic" w:cs="MS PGothic" w:eastAsia="MS PGothic" w:hAnsi="MS PGothic"/>
          <w:sz w:val="14"/>
          <w:szCs w:val="14"/>
          <w:color w:val="023C5B"/>
        </w:rPr>
      </w:pPr>
    </w:p>
    <w:p>
      <w:pPr>
        <w:ind w:left="700" w:hanging="399"/>
        <w:spacing w:after="0"/>
        <w:tabs>
          <w:tab w:leader="none" w:pos="700" w:val="left"/>
        </w:tabs>
        <w:numPr>
          <w:ilvl w:val="0"/>
          <w:numId w:val="27"/>
        </w:numPr>
        <w:rPr>
          <w:rFonts w:ascii="MS PGothic" w:cs="MS PGothic" w:eastAsia="MS PGothic" w:hAnsi="MS PGothic"/>
          <w:sz w:val="14"/>
          <w:szCs w:val="14"/>
          <w:color w:val="023C5B"/>
        </w:rPr>
      </w:pPr>
      <w:r>
        <w:rPr>
          <w:rFonts w:ascii="Arial" w:cs="Arial" w:eastAsia="Arial" w:hAnsi="Arial"/>
          <w:sz w:val="18"/>
          <w:szCs w:val="18"/>
          <w:color w:val="auto"/>
        </w:rPr>
        <w:t>Having authority to call meetings of the Independent Directors</w:t>
      </w:r>
    </w:p>
    <w:p>
      <w:pPr>
        <w:spacing w:after="0" w:line="60" w:lineRule="exact"/>
        <w:rPr>
          <w:rFonts w:ascii="MS PGothic" w:cs="MS PGothic" w:eastAsia="MS PGothic" w:hAnsi="MS PGothic"/>
          <w:sz w:val="14"/>
          <w:szCs w:val="14"/>
          <w:color w:val="023C5B"/>
        </w:rPr>
      </w:pPr>
    </w:p>
    <w:p>
      <w:pPr>
        <w:ind w:left="700" w:hanging="399"/>
        <w:spacing w:after="0"/>
        <w:tabs>
          <w:tab w:leader="none" w:pos="700" w:val="left"/>
        </w:tabs>
        <w:numPr>
          <w:ilvl w:val="0"/>
          <w:numId w:val="27"/>
        </w:numPr>
        <w:rPr>
          <w:rFonts w:ascii="MS PGothic" w:cs="MS PGothic" w:eastAsia="MS PGothic" w:hAnsi="MS PGothic"/>
          <w:sz w:val="14"/>
          <w:szCs w:val="14"/>
          <w:color w:val="023C5B"/>
        </w:rPr>
      </w:pPr>
      <w:r>
        <w:rPr>
          <w:rFonts w:ascii="Arial" w:cs="Arial" w:eastAsia="Arial" w:hAnsi="Arial"/>
          <w:sz w:val="18"/>
          <w:szCs w:val="18"/>
          <w:color w:val="auto"/>
        </w:rPr>
        <w:t>Soliciting feedback for and engaging the CEO on executive sessions</w:t>
      </w:r>
    </w:p>
    <w:p>
      <w:pPr>
        <w:spacing w:after="0" w:line="60" w:lineRule="exact"/>
        <w:rPr>
          <w:rFonts w:ascii="MS PGothic" w:cs="MS PGothic" w:eastAsia="MS PGothic" w:hAnsi="MS PGothic"/>
          <w:sz w:val="14"/>
          <w:szCs w:val="14"/>
          <w:color w:val="023C5B"/>
        </w:rPr>
      </w:pPr>
    </w:p>
    <w:p>
      <w:pPr>
        <w:ind w:left="700" w:hanging="399"/>
        <w:spacing w:after="0" w:line="265" w:lineRule="auto"/>
        <w:tabs>
          <w:tab w:leader="none" w:pos="700" w:val="left"/>
        </w:tabs>
        <w:numPr>
          <w:ilvl w:val="0"/>
          <w:numId w:val="27"/>
        </w:numPr>
        <w:rPr>
          <w:rFonts w:ascii="MS PGothic" w:cs="MS PGothic" w:eastAsia="MS PGothic" w:hAnsi="MS PGothic"/>
          <w:sz w:val="14"/>
          <w:szCs w:val="14"/>
          <w:color w:val="023C5B"/>
        </w:rPr>
      </w:pPr>
      <w:r>
        <w:rPr>
          <w:rFonts w:ascii="Arial" w:cs="Arial" w:eastAsia="Arial" w:hAnsi="Arial"/>
          <w:sz w:val="18"/>
          <w:szCs w:val="18"/>
          <w:color w:val="auto"/>
        </w:rPr>
        <w:t>Advising the Governance and Nominating Committee and the Chairman of the Board on the membership of Board committees and the selection of committee chairs</w:t>
      </w:r>
    </w:p>
    <w:p>
      <w:pPr>
        <w:spacing w:after="0" w:line="10" w:lineRule="exact"/>
        <w:rPr>
          <w:rFonts w:ascii="MS PGothic" w:cs="MS PGothic" w:eastAsia="MS PGothic" w:hAnsi="MS PGothic"/>
          <w:sz w:val="14"/>
          <w:szCs w:val="14"/>
          <w:color w:val="023C5B"/>
        </w:rPr>
      </w:pPr>
    </w:p>
    <w:p>
      <w:pPr>
        <w:ind w:left="700" w:right="20" w:hanging="399"/>
        <w:spacing w:after="0" w:line="265" w:lineRule="auto"/>
        <w:tabs>
          <w:tab w:leader="none" w:pos="700" w:val="left"/>
        </w:tabs>
        <w:numPr>
          <w:ilvl w:val="0"/>
          <w:numId w:val="27"/>
        </w:numPr>
        <w:rPr>
          <w:rFonts w:ascii="MS PGothic" w:cs="MS PGothic" w:eastAsia="MS PGothic" w:hAnsi="MS PGothic"/>
          <w:sz w:val="14"/>
          <w:szCs w:val="14"/>
          <w:color w:val="023C5B"/>
        </w:rPr>
      </w:pPr>
      <w:r>
        <w:rPr>
          <w:rFonts w:ascii="Arial" w:cs="Arial" w:eastAsia="Arial" w:hAnsi="Arial"/>
          <w:sz w:val="18"/>
          <w:szCs w:val="18"/>
          <w:color w:val="auto"/>
        </w:rPr>
        <w:t>Acting as a key advisor to the CEO and Chairman of the Board on a wide variety of Company matters, including the retention of advisors and consultants who report directly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186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88"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FFFFFF"/>
        </w:rPr>
        <w:t>Board Culture</w:t>
      </w:r>
    </w:p>
    <w:p>
      <w:pPr>
        <w:spacing w:after="0" w:line="102" w:lineRule="exact"/>
        <w:rPr>
          <w:sz w:val="20"/>
          <w:szCs w:val="20"/>
          <w:color w:val="auto"/>
        </w:rPr>
      </w:pPr>
    </w:p>
    <w:p>
      <w:pPr>
        <w:ind w:left="700" w:hanging="399"/>
        <w:spacing w:after="0"/>
        <w:tabs>
          <w:tab w:leader="none" w:pos="700" w:val="left"/>
        </w:tabs>
        <w:numPr>
          <w:ilvl w:val="0"/>
          <w:numId w:val="28"/>
        </w:numPr>
        <w:rPr>
          <w:rFonts w:ascii="MS PGothic" w:cs="MS PGothic" w:eastAsia="MS PGothic" w:hAnsi="MS PGothic"/>
          <w:sz w:val="14"/>
          <w:szCs w:val="14"/>
          <w:color w:val="023C5B"/>
        </w:rPr>
      </w:pPr>
      <w:r>
        <w:rPr>
          <w:rFonts w:ascii="Arial" w:cs="Arial" w:eastAsia="Arial" w:hAnsi="Arial"/>
          <w:sz w:val="18"/>
          <w:szCs w:val="18"/>
          <w:color w:val="auto"/>
        </w:rPr>
        <w:t>Serving as liaison between the Chairman of the Board and the Independent Directors</w:t>
      </w:r>
    </w:p>
    <w:p>
      <w:pPr>
        <w:spacing w:after="0" w:line="60" w:lineRule="exact"/>
        <w:rPr>
          <w:rFonts w:ascii="MS PGothic" w:cs="MS PGothic" w:eastAsia="MS PGothic" w:hAnsi="MS PGothic"/>
          <w:sz w:val="14"/>
          <w:szCs w:val="14"/>
          <w:color w:val="023C5B"/>
        </w:rPr>
      </w:pPr>
    </w:p>
    <w:p>
      <w:pPr>
        <w:ind w:left="700" w:hanging="399"/>
        <w:spacing w:after="0" w:line="265" w:lineRule="auto"/>
        <w:tabs>
          <w:tab w:leader="none" w:pos="700" w:val="left"/>
        </w:tabs>
        <w:numPr>
          <w:ilvl w:val="0"/>
          <w:numId w:val="28"/>
        </w:numPr>
        <w:rPr>
          <w:rFonts w:ascii="MS PGothic" w:cs="MS PGothic" w:eastAsia="MS PGothic" w:hAnsi="MS PGothic"/>
          <w:sz w:val="14"/>
          <w:szCs w:val="14"/>
          <w:color w:val="023C5B"/>
        </w:rPr>
      </w:pPr>
      <w:r>
        <w:rPr>
          <w:rFonts w:ascii="Arial" w:cs="Arial" w:eastAsia="Arial" w:hAnsi="Arial"/>
          <w:sz w:val="18"/>
          <w:szCs w:val="18"/>
          <w:color w:val="auto"/>
        </w:rPr>
        <w:t>Fostering an environment that facilitates engagement and discussion, teamwork, and communication among the Independent Directors on key issues and concerns, including risk management</w:t>
      </w:r>
    </w:p>
    <w:p>
      <w:pPr>
        <w:spacing w:after="0" w:line="10" w:lineRule="exact"/>
        <w:rPr>
          <w:rFonts w:ascii="MS PGothic" w:cs="MS PGothic" w:eastAsia="MS PGothic" w:hAnsi="MS PGothic"/>
          <w:sz w:val="14"/>
          <w:szCs w:val="14"/>
          <w:color w:val="023C5B"/>
        </w:rPr>
      </w:pPr>
    </w:p>
    <w:p>
      <w:pPr>
        <w:ind w:left="700" w:hanging="399"/>
        <w:spacing w:after="0"/>
        <w:tabs>
          <w:tab w:leader="none" w:pos="700" w:val="left"/>
        </w:tabs>
        <w:numPr>
          <w:ilvl w:val="0"/>
          <w:numId w:val="28"/>
        </w:numPr>
        <w:rPr>
          <w:rFonts w:ascii="MS PGothic" w:cs="MS PGothic" w:eastAsia="MS PGothic" w:hAnsi="MS PGothic"/>
          <w:sz w:val="14"/>
          <w:szCs w:val="14"/>
          <w:color w:val="023C5B"/>
        </w:rPr>
      </w:pPr>
      <w:r>
        <w:rPr>
          <w:rFonts w:ascii="Arial" w:cs="Arial" w:eastAsia="Arial" w:hAnsi="Arial"/>
          <w:sz w:val="18"/>
          <w:szCs w:val="18"/>
          <w:color w:val="auto"/>
        </w:rPr>
        <w:t>Ensuring Board discussions demonstrate appropriate effective challenge of management, including risk management</w:t>
      </w:r>
    </w:p>
    <w:p>
      <w:pPr>
        <w:spacing w:after="0" w:line="60" w:lineRule="exact"/>
        <w:rPr>
          <w:rFonts w:ascii="MS PGothic" w:cs="MS PGothic" w:eastAsia="MS PGothic" w:hAnsi="MS PGothic"/>
          <w:sz w:val="14"/>
          <w:szCs w:val="14"/>
          <w:color w:val="023C5B"/>
        </w:rPr>
      </w:pPr>
    </w:p>
    <w:p>
      <w:pPr>
        <w:ind w:left="700" w:hanging="399"/>
        <w:spacing w:after="0"/>
        <w:tabs>
          <w:tab w:leader="none" w:pos="700" w:val="left"/>
        </w:tabs>
        <w:numPr>
          <w:ilvl w:val="0"/>
          <w:numId w:val="28"/>
        </w:numPr>
        <w:rPr>
          <w:rFonts w:ascii="MS PGothic" w:cs="MS PGothic" w:eastAsia="MS PGothic" w:hAnsi="MS PGothic"/>
          <w:sz w:val="14"/>
          <w:szCs w:val="14"/>
          <w:color w:val="023C5B"/>
        </w:rPr>
      </w:pPr>
      <w:r>
        <w:rPr>
          <w:rFonts w:ascii="Arial" w:cs="Arial" w:eastAsia="Arial" w:hAnsi="Arial"/>
          <w:sz w:val="18"/>
          <w:szCs w:val="18"/>
          <w:color w:val="auto"/>
        </w:rPr>
        <w:t>In a crisis, calling together the Independent Directors to establish appropriate Board leadership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186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FFFFFF"/>
        </w:rPr>
        <w:t>Board Meetings</w:t>
      </w:r>
    </w:p>
    <w:p>
      <w:pPr>
        <w:spacing w:after="0" w:line="102" w:lineRule="exact"/>
        <w:rPr>
          <w:sz w:val="20"/>
          <w:szCs w:val="20"/>
          <w:color w:val="auto"/>
        </w:rPr>
      </w:pPr>
    </w:p>
    <w:p>
      <w:pPr>
        <w:ind w:left="700" w:hanging="399"/>
        <w:spacing w:after="0"/>
        <w:tabs>
          <w:tab w:leader="none" w:pos="700" w:val="left"/>
        </w:tabs>
        <w:numPr>
          <w:ilvl w:val="0"/>
          <w:numId w:val="29"/>
        </w:numPr>
        <w:rPr>
          <w:rFonts w:ascii="MS PGothic" w:cs="MS PGothic" w:eastAsia="MS PGothic" w:hAnsi="MS PGothic"/>
          <w:sz w:val="14"/>
          <w:szCs w:val="14"/>
          <w:color w:val="023C5B"/>
        </w:rPr>
      </w:pPr>
      <w:r>
        <w:rPr>
          <w:rFonts w:ascii="Arial" w:cs="Arial" w:eastAsia="Arial" w:hAnsi="Arial"/>
          <w:sz w:val="18"/>
          <w:szCs w:val="18"/>
          <w:color w:val="auto"/>
        </w:rPr>
        <w:t>Approving meeting agendas for the Board, including addition or removal of items, as appropriate</w:t>
      </w:r>
    </w:p>
    <w:p>
      <w:pPr>
        <w:spacing w:after="0" w:line="60" w:lineRule="exact"/>
        <w:rPr>
          <w:rFonts w:ascii="MS PGothic" w:cs="MS PGothic" w:eastAsia="MS PGothic" w:hAnsi="MS PGothic"/>
          <w:sz w:val="14"/>
          <w:szCs w:val="14"/>
          <w:color w:val="023C5B"/>
        </w:rPr>
      </w:pPr>
    </w:p>
    <w:p>
      <w:pPr>
        <w:ind w:left="700" w:hanging="399"/>
        <w:spacing w:after="0"/>
        <w:tabs>
          <w:tab w:leader="none" w:pos="700" w:val="left"/>
        </w:tabs>
        <w:numPr>
          <w:ilvl w:val="0"/>
          <w:numId w:val="29"/>
        </w:numPr>
        <w:rPr>
          <w:rFonts w:ascii="MS PGothic" w:cs="MS PGothic" w:eastAsia="MS PGothic" w:hAnsi="MS PGothic"/>
          <w:sz w:val="14"/>
          <w:szCs w:val="14"/>
          <w:color w:val="023C5B"/>
        </w:rPr>
      </w:pPr>
      <w:r>
        <w:rPr>
          <w:rFonts w:ascii="Arial" w:cs="Arial" w:eastAsia="Arial" w:hAnsi="Arial"/>
          <w:sz w:val="18"/>
          <w:szCs w:val="18"/>
          <w:color w:val="auto"/>
        </w:rPr>
        <w:t>Advising on the type of information to be provided to the Board</w:t>
      </w:r>
    </w:p>
    <w:p>
      <w:pPr>
        <w:spacing w:after="0" w:line="60" w:lineRule="exact"/>
        <w:rPr>
          <w:rFonts w:ascii="MS PGothic" w:cs="MS PGothic" w:eastAsia="MS PGothic" w:hAnsi="MS PGothic"/>
          <w:sz w:val="14"/>
          <w:szCs w:val="14"/>
          <w:color w:val="023C5B"/>
        </w:rPr>
      </w:pPr>
    </w:p>
    <w:p>
      <w:pPr>
        <w:ind w:left="700" w:hanging="399"/>
        <w:spacing w:after="0" w:line="265" w:lineRule="auto"/>
        <w:tabs>
          <w:tab w:leader="none" w:pos="700" w:val="left"/>
        </w:tabs>
        <w:numPr>
          <w:ilvl w:val="0"/>
          <w:numId w:val="29"/>
        </w:numPr>
        <w:rPr>
          <w:rFonts w:ascii="MS PGothic" w:cs="MS PGothic" w:eastAsia="MS PGothic" w:hAnsi="MS PGothic"/>
          <w:sz w:val="14"/>
          <w:szCs w:val="14"/>
          <w:color w:val="023C5B"/>
        </w:rPr>
      </w:pPr>
      <w:r>
        <w:rPr>
          <w:rFonts w:ascii="Arial" w:cs="Arial" w:eastAsia="Arial" w:hAnsi="Arial"/>
          <w:sz w:val="18"/>
          <w:szCs w:val="18"/>
          <w:color w:val="auto"/>
        </w:rPr>
        <w:t>Approving Board meeting schedules and working with the Chairman of the Board and committee chairs to ensure there is sufficient time for discussion of all agenda items</w:t>
      </w:r>
    </w:p>
    <w:p>
      <w:pPr>
        <w:spacing w:after="0" w:line="10" w:lineRule="exact"/>
        <w:rPr>
          <w:rFonts w:ascii="MS PGothic" w:cs="MS PGothic" w:eastAsia="MS PGothic" w:hAnsi="MS PGothic"/>
          <w:sz w:val="14"/>
          <w:szCs w:val="14"/>
          <w:color w:val="023C5B"/>
        </w:rPr>
      </w:pPr>
    </w:p>
    <w:p>
      <w:pPr>
        <w:ind w:left="700" w:hanging="399"/>
        <w:spacing w:after="0"/>
        <w:tabs>
          <w:tab w:leader="none" w:pos="700" w:val="left"/>
        </w:tabs>
        <w:numPr>
          <w:ilvl w:val="0"/>
          <w:numId w:val="29"/>
        </w:numPr>
        <w:rPr>
          <w:rFonts w:ascii="MS PGothic" w:cs="MS PGothic" w:eastAsia="MS PGothic" w:hAnsi="MS PGothic"/>
          <w:sz w:val="14"/>
          <w:szCs w:val="14"/>
          <w:color w:val="023C5B"/>
        </w:rPr>
      </w:pPr>
      <w:r>
        <w:rPr>
          <w:rFonts w:ascii="Arial" w:cs="Arial" w:eastAsia="Arial" w:hAnsi="Arial"/>
          <w:sz w:val="18"/>
          <w:szCs w:val="18"/>
          <w:color w:val="auto"/>
        </w:rPr>
        <w:t>Presiding at all meetings of the Board at which the Chairman of the Board is not present</w:t>
      </w:r>
    </w:p>
    <w:p>
      <w:pPr>
        <w:spacing w:after="0" w:line="274"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113030</wp:posOffset>
            </wp:positionV>
            <wp:extent cx="6929755" cy="186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FFFFFF"/>
        </w:rPr>
        <w:t>Performance and Development</w:t>
      </w:r>
    </w:p>
    <w:p>
      <w:pPr>
        <w:spacing w:after="0" w:line="102" w:lineRule="exact"/>
        <w:rPr>
          <w:sz w:val="20"/>
          <w:szCs w:val="20"/>
          <w:color w:val="auto"/>
        </w:rPr>
      </w:pPr>
    </w:p>
    <w:p>
      <w:pPr>
        <w:ind w:left="700" w:hanging="399"/>
        <w:spacing w:after="0"/>
        <w:tabs>
          <w:tab w:leader="none" w:pos="700" w:val="left"/>
        </w:tabs>
        <w:numPr>
          <w:ilvl w:val="0"/>
          <w:numId w:val="30"/>
        </w:numPr>
        <w:rPr>
          <w:rFonts w:ascii="MS PGothic" w:cs="MS PGothic" w:eastAsia="MS PGothic" w:hAnsi="MS PGothic"/>
          <w:sz w:val="14"/>
          <w:szCs w:val="14"/>
          <w:color w:val="023C5B"/>
        </w:rPr>
      </w:pPr>
      <w:r>
        <w:rPr>
          <w:rFonts w:ascii="Arial" w:cs="Arial" w:eastAsia="Arial" w:hAnsi="Arial"/>
          <w:sz w:val="18"/>
          <w:szCs w:val="18"/>
          <w:color w:val="auto"/>
        </w:rPr>
        <w:t>Leading the annual performance assessment of the CEO</w:t>
      </w:r>
    </w:p>
    <w:p>
      <w:pPr>
        <w:spacing w:after="0" w:line="60" w:lineRule="exact"/>
        <w:rPr>
          <w:rFonts w:ascii="MS PGothic" w:cs="MS PGothic" w:eastAsia="MS PGothic" w:hAnsi="MS PGothic"/>
          <w:sz w:val="14"/>
          <w:szCs w:val="14"/>
          <w:color w:val="023C5B"/>
        </w:rPr>
      </w:pPr>
    </w:p>
    <w:p>
      <w:pPr>
        <w:ind w:left="700" w:hanging="399"/>
        <w:spacing w:after="0" w:line="265" w:lineRule="auto"/>
        <w:tabs>
          <w:tab w:leader="none" w:pos="700" w:val="left"/>
        </w:tabs>
        <w:numPr>
          <w:ilvl w:val="0"/>
          <w:numId w:val="30"/>
        </w:numPr>
        <w:rPr>
          <w:rFonts w:ascii="MS PGothic" w:cs="MS PGothic" w:eastAsia="MS PGothic" w:hAnsi="MS PGothic"/>
          <w:sz w:val="14"/>
          <w:szCs w:val="14"/>
          <w:color w:val="023C5B"/>
        </w:rPr>
      </w:pPr>
      <w:r>
        <w:rPr>
          <w:rFonts w:ascii="Arial" w:cs="Arial" w:eastAsia="Arial" w:hAnsi="Arial"/>
          <w:sz w:val="18"/>
          <w:szCs w:val="18"/>
          <w:color w:val="auto"/>
        </w:rPr>
        <w:t>Facilitating the Board’s engagement with the CEO with respect to the CEO’s performance assessment and CEO succession planning</w:t>
      </w:r>
    </w:p>
    <w:p>
      <w:pPr>
        <w:spacing w:after="0" w:line="10" w:lineRule="exact"/>
        <w:rPr>
          <w:rFonts w:ascii="MS PGothic" w:cs="MS PGothic" w:eastAsia="MS PGothic" w:hAnsi="MS PGothic"/>
          <w:sz w:val="14"/>
          <w:szCs w:val="14"/>
          <w:color w:val="023C5B"/>
        </w:rPr>
      </w:pPr>
    </w:p>
    <w:p>
      <w:pPr>
        <w:ind w:left="700" w:hanging="399"/>
        <w:spacing w:after="0"/>
        <w:tabs>
          <w:tab w:leader="none" w:pos="700" w:val="left"/>
        </w:tabs>
        <w:numPr>
          <w:ilvl w:val="0"/>
          <w:numId w:val="30"/>
        </w:numPr>
        <w:rPr>
          <w:rFonts w:ascii="MS PGothic" w:cs="MS PGothic" w:eastAsia="MS PGothic" w:hAnsi="MS PGothic"/>
          <w:sz w:val="14"/>
          <w:szCs w:val="14"/>
          <w:color w:val="023C5B"/>
        </w:rPr>
      </w:pPr>
      <w:r>
        <w:rPr>
          <w:rFonts w:ascii="Arial" w:cs="Arial" w:eastAsia="Arial" w:hAnsi="Arial"/>
          <w:sz w:val="18"/>
          <w:szCs w:val="18"/>
          <w:color w:val="auto"/>
        </w:rPr>
        <w:t>Leading the Board’s annual self-assessment and providing recommendations for improvement,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186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FFFFFF"/>
        </w:rPr>
        <w:t>Stockholder Engagement</w:t>
      </w:r>
    </w:p>
    <w:p>
      <w:pPr>
        <w:spacing w:after="0" w:line="102" w:lineRule="exact"/>
        <w:rPr>
          <w:sz w:val="20"/>
          <w:szCs w:val="20"/>
          <w:color w:val="auto"/>
        </w:rPr>
      </w:pPr>
    </w:p>
    <w:p>
      <w:pPr>
        <w:ind w:left="700" w:hanging="399"/>
        <w:spacing w:after="0"/>
        <w:tabs>
          <w:tab w:leader="none" w:pos="700" w:val="left"/>
        </w:tabs>
        <w:numPr>
          <w:ilvl w:val="0"/>
          <w:numId w:val="31"/>
        </w:numPr>
        <w:rPr>
          <w:rFonts w:ascii="MS PGothic" w:cs="MS PGothic" w:eastAsia="MS PGothic" w:hAnsi="MS PGothic"/>
          <w:sz w:val="14"/>
          <w:szCs w:val="14"/>
          <w:color w:val="023C5B"/>
        </w:rPr>
      </w:pPr>
      <w:r>
        <w:rPr>
          <w:rFonts w:ascii="Arial" w:cs="Arial" w:eastAsia="Arial" w:hAnsi="Arial"/>
          <w:sz w:val="18"/>
          <w:szCs w:val="18"/>
          <w:color w:val="auto"/>
        </w:rPr>
        <w:t>Being available for consultation and direct communication with stockholders and stakeholders, upon request</w:t>
      </w:r>
    </w:p>
    <w:p>
      <w:pPr>
        <w:spacing w:after="0" w:line="60" w:lineRule="exact"/>
        <w:rPr>
          <w:rFonts w:ascii="MS PGothic" w:cs="MS PGothic" w:eastAsia="MS PGothic" w:hAnsi="MS PGothic"/>
          <w:sz w:val="14"/>
          <w:szCs w:val="14"/>
          <w:color w:val="023C5B"/>
        </w:rPr>
      </w:pPr>
    </w:p>
    <w:p>
      <w:pPr>
        <w:ind w:left="700" w:hanging="399"/>
        <w:spacing w:after="0"/>
        <w:tabs>
          <w:tab w:leader="none" w:pos="700" w:val="left"/>
        </w:tabs>
        <w:numPr>
          <w:ilvl w:val="0"/>
          <w:numId w:val="31"/>
        </w:numPr>
        <w:rPr>
          <w:rFonts w:ascii="MS PGothic" w:cs="MS PGothic" w:eastAsia="MS PGothic" w:hAnsi="MS PGothic"/>
          <w:sz w:val="14"/>
          <w:szCs w:val="14"/>
          <w:color w:val="023C5B"/>
        </w:rPr>
      </w:pPr>
      <w:r>
        <w:rPr>
          <w:rFonts w:ascii="Arial" w:cs="Arial" w:eastAsia="Arial" w:hAnsi="Arial"/>
          <w:sz w:val="18"/>
          <w:szCs w:val="18"/>
          <w:color w:val="auto"/>
        </w:rPr>
        <w:t>Reviewing stockholder communications addressed to the full Board, the Lead Independent Director, or the Independent Directors</w:t>
      </w:r>
    </w:p>
    <w:p>
      <w:pPr>
        <w:spacing w:after="0" w:line="20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In evaluating candidates for Lead Independent Director, the Independent Directors consider several factors, including each candidate’s corporate governance experience, Board service and tenure, Board leadership roles, and ability to meet the necessary time commitment. For an incumbent Lead Independent Director, the Independent Directors also consider the results of the candidate’s annual Lead Independent Director assessment. For a description of the Lead Independent Director annual assessment process, see “Annual Assessment of the Lead Independent Director” beginning on page 32.</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Key Board Governance Practices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2025 Board Meetings and Attendance</w:t>
      </w:r>
    </w:p>
    <w:p>
      <w:pPr>
        <w:spacing w:after="0" w:line="193" w:lineRule="exact"/>
        <w:rPr>
          <w:sz w:val="20"/>
          <w:szCs w:val="20"/>
          <w:color w:val="auto"/>
        </w:rPr>
      </w:pPr>
    </w:p>
    <w:p>
      <w:pPr>
        <w:ind w:left="1020" w:hanging="425"/>
        <w:spacing w:after="0"/>
        <w:tabs>
          <w:tab w:leader="none" w:pos="1020" w:val="left"/>
        </w:tabs>
        <w:numPr>
          <w:ilvl w:val="0"/>
          <w:numId w:val="3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Board held 15 meetings and the Board’s committees collectively held 29 meetings</w:t>
      </w:r>
    </w:p>
    <w:p>
      <w:pPr>
        <w:spacing w:after="0" w:line="103" w:lineRule="exact"/>
        <w:rPr>
          <w:rFonts w:ascii="MS PGothic" w:cs="MS PGothic" w:eastAsia="MS PGothic" w:hAnsi="MS PGothic"/>
          <w:sz w:val="29"/>
          <w:szCs w:val="29"/>
          <w:color w:val="023C5B"/>
          <w:vertAlign w:val="superscript"/>
        </w:rPr>
      </w:pPr>
    </w:p>
    <w:p>
      <w:pPr>
        <w:ind w:left="1020" w:hanging="425"/>
        <w:spacing w:after="0" w:line="201" w:lineRule="auto"/>
        <w:tabs>
          <w:tab w:leader="none" w:pos="1020" w:val="left"/>
        </w:tabs>
        <w:numPr>
          <w:ilvl w:val="0"/>
          <w:numId w:val="3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In carrying out its responsibilities, the Audit Committee met a total of nine times, the Risk Committee met a total of eight times, the Governance and Nominating Committee met a total of six times, and the Compensation Committee met a total of six times</w:t>
      </w:r>
    </w:p>
    <w:p>
      <w:pPr>
        <w:spacing w:after="0" w:line="87"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3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11 out of 12 directors then serving attended the 2025 Annual Stockholder Meeting, and Capital One expects all director nominees to attend the 2026 Annual Stockholder Meeting</w:t>
      </w:r>
    </w:p>
    <w:p>
      <w:pPr>
        <w:spacing w:after="0" w:line="86"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3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Each of our current directors attended at least 75% of the aggregate number of the meetings of the Board and the committees on which they served during the period the director was on the Board or committee</w:t>
      </w:r>
    </w:p>
    <w:p>
      <w:pPr>
        <w:spacing w:after="0" w:line="106"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Our Perspectives on Overall Board Composition and Refreshment</w:t>
      </w:r>
    </w:p>
    <w:p>
      <w:pPr>
        <w:spacing w:after="0" w:line="22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Governance and Nominating Committee takes a long-term view of our Board composition and refreshment and continuously assesses the composition and resiliency of the Board over the next ten to 15 years in alignment with the Company’s strategic direction to determine what actions may be desirable to best position the Board and the Company for success. In assessing Board resiliency, the Governance and Nominating Committee considers a variety of factors and has articulated a set of principles on board composition,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144780</wp:posOffset>
            </wp:positionV>
            <wp:extent cx="6929755" cy="645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645160"/>
                    </a:xfrm>
                    <a:prstGeom prst="rect">
                      <a:avLst/>
                    </a:prstGeom>
                    <a:noFill/>
                  </pic:spPr>
                </pic:pic>
              </a:graphicData>
            </a:graphic>
          </wp:anchor>
        </w:drawing>
      </w:r>
    </w:p>
    <w:p>
      <w:pPr>
        <w:spacing w:after="0" w:line="269" w:lineRule="exact"/>
        <w:rPr>
          <w:sz w:val="20"/>
          <w:szCs w:val="20"/>
          <w:color w:val="auto"/>
        </w:rPr>
      </w:pPr>
    </w:p>
    <w:tbl>
      <w:tblPr>
        <w:tblLayout w:type="fixed"/>
        <w:tblInd w:w="160" w:type="dxa"/>
        <w:tblCellMar>
          <w:top w:w="0" w:type="dxa"/>
          <w:left w:w="0" w:type="dxa"/>
          <w:bottom w:w="0" w:type="dxa"/>
          <w:right w:w="0" w:type="dxa"/>
        </w:tblCellMar>
      </w:tblPr>
      <w:tr>
        <w:trPr>
          <w:trHeight w:val="219"/>
        </w:trPr>
        <w:tc>
          <w:tcPr>
            <w:tcW w:w="2280" w:type="dxa"/>
            <w:vAlign w:val="bottom"/>
          </w:tcPr>
          <w:p>
            <w:pPr>
              <w:ind w:left="2020"/>
              <w:spacing w:after="0" w:line="141" w:lineRule="exact"/>
              <w:rPr>
                <w:sz w:val="20"/>
                <w:szCs w:val="20"/>
                <w:color w:val="auto"/>
              </w:rPr>
            </w:pPr>
            <w:r>
              <w:rPr>
                <w:rFonts w:ascii="MS PGothic" w:cs="MS PGothic" w:eastAsia="MS PGothic" w:hAnsi="MS PGothic"/>
                <w:sz w:val="14"/>
                <w:szCs w:val="14"/>
                <w:color w:val="023C5B"/>
              </w:rPr>
              <w:t>∎</w:t>
            </w:r>
          </w:p>
        </w:tc>
        <w:tc>
          <w:tcPr>
            <w:tcW w:w="8520" w:type="dxa"/>
            <w:vAlign w:val="bottom"/>
          </w:tcPr>
          <w:p>
            <w:pPr>
              <w:ind w:left="140"/>
              <w:spacing w:after="0"/>
              <w:rPr>
                <w:sz w:val="20"/>
                <w:szCs w:val="20"/>
                <w:color w:val="auto"/>
              </w:rPr>
            </w:pPr>
            <w:r>
              <w:rPr>
                <w:rFonts w:ascii="Arial" w:cs="Arial" w:eastAsia="Arial" w:hAnsi="Arial"/>
                <w:sz w:val="18"/>
                <w:szCs w:val="18"/>
                <w:color w:val="auto"/>
              </w:rPr>
              <w:t>Consider the collective set of skills that allows the Board to act independently and provide an effective</w:t>
            </w:r>
          </w:p>
        </w:tc>
        <w:tc>
          <w:tcPr>
            <w:tcW w:w="80" w:type="dxa"/>
            <w:vAlign w:val="bottom"/>
          </w:tcPr>
          <w:p>
            <w:pPr>
              <w:ind w:left="20"/>
              <w:spacing w:after="0"/>
              <w:rPr>
                <w:sz w:val="20"/>
                <w:szCs w:val="20"/>
                <w:color w:val="auto"/>
              </w:rPr>
            </w:pPr>
            <w:r>
              <w:rPr>
                <w:rFonts w:ascii="Arial" w:cs="Arial" w:eastAsia="Arial" w:hAnsi="Arial"/>
                <w:sz w:val="11"/>
                <w:szCs w:val="11"/>
                <w:color w:val="auto"/>
                <w:w w:val="71"/>
              </w:rPr>
              <w:t> </w:t>
            </w:r>
          </w:p>
        </w:tc>
        <w:tc>
          <w:tcPr>
            <w:tcW w:w="0" w:type="dxa"/>
            <w:vAlign w:val="bottom"/>
          </w:tcPr>
          <w:p>
            <w:pPr>
              <w:spacing w:after="0"/>
              <w:rPr>
                <w:sz w:val="1"/>
                <w:szCs w:val="1"/>
                <w:color w:val="auto"/>
              </w:rPr>
            </w:pPr>
          </w:p>
        </w:tc>
      </w:tr>
      <w:tr>
        <w:trPr>
          <w:trHeight w:val="183"/>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   Board Skills</w:t>
            </w:r>
          </w:p>
        </w:tc>
        <w:tc>
          <w:tcPr>
            <w:tcW w:w="8520" w:type="dxa"/>
            <w:vAlign w:val="bottom"/>
          </w:tcPr>
          <w:p>
            <w:pPr>
              <w:ind w:left="140"/>
              <w:spacing w:after="0" w:line="182" w:lineRule="exact"/>
              <w:rPr>
                <w:sz w:val="20"/>
                <w:szCs w:val="20"/>
                <w:color w:val="auto"/>
              </w:rPr>
            </w:pPr>
            <w:r>
              <w:rPr>
                <w:rFonts w:ascii="Arial" w:cs="Arial" w:eastAsia="Arial" w:hAnsi="Arial"/>
                <w:sz w:val="18"/>
                <w:szCs w:val="18"/>
                <w:color w:val="auto"/>
              </w:rPr>
              <w:t>challenge to management, especially in the areas of business strategy, financial performance, enterprise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280" w:type="dxa"/>
            <w:vAlign w:val="bottom"/>
            <w:vMerge w:val="continue"/>
          </w:tcPr>
          <w:p>
            <w:pPr>
              <w:spacing w:after="0"/>
              <w:rPr>
                <w:sz w:val="12"/>
                <w:szCs w:val="12"/>
                <w:color w:val="auto"/>
              </w:rPr>
            </w:pPr>
          </w:p>
        </w:tc>
        <w:tc>
          <w:tcPr>
            <w:tcW w:w="8520" w:type="dxa"/>
            <w:vAlign w:val="bottom"/>
            <w:vMerge w:val="restart"/>
          </w:tcPr>
          <w:p>
            <w:pPr>
              <w:ind w:left="140"/>
              <w:spacing w:after="0"/>
              <w:rPr>
                <w:sz w:val="20"/>
                <w:szCs w:val="20"/>
                <w:color w:val="auto"/>
              </w:rPr>
            </w:pPr>
            <w:r>
              <w:rPr>
                <w:rFonts w:ascii="Arial" w:cs="Arial" w:eastAsia="Arial" w:hAnsi="Arial"/>
                <w:sz w:val="18"/>
                <w:szCs w:val="18"/>
                <w:color w:val="auto"/>
              </w:rPr>
              <w:t>risk management, cybersecurity risk, technology innovation, and executive talent and leadership</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280" w:type="dxa"/>
            <w:vAlign w:val="bottom"/>
          </w:tcPr>
          <w:p>
            <w:pPr>
              <w:spacing w:after="0"/>
              <w:rPr>
                <w:sz w:val="8"/>
                <w:szCs w:val="8"/>
                <w:color w:val="auto"/>
              </w:rPr>
            </w:pPr>
          </w:p>
        </w:tc>
        <w:tc>
          <w:tcPr>
            <w:tcW w:w="8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580" w:hanging="393"/>
        <w:spacing w:after="0"/>
        <w:tabs>
          <w:tab w:leader="none" w:pos="2580" w:val="left"/>
        </w:tabs>
        <w:numPr>
          <w:ilvl w:val="0"/>
          <w:numId w:val="33"/>
        </w:numPr>
        <w:rPr>
          <w:rFonts w:ascii="MS PGothic" w:cs="MS PGothic" w:eastAsia="MS PGothic" w:hAnsi="MS PGothic"/>
          <w:sz w:val="14"/>
          <w:szCs w:val="14"/>
          <w:color w:val="023C5B"/>
        </w:rPr>
      </w:pPr>
      <w:r>
        <w:rPr>
          <w:rFonts w:ascii="Arial" w:cs="Arial" w:eastAsia="Arial" w:hAnsi="Arial"/>
          <w:sz w:val="18"/>
          <w:szCs w:val="18"/>
          <w:color w:val="auto"/>
        </w:rPr>
        <w:t>Ensure collective Board skill sets evolve with our long-term strategic objectives</w:t>
      </w:r>
    </w:p>
    <w:p>
      <w:pPr>
        <w:spacing w:after="0" w:line="140" w:lineRule="exact"/>
        <w:rPr>
          <w:rFonts w:ascii="MS PGothic" w:cs="MS PGothic" w:eastAsia="MS PGothic" w:hAnsi="MS PGothic"/>
          <w:sz w:val="14"/>
          <w:szCs w:val="14"/>
          <w:color w:val="023C5B"/>
        </w:rPr>
      </w:pPr>
    </w:p>
    <w:p>
      <w:pPr>
        <w:ind w:left="2580" w:hanging="393"/>
        <w:spacing w:after="0"/>
        <w:tabs>
          <w:tab w:leader="none" w:pos="2580" w:val="left"/>
        </w:tabs>
        <w:numPr>
          <w:ilvl w:val="0"/>
          <w:numId w:val="33"/>
        </w:numPr>
        <w:rPr>
          <w:rFonts w:ascii="MS PGothic" w:cs="MS PGothic" w:eastAsia="MS PGothic" w:hAnsi="MS PGothic"/>
          <w:sz w:val="14"/>
          <w:szCs w:val="14"/>
          <w:color w:val="023C5B"/>
        </w:rPr>
      </w:pPr>
      <w:r>
        <w:rPr>
          <w:rFonts w:ascii="Arial" w:cs="Arial" w:eastAsia="Arial" w:hAnsi="Arial"/>
          <w:sz w:val="18"/>
          <w:szCs w:val="18"/>
          <w:color w:val="auto"/>
        </w:rPr>
        <w:t>Seek and retain Board members with industry experience, both in banking and technology, that align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-169545</wp:posOffset>
            </wp:positionV>
            <wp:extent cx="69297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49"/>
        </w:trPr>
        <w:tc>
          <w:tcPr>
            <w:tcW w:w="120" w:type="dxa"/>
            <w:vAlign w:val="bottom"/>
          </w:tcPr>
          <w:p>
            <w:pPr>
              <w:spacing w:after="0"/>
              <w:rPr>
                <w:sz w:val="20"/>
                <w:szCs w:val="20"/>
                <w:color w:val="auto"/>
              </w:rPr>
            </w:pPr>
            <w:r>
              <w:rPr>
                <w:rFonts w:ascii="Arial" w:cs="Arial" w:eastAsia="Arial" w:hAnsi="Arial"/>
                <w:sz w:val="14"/>
                <w:szCs w:val="14"/>
                <w:b w:val="1"/>
                <w:bCs w:val="1"/>
                <w:color w:val="auto"/>
                <w:w w:val="71"/>
              </w:rPr>
              <w:t> </w:t>
            </w:r>
          </w:p>
        </w:tc>
        <w:tc>
          <w:tcPr>
            <w:tcW w:w="1460" w:type="dxa"/>
            <w:vAlign w:val="bottom"/>
          </w:tcPr>
          <w:p>
            <w:pPr>
              <w:ind w:left="60"/>
              <w:spacing w:after="0"/>
              <w:rPr>
                <w:sz w:val="20"/>
                <w:szCs w:val="20"/>
                <w:color w:val="auto"/>
              </w:rPr>
            </w:pPr>
            <w:r>
              <w:rPr>
                <w:rFonts w:ascii="Arial" w:cs="Arial" w:eastAsia="Arial" w:hAnsi="Arial"/>
                <w:sz w:val="18"/>
                <w:szCs w:val="18"/>
                <w:b w:val="1"/>
                <w:bCs w:val="1"/>
                <w:color w:val="auto"/>
              </w:rPr>
              <w:t>Industry</w:t>
            </w:r>
          </w:p>
        </w:tc>
        <w:tc>
          <w:tcPr>
            <w:tcW w:w="700" w:type="dxa"/>
            <w:vAlign w:val="bottom"/>
          </w:tcPr>
          <w:p>
            <w:pPr>
              <w:spacing w:after="0"/>
              <w:rPr>
                <w:sz w:val="21"/>
                <w:szCs w:val="21"/>
                <w:color w:val="auto"/>
              </w:rPr>
            </w:pPr>
          </w:p>
        </w:tc>
        <w:tc>
          <w:tcPr>
            <w:tcW w:w="8640" w:type="dxa"/>
            <w:vAlign w:val="bottom"/>
          </w:tcPr>
          <w:p>
            <w:pPr>
              <w:ind w:left="140"/>
              <w:spacing w:after="0"/>
              <w:rPr>
                <w:sz w:val="20"/>
                <w:szCs w:val="20"/>
                <w:color w:val="auto"/>
              </w:rPr>
            </w:pPr>
            <w:r>
              <w:rPr>
                <w:rFonts w:ascii="Arial" w:cs="Arial" w:eastAsia="Arial" w:hAnsi="Arial"/>
                <w:sz w:val="18"/>
                <w:szCs w:val="18"/>
                <w:color w:val="auto"/>
              </w:rPr>
              <w:t>our long-term strategy</w:t>
            </w: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r>
              <w:rPr>
                <w:rFonts w:ascii="Arial" w:cs="Arial" w:eastAsia="Arial" w:hAnsi="Arial"/>
                <w:sz w:val="14"/>
                <w:szCs w:val="14"/>
                <w:b w:val="1"/>
                <w:bCs w:val="1"/>
                <w:color w:val="auto"/>
                <w:w w:val="71"/>
              </w:rPr>
              <w:t> </w:t>
            </w:r>
          </w:p>
        </w:tc>
        <w:tc>
          <w:tcPr>
            <w:tcW w:w="1460" w:type="dxa"/>
            <w:vAlign w:val="bottom"/>
          </w:tcPr>
          <w:p>
            <w:pPr>
              <w:ind w:left="60"/>
              <w:spacing w:after="0"/>
              <w:rPr>
                <w:sz w:val="20"/>
                <w:szCs w:val="20"/>
                <w:color w:val="auto"/>
              </w:rPr>
            </w:pPr>
            <w:r>
              <w:rPr>
                <w:rFonts w:ascii="Arial" w:cs="Arial" w:eastAsia="Arial" w:hAnsi="Arial"/>
                <w:sz w:val="18"/>
                <w:szCs w:val="18"/>
                <w:b w:val="1"/>
                <w:bCs w:val="1"/>
                <w:color w:val="auto"/>
              </w:rPr>
              <w:t>Experience</w:t>
            </w:r>
          </w:p>
        </w:tc>
        <w:tc>
          <w:tcPr>
            <w:tcW w:w="700" w:type="dxa"/>
            <w:vAlign w:val="bottom"/>
          </w:tcPr>
          <w:p>
            <w:pPr>
              <w:ind w:left="440"/>
              <w:spacing w:after="0" w:line="141" w:lineRule="exact"/>
              <w:rPr>
                <w:sz w:val="20"/>
                <w:szCs w:val="20"/>
                <w:color w:val="auto"/>
              </w:rPr>
            </w:pPr>
            <w:r>
              <w:rPr>
                <w:rFonts w:ascii="MS PGothic" w:cs="MS PGothic" w:eastAsia="MS PGothic" w:hAnsi="MS PGothic"/>
                <w:sz w:val="14"/>
                <w:szCs w:val="14"/>
                <w:color w:val="023C5B"/>
              </w:rPr>
              <w:t>∎</w:t>
            </w:r>
          </w:p>
        </w:tc>
        <w:tc>
          <w:tcPr>
            <w:tcW w:w="8640" w:type="dxa"/>
            <w:vAlign w:val="bottom"/>
          </w:tcPr>
          <w:p>
            <w:pPr>
              <w:ind w:left="140"/>
              <w:spacing w:after="0"/>
              <w:rPr>
                <w:sz w:val="20"/>
                <w:szCs w:val="20"/>
                <w:color w:val="auto"/>
              </w:rPr>
            </w:pPr>
            <w:r>
              <w:rPr>
                <w:rFonts w:ascii="Arial" w:cs="Arial" w:eastAsia="Arial" w:hAnsi="Arial"/>
                <w:sz w:val="18"/>
                <w:szCs w:val="18"/>
                <w:color w:val="auto"/>
              </w:rPr>
              <w:t>Recognize that the financial services industry is complex and understand the importance of having</w:t>
            </w: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40" w:type="dxa"/>
            <w:vAlign w:val="bottom"/>
          </w:tcPr>
          <w:p>
            <w:pPr>
              <w:ind w:left="140"/>
              <w:spacing w:after="0" w:line="169" w:lineRule="exact"/>
              <w:rPr>
                <w:sz w:val="20"/>
                <w:szCs w:val="20"/>
                <w:color w:val="auto"/>
              </w:rPr>
            </w:pPr>
            <w:r>
              <w:rPr>
                <w:rFonts w:ascii="Arial" w:cs="Arial" w:eastAsia="Arial" w:hAnsi="Arial"/>
                <w:sz w:val="18"/>
                <w:szCs w:val="18"/>
                <w:color w:val="auto"/>
              </w:rPr>
              <w:t>directors who have witnessed banking business and credit cycles over time and can share the wisdom of</w:t>
            </w: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40" w:type="dxa"/>
            <w:vAlign w:val="bottom"/>
          </w:tcPr>
          <w:p>
            <w:pPr>
              <w:ind w:left="140"/>
              <w:spacing w:after="0"/>
              <w:rPr>
                <w:sz w:val="20"/>
                <w:szCs w:val="20"/>
                <w:color w:val="auto"/>
              </w:rPr>
            </w:pPr>
            <w:r>
              <w:rPr>
                <w:rFonts w:ascii="Arial" w:cs="Arial" w:eastAsia="Arial" w:hAnsi="Arial"/>
                <w:sz w:val="18"/>
                <w:szCs w:val="18"/>
                <w:color w:val="auto"/>
              </w:rPr>
              <w:t>those experiences</w:t>
            </w:r>
          </w:p>
        </w:tc>
        <w:tc>
          <w:tcPr>
            <w:tcW w:w="0" w:type="dxa"/>
            <w:vAlign w:val="bottom"/>
          </w:tcPr>
          <w:p>
            <w:pPr>
              <w:spacing w:after="0"/>
              <w:rPr>
                <w:sz w:val="1"/>
                <w:szCs w:val="1"/>
                <w:color w:val="auto"/>
              </w:rPr>
            </w:pPr>
          </w:p>
        </w:tc>
      </w:tr>
      <w:tr>
        <w:trPr>
          <w:trHeight w:val="38"/>
        </w:trPr>
        <w:tc>
          <w:tcPr>
            <w:tcW w:w="120" w:type="dxa"/>
            <w:vAlign w:val="bottom"/>
            <w:tcBorders>
              <w:bottom w:val="single" w:sz="8" w:color="023C5B"/>
            </w:tcBorders>
          </w:tcPr>
          <w:p>
            <w:pPr>
              <w:spacing w:after="0"/>
              <w:rPr>
                <w:sz w:val="3"/>
                <w:szCs w:val="3"/>
                <w:color w:val="auto"/>
              </w:rPr>
            </w:pPr>
          </w:p>
        </w:tc>
        <w:tc>
          <w:tcPr>
            <w:tcW w:w="1460" w:type="dxa"/>
            <w:vAlign w:val="bottom"/>
            <w:tcBorders>
              <w:bottom w:val="single" w:sz="8" w:color="023C5B"/>
            </w:tcBorders>
          </w:tcPr>
          <w:p>
            <w:pPr>
              <w:spacing w:after="0"/>
              <w:rPr>
                <w:sz w:val="3"/>
                <w:szCs w:val="3"/>
                <w:color w:val="auto"/>
              </w:rPr>
            </w:pPr>
          </w:p>
        </w:tc>
        <w:tc>
          <w:tcPr>
            <w:tcW w:w="700" w:type="dxa"/>
            <w:vAlign w:val="bottom"/>
            <w:tcBorders>
              <w:bottom w:val="single" w:sz="8" w:color="023C5B"/>
            </w:tcBorders>
          </w:tcPr>
          <w:p>
            <w:pPr>
              <w:spacing w:after="0"/>
              <w:rPr>
                <w:sz w:val="3"/>
                <w:szCs w:val="3"/>
                <w:color w:val="auto"/>
              </w:rPr>
            </w:pPr>
          </w:p>
        </w:tc>
        <w:tc>
          <w:tcPr>
            <w:tcW w:w="864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20" w:type="dxa"/>
            <w:vAlign w:val="bottom"/>
            <w:shd w:val="clear" w:color="auto" w:fill="E5EBEE"/>
          </w:tcPr>
          <w:p>
            <w:pPr>
              <w:spacing w:after="0"/>
              <w:rPr>
                <w:sz w:val="21"/>
                <w:szCs w:val="21"/>
                <w:color w:val="auto"/>
              </w:rPr>
            </w:pPr>
          </w:p>
        </w:tc>
        <w:tc>
          <w:tcPr>
            <w:tcW w:w="1460" w:type="dxa"/>
            <w:vAlign w:val="bottom"/>
            <w:shd w:val="clear" w:color="auto" w:fill="E5EBEE"/>
          </w:tcPr>
          <w:p>
            <w:pPr>
              <w:spacing w:after="0"/>
              <w:rPr>
                <w:sz w:val="21"/>
                <w:szCs w:val="21"/>
                <w:color w:val="auto"/>
              </w:rPr>
            </w:pPr>
          </w:p>
        </w:tc>
        <w:tc>
          <w:tcPr>
            <w:tcW w:w="700" w:type="dxa"/>
            <w:vAlign w:val="bottom"/>
            <w:shd w:val="clear" w:color="auto" w:fill="E5EBEE"/>
          </w:tcPr>
          <w:p>
            <w:pPr>
              <w:ind w:left="440"/>
              <w:spacing w:after="0" w:line="141" w:lineRule="exact"/>
              <w:rPr>
                <w:sz w:val="20"/>
                <w:szCs w:val="20"/>
                <w:color w:val="auto"/>
              </w:rPr>
            </w:pPr>
            <w:r>
              <w:rPr>
                <w:rFonts w:ascii="MS PGothic" w:cs="MS PGothic" w:eastAsia="MS PGothic" w:hAnsi="MS PGothic"/>
                <w:sz w:val="14"/>
                <w:szCs w:val="14"/>
                <w:color w:val="023C5B"/>
              </w:rPr>
              <w:t>∎</w:t>
            </w:r>
          </w:p>
        </w:tc>
        <w:tc>
          <w:tcPr>
            <w:tcW w:w="8640" w:type="dxa"/>
            <w:vAlign w:val="bottom"/>
            <w:shd w:val="clear" w:color="auto" w:fill="E5EBEE"/>
          </w:tcPr>
          <w:p>
            <w:pPr>
              <w:ind w:left="140"/>
              <w:spacing w:after="0"/>
              <w:rPr>
                <w:sz w:val="20"/>
                <w:szCs w:val="20"/>
                <w:color w:val="auto"/>
              </w:rPr>
            </w:pPr>
            <w:r>
              <w:rPr>
                <w:rFonts w:ascii="Arial" w:cs="Arial" w:eastAsia="Arial" w:hAnsi="Arial"/>
                <w:sz w:val="18"/>
                <w:szCs w:val="18"/>
                <w:color w:val="auto"/>
              </w:rPr>
              <w:t>Believe having a Board with members who demonstrate a diversity of thought, perspectives, skills,</w:t>
            </w:r>
          </w:p>
        </w:tc>
        <w:tc>
          <w:tcPr>
            <w:tcW w:w="0" w:type="dxa"/>
            <w:vAlign w:val="bottom"/>
          </w:tcPr>
          <w:p>
            <w:pPr>
              <w:spacing w:after="0"/>
              <w:rPr>
                <w:sz w:val="1"/>
                <w:szCs w:val="1"/>
                <w:color w:val="auto"/>
              </w:rPr>
            </w:pPr>
          </w:p>
        </w:tc>
      </w:tr>
      <w:tr>
        <w:trPr>
          <w:trHeight w:val="201"/>
        </w:trPr>
        <w:tc>
          <w:tcPr>
            <w:tcW w:w="120" w:type="dxa"/>
            <w:vAlign w:val="bottom"/>
            <w:vMerge w:val="restart"/>
            <w:shd w:val="clear" w:color="auto" w:fill="E5EBEE"/>
          </w:tcPr>
          <w:p>
            <w:pPr>
              <w:spacing w:after="0"/>
              <w:rPr>
                <w:sz w:val="20"/>
                <w:szCs w:val="20"/>
                <w:color w:val="auto"/>
              </w:rPr>
            </w:pPr>
            <w:r>
              <w:rPr>
                <w:rFonts w:ascii="Arial" w:cs="Arial" w:eastAsia="Arial" w:hAnsi="Arial"/>
                <w:sz w:val="14"/>
                <w:szCs w:val="14"/>
                <w:b w:val="1"/>
                <w:bCs w:val="1"/>
                <w:color w:val="auto"/>
                <w:w w:val="71"/>
              </w:rPr>
              <w:t> </w:t>
            </w:r>
          </w:p>
        </w:tc>
        <w:tc>
          <w:tcPr>
            <w:tcW w:w="1460" w:type="dxa"/>
            <w:vAlign w:val="bottom"/>
            <w:vMerge w:val="restart"/>
            <w:shd w:val="clear" w:color="auto" w:fill="E5EBEE"/>
          </w:tcPr>
          <w:p>
            <w:pPr>
              <w:ind w:left="60"/>
              <w:spacing w:after="0"/>
              <w:rPr>
                <w:sz w:val="20"/>
                <w:szCs w:val="20"/>
                <w:color w:val="auto"/>
              </w:rPr>
            </w:pPr>
            <w:r>
              <w:rPr>
                <w:rFonts w:ascii="Arial" w:cs="Arial" w:eastAsia="Arial" w:hAnsi="Arial"/>
                <w:sz w:val="18"/>
                <w:szCs w:val="18"/>
                <w:b w:val="1"/>
                <w:bCs w:val="1"/>
                <w:color w:val="auto"/>
              </w:rPr>
              <w:t>Diversity</w:t>
            </w:r>
          </w:p>
        </w:tc>
        <w:tc>
          <w:tcPr>
            <w:tcW w:w="700" w:type="dxa"/>
            <w:vAlign w:val="bottom"/>
            <w:shd w:val="clear" w:color="auto" w:fill="E5EBEE"/>
          </w:tcPr>
          <w:p>
            <w:pPr>
              <w:spacing w:after="0"/>
              <w:rPr>
                <w:sz w:val="17"/>
                <w:szCs w:val="17"/>
                <w:color w:val="auto"/>
              </w:rPr>
            </w:pPr>
          </w:p>
        </w:tc>
        <w:tc>
          <w:tcPr>
            <w:tcW w:w="8640" w:type="dxa"/>
            <w:vAlign w:val="bottom"/>
            <w:shd w:val="clear" w:color="auto" w:fill="E5EBEE"/>
          </w:tcPr>
          <w:p>
            <w:pPr>
              <w:ind w:left="140"/>
              <w:spacing w:after="0" w:line="201" w:lineRule="exact"/>
              <w:rPr>
                <w:sz w:val="20"/>
                <w:szCs w:val="20"/>
                <w:color w:val="auto"/>
              </w:rPr>
            </w:pPr>
            <w:r>
              <w:rPr>
                <w:rFonts w:ascii="Arial" w:cs="Arial" w:eastAsia="Arial" w:hAnsi="Arial"/>
                <w:sz w:val="18"/>
                <w:szCs w:val="18"/>
                <w:color w:val="auto"/>
              </w:rPr>
              <w:t>backgrounds, and personal and professional experiences is important to building an effective and resilient</w:t>
            </w:r>
          </w:p>
        </w:tc>
        <w:tc>
          <w:tcPr>
            <w:tcW w:w="0" w:type="dxa"/>
            <w:vAlign w:val="bottom"/>
          </w:tcPr>
          <w:p>
            <w:pPr>
              <w:spacing w:after="0"/>
              <w:rPr>
                <w:sz w:val="1"/>
                <w:szCs w:val="1"/>
                <w:color w:val="auto"/>
              </w:rPr>
            </w:pPr>
          </w:p>
        </w:tc>
      </w:tr>
      <w:tr>
        <w:trPr>
          <w:trHeight w:val="112"/>
        </w:trPr>
        <w:tc>
          <w:tcPr>
            <w:tcW w:w="120" w:type="dxa"/>
            <w:vAlign w:val="bottom"/>
            <w:vMerge w:val="continue"/>
            <w:shd w:val="clear" w:color="auto" w:fill="E5EBEE"/>
          </w:tcPr>
          <w:p>
            <w:pPr>
              <w:spacing w:after="0"/>
              <w:rPr>
                <w:sz w:val="9"/>
                <w:szCs w:val="9"/>
                <w:color w:val="auto"/>
              </w:rPr>
            </w:pPr>
          </w:p>
        </w:tc>
        <w:tc>
          <w:tcPr>
            <w:tcW w:w="1460" w:type="dxa"/>
            <w:vAlign w:val="bottom"/>
            <w:vMerge w:val="continue"/>
            <w:shd w:val="clear" w:color="auto" w:fill="E5EBEE"/>
          </w:tcPr>
          <w:p>
            <w:pPr>
              <w:spacing w:after="0"/>
              <w:rPr>
                <w:sz w:val="9"/>
                <w:szCs w:val="9"/>
                <w:color w:val="auto"/>
              </w:rPr>
            </w:pPr>
          </w:p>
        </w:tc>
        <w:tc>
          <w:tcPr>
            <w:tcW w:w="700" w:type="dxa"/>
            <w:vAlign w:val="bottom"/>
            <w:shd w:val="clear" w:color="auto" w:fill="E5EBEE"/>
          </w:tcPr>
          <w:p>
            <w:pPr>
              <w:spacing w:after="0"/>
              <w:rPr>
                <w:sz w:val="9"/>
                <w:szCs w:val="9"/>
                <w:color w:val="auto"/>
              </w:rPr>
            </w:pPr>
          </w:p>
        </w:tc>
        <w:tc>
          <w:tcPr>
            <w:tcW w:w="8640" w:type="dxa"/>
            <w:vAlign w:val="bottom"/>
            <w:vMerge w:val="restart"/>
            <w:shd w:val="clear" w:color="auto" w:fill="E5EBEE"/>
          </w:tcPr>
          <w:p>
            <w:pPr>
              <w:ind w:left="140"/>
              <w:spacing w:after="0" w:line="201" w:lineRule="exact"/>
              <w:rPr>
                <w:sz w:val="20"/>
                <w:szCs w:val="20"/>
                <w:color w:val="auto"/>
              </w:rPr>
            </w:pPr>
            <w:r>
              <w:rPr>
                <w:rFonts w:ascii="Arial" w:cs="Arial" w:eastAsia="Arial" w:hAnsi="Arial"/>
                <w:sz w:val="18"/>
                <w:szCs w:val="18"/>
                <w:color w:val="auto"/>
              </w:rPr>
              <w:t>board, and as a result, have a goal of identifying candidates that can contribute to that diversity in a</w:t>
            </w:r>
          </w:p>
        </w:tc>
        <w:tc>
          <w:tcPr>
            <w:tcW w:w="0" w:type="dxa"/>
            <w:vAlign w:val="bottom"/>
          </w:tcPr>
          <w:p>
            <w:pPr>
              <w:spacing w:after="0"/>
              <w:rPr>
                <w:sz w:val="1"/>
                <w:szCs w:val="1"/>
                <w:color w:val="auto"/>
              </w:rPr>
            </w:pPr>
          </w:p>
        </w:tc>
      </w:tr>
      <w:tr>
        <w:trPr>
          <w:trHeight w:val="89"/>
        </w:trPr>
        <w:tc>
          <w:tcPr>
            <w:tcW w:w="120" w:type="dxa"/>
            <w:vAlign w:val="bottom"/>
            <w:shd w:val="clear" w:color="auto" w:fill="E5EBEE"/>
          </w:tcPr>
          <w:p>
            <w:pPr>
              <w:spacing w:after="0"/>
              <w:rPr>
                <w:sz w:val="7"/>
                <w:szCs w:val="7"/>
                <w:color w:val="auto"/>
              </w:rPr>
            </w:pPr>
          </w:p>
        </w:tc>
        <w:tc>
          <w:tcPr>
            <w:tcW w:w="1460" w:type="dxa"/>
            <w:vAlign w:val="bottom"/>
            <w:shd w:val="clear" w:color="auto" w:fill="E5EBEE"/>
          </w:tcPr>
          <w:p>
            <w:pPr>
              <w:spacing w:after="0"/>
              <w:rPr>
                <w:sz w:val="7"/>
                <w:szCs w:val="7"/>
                <w:color w:val="auto"/>
              </w:rPr>
            </w:pPr>
          </w:p>
        </w:tc>
        <w:tc>
          <w:tcPr>
            <w:tcW w:w="700" w:type="dxa"/>
            <w:vAlign w:val="bottom"/>
            <w:shd w:val="clear" w:color="auto" w:fill="E5EBEE"/>
          </w:tcPr>
          <w:p>
            <w:pPr>
              <w:spacing w:after="0"/>
              <w:rPr>
                <w:sz w:val="7"/>
                <w:szCs w:val="7"/>
                <w:color w:val="auto"/>
              </w:rPr>
            </w:pPr>
          </w:p>
        </w:tc>
        <w:tc>
          <w:tcPr>
            <w:tcW w:w="8640" w:type="dxa"/>
            <w:vAlign w:val="bottom"/>
            <w:vMerge w:val="continue"/>
            <w:shd w:val="clear" w:color="auto" w:fill="E5EBEE"/>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20" w:type="dxa"/>
            <w:vAlign w:val="bottom"/>
            <w:tcBorders>
              <w:bottom w:val="single" w:sz="8" w:color="E5EBEE"/>
            </w:tcBorders>
            <w:shd w:val="clear" w:color="auto" w:fill="E5EBEE"/>
          </w:tcPr>
          <w:p>
            <w:pPr>
              <w:spacing w:after="0"/>
              <w:rPr>
                <w:sz w:val="24"/>
                <w:szCs w:val="24"/>
                <w:color w:val="auto"/>
              </w:rPr>
            </w:pPr>
          </w:p>
        </w:tc>
        <w:tc>
          <w:tcPr>
            <w:tcW w:w="1460" w:type="dxa"/>
            <w:vAlign w:val="bottom"/>
            <w:tcBorders>
              <w:bottom w:val="single" w:sz="8" w:color="E5EBEE"/>
            </w:tcBorders>
            <w:shd w:val="clear" w:color="auto" w:fill="E5EBEE"/>
          </w:tcPr>
          <w:p>
            <w:pPr>
              <w:spacing w:after="0"/>
              <w:rPr>
                <w:sz w:val="24"/>
                <w:szCs w:val="24"/>
                <w:color w:val="auto"/>
              </w:rPr>
            </w:pPr>
          </w:p>
        </w:tc>
        <w:tc>
          <w:tcPr>
            <w:tcW w:w="700" w:type="dxa"/>
            <w:vAlign w:val="bottom"/>
            <w:tcBorders>
              <w:bottom w:val="single" w:sz="8" w:color="E5EBEE"/>
            </w:tcBorders>
            <w:shd w:val="clear" w:color="auto" w:fill="E5EBEE"/>
          </w:tcPr>
          <w:p>
            <w:pPr>
              <w:spacing w:after="0"/>
              <w:rPr>
                <w:sz w:val="24"/>
                <w:szCs w:val="24"/>
                <w:color w:val="auto"/>
              </w:rPr>
            </w:pPr>
          </w:p>
        </w:tc>
        <w:tc>
          <w:tcPr>
            <w:tcW w:w="8640" w:type="dxa"/>
            <w:vAlign w:val="bottom"/>
            <w:tcBorders>
              <w:bottom w:val="single" w:sz="8" w:color="E5EBEE"/>
            </w:tcBorders>
            <w:shd w:val="clear" w:color="auto" w:fill="E5EBEE"/>
          </w:tcPr>
          <w:p>
            <w:pPr>
              <w:ind w:left="140"/>
              <w:spacing w:after="0"/>
              <w:rPr>
                <w:sz w:val="20"/>
                <w:szCs w:val="20"/>
                <w:color w:val="auto"/>
              </w:rPr>
            </w:pPr>
            <w:r>
              <w:rPr>
                <w:rFonts w:ascii="Arial" w:cs="Arial" w:eastAsia="Arial" w:hAnsi="Arial"/>
                <w:sz w:val="18"/>
                <w:szCs w:val="18"/>
                <w:color w:val="auto"/>
              </w:rPr>
              <w:t>variety of ways</w:t>
            </w:r>
          </w:p>
        </w:tc>
        <w:tc>
          <w:tcPr>
            <w:tcW w:w="0" w:type="dxa"/>
            <w:vAlign w:val="bottom"/>
          </w:tcPr>
          <w:p>
            <w:pPr>
              <w:spacing w:after="0"/>
              <w:rPr>
                <w:sz w:val="1"/>
                <w:szCs w:val="1"/>
                <w:color w:val="auto"/>
              </w:rPr>
            </w:pPr>
          </w:p>
        </w:tc>
      </w:tr>
      <w:tr>
        <w:trPr>
          <w:trHeight w:val="242"/>
        </w:trPr>
        <w:tc>
          <w:tcPr>
            <w:tcW w:w="120" w:type="dxa"/>
            <w:vAlign w:val="bottom"/>
            <w:tcBorders>
              <w:top w:val="single" w:sz="8" w:color="023C5B"/>
            </w:tcBorders>
          </w:tcPr>
          <w:p>
            <w:pPr>
              <w:spacing w:after="0"/>
              <w:rPr>
                <w:sz w:val="21"/>
                <w:szCs w:val="21"/>
                <w:color w:val="auto"/>
              </w:rPr>
            </w:pPr>
          </w:p>
        </w:tc>
        <w:tc>
          <w:tcPr>
            <w:tcW w:w="1460" w:type="dxa"/>
            <w:vAlign w:val="bottom"/>
            <w:tcBorders>
              <w:top w:val="single" w:sz="8" w:color="023C5B"/>
            </w:tcBorders>
          </w:tcPr>
          <w:p>
            <w:pPr>
              <w:spacing w:after="0"/>
              <w:rPr>
                <w:sz w:val="21"/>
                <w:szCs w:val="21"/>
                <w:color w:val="auto"/>
              </w:rPr>
            </w:pPr>
          </w:p>
        </w:tc>
        <w:tc>
          <w:tcPr>
            <w:tcW w:w="700" w:type="dxa"/>
            <w:vAlign w:val="bottom"/>
            <w:tcBorders>
              <w:top w:val="single" w:sz="8" w:color="023C5B"/>
            </w:tcBorders>
          </w:tcPr>
          <w:p>
            <w:pPr>
              <w:ind w:left="440"/>
              <w:spacing w:after="0" w:line="141" w:lineRule="exact"/>
              <w:rPr>
                <w:sz w:val="20"/>
                <w:szCs w:val="20"/>
                <w:color w:val="auto"/>
              </w:rPr>
            </w:pPr>
            <w:r>
              <w:rPr>
                <w:rFonts w:ascii="MS PGothic" w:cs="MS PGothic" w:eastAsia="MS PGothic" w:hAnsi="MS PGothic"/>
                <w:sz w:val="14"/>
                <w:szCs w:val="14"/>
                <w:color w:val="023C5B"/>
              </w:rPr>
              <w:t>∎</w:t>
            </w:r>
          </w:p>
        </w:tc>
        <w:tc>
          <w:tcPr>
            <w:tcW w:w="8640" w:type="dxa"/>
            <w:vAlign w:val="bottom"/>
            <w:tcBorders>
              <w:top w:val="single" w:sz="8" w:color="023C5B"/>
            </w:tcBorders>
          </w:tcPr>
          <w:p>
            <w:pPr>
              <w:ind w:left="140"/>
              <w:spacing w:after="0"/>
              <w:rPr>
                <w:sz w:val="20"/>
                <w:szCs w:val="20"/>
                <w:color w:val="auto"/>
              </w:rPr>
            </w:pPr>
            <w:r>
              <w:rPr>
                <w:rFonts w:ascii="Arial" w:cs="Arial" w:eastAsia="Arial" w:hAnsi="Arial"/>
                <w:sz w:val="18"/>
                <w:szCs w:val="18"/>
                <w:color w:val="auto"/>
              </w:rPr>
              <w:t>Consider the appropriate size of the Board in relation to promoting active engagement and open</w:t>
            </w:r>
          </w:p>
        </w:tc>
        <w:tc>
          <w:tcPr>
            <w:tcW w:w="0" w:type="dxa"/>
            <w:vAlign w:val="bottom"/>
          </w:tcPr>
          <w:p>
            <w:pPr>
              <w:spacing w:after="0"/>
              <w:rPr>
                <w:sz w:val="1"/>
                <w:szCs w:val="1"/>
                <w:color w:val="auto"/>
              </w:rPr>
            </w:pPr>
          </w:p>
        </w:tc>
      </w:tr>
      <w:tr>
        <w:trPr>
          <w:trHeight w:val="235"/>
        </w:trPr>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w w:val="71"/>
              </w:rPr>
              <w:t> </w:t>
            </w:r>
          </w:p>
        </w:tc>
        <w:tc>
          <w:tcPr>
            <w:tcW w:w="14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Board Size</w:t>
            </w:r>
          </w:p>
        </w:tc>
        <w:tc>
          <w:tcPr>
            <w:tcW w:w="700" w:type="dxa"/>
            <w:vAlign w:val="bottom"/>
          </w:tcPr>
          <w:p>
            <w:pPr>
              <w:spacing w:after="0"/>
              <w:rPr>
                <w:sz w:val="20"/>
                <w:szCs w:val="20"/>
                <w:color w:val="auto"/>
              </w:rPr>
            </w:pPr>
          </w:p>
        </w:tc>
        <w:tc>
          <w:tcPr>
            <w:tcW w:w="8640" w:type="dxa"/>
            <w:vAlign w:val="bottom"/>
          </w:tcPr>
          <w:p>
            <w:pPr>
              <w:ind w:left="140"/>
              <w:spacing w:after="0"/>
              <w:rPr>
                <w:sz w:val="20"/>
                <w:szCs w:val="20"/>
                <w:color w:val="auto"/>
              </w:rPr>
            </w:pPr>
            <w:r>
              <w:rPr>
                <w:rFonts w:ascii="Arial" w:cs="Arial" w:eastAsia="Arial" w:hAnsi="Arial"/>
                <w:sz w:val="18"/>
                <w:szCs w:val="18"/>
                <w:color w:val="auto"/>
              </w:rPr>
              <w:t>discussion</w:t>
            </w:r>
          </w:p>
        </w:tc>
        <w:tc>
          <w:tcPr>
            <w:tcW w:w="0" w:type="dxa"/>
            <w:vAlign w:val="bottom"/>
          </w:tcPr>
          <w:p>
            <w:pPr>
              <w:spacing w:after="0"/>
              <w:rPr>
                <w:sz w:val="1"/>
                <w:szCs w:val="1"/>
                <w:color w:val="auto"/>
              </w:rPr>
            </w:pPr>
          </w:p>
        </w:tc>
      </w:tr>
      <w:tr>
        <w:trPr>
          <w:trHeight w:val="50"/>
        </w:trPr>
        <w:tc>
          <w:tcPr>
            <w:tcW w:w="1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64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580" w:right="160" w:hanging="393"/>
        <w:spacing w:after="0" w:line="244" w:lineRule="auto"/>
        <w:tabs>
          <w:tab w:leader="none" w:pos="2580" w:val="left"/>
        </w:tabs>
        <w:numPr>
          <w:ilvl w:val="0"/>
          <w:numId w:val="34"/>
        </w:numPr>
        <w:rPr>
          <w:rFonts w:ascii="MS PGothic" w:cs="MS PGothic" w:eastAsia="MS PGothic" w:hAnsi="MS PGothic"/>
          <w:sz w:val="14"/>
          <w:szCs w:val="14"/>
          <w:color w:val="023C5B"/>
        </w:rPr>
      </w:pPr>
      <w:r>
        <w:rPr>
          <w:rFonts w:ascii="Arial" w:cs="Arial" w:eastAsia="Arial" w:hAnsi="Arial"/>
          <w:sz w:val="18"/>
          <w:szCs w:val="18"/>
          <w:color w:val="auto"/>
        </w:rPr>
        <w:t>Continuously assess the depth of successors available to assume Board leadership positions for both expected and unexpected departures</w:t>
      </w:r>
    </w:p>
    <w:p>
      <w:pPr>
        <w:spacing w:after="0" w:line="96" w:lineRule="exact"/>
        <w:rPr>
          <w:rFonts w:ascii="MS PGothic" w:cs="MS PGothic" w:eastAsia="MS PGothic" w:hAnsi="MS PGothic"/>
          <w:sz w:val="14"/>
          <w:szCs w:val="14"/>
          <w:color w:val="023C5B"/>
        </w:rPr>
      </w:pPr>
    </w:p>
    <w:p>
      <w:pPr>
        <w:jc w:val="both"/>
        <w:ind w:left="2580" w:right="140" w:hanging="393"/>
        <w:spacing w:after="0" w:line="237" w:lineRule="auto"/>
        <w:tabs>
          <w:tab w:leader="none" w:pos="2580" w:val="left"/>
        </w:tabs>
        <w:numPr>
          <w:ilvl w:val="0"/>
          <w:numId w:val="34"/>
        </w:numPr>
        <w:rPr>
          <w:rFonts w:ascii="MS PGothic" w:cs="MS PGothic" w:eastAsia="MS PGothic" w:hAnsi="MS PGothic"/>
          <w:sz w:val="14"/>
          <w:szCs w:val="14"/>
          <w:color w:val="023C5B"/>
        </w:rPr>
      </w:pPr>
      <w:r>
        <w:rPr>
          <w:rFonts w:ascii="Arial" w:cs="Arial" w:eastAsia="Arial" w:hAnsi="Arial"/>
          <w:sz w:val="18"/>
          <w:szCs w:val="18"/>
          <w:color w:val="auto"/>
        </w:rPr>
        <w:t>Believe that it is critical to have members across a continuum of director tenure to ensure the effective oversight of a large financial institution, which must simultaneously embrace innovation and changing market and customer expectations and prudently preserve the safety and soundness of the institution through long-term business and credit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-557530</wp:posOffset>
            </wp:positionV>
            <wp:extent cx="6929755" cy="12820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29755" cy="1282065"/>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249"/>
        </w:trPr>
        <w:tc>
          <w:tcPr>
            <w:tcW w:w="1400" w:type="dxa"/>
            <w:vAlign w:val="bottom"/>
          </w:tcPr>
          <w:p>
            <w:pPr>
              <w:spacing w:after="0"/>
              <w:rPr>
                <w:sz w:val="20"/>
                <w:szCs w:val="20"/>
                <w:color w:val="auto"/>
              </w:rPr>
            </w:pPr>
            <w:r>
              <w:rPr>
                <w:rFonts w:ascii="Arial" w:cs="Arial" w:eastAsia="Arial" w:hAnsi="Arial"/>
                <w:sz w:val="18"/>
                <w:szCs w:val="18"/>
                <w:b w:val="1"/>
                <w:bCs w:val="1"/>
                <w:color w:val="auto"/>
              </w:rPr>
              <w:t>   Tenure</w:t>
            </w:r>
          </w:p>
        </w:tc>
        <w:tc>
          <w:tcPr>
            <w:tcW w:w="9380" w:type="dxa"/>
            <w:vAlign w:val="bottom"/>
          </w:tcPr>
          <w:p>
            <w:pPr>
              <w:ind w:left="620"/>
              <w:spacing w:after="0" w:line="207"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8"/>
                <w:szCs w:val="18"/>
                <w:color w:val="auto"/>
              </w:rPr>
              <w:t xml:space="preserve">    Seek to have a mix of members at different points along the tenure continuum to cultivate Board</w:t>
            </w:r>
          </w:p>
        </w:tc>
      </w:tr>
      <w:tr>
        <w:trPr>
          <w:trHeight w:val="201"/>
        </w:trPr>
        <w:tc>
          <w:tcPr>
            <w:tcW w:w="1400" w:type="dxa"/>
            <w:vAlign w:val="bottom"/>
          </w:tcPr>
          <w:p>
            <w:pPr>
              <w:spacing w:after="0"/>
              <w:rPr>
                <w:sz w:val="17"/>
                <w:szCs w:val="17"/>
                <w:color w:val="auto"/>
              </w:rPr>
            </w:pPr>
          </w:p>
        </w:tc>
        <w:tc>
          <w:tcPr>
            <w:tcW w:w="9380" w:type="dxa"/>
            <w:vAlign w:val="bottom"/>
          </w:tcPr>
          <w:p>
            <w:pPr>
              <w:ind w:left="1020"/>
              <w:spacing w:after="0" w:line="201" w:lineRule="exact"/>
              <w:rPr>
                <w:sz w:val="20"/>
                <w:szCs w:val="20"/>
                <w:color w:val="auto"/>
              </w:rPr>
            </w:pPr>
            <w:r>
              <w:rPr>
                <w:rFonts w:ascii="Arial" w:cs="Arial" w:eastAsia="Arial" w:hAnsi="Arial"/>
                <w:sz w:val="18"/>
                <w:szCs w:val="18"/>
                <w:color w:val="auto"/>
              </w:rPr>
              <w:t>membership that collectively represents members who have actively overseen the Company’s strategic</w:t>
            </w:r>
          </w:p>
        </w:tc>
      </w:tr>
      <w:tr>
        <w:trPr>
          <w:trHeight w:val="201"/>
        </w:trPr>
        <w:tc>
          <w:tcPr>
            <w:tcW w:w="1400" w:type="dxa"/>
            <w:vAlign w:val="bottom"/>
          </w:tcPr>
          <w:p>
            <w:pPr>
              <w:spacing w:after="0"/>
              <w:rPr>
                <w:sz w:val="17"/>
                <w:szCs w:val="17"/>
                <w:color w:val="auto"/>
              </w:rPr>
            </w:pPr>
          </w:p>
        </w:tc>
        <w:tc>
          <w:tcPr>
            <w:tcW w:w="9380" w:type="dxa"/>
            <w:vAlign w:val="bottom"/>
          </w:tcPr>
          <w:p>
            <w:pPr>
              <w:ind w:left="1020"/>
              <w:spacing w:after="0" w:line="201" w:lineRule="exact"/>
              <w:rPr>
                <w:sz w:val="20"/>
                <w:szCs w:val="20"/>
                <w:color w:val="auto"/>
              </w:rPr>
            </w:pPr>
            <w:r>
              <w:rPr>
                <w:rFonts w:ascii="Arial" w:cs="Arial" w:eastAsia="Arial" w:hAnsi="Arial"/>
                <w:sz w:val="18"/>
                <w:szCs w:val="18"/>
                <w:color w:val="auto"/>
              </w:rPr>
              <w:t>journey through various business cycles, who have sufficient experience to assume Board leadership</w:t>
            </w:r>
          </w:p>
        </w:tc>
      </w:tr>
      <w:tr>
        <w:trPr>
          <w:trHeight w:val="201"/>
        </w:trPr>
        <w:tc>
          <w:tcPr>
            <w:tcW w:w="1400" w:type="dxa"/>
            <w:vAlign w:val="bottom"/>
          </w:tcPr>
          <w:p>
            <w:pPr>
              <w:spacing w:after="0"/>
              <w:rPr>
                <w:sz w:val="17"/>
                <w:szCs w:val="17"/>
                <w:color w:val="auto"/>
              </w:rPr>
            </w:pPr>
          </w:p>
        </w:tc>
        <w:tc>
          <w:tcPr>
            <w:tcW w:w="9380" w:type="dxa"/>
            <w:vAlign w:val="bottom"/>
          </w:tcPr>
          <w:p>
            <w:pPr>
              <w:ind w:left="1020"/>
              <w:spacing w:after="0" w:line="201" w:lineRule="exact"/>
              <w:rPr>
                <w:sz w:val="20"/>
                <w:szCs w:val="20"/>
                <w:color w:val="auto"/>
              </w:rPr>
            </w:pPr>
            <w:r>
              <w:rPr>
                <w:rFonts w:ascii="Arial" w:cs="Arial" w:eastAsia="Arial" w:hAnsi="Arial"/>
                <w:sz w:val="18"/>
                <w:szCs w:val="18"/>
                <w:color w:val="auto"/>
              </w:rPr>
              <w:t>positions, who bring fresh ideas and perspectives, and who have a firm understanding of the cultural</w:t>
            </w:r>
          </w:p>
        </w:tc>
      </w:tr>
      <w:tr>
        <w:trPr>
          <w:trHeight w:val="235"/>
        </w:trPr>
        <w:tc>
          <w:tcPr>
            <w:tcW w:w="1400" w:type="dxa"/>
            <w:vAlign w:val="bottom"/>
          </w:tcPr>
          <w:p>
            <w:pPr>
              <w:spacing w:after="0"/>
              <w:rPr>
                <w:sz w:val="20"/>
                <w:szCs w:val="20"/>
                <w:color w:val="auto"/>
              </w:rPr>
            </w:pPr>
          </w:p>
        </w:tc>
        <w:tc>
          <w:tcPr>
            <w:tcW w:w="9380" w:type="dxa"/>
            <w:vAlign w:val="bottom"/>
          </w:tcPr>
          <w:p>
            <w:pPr>
              <w:ind w:left="1020"/>
              <w:spacing w:after="0"/>
              <w:rPr>
                <w:sz w:val="20"/>
                <w:szCs w:val="20"/>
                <w:color w:val="auto"/>
              </w:rPr>
            </w:pPr>
            <w:r>
              <w:rPr>
                <w:rFonts w:ascii="Arial" w:cs="Arial" w:eastAsia="Arial" w:hAnsi="Arial"/>
                <w:sz w:val="18"/>
                <w:szCs w:val="18"/>
                <w:color w:val="auto"/>
              </w:rPr>
              <w:t>strengths of the Board and the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32385</wp:posOffset>
            </wp:positionV>
            <wp:extent cx="69297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2" w:lineRule="exact"/>
        <w:rPr>
          <w:sz w:val="20"/>
          <w:szCs w:val="20"/>
          <w:color w:val="auto"/>
        </w:rPr>
      </w:pPr>
    </w:p>
    <w:p>
      <w:pPr>
        <w:ind w:left="2580" w:hanging="393"/>
        <w:spacing w:after="0"/>
        <w:tabs>
          <w:tab w:leader="none" w:pos="2580" w:val="left"/>
        </w:tabs>
        <w:numPr>
          <w:ilvl w:val="0"/>
          <w:numId w:val="35"/>
        </w:numPr>
        <w:rPr>
          <w:rFonts w:ascii="MS PGothic" w:cs="MS PGothic" w:eastAsia="MS PGothic" w:hAnsi="MS PGothic"/>
          <w:sz w:val="14"/>
          <w:szCs w:val="14"/>
          <w:color w:val="023C5B"/>
        </w:rPr>
      </w:pPr>
      <w:r>
        <w:rPr>
          <w:rFonts w:ascii="Arial" w:cs="Arial" w:eastAsia="Arial" w:hAnsi="Arial"/>
          <w:sz w:val="18"/>
          <w:szCs w:val="18"/>
          <w:color w:val="auto"/>
        </w:rPr>
        <w:t>Engage in a continuous process of identifying and assessing potential director candidates in light of the</w:t>
      </w:r>
    </w:p>
    <w:p>
      <w:pPr>
        <w:spacing w:after="0" w:line="12"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w w:val="71"/>
              </w:rPr>
              <w:t> </w:t>
            </w:r>
          </w:p>
        </w:tc>
        <w:tc>
          <w:tcPr>
            <w:tcW w:w="14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Evergreen</w:t>
            </w:r>
          </w:p>
        </w:tc>
        <w:tc>
          <w:tcPr>
            <w:tcW w:w="740" w:type="dxa"/>
            <w:vAlign w:val="bottom"/>
          </w:tcPr>
          <w:p>
            <w:pPr>
              <w:spacing w:after="0"/>
              <w:rPr>
                <w:sz w:val="20"/>
                <w:szCs w:val="20"/>
                <w:color w:val="auto"/>
              </w:rPr>
            </w:pPr>
          </w:p>
        </w:tc>
        <w:tc>
          <w:tcPr>
            <w:tcW w:w="8500" w:type="dxa"/>
            <w:vAlign w:val="bottom"/>
          </w:tcPr>
          <w:p>
            <w:pPr>
              <w:ind w:left="140"/>
              <w:spacing w:after="0"/>
              <w:rPr>
                <w:sz w:val="20"/>
                <w:szCs w:val="20"/>
                <w:color w:val="auto"/>
              </w:rPr>
            </w:pPr>
            <w:r>
              <w:rPr>
                <w:rFonts w:ascii="Arial" w:cs="Arial" w:eastAsia="Arial" w:hAnsi="Arial"/>
                <w:sz w:val="18"/>
                <w:szCs w:val="18"/>
                <w:color w:val="auto"/>
              </w:rPr>
              <w:t>Board’s collective set of skills and future needs</w:t>
            </w:r>
          </w:p>
        </w:tc>
        <w:tc>
          <w:tcPr>
            <w:tcW w:w="0" w:type="dxa"/>
            <w:vAlign w:val="bottom"/>
          </w:tcPr>
          <w:p>
            <w:pPr>
              <w:spacing w:after="0"/>
              <w:rPr>
                <w:sz w:val="1"/>
                <w:szCs w:val="1"/>
                <w:color w:val="auto"/>
              </w:rPr>
            </w:pPr>
          </w:p>
        </w:tc>
      </w:tr>
      <w:tr>
        <w:trPr>
          <w:trHeight w:val="41"/>
        </w:trPr>
        <w:tc>
          <w:tcPr>
            <w:tcW w:w="12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740" w:type="dxa"/>
            <w:vAlign w:val="bottom"/>
            <w:vMerge w:val="restart"/>
          </w:tcPr>
          <w:p>
            <w:pPr>
              <w:ind w:left="480"/>
              <w:spacing w:after="0" w:line="141" w:lineRule="exact"/>
              <w:rPr>
                <w:sz w:val="20"/>
                <w:szCs w:val="20"/>
                <w:color w:val="auto"/>
              </w:rPr>
            </w:pPr>
            <w:r>
              <w:rPr>
                <w:rFonts w:ascii="MS PGothic" w:cs="MS PGothic" w:eastAsia="MS PGothic" w:hAnsi="MS PGothic"/>
                <w:sz w:val="14"/>
                <w:szCs w:val="14"/>
                <w:color w:val="023C5B"/>
              </w:rPr>
              <w:t>∎</w:t>
            </w:r>
          </w:p>
        </w:tc>
        <w:tc>
          <w:tcPr>
            <w:tcW w:w="8500" w:type="dxa"/>
            <w:vAlign w:val="bottom"/>
            <w:vMerge w:val="restart"/>
          </w:tcPr>
          <w:p>
            <w:pPr>
              <w:ind w:left="140"/>
              <w:spacing w:after="0"/>
              <w:rPr>
                <w:sz w:val="20"/>
                <w:szCs w:val="20"/>
                <w:color w:val="auto"/>
              </w:rPr>
            </w:pPr>
            <w:r>
              <w:rPr>
                <w:rFonts w:ascii="Arial" w:cs="Arial" w:eastAsia="Arial" w:hAnsi="Arial"/>
                <w:sz w:val="18"/>
                <w:szCs w:val="18"/>
                <w:color w:val="auto"/>
              </w:rPr>
              <w:t>Recognize that recruiting new directors is not one-dimensional and that effective Board members should</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20"/>
                <w:szCs w:val="20"/>
                <w:color w:val="auto"/>
              </w:rPr>
            </w:pPr>
            <w:r>
              <w:rPr>
                <w:rFonts w:ascii="Arial" w:cs="Arial" w:eastAsia="Arial" w:hAnsi="Arial"/>
                <w:sz w:val="14"/>
                <w:szCs w:val="14"/>
                <w:b w:val="1"/>
                <w:bCs w:val="1"/>
                <w:color w:val="auto"/>
                <w:w w:val="71"/>
              </w:rPr>
              <w:t> </w:t>
            </w:r>
          </w:p>
        </w:tc>
        <w:tc>
          <w:tcPr>
            <w:tcW w:w="1420" w:type="dxa"/>
            <w:vAlign w:val="bottom"/>
          </w:tcPr>
          <w:p>
            <w:pPr>
              <w:ind w:left="60"/>
              <w:spacing w:after="0" w:line="179" w:lineRule="exact"/>
              <w:rPr>
                <w:sz w:val="20"/>
                <w:szCs w:val="20"/>
                <w:color w:val="auto"/>
              </w:rPr>
            </w:pPr>
            <w:r>
              <w:rPr>
                <w:rFonts w:ascii="Arial" w:cs="Arial" w:eastAsia="Arial" w:hAnsi="Arial"/>
                <w:sz w:val="18"/>
                <w:szCs w:val="18"/>
                <w:b w:val="1"/>
                <w:bCs w:val="1"/>
                <w:color w:val="auto"/>
              </w:rPr>
              <w:t>Recruiting</w:t>
            </w:r>
          </w:p>
        </w:tc>
        <w:tc>
          <w:tcPr>
            <w:tcW w:w="740" w:type="dxa"/>
            <w:vAlign w:val="bottom"/>
            <w:vMerge w:val="continue"/>
          </w:tcPr>
          <w:p>
            <w:pPr>
              <w:spacing w:after="0"/>
              <w:rPr>
                <w:sz w:val="15"/>
                <w:szCs w:val="15"/>
                <w:color w:val="auto"/>
              </w:rPr>
            </w:pPr>
          </w:p>
        </w:tc>
        <w:tc>
          <w:tcPr>
            <w:tcW w:w="8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500" w:type="dxa"/>
            <w:vAlign w:val="bottom"/>
          </w:tcPr>
          <w:p>
            <w:pPr>
              <w:ind w:left="140"/>
              <w:spacing w:after="0" w:line="195" w:lineRule="exact"/>
              <w:rPr>
                <w:sz w:val="20"/>
                <w:szCs w:val="20"/>
                <w:color w:val="auto"/>
              </w:rPr>
            </w:pPr>
            <w:r>
              <w:rPr>
                <w:rFonts w:ascii="Arial" w:cs="Arial" w:eastAsia="Arial" w:hAnsi="Arial"/>
                <w:sz w:val="18"/>
                <w:szCs w:val="18"/>
                <w:color w:val="auto"/>
                <w:w w:val="98"/>
              </w:rPr>
              <w:t>be as described under the “What We Look for in Individual Director Nominees” section, beginning on page</w:t>
            </w: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500" w:type="dxa"/>
            <w:vAlign w:val="bottom"/>
          </w:tcPr>
          <w:p>
            <w:pPr>
              <w:ind w:lef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24130</wp:posOffset>
            </wp:positionV>
            <wp:extent cx="6929755" cy="14947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29755" cy="1494790"/>
                    </a:xfrm>
                    <a:prstGeom prst="rect">
                      <a:avLst/>
                    </a:prstGeom>
                    <a:noFill/>
                  </pic:spPr>
                </pic:pic>
              </a:graphicData>
            </a:graphic>
          </wp:anchor>
        </w:drawing>
      </w:r>
    </w:p>
    <w:p>
      <w:pPr>
        <w:spacing w:after="0" w:line="79" w:lineRule="exact"/>
        <w:rPr>
          <w:sz w:val="20"/>
          <w:szCs w:val="20"/>
          <w:color w:val="auto"/>
        </w:rPr>
      </w:pPr>
    </w:p>
    <w:p>
      <w:pPr>
        <w:ind w:left="2580" w:right="160" w:hanging="393"/>
        <w:spacing w:after="0" w:line="265" w:lineRule="auto"/>
        <w:tabs>
          <w:tab w:leader="none" w:pos="2580" w:val="left"/>
        </w:tabs>
        <w:numPr>
          <w:ilvl w:val="0"/>
          <w:numId w:val="36"/>
        </w:numPr>
        <w:rPr>
          <w:rFonts w:ascii="MS PGothic" w:cs="MS PGothic" w:eastAsia="MS PGothic" w:hAnsi="MS PGothic"/>
          <w:sz w:val="14"/>
          <w:szCs w:val="14"/>
          <w:color w:val="023C5B"/>
        </w:rPr>
      </w:pPr>
      <w:r>
        <w:rPr>
          <w:rFonts w:ascii="Arial" w:cs="Arial" w:eastAsia="Arial" w:hAnsi="Arial"/>
          <w:sz w:val="18"/>
          <w:szCs w:val="18"/>
          <w:color w:val="auto"/>
        </w:rPr>
        <w:t>Take a long-term view to enable thoughtful director refreshment that meets strategic needs while avoiding disruption</w:t>
      </w:r>
    </w:p>
    <w:p>
      <w:pPr>
        <w:spacing w:after="0" w:line="10" w:lineRule="exact"/>
        <w:rPr>
          <w:rFonts w:ascii="MS PGothic" w:cs="MS PGothic" w:eastAsia="MS PGothic" w:hAnsi="MS PGothic"/>
          <w:sz w:val="14"/>
          <w:szCs w:val="14"/>
          <w:color w:val="023C5B"/>
        </w:rPr>
      </w:pPr>
    </w:p>
    <w:p>
      <w:pPr>
        <w:ind w:left="2580" w:right="160" w:hanging="393"/>
        <w:spacing w:after="0" w:line="235" w:lineRule="auto"/>
        <w:tabs>
          <w:tab w:leader="none" w:pos="2580" w:val="left"/>
        </w:tabs>
        <w:numPr>
          <w:ilvl w:val="0"/>
          <w:numId w:val="36"/>
        </w:numPr>
        <w:rPr>
          <w:rFonts w:ascii="MS PGothic" w:cs="MS PGothic" w:eastAsia="MS PGothic" w:hAnsi="MS PGothic"/>
          <w:sz w:val="14"/>
          <w:szCs w:val="14"/>
          <w:color w:val="023C5B"/>
        </w:rPr>
      </w:pPr>
      <w:r>
        <w:rPr>
          <w:rFonts w:ascii="Arial" w:cs="Arial" w:eastAsia="Arial" w:hAnsi="Arial"/>
          <w:sz w:val="18"/>
          <w:szCs w:val="18"/>
          <w:color w:val="auto"/>
        </w:rPr>
        <w:t>Take a planned approach to changes in Board membership, considering the timing of new director onboarding relative to planned retirements and departures</w:t>
      </w:r>
    </w:p>
    <w:tbl>
      <w:tblPr>
        <w:tblLayout w:type="fixed"/>
        <w:tblInd w:w="160" w:type="dxa"/>
        <w:tblCellMar>
          <w:top w:w="0" w:type="dxa"/>
          <w:left w:w="0" w:type="dxa"/>
          <w:bottom w:w="0" w:type="dxa"/>
          <w:right w:w="0" w:type="dxa"/>
        </w:tblCellMar>
      </w:tblPr>
      <w:tr>
        <w:trPr>
          <w:trHeight w:val="183"/>
        </w:trPr>
        <w:tc>
          <w:tcPr>
            <w:tcW w:w="120" w:type="dxa"/>
            <w:vAlign w:val="bottom"/>
          </w:tcPr>
          <w:p>
            <w:pPr>
              <w:spacing w:after="0"/>
              <w:rPr>
                <w:sz w:val="20"/>
                <w:szCs w:val="20"/>
                <w:color w:val="auto"/>
              </w:rPr>
            </w:pPr>
            <w:r>
              <w:rPr>
                <w:rFonts w:ascii="Arial" w:cs="Arial" w:eastAsia="Arial" w:hAnsi="Arial"/>
                <w:sz w:val="14"/>
                <w:szCs w:val="14"/>
                <w:b w:val="1"/>
                <w:bCs w:val="1"/>
                <w:color w:val="auto"/>
                <w:w w:val="71"/>
              </w:rPr>
              <w:t> </w:t>
            </w:r>
          </w:p>
        </w:tc>
        <w:tc>
          <w:tcPr>
            <w:tcW w:w="1540" w:type="dxa"/>
            <w:vAlign w:val="bottom"/>
          </w:tcPr>
          <w:p>
            <w:pPr>
              <w:ind w:left="60"/>
              <w:spacing w:after="0" w:line="183" w:lineRule="exact"/>
              <w:rPr>
                <w:sz w:val="20"/>
                <w:szCs w:val="20"/>
                <w:color w:val="auto"/>
              </w:rPr>
            </w:pPr>
            <w:r>
              <w:rPr>
                <w:rFonts w:ascii="Arial" w:cs="Arial" w:eastAsia="Arial" w:hAnsi="Arial"/>
                <w:sz w:val="18"/>
                <w:szCs w:val="18"/>
                <w:b w:val="1"/>
                <w:bCs w:val="1"/>
                <w:color w:val="auto"/>
              </w:rPr>
              <w:t>Staged</w:t>
            </w:r>
          </w:p>
        </w:tc>
        <w:tc>
          <w:tcPr>
            <w:tcW w:w="620" w:type="dxa"/>
            <w:vAlign w:val="bottom"/>
            <w:vMerge w:val="restart"/>
          </w:tcPr>
          <w:p>
            <w:pPr>
              <w:ind w:left="360"/>
              <w:spacing w:after="0" w:line="141" w:lineRule="exact"/>
              <w:rPr>
                <w:sz w:val="20"/>
                <w:szCs w:val="20"/>
                <w:color w:val="auto"/>
              </w:rPr>
            </w:pPr>
            <w:r>
              <w:rPr>
                <w:rFonts w:ascii="MS PGothic" w:cs="MS PGothic" w:eastAsia="MS PGothic" w:hAnsi="MS PGothic"/>
                <w:sz w:val="14"/>
                <w:szCs w:val="14"/>
                <w:color w:val="023C5B"/>
              </w:rPr>
              <w:t>∎</w:t>
            </w:r>
          </w:p>
        </w:tc>
        <w:tc>
          <w:tcPr>
            <w:tcW w:w="8480" w:type="dxa"/>
            <w:vAlign w:val="bottom"/>
            <w:vMerge w:val="restart"/>
          </w:tcPr>
          <w:p>
            <w:pPr>
              <w:ind w:left="140"/>
              <w:spacing w:after="0"/>
              <w:rPr>
                <w:sz w:val="20"/>
                <w:szCs w:val="20"/>
                <w:color w:val="auto"/>
              </w:rPr>
            </w:pPr>
            <w:r>
              <w:rPr>
                <w:rFonts w:ascii="Arial" w:cs="Arial" w:eastAsia="Arial" w:hAnsi="Arial"/>
                <w:sz w:val="18"/>
                <w:szCs w:val="18"/>
                <w:color w:val="auto"/>
              </w:rPr>
              <w:t>Recognize that new directors need time to become familiar with the Company’s business model and</w:t>
            </w:r>
          </w:p>
        </w:tc>
        <w:tc>
          <w:tcPr>
            <w:tcW w:w="0" w:type="dxa"/>
            <w:vAlign w:val="bottom"/>
          </w:tcPr>
          <w:p>
            <w:pPr>
              <w:spacing w:after="0"/>
              <w:rPr>
                <w:sz w:val="1"/>
                <w:szCs w:val="1"/>
                <w:color w:val="auto"/>
              </w:rPr>
            </w:pPr>
          </w:p>
        </w:tc>
      </w:tr>
      <w:tr>
        <w:trPr>
          <w:trHeight w:val="80"/>
        </w:trPr>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w w:val="71"/>
              </w:rPr>
              <w:t> </w:t>
            </w:r>
          </w:p>
        </w:tc>
        <w:tc>
          <w:tcPr>
            <w:tcW w:w="15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Refreshment</w:t>
            </w:r>
          </w:p>
        </w:tc>
        <w:tc>
          <w:tcPr>
            <w:tcW w:w="620" w:type="dxa"/>
            <w:vAlign w:val="bottom"/>
            <w:vMerge w:val="continue"/>
          </w:tcPr>
          <w:p>
            <w:pPr>
              <w:spacing w:after="0"/>
              <w:rPr>
                <w:sz w:val="6"/>
                <w:szCs w:val="6"/>
                <w:color w:val="auto"/>
              </w:rPr>
            </w:pPr>
          </w:p>
        </w:tc>
        <w:tc>
          <w:tcPr>
            <w:tcW w:w="8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8480" w:type="dxa"/>
            <w:vAlign w:val="bottom"/>
          </w:tcPr>
          <w:p>
            <w:pPr>
              <w:ind w:left="140"/>
              <w:spacing w:after="0" w:line="201" w:lineRule="exact"/>
              <w:rPr>
                <w:sz w:val="20"/>
                <w:szCs w:val="20"/>
                <w:color w:val="auto"/>
              </w:rPr>
            </w:pPr>
            <w:r>
              <w:rPr>
                <w:rFonts w:ascii="Arial" w:cs="Arial" w:eastAsia="Arial" w:hAnsi="Arial"/>
                <w:sz w:val="18"/>
                <w:szCs w:val="18"/>
                <w:color w:val="auto"/>
              </w:rPr>
              <w:t>strategy and become deeply grounded in these matters to be well-positioned to provide effective</w:t>
            </w: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challenge to management</w:t>
            </w:r>
          </w:p>
        </w:tc>
        <w:tc>
          <w:tcPr>
            <w:tcW w:w="0" w:type="dxa"/>
            <w:vAlign w:val="bottom"/>
          </w:tcPr>
          <w:p>
            <w:pPr>
              <w:spacing w:after="0"/>
              <w:rPr>
                <w:sz w:val="1"/>
                <w:szCs w:val="1"/>
                <w:color w:val="auto"/>
              </w:rPr>
            </w:pPr>
          </w:p>
        </w:tc>
      </w:tr>
    </w:tbl>
    <w:p>
      <w:pPr>
        <w:spacing w:after="0" w:line="32" w:lineRule="exact"/>
        <w:rPr>
          <w:sz w:val="20"/>
          <w:szCs w:val="20"/>
          <w:color w:val="auto"/>
        </w:rPr>
      </w:pPr>
    </w:p>
    <w:p>
      <w:pPr>
        <w:jc w:val="both"/>
        <w:ind w:left="2580" w:right="160" w:hanging="393"/>
        <w:spacing w:after="0" w:line="249" w:lineRule="auto"/>
        <w:tabs>
          <w:tab w:leader="none" w:pos="2580" w:val="left"/>
        </w:tabs>
        <w:numPr>
          <w:ilvl w:val="0"/>
          <w:numId w:val="37"/>
        </w:numPr>
        <w:rPr>
          <w:rFonts w:ascii="MS PGothic" w:cs="MS PGothic" w:eastAsia="MS PGothic" w:hAnsi="MS PGothic"/>
          <w:sz w:val="14"/>
          <w:szCs w:val="14"/>
          <w:color w:val="023C5B"/>
        </w:rPr>
      </w:pPr>
      <w:r>
        <w:rPr>
          <w:rFonts w:ascii="Arial" w:cs="Arial" w:eastAsia="Arial" w:hAnsi="Arial"/>
          <w:sz w:val="18"/>
          <w:szCs w:val="18"/>
          <w:color w:val="auto"/>
        </w:rPr>
        <w:t>Acknowledge that relationships among Board members develop organically over time and recognize the importance of protecting and nurturing the open, values-based culture that the Board enjoys to appropriately oversee and provide effective challenge to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27305</wp:posOffset>
            </wp:positionV>
            <wp:extent cx="69297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5"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46"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Board leverages several long-standing practices and processes to support Board refreshment in keeping with the principles articulated above, including:</w:t>
      </w:r>
    </w:p>
    <w:p>
      <w:pPr>
        <w:spacing w:after="0" w:line="185" w:lineRule="exact"/>
        <w:rPr>
          <w:sz w:val="20"/>
          <w:szCs w:val="20"/>
          <w:color w:val="auto"/>
        </w:rPr>
      </w:pPr>
    </w:p>
    <w:p>
      <w:pPr>
        <w:ind w:left="1020" w:hanging="425"/>
        <w:spacing w:after="0" w:line="210" w:lineRule="auto"/>
        <w:tabs>
          <w:tab w:leader="none" w:pos="1020" w:val="left"/>
        </w:tabs>
        <w:numPr>
          <w:ilvl w:val="0"/>
          <w:numId w:val="3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Annual evaluations of the Board and its committees (see “Annual Board and Committee Evaluations” beginning on page 30 for more information)</w:t>
      </w:r>
    </w:p>
    <w:p>
      <w:pPr>
        <w:spacing w:after="0" w:line="207"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3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Annual assessments of individual directors (see “Annual Assessment of Individual Director Nominees” on page 32 for more information)</w:t>
      </w:r>
    </w:p>
    <w:p>
      <w:pPr>
        <w:spacing w:after="0" w:line="207"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3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Annual assessments of the Lead Independent Director (see “Annual Assessment of the Lead Independent Director” beginning on page 32 for more information)</w:t>
      </w:r>
    </w:p>
    <w:p>
      <w:pPr>
        <w:spacing w:after="0" w:line="180"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Governance and Nominating Committee discusses director recruiting plans on a regular basis and provides regular updates to the Board on those plans. In support of the Board’s long-term resiliency and refreshment efforts, seven new independent directors have been appointed since 2021, all but one of whom are current director nominees.</w:t>
      </w:r>
    </w:p>
    <w:p>
      <w:pPr>
        <w:spacing w:after="0" w:line="164" w:lineRule="exact"/>
        <w:rPr>
          <w:sz w:val="20"/>
          <w:szCs w:val="20"/>
          <w:color w:val="auto"/>
        </w:rPr>
      </w:pPr>
    </w:p>
    <w:p>
      <w:pPr>
        <w:ind w:left="160" w:right="1260"/>
        <w:spacing w:after="0" w:line="291" w:lineRule="auto"/>
        <w:rPr>
          <w:sz w:val="20"/>
          <w:szCs w:val="20"/>
          <w:color w:val="auto"/>
        </w:rPr>
      </w:pPr>
      <w:r>
        <w:rPr>
          <w:rFonts w:ascii="Arial" w:cs="Arial" w:eastAsia="Arial" w:hAnsi="Arial"/>
          <w:sz w:val="21"/>
          <w:szCs w:val="21"/>
          <w:b w:val="1"/>
          <w:bCs w:val="1"/>
          <w:i w:val="1"/>
          <w:iCs w:val="1"/>
          <w:color w:val="023C5B"/>
        </w:rPr>
        <w:t>Process for Stockholder Recommendations of Director Candidates; Director Nominations from Stockholders</w:t>
      </w:r>
    </w:p>
    <w:p>
      <w:pPr>
        <w:spacing w:after="0" w:line="117"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Governance and Nominating Committee will consider qualified director nominees recommended by stockholders. Those recommendations should be sent to the Corporate Secretary, as well as to the Chair of the Governance and Nominating Committee at Capital One’s address set forth in the section “How to Contact Us” on page 48. The Governance and Nominating Committee will consider potential nominees recommended by stockholders on the same basis that it considers other potential nominees.</w:t>
      </w:r>
    </w:p>
    <w:p>
      <w:pPr>
        <w:spacing w:after="0" w:line="17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Stockholders may nominate directors by submitting the names and other relevant information as required by, and in compliance with, Capital One’s Bylaws to the Corporate Secretary as well as to the Chair of the Governance and Nominating Committee at Capital One’s address set forth in the section “How to Contact Us” on page 48.</w:t>
      </w:r>
    </w:p>
    <w:p>
      <w:pPr>
        <w:spacing w:after="0" w:line="172"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In addition, an eligible stockholder or group of stockholders may use Capital One’s “proxy access” Bylaws to include stockholder-nominated director candidates in the Company’s proxy materials for the annual stockholder meeting. Our Bylaws permit up to 20 stockholders or beneficial owners owning 3% or more in the aggregate of the Company’s outstanding common shares of voting stock continuously for at least three years to nominate and include in the Company’s proxy materials director nominees constituting up to two individuals or 20% of the Board (whichever is greater) provided that the stockholder(s) and the nominee(s) satisfy the requirements specified in the Bylaws.</w:t>
      </w:r>
    </w:p>
    <w:p>
      <w:pPr>
        <w:spacing w:after="0" w:line="18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Written notices pursuant to the above provisions in our Bylaws must be submitted in accordance with the general procedures for stockholder nominations (including deadlines for notice to be received by the Corporate Secretary), which are summarized under the caption “Stockholder Proposals for 2027 Annual Stockholder Meeting” on page 132.</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Director Independence</w:t>
      </w:r>
    </w:p>
    <w:p>
      <w:pPr>
        <w:spacing w:after="0" w:line="22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Except for our CEO, who is the Company’s founder, the Board has affirmatively determined that all nominees for election to our Board are independent under Capital One’s Director Independence Standards (“Independence Standards”), which have been adopted by the Board as part of Capital One’s Corporate Governance Guidelines. The Independence Standards reflect the director independence requirements set forth in the New York Stock Exchange (“NYSE”) rules and other applicable legal and regulatory rules, and also describe certain categorical relationships that the Board has determined to be immaterial for purposes of determining director independence.</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categorical  relationships  that  the  Board  has  deemed  immaterial  for  purposes  of  determining  director  independence  are:</w:t>
      </w:r>
    </w:p>
    <w:p>
      <w:pPr>
        <w:spacing w:after="0" w:line="12" w:lineRule="exact"/>
        <w:rPr>
          <w:sz w:val="20"/>
          <w:szCs w:val="20"/>
          <w:color w:val="auto"/>
        </w:rPr>
      </w:pPr>
    </w:p>
    <w:p>
      <w:pPr>
        <w:ind w:left="160" w:firstLine="7"/>
        <w:spacing w:after="0" w:line="244" w:lineRule="auto"/>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relationships between Capital One and an entity where the director serves solely as a non-management director; (ii) transactions between Capital One and a director or a director’s immediate family</w:t>
      </w:r>
    </w:p>
    <w:p>
      <w:pPr>
        <w:spacing w:after="0" w:line="102"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4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member (or their primary business affiliations) that fall below the numerical thresholds in the NYSE rules (or do not otherwise preclude independence under those standards), and that are ordinary course, on arm’s-length market terms, and, in the case of extensions of credit, followed usual underwriting procedures, present no more than the normal collectability risk, or other unfavorable features and are in compliance with applicable legal and regulatory requirements; and (iii) discretionary contributions made by Capital One to not-for-profit organizations, foundations, or universities in which a director (or immediate family member) serves as an executive officer that in any single fiscal year within the last three years do not exceed the greater of $1 million or 2% of that entity’s consolidated gross revenues.</w:t>
      </w:r>
    </w:p>
    <w:p>
      <w:pPr>
        <w:spacing w:after="0" w:line="18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In making its independence recommendations, the Governance and Nominating Committee and the Board evaluate information regarding each director’s relationships, transactions, or arrangements with Capital One, and those of their immediate family members and primary business or charitable affiliations and other potential conflicts of interest, including information obtained from non-management directors’ annual questionnaires. In assessing the materiality of relationships with Capital One, the Board considers all relevant facts and circumstances.</w:t>
      </w:r>
    </w:p>
    <w:p>
      <w:pPr>
        <w:spacing w:after="0" w:line="182"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Capital One’s Corporate Governance Guidelines, including information relating to the Independence Standards, are available at www.capitalone.com under “Investors,” then “Governance &amp; Leadership,” then “Organizational and Governance Documents.”</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Director Onboarding and Education</w:t>
      </w:r>
    </w:p>
    <w:p>
      <w:pPr>
        <w:spacing w:after="0" w:line="22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Company, in consultation with the Governance and Nominating Committee, has established director onboarding and continuing director education programs to support our directors in fulfilling their responsibilities and to assist them in keeping current on industry, corporate, regulatory, and other developments.</w:t>
      </w:r>
    </w:p>
    <w:p>
      <w:pPr>
        <w:spacing w:after="0" w:line="172"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All new directors participate in the Company’s director onboarding program, which provides training relating to the Company’s values, strategic plans, accounting policies, financial reporting, risk management, code of ethics, key regulatory issues, competition, and industry dynamics. As part of this onboarding program, over a period of approximately 18 months, new directors meet with members of senior management serving in various roles and functions, as well as Board committee chairs, the Lead Independent Director, and individual directors, to review and discuss information about the Company, the business, the boardroom, and individual director roles and responsibilities. Additionally, new directors are assigned an experienced director to serve as a mentor to facilitate their onboarding to the Board and the Company.</w:t>
      </w:r>
    </w:p>
    <w:p>
      <w:pPr>
        <w:spacing w:after="0" w:line="181"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As we continue to enhance our director onboarding experience, the Company developed committee onboarding programs, which are designed to facilitate and accelerate directors’ integration and contribution to the committees on which they serve.</w:t>
      </w:r>
    </w:p>
    <w:p>
      <w:pPr>
        <w:spacing w:after="0" w:line="15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Our continuing director education program is designed to provide: (i) regular updates on external opportunities for continuing education offered by applicable regulators, professional organizations, and academic institutions; (ii) internal director education programs;</w:t>
      </w:r>
    </w:p>
    <w:p>
      <w:pPr>
        <w:ind w:left="160" w:right="20" w:firstLine="7"/>
        <w:spacing w:after="0" w:line="244" w:lineRule="auto"/>
        <w:tabs>
          <w:tab w:leader="none" w:pos="4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various board-related publications; and (iv) access to various peer-to-peer networks. Our directors are also encouraged to pursue other educational opportunities, at the Company’s expense, to enhance directors’ ability to perform their duties.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Executive Sessions</w:t>
      </w:r>
    </w:p>
    <w:p>
      <w:pPr>
        <w:spacing w:after="0" w:line="22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Our Independent Directors regularly convene executive sessions led by the Lead Independent Director at Board and committee meetings, as needed. The executive sessions allow the Independent Directors to discuss strategy, CEO and senior management performance and compensation, succession planning, Board effectiveness, and other matters without management present.</w:t>
      </w:r>
    </w:p>
    <w:p>
      <w:pPr>
        <w:spacing w:after="0" w:line="172"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During these executive sessions, the Independent Directors have access to members of senior management upon request, including, but not limited to, the CEO, CFO, General Counsel and Corporate Secretary, Chief Risk Officers,</w:t>
      </w:r>
    </w:p>
    <w:p>
      <w:pPr>
        <w:spacing w:after="0" w:line="91"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46"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Chief Audit Officer, Chief Information Security Officer, Chief Technology Risk Officer, Chief Credit Review Officer, and Chief Compliance Officer.</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Directors Are Actively Engaged Outside of Board Meetings</w:t>
      </w:r>
    </w:p>
    <w:p>
      <w:pPr>
        <w:spacing w:after="0" w:line="221"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Engagement outside of Board meetings provides our directors with additional insight into our business and industry. It also provides our Board with a valuable perspective on the performance of our Company, Board, CEO, and other members of senior management.</w:t>
      </w:r>
    </w:p>
    <w:p>
      <w:pPr>
        <w:spacing w:after="0" w:line="185" w:lineRule="exact"/>
        <w:rPr>
          <w:sz w:val="20"/>
          <w:szCs w:val="20"/>
          <w:color w:val="auto"/>
        </w:rPr>
      </w:pPr>
    </w:p>
    <w:p>
      <w:pPr>
        <w:ind w:left="1020" w:right="20" w:hanging="425"/>
        <w:spacing w:after="0" w:line="210" w:lineRule="auto"/>
        <w:tabs>
          <w:tab w:leader="none" w:pos="1020" w:val="left"/>
        </w:tabs>
        <w:numPr>
          <w:ilvl w:val="0"/>
          <w:numId w:val="41"/>
        </w:numPr>
        <w:rPr>
          <w:rFonts w:ascii="MS PGothic" w:cs="MS PGothic" w:eastAsia="MS PGothic" w:hAnsi="MS PGothic"/>
          <w:sz w:val="29"/>
          <w:szCs w:val="29"/>
          <w:color w:val="023C5B"/>
          <w:vertAlign w:val="superscript"/>
        </w:rPr>
      </w:pPr>
      <w:r>
        <w:rPr>
          <w:rFonts w:ascii="Arial" w:cs="Arial" w:eastAsia="Arial" w:hAnsi="Arial"/>
          <w:sz w:val="18"/>
          <w:szCs w:val="18"/>
          <w:color w:val="auto"/>
        </w:rPr>
        <w:t>Our committee chairs and Lead Independent Director meet and communicate regularly with each other and with both the CEO and members of our management team, as well as with our federal regulators, often independently of the CEO.</w:t>
      </w:r>
    </w:p>
    <w:p>
      <w:pPr>
        <w:spacing w:after="0" w:line="207" w:lineRule="exact"/>
        <w:rPr>
          <w:rFonts w:ascii="MS PGothic" w:cs="MS PGothic" w:eastAsia="MS PGothic" w:hAnsi="MS PGothic"/>
          <w:sz w:val="29"/>
          <w:szCs w:val="29"/>
          <w:color w:val="023C5B"/>
          <w:vertAlign w:val="superscript"/>
        </w:rPr>
      </w:pPr>
    </w:p>
    <w:p>
      <w:pPr>
        <w:jc w:val="both"/>
        <w:ind w:left="1020" w:hanging="425"/>
        <w:spacing w:after="0" w:line="224" w:lineRule="auto"/>
        <w:tabs>
          <w:tab w:leader="none" w:pos="1020" w:val="left"/>
        </w:tabs>
        <w:numPr>
          <w:ilvl w:val="0"/>
          <w:numId w:val="41"/>
        </w:numPr>
        <w:rPr>
          <w:rFonts w:ascii="MS PGothic" w:cs="MS PGothic" w:eastAsia="MS PGothic" w:hAnsi="MS PGothic"/>
          <w:sz w:val="27"/>
          <w:szCs w:val="27"/>
          <w:color w:val="023C5B"/>
          <w:vertAlign w:val="superscript"/>
        </w:rPr>
      </w:pPr>
      <w:r>
        <w:rPr>
          <w:rFonts w:ascii="Arial" w:cs="Arial" w:eastAsia="Arial" w:hAnsi="Arial"/>
          <w:sz w:val="17"/>
          <w:szCs w:val="17"/>
          <w:color w:val="auto"/>
        </w:rPr>
        <w:t>Our committee chairs and Lead Independent Director conduct pre-meeting reviews of agendas and meeting materials, and provide feedback directly to management, and conduct post-meeting debriefs with management to discuss any follow-up items.</w:t>
      </w:r>
    </w:p>
    <w:p>
      <w:pPr>
        <w:spacing w:after="0" w:line="207" w:lineRule="exact"/>
        <w:rPr>
          <w:rFonts w:ascii="MS PGothic" w:cs="MS PGothic" w:eastAsia="MS PGothic" w:hAnsi="MS PGothic"/>
          <w:sz w:val="27"/>
          <w:szCs w:val="27"/>
          <w:color w:val="023C5B"/>
          <w:vertAlign w:val="superscript"/>
        </w:rPr>
      </w:pPr>
    </w:p>
    <w:p>
      <w:pPr>
        <w:ind w:left="1020" w:hanging="425"/>
        <w:spacing w:after="0" w:line="210" w:lineRule="auto"/>
        <w:tabs>
          <w:tab w:leader="none" w:pos="1020" w:val="left"/>
        </w:tabs>
        <w:numPr>
          <w:ilvl w:val="0"/>
          <w:numId w:val="41"/>
        </w:numPr>
        <w:rPr>
          <w:rFonts w:ascii="MS PGothic" w:cs="MS PGothic" w:eastAsia="MS PGothic" w:hAnsi="MS PGothic"/>
          <w:sz w:val="29"/>
          <w:szCs w:val="29"/>
          <w:color w:val="023C5B"/>
          <w:vertAlign w:val="superscript"/>
        </w:rPr>
      </w:pPr>
      <w:r>
        <w:rPr>
          <w:rFonts w:ascii="Arial" w:cs="Arial" w:eastAsia="Arial" w:hAnsi="Arial"/>
          <w:sz w:val="18"/>
          <w:szCs w:val="18"/>
          <w:color w:val="auto"/>
        </w:rPr>
        <w:t>Individual directors confer with each other, our CEO, members of our senior management team, and other key associates, as needed.</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Annual Board and Committee Evaluations</w:t>
      </w:r>
    </w:p>
    <w:p>
      <w:pPr>
        <w:spacing w:after="0" w:line="22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Annually, in compliance with the NYSE rules and other applicable laws, rules, and regulations and our committee charters, the Board and its committees conduct formal self-evaluations to assess and improve the Board’s effectiveness and functionality. The Board believes that, in addition to serving as a tool to evaluate and improve performance, evaluations can serve several other purposes, including the promotion of good governance and the integrity of financial reporting, reduction of risk, informing the Board refreshment process, strengthening the Board-management partnership, and helping set and oversee Board expectations of management. In assessing their performance, the Board and its committees take a multi-year perspective to identify and evaluate trends and assure themselves that areas identified for improvement are addressed appropriately and in a timely manner.</w:t>
      </w:r>
    </w:p>
    <w:p>
      <w:pPr>
        <w:spacing w:after="0" w:line="107"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4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To ensure the process stays current and continues to generate rich insights, the Board follows a cyclical, programmatic approach when conducting Board and committee evaluations. This approach includes regular, holistic reviews of the evaluation framework, methodology, and form. While the Board and each of its committees conducts a formal evaluation annually, the Board considers its performance and that of its committees continuously throughout the year and shares feedback with management. In addition, each year, the Board and its committees consider a variety of evaluation approaches, including written surveys, individual director interviews, group discussions in executive session, and/or engagement of a third-party facilitator.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143510</wp:posOffset>
            </wp:positionV>
            <wp:extent cx="5163185" cy="2972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63185" cy="2972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As part of the Board’s self-evaluation process, directors consider various topics related to Board composition, effectiveness, structure, and performance and the overall mix of director skills, experience, and background. Specifically, topics considered during the 2025 annual Board and committee self-evaluations process included:</w:t>
      </w:r>
    </w:p>
    <w:p>
      <w:pPr>
        <w:spacing w:after="0" w:line="144" w:lineRule="exact"/>
        <w:rPr>
          <w:sz w:val="20"/>
          <w:szCs w:val="20"/>
          <w:color w:val="auto"/>
        </w:rPr>
      </w:pPr>
    </w:p>
    <w:p>
      <w:pPr>
        <w:ind w:left="1020" w:hanging="425"/>
        <w:spacing w:after="0"/>
        <w:tabs>
          <w:tab w:leader="none" w:pos="1020" w:val="left"/>
        </w:tabs>
        <w:numPr>
          <w:ilvl w:val="0"/>
          <w:numId w:val="4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Board engagement, culture, and setting the “tone at the top”</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4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Board leadership, including the roles of the Lead Independent Director and Chairman of the Board</w:t>
      </w:r>
    </w:p>
    <w:p>
      <w:pPr>
        <w:spacing w:after="0" w:line="180" w:lineRule="exact"/>
        <w:rPr>
          <w:rFonts w:ascii="MS PGothic" w:cs="MS PGothic" w:eastAsia="MS PGothic" w:hAnsi="MS PGothic"/>
          <w:sz w:val="29"/>
          <w:szCs w:val="29"/>
          <w:color w:val="023C5B"/>
          <w:vertAlign w:val="superscript"/>
        </w:rPr>
      </w:pPr>
    </w:p>
    <w:p>
      <w:pPr>
        <w:ind w:left="1020" w:hanging="425"/>
        <w:spacing w:after="0" w:line="232" w:lineRule="auto"/>
        <w:tabs>
          <w:tab w:leader="none" w:pos="1020" w:val="left"/>
        </w:tabs>
        <w:numPr>
          <w:ilvl w:val="0"/>
          <w:numId w:val="42"/>
        </w:numPr>
        <w:rPr>
          <w:rFonts w:ascii="MS PGothic" w:cs="MS PGothic" w:eastAsia="MS PGothic" w:hAnsi="MS PGothic"/>
          <w:sz w:val="27"/>
          <w:szCs w:val="27"/>
          <w:color w:val="023C5B"/>
          <w:vertAlign w:val="superscript"/>
        </w:rPr>
      </w:pPr>
      <w:r>
        <w:rPr>
          <w:rFonts w:ascii="Arial" w:cs="Arial" w:eastAsia="Arial" w:hAnsi="Arial"/>
          <w:sz w:val="17"/>
          <w:szCs w:val="17"/>
          <w:color w:val="auto"/>
        </w:rPr>
        <w:t>Oversight of and engagement in corporate strategy (both short- and long-term strategic objectives) and Company performance</w:t>
      </w:r>
    </w:p>
    <w:p>
      <w:pPr>
        <w:spacing w:after="0" w:line="180" w:lineRule="exact"/>
        <w:rPr>
          <w:rFonts w:ascii="MS PGothic" w:cs="MS PGothic" w:eastAsia="MS PGothic" w:hAnsi="MS PGothic"/>
          <w:sz w:val="27"/>
          <w:szCs w:val="27"/>
          <w:color w:val="023C5B"/>
          <w:vertAlign w:val="superscript"/>
        </w:rPr>
      </w:pPr>
    </w:p>
    <w:p>
      <w:pPr>
        <w:ind w:left="1020" w:hanging="425"/>
        <w:spacing w:after="0" w:line="216" w:lineRule="auto"/>
        <w:tabs>
          <w:tab w:leader="none" w:pos="1020" w:val="left"/>
        </w:tabs>
        <w:numPr>
          <w:ilvl w:val="0"/>
          <w:numId w:val="4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Oversight of the CEO, executive compensation, and evaluation</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4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CEO and executive talent development and succession planning</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4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Access to Company executives and associates</w:t>
      </w:r>
    </w:p>
    <w:p>
      <w:pPr>
        <w:spacing w:after="0" w:line="206"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4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Board and committee composition, including director skills, background, diversity of perspectives and experience, and new director recruiting activities</w:t>
      </w:r>
    </w:p>
    <w:p>
      <w:pPr>
        <w:spacing w:after="0" w:line="207"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4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Oversight of enterprise and technology risk, including the stature of the risk management function and appropriateness of the Company’s risk appetites and risk management in light of the scale and complexity of the Company’s business</w:t>
      </w:r>
    </w:p>
    <w:p>
      <w:pPr>
        <w:spacing w:after="0" w:line="113"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46" w:lineRule="exact"/>
        <w:rPr>
          <w:sz w:val="20"/>
          <w:szCs w:val="20"/>
          <w:color w:val="auto"/>
        </w:rPr>
      </w:pPr>
    </w:p>
    <w:p>
      <w:pPr>
        <w:ind w:left="1020" w:hanging="425"/>
        <w:spacing w:after="0" w:line="210" w:lineRule="auto"/>
        <w:tabs>
          <w:tab w:leader="none" w:pos="1020" w:val="left"/>
        </w:tabs>
        <w:numPr>
          <w:ilvl w:val="0"/>
          <w:numId w:val="4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Overall Board governance including quality and quantity of materials and information, conduct of meetings, and support for those activities from management</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Annual Assessment of Individual Director Nominees</w:t>
      </w:r>
    </w:p>
    <w:p>
      <w:pPr>
        <w:spacing w:after="0" w:line="22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Each year the Chair of the Governance and Nominating Committee conducts an individual director assessment process. This process includes candid, one-on-one discussions between the Governance and Nominating Committee’s Chair and each Board member regarding the individual performance and effectiveness of the directors nominated by the Board for re-election by Capital One’s stockholders. Directors may also provide feedback on any other individual director’s performance at any time, regardless of whether it is part of the formal 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144780</wp:posOffset>
            </wp:positionV>
            <wp:extent cx="5248275" cy="24796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48275" cy="2479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Annual Assessment of the Lead Independent Director</w:t>
      </w:r>
    </w:p>
    <w:p>
      <w:pPr>
        <w:spacing w:after="0" w:line="221"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To support the Independent Directors in selecting the Lead Independent Director, the Governance and Nominating Committee oversees an annual process to evaluate the performance and effectiveness of the Lead Independent Director. Each year, the Governance and Nominating Committee designates one Independent Director as a facilitator, who solicits feedback and perspectives from all directors on the Lead Independent Director. The facilitator then shares the results with the Governance and Nominating Committee and, as appropriate, the Board, without the Lead Independent Director present. The Independent Directors consider the results of this assessment in the annual selection of the Lead Independent Director.</w:t>
      </w:r>
    </w:p>
    <w:p>
      <w:pPr>
        <w:spacing w:after="0" w:line="18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Our current Lead Independent Director is Ms. Hackett. As Lead Independent Director, Ms. Hackett has a strong record of active engagement both inside and outside the boardroom, including regular meetings with federal regulators and Company executives in one-on-one and group settings. Leveraging her significant experience serving in leadership capacities in a variety of environments, Ms. Hackett has fostered a culture of collaboration, diligence, trust, and mutual respect that allows the Board to work effectively to provide oversight of and effective challenge to management. Based on her performance, the Independent Directors unanimously supported Ms. Hackett’s re-election as Lead Independent Director for a one-year term beginning in May 2025. In connection with Ms. Hackett’s retirement in May 2026, the Independent Directors determined that Mr. Raskind has the requisite leadership skills, having previously served as the chair and member of the Risk Committee and as a current member of the Governance and Nominating Committee, proven engagement with internal and external stakeholders of the Company, and has contributed to the culture of collaboration, diligence, trust, and mutual respect that enables the Board’s effectiveness. Mr. Raskind also spent approximately one year working directly with Ms. Hackett to understand the responsibilities of the role. As a result, the Board intends to elect Mr. Raskind as Lead Independent Director for a one-year term beginning May 2026.</w:t>
      </w:r>
    </w:p>
    <w:p>
      <w:pPr>
        <w:spacing w:after="0" w:line="114"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Annual Performance Assessment of the CEO</w:t>
      </w:r>
    </w:p>
    <w:p>
      <w:pPr>
        <w:spacing w:after="0" w:line="22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Led by the Lead Independent Director, the Independent Directors annually assess the performance of Mr. Fairbank as Capital One’s CEO through a process developed and overseen by the Governance and Nominating Committee. This process includes an in-depth discussion of the CEO’s performance by the Independent Directors in executive session at a joint meeting of the Compensation Committee and the Board during which directors consider a variety of factors. The areas assessed relate to overall CEO performance, leadership, financial and operating performance, governance and risk management, strategic performance, and customer and associate satisfaction. The Independent Directors also consider feedback from the Board and self-assessment materials provided by Mr. Fairbank regarding his and the Company’s performance and achievements during the performance year. For additional information, see “Chief Executive Officer Compensation” beginning on page 67.</w:t>
      </w:r>
    </w:p>
    <w:p>
      <w:pPr>
        <w:spacing w:after="0" w:line="184"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annual CEO performance assessment is completed as part of Capital One’s year-end compensation process. The Compensation Committee manages year-end compensation decisions within the context of such assessment and recommends compensation for the CEO based on such assessment to the Independent Directors for approval. The Lead Independent Director and Chair of the Compensation Committee jointly share the feedback from the CEO performance assessment with Mr. Fairbank in a closed session.</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The Board’s Role in Corporate Oversight</w:t>
      </w:r>
    </w:p>
    <w:p>
      <w:pPr>
        <w:spacing w:after="0" w:line="22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Capital One is dedicated to strong and effective corporate governance that provides the appropriate framework for the Board to engage with and oversee the Company. Our Board is accountable for oversight of Capital One’s business affairs and operations. In carrying out this responsibility, among other things, the Board and its committees oversee management’s development and implementation of the Company’s (i) corporate culture and talent management; (ii) corporate strategy; (iii) financial performance and associated risks;</w:t>
      </w:r>
    </w:p>
    <w:p>
      <w:pPr>
        <w:spacing w:after="0" w:line="3" w:lineRule="exact"/>
        <w:rPr>
          <w:sz w:val="20"/>
          <w:szCs w:val="20"/>
          <w:color w:val="auto"/>
        </w:rPr>
      </w:pPr>
    </w:p>
    <w:p>
      <w:pPr>
        <w:jc w:val="both"/>
        <w:ind w:left="160" w:firstLine="7"/>
        <w:spacing w:after="0" w:line="239" w:lineRule="auto"/>
        <w:tabs>
          <w:tab w:leader="none" w:pos="467"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enterprise-wide risk management framework, including cybersecurity and technology risk; (v) succession planning for the Company’s CEO and other key executives; (vi) compensation policies and practices; and (vii) practices and strategies related to corporate and community impact.</w:t>
      </w:r>
    </w:p>
    <w:p>
      <w:pPr>
        <w:spacing w:after="0" w:line="179"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Board and its committees regularly review and approve key governance policies and plans, including our Corporate Governance Guidelines, which facilitate efficient and effective Board oversight. These Guidelines enable our Board to engage in responsible decision-making, work with management to pursue Capital One’s strategic objectives, and promote the long-term interests of our stockholders.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Corporate Culture and Talent Management</w:t>
      </w:r>
    </w:p>
    <w:p>
      <w:pPr>
        <w:spacing w:after="0" w:line="22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Capital One believes that a strong, ethical corporate culture is a key element of sound and sustainable corporate governance practices, beginning at the top with the CEO and other senior leadership. The Board plays a critical role in supporting and overseeing Capital One’s corporate culture, mission, and values, and sets the “tone at the top” by adopting policies, a code of ethics, a philosophy for hiring, and compensation practices that promote ethical behavior, compliance with laws and regulations (including those pertaining to consumer protection and privacy), effective internal controls and risk management, and sound governance. The Company’s programs, policies, and practices also support a strong and sustainable culture in several ways, including through the corporate governance framework, risk management program, ethics program, and talent management and compensation policies and practices.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and its committees oversee and regularly engage with management on the Company’s culture including, among other things:</w:t>
      </w:r>
    </w:p>
    <w:p>
      <w:pPr>
        <w:spacing w:after="0" w:line="234" w:lineRule="exact"/>
        <w:rPr>
          <w:sz w:val="20"/>
          <w:szCs w:val="20"/>
          <w:color w:val="auto"/>
        </w:rPr>
      </w:pPr>
    </w:p>
    <w:p>
      <w:pPr>
        <w:jc w:val="both"/>
        <w:ind w:left="1020" w:hanging="425"/>
        <w:spacing w:after="0" w:line="217" w:lineRule="auto"/>
        <w:tabs>
          <w:tab w:leader="none" w:pos="1020" w:val="left"/>
        </w:tabs>
        <w:numPr>
          <w:ilvl w:val="0"/>
          <w:numId w:val="45"/>
        </w:numPr>
        <w:rPr>
          <w:rFonts w:ascii="MS PGothic" w:cs="MS PGothic" w:eastAsia="MS PGothic" w:hAnsi="MS PGothic"/>
          <w:sz w:val="29"/>
          <w:szCs w:val="29"/>
          <w:color w:val="023C5B"/>
          <w:vertAlign w:val="superscript"/>
        </w:rPr>
      </w:pPr>
      <w:r>
        <w:rPr>
          <w:rFonts w:ascii="Arial" w:cs="Arial" w:eastAsia="Arial" w:hAnsi="Arial"/>
          <w:sz w:val="18"/>
          <w:szCs w:val="18"/>
          <w:color w:val="auto"/>
        </w:rPr>
        <w:t>Reviewing and overseeing Capital One’s strategy, engaging in constructive dialogue with the CEO and senior executives on the alignment of the Company’s culture, mission, and values with its long-term strategy during the annual Board strategy meeting (which is further discussed below under “Corporate Strategy”) and periodically throughout the year;</w:t>
      </w:r>
    </w:p>
    <w:p>
      <w:pPr>
        <w:spacing w:after="0" w:line="112"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46" w:lineRule="exact"/>
        <w:rPr>
          <w:sz w:val="20"/>
          <w:szCs w:val="20"/>
          <w:color w:val="auto"/>
        </w:rPr>
      </w:pPr>
    </w:p>
    <w:p>
      <w:pPr>
        <w:ind w:left="1020" w:hanging="425"/>
        <w:spacing w:after="0" w:line="210" w:lineRule="auto"/>
        <w:tabs>
          <w:tab w:leader="none" w:pos="1020" w:val="left"/>
        </w:tabs>
        <w:numPr>
          <w:ilvl w:val="0"/>
          <w:numId w:val="4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Reviewing and adopting employment policies, compensation plans, and incentive structures that promote effective internal controls and governance and overall ethical behavior;</w:t>
      </w:r>
    </w:p>
    <w:p>
      <w:pPr>
        <w:spacing w:after="0" w:line="207" w:lineRule="exact"/>
        <w:rPr>
          <w:rFonts w:ascii="MS PGothic" w:cs="MS PGothic" w:eastAsia="MS PGothic" w:hAnsi="MS PGothic"/>
          <w:sz w:val="29"/>
          <w:szCs w:val="29"/>
          <w:color w:val="023C5B"/>
          <w:vertAlign w:val="superscript"/>
        </w:rPr>
      </w:pPr>
    </w:p>
    <w:p>
      <w:pPr>
        <w:jc w:val="both"/>
        <w:ind w:left="1020" w:hanging="425"/>
        <w:spacing w:after="0" w:line="217" w:lineRule="auto"/>
        <w:tabs>
          <w:tab w:leader="none" w:pos="1020" w:val="left"/>
        </w:tabs>
        <w:numPr>
          <w:ilvl w:val="0"/>
          <w:numId w:val="4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Engaging with the Chief Human Resources Officer regarding associate engagement surveys (which include associate feedback on the Company’s culture, mission, and values), associate retention and turnover metrics, employment policies and benefits, and the Company’s talent and associate programs; and</w:t>
      </w:r>
    </w:p>
    <w:p>
      <w:pPr>
        <w:spacing w:after="0" w:line="206"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4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Approving and overseeing implementation of the Company’s Code of Conduct, and receiving regular reporting from the Chief Compliance Officer on the Company’s ethics program and associate conduct.</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Corporate Strategy</w:t>
      </w:r>
    </w:p>
    <w:p>
      <w:pPr>
        <w:spacing w:after="0" w:line="22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Capital One’s Board is responsible for reviewing, overseeing, and approving the creation and implementation of the Company’s strategy. Management, with guidance from the Board, is responsible for developing, communicating, and implementing a strategy that is designed to allow Capital One to: (i) invest in long-term capabilities and opportunities; (ii) secure competitive, endgame positions in our key businesses; (iii) attract and retain customers; (iv) grow resiliently; (v) promote ethical behavior and compliance with applicable laws and regulations; (vi) withstand economic stress and market volatility; and (vii) adhere to the Board’s established risk appetite programs. These strategies allow Capital One to deliver long-term value to our stockholders while helping customers succeed, associates grow, and communities thrive.</w:t>
      </w:r>
    </w:p>
    <w:p>
      <w:pPr>
        <w:spacing w:after="0" w:line="181"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development, vetting, and communication of Capital One’s strategy is an ongoing, iterative process that involves the Board, the CEO, the Presidents of our lines of business, the CFO, the General Counsel and Corporate Secretary, the Chief Risk Officers, all other Executive Committee members, the Chief Audit Officer, the Corporate Strategy team, and other leaders across the enterprise. Each year, the Board participates in a set of dedicated meetings focused on long-term strategy where the CEO and key senior leaders present the Company’s top strategic priorities and initiatives to the Board. The Board provides input, feedback and effective challenge that guide the Company’s strategic priorities and investments. Following these sessions, the Board reviews assessments of the Company’s strategic initiatives, performed by the independent risk management and internal audit functions, as well as approves the Company’s annual Strategic Plan. Furthermore, the independent risk management function regularly provides the Risk Committee with, among other things, reporting on the Company’s performance against its risk appetite metrics, assessments of the external environment, and positioning in the context of key risk categories.</w:t>
      </w:r>
    </w:p>
    <w:p>
      <w:pPr>
        <w:spacing w:after="0" w:line="18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Board regularly reviews the financial, competitive, and risk performance of the Company and receives updates on key strategic initiatives. Each line of business also reports to the Board the progress on their strategic and financial initiatives on an annual basis. Capital One assesses performance against strategic initiatives by reviewing the Company’s financial performance, competitive positioning and market share, technology capabilities, performance against risk appetites and limits, customer satisfaction and advocacy scores, talent management, system availability and downtime statistics, risk ratings and measurements, market-based indicators, and other quantitative and qualitative performance assessments. Utilizing a diversity of measurement tools, the Board remains informed and can carefully monitor and assess the progress and effectiveness of our strategic positioning and performance. The Board also regularly engages management in discussions regarding financial performance and trajectory, stockholder feedback, capital allocation, strategy implementation, risk mitigation plans, and other matters affecting the Company’s long-term strategy, as appropriate.</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Financial Performance and Associated Risks</w:t>
      </w:r>
    </w:p>
    <w:p>
      <w:pPr>
        <w:spacing w:after="0" w:line="22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Board oversees the Company’s financial performance by reviewing with management, on a regular basis, the Company’s quarterly and annual financial statements. The Audit Committee oversees the integrity of the Company’s financial statements by, among other things, obtaining independent assurance as to the completeness and accuracy of the Company’s financial statements from an independent registered public accounting firm, whose qualifications, independence, and performance it reviews on an annual basis. The Audit Committee also</w:t>
      </w:r>
    </w:p>
    <w:p>
      <w:pPr>
        <w:spacing w:after="0" w:line="107"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4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oversees the integrity of the Company’s internal controls over financial reporting by, among other things, reviewing periodic assessments of the adequacy and effectiveness of the Company’s financial controls performed by both the Company’s independent registered public accounting firm and the Company’s internal audit function. In addition, the Board, either directly or through the Risk Committee, plays an integral role in the oversight of capital management, funding of the balance sheet, liquidity and market risk management, management of the Company’s investment portfolio, and the management of other asset and liability risk matters.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Enterprise-Wide Risk Management Framework</w:t>
      </w:r>
    </w:p>
    <w:p>
      <w:pPr>
        <w:spacing w:after="0" w:line="22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Effective risk management and control processes are critical to our safety and soundness, our ability to comply with laws, rules and regulations, our ability to predict and manage the challenges that Capital One and the financial services industry face and, ultimately, our long-term corporate success. The enterprise-wide risk management framework defines the Board’s appetite for risk-taking and enables senior management to understand, manage, and report on risk. The risk management framework is implemented enterprise-wide and includes seven major risk categories: compliance, credit, liquidity, market, operational, reputation, and strategic.</w:t>
      </w:r>
    </w:p>
    <w:p>
      <w:pPr>
        <w:spacing w:after="0" w:line="182"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Board’s role in risk oversight of Capital One is consistent with its leadership structure, with the CEO and other members of senior management having responsibility for assessing and managing Capital One’s risk exposure on a day-to-day basis, and the Board and its committees providing oversight in connection with these efforts. The full Board, with the support of its committees, oversees the entire enterprise -wide risk management framework for the Company. The Board’s oversight focuses on our material risks and any notable emerging risks, such as generative artificial intelligence, to ensure that Capital One’s risk management is adequate. The Chair of the Risk Committee, in collaboration with the Lead Independent Director, helps ensure that the Board has appropriate discussions on risk topics. The Risk Committee is responsible for setting and recommending to the Board for approval risk appetites, taking into account the Company’s structure, risk profile, complexity, activities, size, and other appropriate risk-related factors. The Risk Committee considers both current risk, including timeframes reflected by those risks, as well as emerging risks and future threats.</w:t>
      </w:r>
    </w:p>
    <w:p>
      <w:pPr>
        <w:spacing w:after="0" w:line="18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At the management level, senior management committees serve as governance forums for the CEO, Chief Risk Officers, and other members of senior management to receive and discuss risk management information, reports, views, and escalated matters from the lines of business, the independent risk management function, the internal audit function, and other areas of the Company. Enterprise-wide risk management is generally the responsibility of the Chief Risk Officers. The Chief Enterprise Risk Officer has accountability for proposing risk appetites, limits, and reporting levels related to compliance, operational, reputation, and strategic risk, and the Chief Credit and Financial Risk Officer has accountability for proposing risk appetites, limits, and reporting levels related to credit, liquidity, and market risk. The Chief Enterprise Risk Officer is also responsible for ensuring that the Company has an overall enterprise risk framework and that it routinely assesses and reports on enterprise level risks. The Chief Risk Officers report both to the CEO and to the Risk Committee, and update the Risk Committee regularly on a variety of risk matters, including the Company’s performance against risk metrics, in addition to ad hoc reports on emerging risks. In addition, the Risk Committee and the Board participate in periodic education sessions on risk matters, such as generative artificial intelligence and payment network risk.</w:t>
      </w:r>
    </w:p>
    <w:p>
      <w:pPr>
        <w:spacing w:after="0" w:line="182"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Board and its committees meet with outside advisors periodically, as appropriate and necessary, and are empowered to consult at any time with outside advisors to support their oversight responsibilities. The Audit Committee also plays an important risk oversight function, including oversight of financial risks as further discussed above in “Financial Performance and Associated Risks.” The Compensation Committee oversees compensation policies and practices to ensure balanced risk-taking in our compensation programs, practices, and decisions as further described in “Compensation Policies and Practices” below.</w:t>
      </w:r>
    </w:p>
    <w:p>
      <w:pPr>
        <w:spacing w:after="0" w:line="115"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Cybersecurity and Technology Risk</w:t>
      </w:r>
    </w:p>
    <w:p>
      <w:pPr>
        <w:spacing w:after="0" w:line="221"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As a financial services company entrusted with the safeguarding of sensitive information, including sensitive personal information, we believe that a strong enterprise cybersecurity program is a vital component of effectively managing risks related to the confidentiality, integrity, availability, and security of our data. The Risk Committee of the Board is responsible for overseeing our enterprise risk management framework, including cybersecurity and technology risk. At least quarterly, the Risk Committee receives reports from management on our cybersecurity and technology risk, key enterprise cybersecurity initiatives, and on any identified significant threats or incidents, or new risk developments.</w:t>
      </w:r>
    </w:p>
    <w:p>
      <w:pPr>
        <w:spacing w:after="0" w:line="18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Risk Committee coordinates with the full Board regarding the strategic implications of cyber and technology risks. At least annually, the Board, either directly or through the Risk Committee, reviews the Company’s technology strategy with the Chief Information Officer; reviews the Company’s information security program with the Chief Information Security Officer and Chief Technology Risk Officer; and approves the Company’s information security program.</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Succession Planning</w:t>
      </w:r>
    </w:p>
    <w:p>
      <w:pPr>
        <w:spacing w:after="0" w:line="22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Pursuant to our Corporate Governance Guidelines, the Board is responsible for maintaining a succession plan for the CEO and certain senior executive positions. A planning process has been developed and maintained to identify, develop, and assess successors to the CEO, Executive Committee members, and select key roles. The Board reviews and updates these succession plans at least annually, including the most recent review and update in late 2025. Our Board believes that the directors and the CEO should work together on executive succession planning and that the entire Board should be involved. Each year, as part of the succession planning process, our CEO provides the Board with recommendations on, and evaluations of, potential CEO successors. The Board considers a number of factors such as experience, skills, competencies, and potential in its review of the senior executive team to assess which executives possess or can develop the attributes that the Board believes are necessary to lead and achieve the Company’s goals. Among other steps taken to promote this process throughout the year, executives one and two levels below the CEO often attend Board meetings and present to the Board, providing the Board with numerous opportunities to interact with our senior management and assess their leadership capabilities. Additionally, each line of business, independent risk management, internal audit, and finance functions engage in succession planning for key roles at least once per year. The Chief Human Resources Officer reviews these lines of business and functional area succession plans.</w:t>
      </w:r>
    </w:p>
    <w:p>
      <w:pPr>
        <w:spacing w:after="0" w:line="187"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In addition to the general succession plan, our Board proactively reviewed plans for temporary successors across key roles in 2025. The temporary succession plan is intended to identify the leaders who can assume the responsibilities in the immediate short term to ensure business continuity, day-to-day management of the team and business for our senior management and other key roles. Our Board also has established steps to address emergency CEO succession planning for an unplanned CEO succession event. Our emergency CEO succession planning is intended to enable our Company to respond to an unexpected CEO transition by continuing our Company’s safe and sound operation and minimizing potential disruption or loss of continuity to our Company’s operations and strategy. The Board reviews annually the CEO’s emergency successor recommendations. As a result of this evergreen process, there is a named CEO emergency successor should the CEO become unexpectedly unable to serve.</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Compensation Policies and Practices</w:t>
      </w:r>
    </w:p>
    <w:p>
      <w:pPr>
        <w:spacing w:after="0" w:line="22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Compensation Committee oversees all of our compensation policies and practices, including our incentive compensation policies and practices, with a view toward ensuring that such policies and practices encourage balanced risk-taking, are compatible with effective controls and risk management, align with our business strategy, and enable the Company to attract and retain top talent, especially in key job functions. Every two years, the Compensation Committee reviews and approves the Incentive Compensation Governance Policy, which applies to all Company associates and governs incentive compensation decisions. The Incentive Compensation</w:t>
      </w:r>
    </w:p>
    <w:p>
      <w:pPr>
        <w:spacing w:after="0" w:line="107"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4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Governance Policy provides the framework for oversight of the design of incentive compensation programs. In setting executive compensation, the Compensation Committee assesses each of the NEOs against one or more performance objectives specifically designed to evaluate the degree to which the NEOs balanced risks inherent in their specific roles. The Compensation Committee also implements additional risk-balancing features for certain equity awards, as described in more detail in the “Compensation Discussion and Analysis” beginning on page 54.</w:t>
      </w:r>
    </w:p>
    <w:p>
      <w:pPr>
        <w:spacing w:after="0" w:line="182"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In addition, the Compensation Committee reviews the Company’s NEO and other senior executive compensation programs, as well as any other material incentive compensation programs, plans, or agreements. During these reviews, the Compensation Committee discusses the Company’s most significant risks, including the Company’s status with respect to managing those risks and the relationship of those risks to compensation programs. The review includes discussion and analysis of risk-balancing features embedded in these incentive compensation programs and other actions taken by the Company to appropriately balance risk and achieve conformance with regulatory guidance. The Compensation Committee also discusses these programs with the Company’s Chief Enterprise Risk Officer, Chief Human Resources Officer, and the Compensation Committee’s independent compensation consultant, as appropriate. Based on these discussions, the Compensation Committee believes our compensation programs are consistent with safety and soundness, operate in a manner that appropriately balances risk, and are not reasonably likely to have a material adverse effect on the Company. The Compensation Committee also administers the Company’s Clawback Policy.</w:t>
      </w:r>
    </w:p>
    <w:p>
      <w:pPr>
        <w:spacing w:after="0" w:line="185"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Compensation Committee’s active oversight, together with the Company’s interactions and discussions with its regulators, has further enhanced the Company’s risk management and control processes with respect to incentive compensation at the Company and supported our continued compliance with the interagency guidance on sound incentive compensation practices.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Corporate and Community Impact</w:t>
      </w:r>
    </w:p>
    <w:p>
      <w:pPr>
        <w:spacing w:after="0" w:line="22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We believe in the importance of strong corporate governance practices and oversight of our approach to corporate and community impact matters. The Board and its committees are responsible for overseeing strategies and practices that drive community impact. Further information about our approach to, and progress on, our corporate impact initiatives, including our Community Benefits Plan, is available on our website at www.capitalone.com, under “About,” then “Our Commitments.”</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Stockholder Engagement</w:t>
      </w:r>
    </w:p>
    <w:p>
      <w:pPr>
        <w:spacing w:after="0" w:line="22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We value the input and insights of a variety of stakeholders including equity investors, debt investors, rating agencies, and analysts. We are committed to continued meaningful engagement with these stakeholders. As a result, we engage in continuous outreach throughout the year to discuss the issues that are important to them, listen to their expectations for us, and share our views. During our discussions, we also seek to provide visibility and transparency into our business, our performance, and our governance and compensation practices. We report feedback to our Board on a regular basis to help them respond to stockholders’ concerns and feedback.</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Stockholder Engagement Program</w:t>
      </w:r>
    </w:p>
    <w:p>
      <w:pPr>
        <w:spacing w:after="0" w:line="22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Management and our Investor Relations team engaged in direct outreach and discussions with stockholders in a variety of forums. In 2025, our teams attended 14 investor conferences and hosted over 1,000 investor engagements. Key topics of focus included Company strategy, financial performance, business trends, corporate impact matters, executive compensation, board composition, and the acquisition and ongoing integration of Discover. Key features of our stockholder engagement program include: (i) continuous, year-round outreach; (ii) meaningful board-driven engagement; (iii) regular board reporting; and (iv) stockholder-driven improvements.</w:t>
      </w:r>
    </w:p>
    <w:p>
      <w:pPr>
        <w:spacing w:after="0" w:line="115"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Continuous Outreach</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Our CEO, CFO, and Investor Relations team meet frequently with stockholders and the investment community regarding Company strategy and performance. In addition, members of management, including our Investor Relations, Governance and Securities, and Executive Compensation teams, as well as our General Counsel and Corporate Secretary and our CFO, meet with key governance contacts at our larger stockholders.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Meaningful Engagement</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Our goal is to engage with our stockholders in a manner characterized by both transparency and respect, fostering collaborative and mutually beneficial discussions. Depending on the topics discussed with investors, our engagement with stockholders may include the Lead Independent Director, the Chair of the Compensation Committee, or the Chair of the Governance and Nominating Committee (if different from the Lead Independent Director).</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Regular Board Reporting</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Governance and Nominating Committee, the Compensation Committee, and the Board request and receive reports several times a year from our Investor Relations team and members of management and actively discuss stockholders’ feedback and insights. Our Board and management review and evaluate stockholder input to identify issues and concerns that may require Board action or enhancements to our policies, practices, or disclosure.</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Board’s Response to Stockholder Feedback</w:t>
      </w:r>
    </w:p>
    <w:p>
      <w:pPr>
        <w:spacing w:after="0" w:line="20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In recent years, in response to stockholder feedback, we have made the following improvements to our corporate governance practices and disclosures:</w:t>
      </w:r>
    </w:p>
    <w:p>
      <w:pPr>
        <w:spacing w:after="0" w:line="185" w:lineRule="exact"/>
        <w:rPr>
          <w:sz w:val="20"/>
          <w:szCs w:val="20"/>
          <w:color w:val="auto"/>
        </w:rPr>
      </w:pPr>
    </w:p>
    <w:p>
      <w:pPr>
        <w:ind w:left="1020" w:hanging="425"/>
        <w:spacing w:after="0" w:line="210" w:lineRule="auto"/>
        <w:tabs>
          <w:tab w:leader="none" w:pos="1020" w:val="left"/>
        </w:tabs>
        <w:numPr>
          <w:ilvl w:val="0"/>
          <w:numId w:val="4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Amended our Restated Certificate of Incorporation to remove the remaining supermajority voting requirements and replace them with majority voting standards.</w:t>
      </w:r>
    </w:p>
    <w:p>
      <w:pPr>
        <w:spacing w:after="0" w:line="207" w:lineRule="exact"/>
        <w:rPr>
          <w:rFonts w:ascii="MS PGothic" w:cs="MS PGothic" w:eastAsia="MS PGothic" w:hAnsi="MS PGothic"/>
          <w:sz w:val="29"/>
          <w:szCs w:val="29"/>
          <w:color w:val="023C5B"/>
          <w:vertAlign w:val="superscript"/>
        </w:rPr>
      </w:pPr>
    </w:p>
    <w:p>
      <w:pPr>
        <w:jc w:val="both"/>
        <w:ind w:left="1020" w:hanging="425"/>
        <w:spacing w:after="0" w:line="217" w:lineRule="auto"/>
        <w:tabs>
          <w:tab w:leader="none" w:pos="1020" w:val="left"/>
        </w:tabs>
        <w:numPr>
          <w:ilvl w:val="0"/>
          <w:numId w:val="4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Enhanced disclosure to include a detailed director skills matrix, showing each individual nominee’s self-identified skills and attributes that are most relevant to fulfill the Board’s oversight responsibilities in light of the Company’s business, strategy, and risk management. See “Skills and Experience of Our Director Nominees” beginning on page 22 for additional information.</w:t>
      </w:r>
    </w:p>
    <w:p>
      <w:pPr>
        <w:spacing w:after="0" w:line="206"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4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Amended our Restated Certificate of Incorporation to permit stockholders to act by written consent, subject to certain procedural and other safeguards that the Board believes are in the best interests of Capital One and our stockholders.</w:t>
      </w:r>
    </w:p>
    <w:p>
      <w:pPr>
        <w:spacing w:after="0" w:line="180"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Information regarding improvements to our executive compensation practices and disclosures taken in recent years in response to stockholder feedback can be found under “Consideration of Stockholder Feedback and 2025 Say on Pay Vote” on page 62.</w:t>
      </w:r>
    </w:p>
    <w:p>
      <w:pPr>
        <w:spacing w:after="0" w:line="83"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Stockholder Engagement Cycle</w:t>
      </w:r>
    </w:p>
    <w:p>
      <w:pPr>
        <w:spacing w:after="0" w:line="22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While our Investor Relations team and management meet continuously throughout the year, the following chart describes the typical annual cycle of our formal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129540</wp:posOffset>
            </wp:positionV>
            <wp:extent cx="5163185" cy="32353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63185" cy="323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We Engage Across Many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6929755" cy="41783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29755" cy="41783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45" w:lineRule="exact"/>
        <w:rPr>
          <w:sz w:val="20"/>
          <w:szCs w:val="20"/>
          <w:color w:val="auto"/>
        </w:rPr>
      </w:pPr>
    </w:p>
    <w:p>
      <w:pPr>
        <w:jc w:val="center"/>
        <w:ind w:left="160"/>
        <w:spacing w:after="0"/>
        <w:rPr>
          <w:sz w:val="20"/>
          <w:szCs w:val="20"/>
          <w:color w:val="auto"/>
        </w:rPr>
      </w:pPr>
      <w:r>
        <w:rPr>
          <w:rFonts w:ascii="Arial" w:cs="Arial" w:eastAsia="Arial" w:hAnsi="Arial"/>
          <w:sz w:val="21"/>
          <w:szCs w:val="21"/>
          <w:b w:val="1"/>
          <w:bCs w:val="1"/>
          <w:color w:val="FFFFFF"/>
        </w:rPr>
        <w:t>Company-Led Engagement</w:t>
      </w:r>
    </w:p>
    <w:p>
      <w:pPr>
        <w:spacing w:after="0" w:line="223" w:lineRule="exact"/>
        <w:rPr>
          <w:sz w:val="20"/>
          <w:szCs w:val="20"/>
          <w:color w:val="auto"/>
        </w:rPr>
      </w:pPr>
    </w:p>
    <w:p>
      <w:pPr>
        <w:jc w:val="both"/>
        <w:ind w:left="480" w:hanging="313"/>
        <w:spacing w:after="0" w:line="243" w:lineRule="auto"/>
        <w:tabs>
          <w:tab w:leader="none" w:pos="480" w:val="left"/>
        </w:tabs>
        <w:numPr>
          <w:ilvl w:val="0"/>
          <w:numId w:val="48"/>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Dedicated Investor Relations Department. </w:t>
      </w:r>
      <w:r>
        <w:rPr>
          <w:rFonts w:ascii="Arial" w:cs="Arial" w:eastAsia="Arial" w:hAnsi="Arial"/>
          <w:sz w:val="18"/>
          <w:szCs w:val="18"/>
          <w:color w:val="000000"/>
        </w:rPr>
        <w:t>Our Investor</w:t>
      </w:r>
      <w:r>
        <w:rPr>
          <w:rFonts w:ascii="Arial" w:cs="Arial" w:eastAsia="Arial" w:hAnsi="Arial"/>
          <w:sz w:val="18"/>
          <w:szCs w:val="18"/>
          <w:b w:val="1"/>
          <w:bCs w:val="1"/>
          <w:color w:val="023C5B"/>
        </w:rPr>
        <w:t xml:space="preserve"> </w:t>
      </w:r>
      <w:r>
        <w:rPr>
          <w:rFonts w:ascii="Arial" w:cs="Arial" w:eastAsia="Arial" w:hAnsi="Arial"/>
          <w:sz w:val="18"/>
          <w:szCs w:val="18"/>
          <w:color w:val="000000"/>
        </w:rPr>
        <w:t>Relations professionals are dedicated full-time to responding to questions from stockholders about the Company, its strategy, performance, governance, and other issues of investor interest.</w:t>
      </w:r>
    </w:p>
    <w:p>
      <w:pPr>
        <w:spacing w:after="0" w:line="31" w:lineRule="exact"/>
        <w:rPr>
          <w:rFonts w:ascii="MS PGothic" w:cs="MS PGothic" w:eastAsia="MS PGothic" w:hAnsi="MS PGothic"/>
          <w:sz w:val="14"/>
          <w:szCs w:val="14"/>
          <w:color w:val="023C5B"/>
        </w:rPr>
      </w:pPr>
    </w:p>
    <w:p>
      <w:pPr>
        <w:jc w:val="both"/>
        <w:ind w:left="480" w:hanging="313"/>
        <w:spacing w:after="0" w:line="238" w:lineRule="auto"/>
        <w:tabs>
          <w:tab w:leader="none" w:pos="480" w:val="left"/>
        </w:tabs>
        <w:numPr>
          <w:ilvl w:val="0"/>
          <w:numId w:val="48"/>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Formal Outreach Program. </w:t>
      </w:r>
      <w:r>
        <w:rPr>
          <w:rFonts w:ascii="Arial" w:cs="Arial" w:eastAsia="Arial" w:hAnsi="Arial"/>
          <w:sz w:val="18"/>
          <w:szCs w:val="18"/>
          <w:color w:val="000000"/>
        </w:rPr>
        <w:t>In addition to continuous outreach</w:t>
      </w:r>
      <w:r>
        <w:rPr>
          <w:rFonts w:ascii="Arial" w:cs="Arial" w:eastAsia="Arial" w:hAnsi="Arial"/>
          <w:sz w:val="18"/>
          <w:szCs w:val="18"/>
          <w:b w:val="1"/>
          <w:bCs w:val="1"/>
          <w:color w:val="023C5B"/>
        </w:rPr>
        <w:t xml:space="preserve"> </w:t>
      </w:r>
      <w:r>
        <w:rPr>
          <w:rFonts w:ascii="Arial" w:cs="Arial" w:eastAsia="Arial" w:hAnsi="Arial"/>
          <w:sz w:val="18"/>
          <w:szCs w:val="18"/>
          <w:color w:val="000000"/>
        </w:rPr>
        <w:t>on a broad set of topics, our formal outreach program includes proactive outreach to our largest stockholders at least twice a year focused on governance, compensation, and related matters. Through our formal outreach program, our Board and management gain stockholder insights and an opportunity to assess and respond to stockholder sentiment.</w:t>
      </w:r>
    </w:p>
    <w:p>
      <w:pPr>
        <w:spacing w:after="0" w:line="34" w:lineRule="exact"/>
        <w:rPr>
          <w:rFonts w:ascii="MS PGothic" w:cs="MS PGothic" w:eastAsia="MS PGothic" w:hAnsi="MS PGothic"/>
          <w:sz w:val="14"/>
          <w:szCs w:val="14"/>
          <w:color w:val="023C5B"/>
        </w:rPr>
      </w:pPr>
    </w:p>
    <w:p>
      <w:pPr>
        <w:jc w:val="both"/>
        <w:ind w:left="480" w:hanging="313"/>
        <w:spacing w:after="0"/>
        <w:tabs>
          <w:tab w:leader="none" w:pos="480" w:val="left"/>
        </w:tabs>
        <w:numPr>
          <w:ilvl w:val="0"/>
          <w:numId w:val="48"/>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Quarterly Earnings Conference Calls. </w:t>
      </w:r>
      <w:r>
        <w:rPr>
          <w:rFonts w:ascii="Arial" w:cs="Arial" w:eastAsia="Arial" w:hAnsi="Arial"/>
          <w:sz w:val="18"/>
          <w:szCs w:val="18"/>
          <w:color w:val="000000"/>
        </w:rPr>
        <w:t>In addition to prepared</w:t>
      </w:r>
      <w:r>
        <w:rPr>
          <w:rFonts w:ascii="Arial" w:cs="Arial" w:eastAsia="Arial" w:hAnsi="Arial"/>
          <w:sz w:val="18"/>
          <w:szCs w:val="18"/>
          <w:b w:val="1"/>
          <w:bCs w:val="1"/>
          <w:color w:val="023C5B"/>
        </w:rPr>
        <w:t xml:space="preserve"> </w:t>
      </w:r>
      <w:r>
        <w:rPr>
          <w:rFonts w:ascii="Arial" w:cs="Arial" w:eastAsia="Arial" w:hAnsi="Arial"/>
          <w:sz w:val="18"/>
          <w:szCs w:val="18"/>
          <w:color w:val="000000"/>
        </w:rPr>
        <w:t>remarks, our management team participates in a question-and-answer session aimed at allowing stockholders to gain further insight into the Company’s financial condition and results of operations.</w:t>
      </w:r>
    </w:p>
    <w:p>
      <w:pPr>
        <w:spacing w:after="0" w:line="34" w:lineRule="exact"/>
        <w:rPr>
          <w:rFonts w:ascii="MS PGothic" w:cs="MS PGothic" w:eastAsia="MS PGothic" w:hAnsi="MS PGothic"/>
          <w:sz w:val="14"/>
          <w:szCs w:val="14"/>
          <w:color w:val="023C5B"/>
        </w:rPr>
      </w:pPr>
    </w:p>
    <w:p>
      <w:pPr>
        <w:jc w:val="both"/>
        <w:ind w:left="480" w:hanging="313"/>
        <w:spacing w:after="0" w:line="249" w:lineRule="auto"/>
        <w:tabs>
          <w:tab w:leader="none" w:pos="480" w:val="left"/>
        </w:tabs>
        <w:numPr>
          <w:ilvl w:val="0"/>
          <w:numId w:val="48"/>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Regular Investor Conferences and Road Shows. </w:t>
      </w:r>
      <w:r>
        <w:rPr>
          <w:rFonts w:ascii="Arial" w:cs="Arial" w:eastAsia="Arial" w:hAnsi="Arial"/>
          <w:sz w:val="18"/>
          <w:szCs w:val="18"/>
          <w:color w:val="000000"/>
        </w:rPr>
        <w:t>Management</w:t>
      </w:r>
      <w:r>
        <w:rPr>
          <w:rFonts w:ascii="Arial" w:cs="Arial" w:eastAsia="Arial" w:hAnsi="Arial"/>
          <w:sz w:val="18"/>
          <w:szCs w:val="18"/>
          <w:b w:val="1"/>
          <w:bCs w:val="1"/>
          <w:color w:val="023C5B"/>
        </w:rPr>
        <w:t xml:space="preserve"> </w:t>
      </w:r>
      <w:r>
        <w:rPr>
          <w:rFonts w:ascii="Arial" w:cs="Arial" w:eastAsia="Arial" w:hAnsi="Arial"/>
          <w:sz w:val="18"/>
          <w:szCs w:val="18"/>
          <w:color w:val="000000"/>
        </w:rPr>
        <w:t>and our Investor Relations team routinely engage with investors at conferences and other forums.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109"/>
        <w:spacing w:after="0"/>
        <w:rPr>
          <w:sz w:val="20"/>
          <w:szCs w:val="20"/>
          <w:color w:val="auto"/>
        </w:rPr>
      </w:pPr>
      <w:r>
        <w:rPr>
          <w:rFonts w:ascii="Arial" w:cs="Arial" w:eastAsia="Arial" w:hAnsi="Arial"/>
          <w:sz w:val="21"/>
          <w:szCs w:val="21"/>
          <w:b w:val="1"/>
          <w:bCs w:val="1"/>
          <w:color w:val="FFFFFF"/>
        </w:rPr>
        <w:t>Stockholder-Led Engagement</w:t>
      </w:r>
    </w:p>
    <w:p>
      <w:pPr>
        <w:spacing w:after="0" w:line="223" w:lineRule="exact"/>
        <w:rPr>
          <w:sz w:val="20"/>
          <w:szCs w:val="20"/>
          <w:color w:val="auto"/>
        </w:rPr>
      </w:pPr>
    </w:p>
    <w:p>
      <w:pPr>
        <w:jc w:val="both"/>
        <w:ind w:left="309" w:hanging="309"/>
        <w:spacing w:after="0" w:line="249" w:lineRule="auto"/>
        <w:tabs>
          <w:tab w:leader="none" w:pos="309" w:val="left"/>
        </w:tabs>
        <w:numPr>
          <w:ilvl w:val="0"/>
          <w:numId w:val="49"/>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Meetings with Directors. </w:t>
      </w:r>
      <w:r>
        <w:rPr>
          <w:rFonts w:ascii="Arial" w:cs="Arial" w:eastAsia="Arial" w:hAnsi="Arial"/>
          <w:sz w:val="18"/>
          <w:szCs w:val="18"/>
          <w:color w:val="000000"/>
        </w:rPr>
        <w:t>If requested, our directors are</w:t>
      </w:r>
      <w:r>
        <w:rPr>
          <w:rFonts w:ascii="Arial" w:cs="Arial" w:eastAsia="Arial" w:hAnsi="Arial"/>
          <w:sz w:val="18"/>
          <w:szCs w:val="18"/>
          <w:b w:val="1"/>
          <w:bCs w:val="1"/>
          <w:color w:val="023C5B"/>
        </w:rPr>
        <w:t xml:space="preserve"> </w:t>
      </w:r>
      <w:r>
        <w:rPr>
          <w:rFonts w:ascii="Arial" w:cs="Arial" w:eastAsia="Arial" w:hAnsi="Arial"/>
          <w:sz w:val="18"/>
          <w:szCs w:val="18"/>
          <w:color w:val="000000"/>
        </w:rPr>
        <w:t>available for consultation and direct communication with our stockholders.</w:t>
      </w:r>
    </w:p>
    <w:p>
      <w:pPr>
        <w:spacing w:after="0" w:line="24" w:lineRule="exact"/>
        <w:rPr>
          <w:rFonts w:ascii="MS PGothic" w:cs="MS PGothic" w:eastAsia="MS PGothic" w:hAnsi="MS PGothic"/>
          <w:sz w:val="14"/>
          <w:szCs w:val="14"/>
          <w:color w:val="023C5B"/>
        </w:rPr>
      </w:pPr>
    </w:p>
    <w:p>
      <w:pPr>
        <w:jc w:val="both"/>
        <w:ind w:left="309" w:hanging="309"/>
        <w:spacing w:after="0"/>
        <w:tabs>
          <w:tab w:leader="none" w:pos="309" w:val="left"/>
        </w:tabs>
        <w:numPr>
          <w:ilvl w:val="0"/>
          <w:numId w:val="49"/>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Voting. </w:t>
      </w:r>
      <w:r>
        <w:rPr>
          <w:rFonts w:ascii="Arial" w:cs="Arial" w:eastAsia="Arial" w:hAnsi="Arial"/>
          <w:sz w:val="18"/>
          <w:szCs w:val="18"/>
          <w:color w:val="000000"/>
        </w:rPr>
        <w:t>Our stockholders have the opportunity to vote for the</w:t>
      </w:r>
      <w:r>
        <w:rPr>
          <w:rFonts w:ascii="Arial" w:cs="Arial" w:eastAsia="Arial" w:hAnsi="Arial"/>
          <w:sz w:val="18"/>
          <w:szCs w:val="18"/>
          <w:b w:val="1"/>
          <w:bCs w:val="1"/>
          <w:color w:val="023C5B"/>
        </w:rPr>
        <w:t xml:space="preserve"> </w:t>
      </w:r>
      <w:r>
        <w:rPr>
          <w:rFonts w:ascii="Arial" w:cs="Arial" w:eastAsia="Arial" w:hAnsi="Arial"/>
          <w:sz w:val="18"/>
          <w:szCs w:val="18"/>
          <w:color w:val="000000"/>
        </w:rPr>
        <w:t>election of all of our directors on an annual basis using a majority of the votes cast standard, and, through our annual vote on executive compensation, to regularly express their opinion on our compensation programs.</w:t>
      </w:r>
    </w:p>
    <w:p>
      <w:pPr>
        <w:spacing w:after="0" w:line="34" w:lineRule="exact"/>
        <w:rPr>
          <w:rFonts w:ascii="MS PGothic" w:cs="MS PGothic" w:eastAsia="MS PGothic" w:hAnsi="MS PGothic"/>
          <w:sz w:val="14"/>
          <w:szCs w:val="14"/>
          <w:color w:val="023C5B"/>
        </w:rPr>
      </w:pPr>
    </w:p>
    <w:p>
      <w:pPr>
        <w:jc w:val="both"/>
        <w:ind w:left="309" w:hanging="309"/>
        <w:spacing w:after="0" w:line="243" w:lineRule="auto"/>
        <w:tabs>
          <w:tab w:leader="none" w:pos="309" w:val="left"/>
        </w:tabs>
        <w:numPr>
          <w:ilvl w:val="0"/>
          <w:numId w:val="49"/>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Annual Stockholder Meeting. </w:t>
      </w:r>
      <w:r>
        <w:rPr>
          <w:rFonts w:ascii="Arial" w:cs="Arial" w:eastAsia="Arial" w:hAnsi="Arial"/>
          <w:sz w:val="18"/>
          <w:szCs w:val="18"/>
          <w:color w:val="000000"/>
        </w:rPr>
        <w:t>Our directors are expected to,</w:t>
      </w:r>
      <w:r>
        <w:rPr>
          <w:rFonts w:ascii="Arial" w:cs="Arial" w:eastAsia="Arial" w:hAnsi="Arial"/>
          <w:sz w:val="18"/>
          <w:szCs w:val="18"/>
          <w:b w:val="1"/>
          <w:bCs w:val="1"/>
          <w:color w:val="023C5B"/>
        </w:rPr>
        <w:t xml:space="preserve"> </w:t>
      </w:r>
      <w:r>
        <w:rPr>
          <w:rFonts w:ascii="Arial" w:cs="Arial" w:eastAsia="Arial" w:hAnsi="Arial"/>
          <w:sz w:val="18"/>
          <w:szCs w:val="18"/>
          <w:color w:val="000000"/>
        </w:rPr>
        <w:t>and do, attend the annual stockholder meeting, where all of our stockholders are invited to attend, ask questions, and express their views.</w:t>
      </w:r>
    </w:p>
    <w:p>
      <w:pPr>
        <w:spacing w:after="0" w:line="31" w:lineRule="exact"/>
        <w:rPr>
          <w:rFonts w:ascii="MS PGothic" w:cs="MS PGothic" w:eastAsia="MS PGothic" w:hAnsi="MS PGothic"/>
          <w:sz w:val="14"/>
          <w:szCs w:val="14"/>
          <w:color w:val="023C5B"/>
        </w:rPr>
      </w:pPr>
    </w:p>
    <w:p>
      <w:pPr>
        <w:jc w:val="both"/>
        <w:ind w:left="309" w:hanging="309"/>
        <w:spacing w:after="0" w:line="249" w:lineRule="auto"/>
        <w:tabs>
          <w:tab w:leader="none" w:pos="309" w:val="left"/>
        </w:tabs>
        <w:numPr>
          <w:ilvl w:val="0"/>
          <w:numId w:val="49"/>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Written Correspondence. </w:t>
      </w:r>
      <w:r>
        <w:rPr>
          <w:rFonts w:ascii="Arial" w:cs="Arial" w:eastAsia="Arial" w:hAnsi="Arial"/>
          <w:sz w:val="18"/>
          <w:szCs w:val="18"/>
          <w:color w:val="000000"/>
        </w:rPr>
        <w:t>Stockholders may write to the</w:t>
      </w:r>
      <w:r>
        <w:rPr>
          <w:rFonts w:ascii="Arial" w:cs="Arial" w:eastAsia="Arial" w:hAnsi="Arial"/>
          <w:sz w:val="18"/>
          <w:szCs w:val="18"/>
          <w:b w:val="1"/>
          <w:bCs w:val="1"/>
          <w:color w:val="023C5B"/>
        </w:rPr>
        <w:t xml:space="preserve"> </w:t>
      </w:r>
      <w:r>
        <w:rPr>
          <w:rFonts w:ascii="Arial" w:cs="Arial" w:eastAsia="Arial" w:hAnsi="Arial"/>
          <w:sz w:val="18"/>
          <w:szCs w:val="18"/>
          <w:color w:val="000000"/>
        </w:rPr>
        <w:t>Board through the Corporate Secretary at the address provided below in “How to Contact Us” on page 48.</w:t>
      </w:r>
    </w:p>
    <w:p>
      <w:pPr>
        <w:spacing w:after="0" w:line="24" w:lineRule="exact"/>
        <w:rPr>
          <w:rFonts w:ascii="MS PGothic" w:cs="MS PGothic" w:eastAsia="MS PGothic" w:hAnsi="MS PGothic"/>
          <w:sz w:val="14"/>
          <w:szCs w:val="14"/>
          <w:color w:val="023C5B"/>
        </w:rPr>
      </w:pPr>
    </w:p>
    <w:p>
      <w:pPr>
        <w:jc w:val="both"/>
        <w:ind w:left="309" w:hanging="309"/>
        <w:spacing w:after="0" w:line="249" w:lineRule="auto"/>
        <w:tabs>
          <w:tab w:leader="none" w:pos="309" w:val="left"/>
        </w:tabs>
        <w:numPr>
          <w:ilvl w:val="0"/>
          <w:numId w:val="49"/>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Special Meetings. </w:t>
      </w:r>
      <w:r>
        <w:rPr>
          <w:rFonts w:ascii="Arial" w:cs="Arial" w:eastAsia="Arial" w:hAnsi="Arial"/>
          <w:sz w:val="18"/>
          <w:szCs w:val="18"/>
          <w:color w:val="000000"/>
        </w:rPr>
        <w:t>A stockholder or group of stockholders</w:t>
      </w:r>
      <w:r>
        <w:rPr>
          <w:rFonts w:ascii="Arial" w:cs="Arial" w:eastAsia="Arial" w:hAnsi="Arial"/>
          <w:sz w:val="18"/>
          <w:szCs w:val="18"/>
          <w:b w:val="1"/>
          <w:bCs w:val="1"/>
          <w:color w:val="023C5B"/>
        </w:rPr>
        <w:t xml:space="preserve"> </w:t>
      </w:r>
      <w:r>
        <w:rPr>
          <w:rFonts w:ascii="Arial" w:cs="Arial" w:eastAsia="Arial" w:hAnsi="Arial"/>
          <w:sz w:val="18"/>
          <w:szCs w:val="18"/>
          <w:color w:val="000000"/>
        </w:rPr>
        <w:t>that hold at least 25% of our outstanding common stock may request a special stockholder meeting.</w:t>
      </w:r>
    </w:p>
    <w:p>
      <w:pPr>
        <w:spacing w:after="0" w:line="24" w:lineRule="exact"/>
        <w:rPr>
          <w:rFonts w:ascii="MS PGothic" w:cs="MS PGothic" w:eastAsia="MS PGothic" w:hAnsi="MS PGothic"/>
          <w:sz w:val="14"/>
          <w:szCs w:val="14"/>
          <w:color w:val="023C5B"/>
        </w:rPr>
      </w:pPr>
    </w:p>
    <w:p>
      <w:pPr>
        <w:jc w:val="both"/>
        <w:ind w:left="309" w:hanging="309"/>
        <w:spacing w:after="0" w:line="238" w:lineRule="auto"/>
        <w:tabs>
          <w:tab w:leader="none" w:pos="309" w:val="left"/>
        </w:tabs>
        <w:numPr>
          <w:ilvl w:val="0"/>
          <w:numId w:val="49"/>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Proxy Access. </w:t>
      </w:r>
      <w:r>
        <w:rPr>
          <w:rFonts w:ascii="Arial" w:cs="Arial" w:eastAsia="Arial" w:hAnsi="Arial"/>
          <w:sz w:val="18"/>
          <w:szCs w:val="18"/>
          <w:color w:val="000000"/>
        </w:rPr>
        <w:t>A stockholder or group of up to 20</w:t>
      </w:r>
      <w:r>
        <w:rPr>
          <w:rFonts w:ascii="Arial" w:cs="Arial" w:eastAsia="Arial" w:hAnsi="Arial"/>
          <w:sz w:val="18"/>
          <w:szCs w:val="18"/>
          <w:b w:val="1"/>
          <w:bCs w:val="1"/>
          <w:color w:val="023C5B"/>
        </w:rPr>
        <w:t xml:space="preserve"> </w:t>
      </w:r>
      <w:r>
        <w:rPr>
          <w:rFonts w:ascii="Arial" w:cs="Arial" w:eastAsia="Arial" w:hAnsi="Arial"/>
          <w:sz w:val="18"/>
          <w:szCs w:val="18"/>
          <w:color w:val="000000"/>
        </w:rPr>
        <w:t>stockholders or beneficial owners who have owned at least 3% or more in the aggregate of the Company’s outstanding common shares of voting stock continuously for at least three years may nominate and include in the Company’s proxy statement the greater of two director candidates or 20% of the total Board.</w:t>
      </w:r>
    </w:p>
    <w:p>
      <w:pPr>
        <w:spacing w:after="0" w:line="34" w:lineRule="exact"/>
        <w:rPr>
          <w:rFonts w:ascii="MS PGothic" w:cs="MS PGothic" w:eastAsia="MS PGothic" w:hAnsi="MS PGothic"/>
          <w:sz w:val="14"/>
          <w:szCs w:val="14"/>
          <w:color w:val="023C5B"/>
        </w:rPr>
      </w:pPr>
    </w:p>
    <w:p>
      <w:pPr>
        <w:jc w:val="both"/>
        <w:ind w:left="309" w:hanging="309"/>
        <w:spacing w:after="0" w:line="249" w:lineRule="auto"/>
        <w:tabs>
          <w:tab w:leader="none" w:pos="309" w:val="left"/>
        </w:tabs>
        <w:numPr>
          <w:ilvl w:val="0"/>
          <w:numId w:val="49"/>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Written Consent. </w:t>
      </w:r>
      <w:r>
        <w:rPr>
          <w:rFonts w:ascii="Arial" w:cs="Arial" w:eastAsia="Arial" w:hAnsi="Arial"/>
          <w:sz w:val="18"/>
          <w:szCs w:val="18"/>
          <w:color w:val="000000"/>
        </w:rPr>
        <w:t>The Company’s Restated Certificate of</w:t>
      </w:r>
      <w:r>
        <w:rPr>
          <w:rFonts w:ascii="Arial" w:cs="Arial" w:eastAsia="Arial" w:hAnsi="Arial"/>
          <w:sz w:val="18"/>
          <w:szCs w:val="18"/>
          <w:b w:val="1"/>
          <w:bCs w:val="1"/>
          <w:color w:val="023C5B"/>
        </w:rPr>
        <w:t xml:space="preserve"> </w:t>
      </w:r>
      <w:r>
        <w:rPr>
          <w:rFonts w:ascii="Arial" w:cs="Arial" w:eastAsia="Arial" w:hAnsi="Arial"/>
          <w:sz w:val="18"/>
          <w:szCs w:val="18"/>
          <w:color w:val="000000"/>
        </w:rPr>
        <w:t>Incorporation permits stockholders to act by written consent, subject to certain procedural and other safeguards.</w:t>
      </w:r>
    </w:p>
    <w:p>
      <w:pPr>
        <w:spacing w:after="0" w:line="97" w:lineRule="exact"/>
        <w:rPr>
          <w:sz w:val="20"/>
          <w:szCs w:val="20"/>
          <w:color w:val="auto"/>
        </w:rPr>
      </w:pPr>
    </w:p>
    <w:p>
      <w:pPr>
        <w:sectPr>
          <w:pgSz w:w="11900" w:h="16838" w:orient="portrait"/>
          <w:cols w:equalWidth="0" w:num="2">
            <w:col w:w="5680" w:space="171"/>
            <w:col w:w="5229"/>
          </w:cols>
          <w:pgMar w:left="320" w:top="478" w:right="499" w:bottom="1440" w:gutter="0" w:footer="0" w:header="0"/>
          <w:type w:val="continuous"/>
        </w:sect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Board Committees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Board has four standing committees: Audit, Compensation, Governance and Nominating, and Risk. Each of our committees:</w:t>
      </w:r>
    </w:p>
    <w:p>
      <w:pPr>
        <w:spacing w:after="0" w:line="180" w:lineRule="exact"/>
        <w:rPr>
          <w:sz w:val="20"/>
          <w:szCs w:val="20"/>
          <w:color w:val="auto"/>
        </w:rPr>
      </w:pPr>
    </w:p>
    <w:p>
      <w:pPr>
        <w:ind w:left="1020" w:hanging="425"/>
        <w:spacing w:after="0"/>
        <w:tabs>
          <w:tab w:leader="none" w:pos="1020" w:val="left"/>
        </w:tabs>
        <w:numPr>
          <w:ilvl w:val="0"/>
          <w:numId w:val="5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Is led by an active, empowered, and independent committee chair</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5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Is composed of all independent members</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5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Operates in accordance with a written charter, which is reviewed annually</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5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Assesses its performance annually</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5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Has authority to retain outside advisors, as desired</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Information About Our Current Board Committee Membership and 2025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7019290</wp:posOffset>
            </wp:positionH>
            <wp:positionV relativeFrom="paragraph">
              <wp:posOffset>163830</wp:posOffset>
            </wp:positionV>
            <wp:extent cx="42545" cy="4500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545" cy="450088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163830</wp:posOffset>
            </wp:positionV>
            <wp:extent cx="42545" cy="45262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545" cy="452628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163830</wp:posOffset>
            </wp:positionV>
            <wp:extent cx="42545" cy="45262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545" cy="4526280"/>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163830</wp:posOffset>
            </wp:positionV>
            <wp:extent cx="42545" cy="4500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545" cy="4500880"/>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163830</wp:posOffset>
            </wp:positionV>
            <wp:extent cx="42545" cy="4500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545" cy="4500880"/>
                    </a:xfrm>
                    <a:prstGeom prst="rect">
                      <a:avLst/>
                    </a:prstGeom>
                    <a:noFill/>
                  </pic:spPr>
                </pic:pic>
              </a:graphicData>
            </a:graphic>
          </wp:anchor>
        </w:drawing>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920" w:type="dxa"/>
            <w:vAlign w:val="bottom"/>
            <w:shd w:val="clear" w:color="auto" w:fill="023C5B"/>
          </w:tcPr>
          <w:p>
            <w:pPr>
              <w:spacing w:after="0"/>
              <w:rPr>
                <w:sz w:val="19"/>
                <w:szCs w:val="19"/>
                <w:color w:val="auto"/>
              </w:rPr>
            </w:pPr>
          </w:p>
        </w:tc>
        <w:tc>
          <w:tcPr>
            <w:tcW w:w="300" w:type="dxa"/>
            <w:vAlign w:val="bottom"/>
            <w:shd w:val="clear" w:color="auto" w:fill="023C5B"/>
          </w:tcPr>
          <w:p>
            <w:pPr>
              <w:spacing w:after="0"/>
              <w:rPr>
                <w:sz w:val="19"/>
                <w:szCs w:val="19"/>
                <w:color w:val="auto"/>
              </w:rPr>
            </w:pPr>
          </w:p>
        </w:tc>
        <w:tc>
          <w:tcPr>
            <w:tcW w:w="312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820" w:type="dxa"/>
            <w:vAlign w:val="bottom"/>
            <w:shd w:val="clear" w:color="auto" w:fill="023C5B"/>
          </w:tcPr>
          <w:p>
            <w:pPr>
              <w:spacing w:after="0"/>
              <w:rPr>
                <w:sz w:val="19"/>
                <w:szCs w:val="19"/>
                <w:color w:val="auto"/>
              </w:rPr>
            </w:pPr>
          </w:p>
        </w:tc>
        <w:tc>
          <w:tcPr>
            <w:tcW w:w="110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146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154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Governance</w:t>
            </w:r>
          </w:p>
        </w:tc>
        <w:tc>
          <w:tcPr>
            <w:tcW w:w="1460" w:type="dxa"/>
            <w:vAlign w:val="bottom"/>
            <w:shd w:val="clear" w:color="auto" w:fill="023C5B"/>
          </w:tcPr>
          <w:p>
            <w:pPr>
              <w:spacing w:after="0"/>
              <w:rPr>
                <w:sz w:val="19"/>
                <w:szCs w:val="19"/>
                <w:color w:val="auto"/>
              </w:rPr>
            </w:pPr>
          </w:p>
        </w:tc>
        <w:tc>
          <w:tcPr>
            <w:tcW w:w="20" w:type="dxa"/>
            <w:vAlign w:val="bottom"/>
            <w:shd w:val="clear" w:color="auto" w:fill="023C5B"/>
          </w:tcPr>
          <w:p>
            <w:pPr>
              <w:spacing w:after="0"/>
              <w:rPr>
                <w:sz w:val="19"/>
                <w:szCs w:val="19"/>
                <w:color w:val="auto"/>
              </w:rPr>
            </w:pPr>
          </w:p>
        </w:tc>
      </w:tr>
      <w:tr>
        <w:trPr>
          <w:trHeight w:val="268"/>
        </w:trPr>
        <w:tc>
          <w:tcPr>
            <w:tcW w:w="920" w:type="dxa"/>
            <w:vAlign w:val="bottom"/>
            <w:shd w:val="clear" w:color="auto" w:fill="023C5B"/>
          </w:tcPr>
          <w:p>
            <w:pPr>
              <w:ind w:left="80"/>
              <w:spacing w:after="0"/>
              <w:rPr>
                <w:sz w:val="20"/>
                <w:szCs w:val="20"/>
                <w:color w:val="auto"/>
              </w:rPr>
            </w:pPr>
            <w:r>
              <w:rPr>
                <w:rFonts w:ascii="Arial" w:cs="Arial" w:eastAsia="Arial" w:hAnsi="Arial"/>
                <w:sz w:val="16"/>
                <w:szCs w:val="16"/>
                <w:b w:val="1"/>
                <w:bCs w:val="1"/>
                <w:color w:val="FFFFFF"/>
              </w:rPr>
              <w:t>Director</w:t>
            </w:r>
          </w:p>
        </w:tc>
        <w:tc>
          <w:tcPr>
            <w:tcW w:w="300" w:type="dxa"/>
            <w:vAlign w:val="bottom"/>
            <w:shd w:val="clear" w:color="auto" w:fill="023C5B"/>
          </w:tcPr>
          <w:p>
            <w:pPr>
              <w:spacing w:after="0"/>
              <w:rPr>
                <w:sz w:val="23"/>
                <w:szCs w:val="23"/>
                <w:color w:val="auto"/>
              </w:rPr>
            </w:pPr>
          </w:p>
        </w:tc>
        <w:tc>
          <w:tcPr>
            <w:tcW w:w="3120" w:type="dxa"/>
            <w:vAlign w:val="bottom"/>
            <w:shd w:val="clear" w:color="auto" w:fill="023C5B"/>
          </w:tcPr>
          <w:p>
            <w:pPr>
              <w:spacing w:after="0"/>
              <w:rPr>
                <w:sz w:val="23"/>
                <w:szCs w:val="23"/>
                <w:color w:val="auto"/>
              </w:rPr>
            </w:pPr>
          </w:p>
        </w:tc>
        <w:tc>
          <w:tcPr>
            <w:tcW w:w="60" w:type="dxa"/>
            <w:vAlign w:val="bottom"/>
            <w:shd w:val="clear" w:color="auto" w:fill="023C5B"/>
          </w:tcPr>
          <w:p>
            <w:pPr>
              <w:spacing w:after="0"/>
              <w:rPr>
                <w:sz w:val="23"/>
                <w:szCs w:val="23"/>
                <w:color w:val="auto"/>
              </w:rPr>
            </w:pPr>
          </w:p>
        </w:tc>
        <w:tc>
          <w:tcPr>
            <w:tcW w:w="1980" w:type="dxa"/>
            <w:vAlign w:val="bottom"/>
            <w:gridSpan w:val="3"/>
            <w:shd w:val="clear" w:color="auto" w:fill="023C5B"/>
          </w:tcPr>
          <w:p>
            <w:pPr>
              <w:ind w:left="640"/>
              <w:spacing w:after="0" w:line="268" w:lineRule="exact"/>
              <w:rPr>
                <w:sz w:val="20"/>
                <w:szCs w:val="20"/>
                <w:color w:val="auto"/>
              </w:rPr>
            </w:pPr>
            <w:r>
              <w:rPr>
                <w:rFonts w:ascii="Arial" w:cs="Arial" w:eastAsia="Arial" w:hAnsi="Arial"/>
                <w:sz w:val="16"/>
                <w:szCs w:val="16"/>
                <w:b w:val="1"/>
                <w:bCs w:val="1"/>
                <w:color w:val="FFFFFF"/>
              </w:rPr>
              <w:t>Audit</w:t>
            </w:r>
            <w:r>
              <w:rPr>
                <w:rFonts w:ascii="Arial" w:cs="Arial" w:eastAsia="Arial" w:hAnsi="Arial"/>
                <w:sz w:val="24"/>
                <w:szCs w:val="24"/>
                <w:b w:val="1"/>
                <w:bCs w:val="1"/>
                <w:color w:val="FFFFFF"/>
                <w:vertAlign w:val="superscript"/>
              </w:rPr>
              <w:t>(1)</w:t>
            </w:r>
          </w:p>
        </w:tc>
        <w:tc>
          <w:tcPr>
            <w:tcW w:w="1520" w:type="dxa"/>
            <w:vAlign w:val="bottom"/>
            <w:gridSpan w:val="2"/>
            <w:shd w:val="clear" w:color="auto" w:fill="023C5B"/>
          </w:tcPr>
          <w:p>
            <w:pPr>
              <w:jc w:val="center"/>
              <w:ind w:left="40"/>
              <w:spacing w:after="0"/>
              <w:rPr>
                <w:sz w:val="20"/>
                <w:szCs w:val="20"/>
                <w:color w:val="auto"/>
              </w:rPr>
            </w:pPr>
            <w:r>
              <w:rPr>
                <w:rFonts w:ascii="Arial" w:cs="Arial" w:eastAsia="Arial" w:hAnsi="Arial"/>
                <w:sz w:val="16"/>
                <w:szCs w:val="16"/>
                <w:b w:val="1"/>
                <w:bCs w:val="1"/>
                <w:color w:val="FFFFFF"/>
              </w:rPr>
              <w:t>Compensation</w:t>
            </w:r>
          </w:p>
        </w:tc>
        <w:tc>
          <w:tcPr>
            <w:tcW w:w="154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7"/>
              </w:rPr>
              <w:t>and Nominating </w:t>
            </w:r>
          </w:p>
        </w:tc>
        <w:tc>
          <w:tcPr>
            <w:tcW w:w="1480" w:type="dxa"/>
            <w:vAlign w:val="bottom"/>
            <w:gridSpan w:val="2"/>
            <w:shd w:val="clear" w:color="auto" w:fill="023C5B"/>
          </w:tcPr>
          <w:p>
            <w:pPr>
              <w:jc w:val="center"/>
              <w:ind w:left="60"/>
              <w:spacing w:after="0"/>
              <w:rPr>
                <w:sz w:val="20"/>
                <w:szCs w:val="20"/>
                <w:color w:val="auto"/>
              </w:rPr>
            </w:pPr>
            <w:r>
              <w:rPr>
                <w:rFonts w:ascii="Arial" w:cs="Arial" w:eastAsia="Arial" w:hAnsi="Arial"/>
                <w:sz w:val="16"/>
                <w:szCs w:val="16"/>
                <w:b w:val="1"/>
                <w:bCs w:val="1"/>
                <w:color w:val="FFFFFF"/>
              </w:rPr>
              <w:t>Risk</w:t>
            </w:r>
          </w:p>
        </w:tc>
      </w:tr>
      <w:tr>
        <w:trPr>
          <w:trHeight w:val="67"/>
        </w:trPr>
        <w:tc>
          <w:tcPr>
            <w:tcW w:w="1220" w:type="dxa"/>
            <w:vAlign w:val="bottom"/>
            <w:gridSpan w:val="2"/>
          </w:tcPr>
          <w:p>
            <w:pPr>
              <w:spacing w:after="0"/>
              <w:rPr>
                <w:sz w:val="5"/>
                <w:szCs w:val="5"/>
                <w:color w:val="auto"/>
              </w:rPr>
            </w:pPr>
          </w:p>
        </w:tc>
        <w:tc>
          <w:tcPr>
            <w:tcW w:w="3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08"/>
        </w:trPr>
        <w:tc>
          <w:tcPr>
            <w:tcW w:w="4400" w:type="dxa"/>
            <w:vAlign w:val="bottom"/>
            <w:tcBorders>
              <w:bottom w:val="single" w:sz="8" w:color="E5EBEE"/>
            </w:tcBorders>
            <w:gridSpan w:val="4"/>
            <w:shd w:val="clear" w:color="auto" w:fill="E5EBEE"/>
          </w:tcPr>
          <w:p>
            <w:pPr>
              <w:ind w:left="80"/>
              <w:spacing w:after="0"/>
              <w:rPr>
                <w:sz w:val="20"/>
                <w:szCs w:val="20"/>
                <w:color w:val="auto"/>
              </w:rPr>
            </w:pPr>
            <w:r>
              <w:rPr>
                <w:rFonts w:ascii="Arial" w:cs="Arial" w:eastAsia="Arial" w:hAnsi="Arial"/>
                <w:sz w:val="18"/>
                <w:szCs w:val="18"/>
                <w:color w:val="auto"/>
              </w:rPr>
              <w:t>Richard D. Fairbank</w:t>
            </w:r>
          </w:p>
        </w:tc>
        <w:tc>
          <w:tcPr>
            <w:tcW w:w="82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spacing w:after="0"/>
              <w:rPr>
                <w:sz w:val="24"/>
                <w:szCs w:val="24"/>
                <w:color w:val="auto"/>
              </w:rPr>
            </w:pPr>
          </w:p>
        </w:tc>
        <w:tc>
          <w:tcPr>
            <w:tcW w:w="60" w:type="dxa"/>
            <w:vAlign w:val="bottom"/>
            <w:tcBorders>
              <w:bottom w:val="single" w:sz="8" w:color="E5EBEE"/>
            </w:tcBorders>
            <w:shd w:val="clear" w:color="auto" w:fill="E5EBEE"/>
          </w:tcPr>
          <w:p>
            <w:pPr>
              <w:spacing w:after="0"/>
              <w:rPr>
                <w:sz w:val="24"/>
                <w:szCs w:val="24"/>
                <w:color w:val="auto"/>
              </w:rPr>
            </w:pPr>
          </w:p>
        </w:tc>
        <w:tc>
          <w:tcPr>
            <w:tcW w:w="1460" w:type="dxa"/>
            <w:vAlign w:val="bottom"/>
            <w:tcBorders>
              <w:bottom w:val="single" w:sz="8" w:color="E5EBEE"/>
            </w:tcBorders>
            <w:shd w:val="clear" w:color="auto" w:fill="E5EBEE"/>
          </w:tcPr>
          <w:p>
            <w:pPr>
              <w:spacing w:after="0"/>
              <w:rPr>
                <w:sz w:val="24"/>
                <w:szCs w:val="24"/>
                <w:color w:val="auto"/>
              </w:rPr>
            </w:pPr>
          </w:p>
        </w:tc>
        <w:tc>
          <w:tcPr>
            <w:tcW w:w="60" w:type="dxa"/>
            <w:vAlign w:val="bottom"/>
            <w:tcBorders>
              <w:bottom w:val="single" w:sz="8" w:color="E5EBEE"/>
            </w:tcBorders>
            <w:shd w:val="clear" w:color="auto" w:fill="E5EBEE"/>
          </w:tcPr>
          <w:p>
            <w:pPr>
              <w:spacing w:after="0"/>
              <w:rPr>
                <w:sz w:val="24"/>
                <w:szCs w:val="24"/>
                <w:color w:val="auto"/>
              </w:rPr>
            </w:pPr>
          </w:p>
        </w:tc>
        <w:tc>
          <w:tcPr>
            <w:tcW w:w="1480" w:type="dxa"/>
            <w:vAlign w:val="bottom"/>
            <w:tcBorders>
              <w:bottom w:val="single" w:sz="8" w:color="E5EBEE"/>
            </w:tcBorders>
            <w:shd w:val="clear" w:color="auto" w:fill="E5EBEE"/>
          </w:tcPr>
          <w:p>
            <w:pPr>
              <w:spacing w:after="0"/>
              <w:rPr>
                <w:sz w:val="24"/>
                <w:szCs w:val="24"/>
                <w:color w:val="auto"/>
              </w:rPr>
            </w:pPr>
          </w:p>
        </w:tc>
        <w:tc>
          <w:tcPr>
            <w:tcW w:w="60" w:type="dxa"/>
            <w:vAlign w:val="bottom"/>
            <w:tcBorders>
              <w:bottom w:val="single" w:sz="8" w:color="E5EBEE"/>
            </w:tcBorders>
            <w:shd w:val="clear" w:color="auto" w:fill="E5EBEE"/>
          </w:tcPr>
          <w:p>
            <w:pPr>
              <w:spacing w:after="0"/>
              <w:rPr>
                <w:sz w:val="24"/>
                <w:szCs w:val="24"/>
                <w:color w:val="auto"/>
              </w:rPr>
            </w:pPr>
          </w:p>
        </w:tc>
        <w:tc>
          <w:tcPr>
            <w:tcW w:w="1460" w:type="dxa"/>
            <w:vAlign w:val="bottom"/>
            <w:tcBorders>
              <w:bottom w:val="single" w:sz="8" w:color="E5EBEE"/>
            </w:tcBorders>
            <w:shd w:val="clear" w:color="auto" w:fill="E5EBEE"/>
          </w:tcPr>
          <w:p>
            <w:pPr>
              <w:spacing w:after="0"/>
              <w:rPr>
                <w:sz w:val="24"/>
                <w:szCs w:val="24"/>
                <w:color w:val="auto"/>
              </w:rPr>
            </w:pPr>
          </w:p>
        </w:tc>
        <w:tc>
          <w:tcPr>
            <w:tcW w:w="20" w:type="dxa"/>
            <w:vAlign w:val="bottom"/>
            <w:tcBorders>
              <w:bottom w:val="single" w:sz="8" w:color="E5EBEE"/>
            </w:tcBorders>
            <w:shd w:val="clear" w:color="auto" w:fill="E5EBEE"/>
          </w:tcPr>
          <w:p>
            <w:pPr>
              <w:spacing w:after="0"/>
              <w:rPr>
                <w:sz w:val="24"/>
                <w:szCs w:val="24"/>
                <w:color w:val="auto"/>
              </w:rPr>
            </w:pPr>
          </w:p>
        </w:tc>
      </w:tr>
      <w:tr>
        <w:trPr>
          <w:trHeight w:val="290"/>
        </w:trPr>
        <w:tc>
          <w:tcPr>
            <w:tcW w:w="4340" w:type="dxa"/>
            <w:vAlign w:val="bottom"/>
            <w:tcBorders>
              <w:top w:val="single" w:sz="8" w:color="023C5B"/>
            </w:tcBorders>
            <w:gridSpan w:val="3"/>
          </w:tcPr>
          <w:p>
            <w:pPr>
              <w:ind w:left="80"/>
              <w:spacing w:after="0"/>
              <w:rPr>
                <w:sz w:val="20"/>
                <w:szCs w:val="20"/>
                <w:color w:val="auto"/>
              </w:rPr>
            </w:pPr>
            <w:r>
              <w:rPr>
                <w:rFonts w:ascii="Arial" w:cs="Arial" w:eastAsia="Arial" w:hAnsi="Arial"/>
                <w:sz w:val="18"/>
                <w:szCs w:val="18"/>
                <w:color w:val="auto"/>
              </w:rPr>
              <w:t>Ime Archibong</w:t>
            </w:r>
          </w:p>
        </w:tc>
        <w:tc>
          <w:tcPr>
            <w:tcW w:w="60" w:type="dxa"/>
            <w:vAlign w:val="bottom"/>
          </w:tcPr>
          <w:p>
            <w:pPr>
              <w:spacing w:after="0"/>
              <w:rPr>
                <w:sz w:val="24"/>
                <w:szCs w:val="24"/>
                <w:color w:val="auto"/>
              </w:rPr>
            </w:pPr>
          </w:p>
        </w:tc>
        <w:tc>
          <w:tcPr>
            <w:tcW w:w="820" w:type="dxa"/>
            <w:vAlign w:val="bottom"/>
            <w:tcBorders>
              <w:top w:val="single" w:sz="8" w:color="023C5B"/>
            </w:tcBorders>
          </w:tcPr>
          <w:p>
            <w:pPr>
              <w:spacing w:after="0"/>
              <w:rPr>
                <w:sz w:val="24"/>
                <w:szCs w:val="24"/>
                <w:color w:val="auto"/>
              </w:rPr>
            </w:pPr>
          </w:p>
        </w:tc>
        <w:tc>
          <w:tcPr>
            <w:tcW w:w="1100" w:type="dxa"/>
            <w:vAlign w:val="bottom"/>
            <w:tcBorders>
              <w:top w:val="single" w:sz="8" w:color="023C5B"/>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Borders>
              <w:top w:val="single" w:sz="8" w:color="023C5B"/>
            </w:tcBorders>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Borders>
              <w:top w:val="single" w:sz="8" w:color="023C5B"/>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Borders>
              <w:top w:val="single" w:sz="8" w:color="023C5B"/>
            </w:tcBorders>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1220" w:type="dxa"/>
            <w:vAlign w:val="bottom"/>
            <w:tcBorders>
              <w:bottom w:val="single" w:sz="8" w:color="023C5B"/>
            </w:tcBorders>
            <w:gridSpan w:val="2"/>
          </w:tcPr>
          <w:p>
            <w:pPr>
              <w:spacing w:after="0"/>
              <w:rPr>
                <w:sz w:val="7"/>
                <w:szCs w:val="7"/>
                <w:color w:val="auto"/>
              </w:rPr>
            </w:pPr>
          </w:p>
        </w:tc>
        <w:tc>
          <w:tcPr>
            <w:tcW w:w="3120" w:type="dxa"/>
            <w:vAlign w:val="bottom"/>
            <w:tcBorders>
              <w:bottom w:val="single" w:sz="8" w:color="023C5B"/>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820" w:type="dxa"/>
            <w:vAlign w:val="bottom"/>
            <w:tcBorders>
              <w:bottom w:val="single" w:sz="8" w:color="023C5B"/>
            </w:tcBorders>
          </w:tcPr>
          <w:p>
            <w:pPr>
              <w:spacing w:after="0"/>
              <w:rPr>
                <w:sz w:val="7"/>
                <w:szCs w:val="7"/>
                <w:color w:val="auto"/>
              </w:rPr>
            </w:pPr>
          </w:p>
        </w:tc>
        <w:tc>
          <w:tcPr>
            <w:tcW w:w="1100" w:type="dxa"/>
            <w:vAlign w:val="bottom"/>
            <w:tcBorders>
              <w:bottom w:val="single" w:sz="8" w:color="023C5B"/>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460" w:type="dxa"/>
            <w:vAlign w:val="bottom"/>
            <w:tcBorders>
              <w:bottom w:val="single" w:sz="8" w:color="023C5B"/>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480" w:type="dxa"/>
            <w:vAlign w:val="bottom"/>
            <w:tcBorders>
              <w:bottom w:val="single" w:sz="8" w:color="023C5B"/>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460" w:type="dxa"/>
            <w:vAlign w:val="bottom"/>
            <w:tcBorders>
              <w:bottom w:val="single" w:sz="8" w:color="023C5B"/>
            </w:tcBorders>
          </w:tcPr>
          <w:p>
            <w:pPr>
              <w:spacing w:after="0"/>
              <w:rPr>
                <w:sz w:val="7"/>
                <w:szCs w:val="7"/>
                <w:color w:val="auto"/>
              </w:rPr>
            </w:pPr>
          </w:p>
        </w:tc>
        <w:tc>
          <w:tcPr>
            <w:tcW w:w="20" w:type="dxa"/>
            <w:vAlign w:val="bottom"/>
            <w:tcBorders>
              <w:bottom w:val="single" w:sz="8" w:color="E5EBEE"/>
            </w:tcBorders>
          </w:tcPr>
          <w:p>
            <w:pPr>
              <w:spacing w:after="0"/>
              <w:rPr>
                <w:sz w:val="7"/>
                <w:szCs w:val="7"/>
                <w:color w:val="auto"/>
              </w:rPr>
            </w:pPr>
          </w:p>
        </w:tc>
      </w:tr>
      <w:tr>
        <w:trPr>
          <w:trHeight w:val="395"/>
        </w:trPr>
        <w:tc>
          <w:tcPr>
            <w:tcW w:w="4340" w:type="dxa"/>
            <w:vAlign w:val="bottom"/>
            <w:tcBorders>
              <w:bottom w:val="single" w:sz="8" w:color="023C5B"/>
            </w:tcBorders>
            <w:gridSpan w:val="3"/>
            <w:shd w:val="clear" w:color="auto" w:fill="E5EBEE"/>
          </w:tcPr>
          <w:p>
            <w:pPr>
              <w:ind w:left="80"/>
              <w:spacing w:after="0"/>
              <w:rPr>
                <w:sz w:val="20"/>
                <w:szCs w:val="20"/>
                <w:color w:val="auto"/>
              </w:rPr>
            </w:pPr>
            <w:r>
              <w:rPr>
                <w:rFonts w:ascii="Arial" w:cs="Arial" w:eastAsia="Arial" w:hAnsi="Arial"/>
                <w:sz w:val="18"/>
                <w:szCs w:val="18"/>
                <w:color w:val="auto"/>
              </w:rPr>
              <w:t>Christine Detrick</w:t>
            </w:r>
            <w:r>
              <w:rPr>
                <w:rFonts w:ascii="Arial" w:cs="Arial" w:eastAsia="Arial" w:hAnsi="Arial"/>
                <w:sz w:val="26"/>
                <w:szCs w:val="26"/>
                <w:color w:val="auto"/>
                <w:vertAlign w:val="superscript"/>
              </w:rPr>
              <w:t>(2)</w:t>
            </w:r>
          </w:p>
        </w:tc>
        <w:tc>
          <w:tcPr>
            <w:tcW w:w="60" w:type="dxa"/>
            <w:vAlign w:val="bottom"/>
            <w:shd w:val="clear" w:color="auto" w:fill="E5EBEE"/>
          </w:tcPr>
          <w:p>
            <w:pPr>
              <w:spacing w:after="0"/>
              <w:rPr>
                <w:sz w:val="24"/>
                <w:szCs w:val="24"/>
                <w:color w:val="auto"/>
              </w:rPr>
            </w:pPr>
          </w:p>
        </w:tc>
        <w:tc>
          <w:tcPr>
            <w:tcW w:w="820" w:type="dxa"/>
            <w:vAlign w:val="bottom"/>
            <w:tcBorders>
              <w:bottom w:val="single" w:sz="8" w:color="023C5B"/>
            </w:tcBorders>
            <w:shd w:val="clear" w:color="auto" w:fill="E5EBEE"/>
          </w:tcPr>
          <w:p>
            <w:pPr>
              <w:ind w:left="660"/>
              <w:spacing w:after="0"/>
              <w:rPr>
                <w:sz w:val="20"/>
                <w:szCs w:val="20"/>
                <w:color w:val="auto"/>
              </w:rPr>
            </w:pPr>
            <w:r>
              <w:rPr>
                <w:rFonts w:ascii="Arial" w:cs="Arial" w:eastAsia="Arial" w:hAnsi="Arial"/>
                <w:sz w:val="18"/>
                <w:szCs w:val="18"/>
                <w:color w:val="auto"/>
                <w:w w:val="77"/>
              </w:rPr>
              <w:t> </w:t>
            </w:r>
          </w:p>
        </w:tc>
        <w:tc>
          <w:tcPr>
            <w:tcW w:w="1100" w:type="dxa"/>
            <w:vAlign w:val="bottom"/>
            <w:tcBorders>
              <w:bottom w:val="single" w:sz="8" w:color="023C5B"/>
            </w:tcBorders>
            <w:shd w:val="clear" w:color="auto" w:fill="E5EBEE"/>
          </w:tcPr>
          <w:p>
            <w:pPr>
              <w:jc w:val="right"/>
              <w:ind w:right="675"/>
              <w:spacing w:after="0"/>
              <w:rPr>
                <w:sz w:val="20"/>
                <w:szCs w:val="20"/>
                <w:color w:val="auto"/>
              </w:rPr>
            </w:pPr>
            <w:r>
              <w:rPr>
                <w:rFonts w:ascii="Arial" w:cs="Arial" w:eastAsia="Arial" w:hAnsi="Arial"/>
                <w:sz w:val="18"/>
                <w:szCs w:val="18"/>
                <w:color w:val="auto"/>
              </w:rPr>
              <w:t xml:space="preserve">  </w:t>
            </w:r>
          </w:p>
        </w:tc>
        <w:tc>
          <w:tcPr>
            <w:tcW w:w="60" w:type="dxa"/>
            <w:vAlign w:val="bottom"/>
            <w:shd w:val="clear" w:color="auto" w:fill="E5EBEE"/>
          </w:tcPr>
          <w:p>
            <w:pPr>
              <w:spacing w:after="0"/>
              <w:rPr>
                <w:sz w:val="24"/>
                <w:szCs w:val="24"/>
                <w:color w:val="auto"/>
              </w:rPr>
            </w:pPr>
          </w:p>
        </w:tc>
        <w:tc>
          <w:tcPr>
            <w:tcW w:w="146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8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60" w:type="dxa"/>
            <w:vAlign w:val="bottom"/>
            <w:tcBorders>
              <w:bottom w:val="single" w:sz="8" w:color="023C5B"/>
            </w:tcBorders>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r>
      <w:tr>
        <w:trPr>
          <w:trHeight w:val="368"/>
        </w:trPr>
        <w:tc>
          <w:tcPr>
            <w:tcW w:w="4340" w:type="dxa"/>
            <w:vAlign w:val="bottom"/>
            <w:tcBorders>
              <w:bottom w:val="single" w:sz="8" w:color="023C5B"/>
            </w:tcBorders>
            <w:gridSpan w:val="3"/>
          </w:tcPr>
          <w:p>
            <w:pPr>
              <w:ind w:left="80"/>
              <w:spacing w:after="0"/>
              <w:rPr>
                <w:sz w:val="20"/>
                <w:szCs w:val="20"/>
                <w:color w:val="auto"/>
              </w:rPr>
            </w:pPr>
            <w:r>
              <w:rPr>
                <w:rFonts w:ascii="Arial" w:cs="Arial" w:eastAsia="Arial" w:hAnsi="Arial"/>
                <w:sz w:val="18"/>
                <w:szCs w:val="18"/>
                <w:color w:val="auto"/>
              </w:rPr>
              <w:t>Ann Fritz Hackett</w:t>
            </w:r>
            <w:r>
              <w:rPr>
                <w:rFonts w:ascii="Arial" w:cs="Arial" w:eastAsia="Arial" w:hAnsi="Arial"/>
                <w:sz w:val="26"/>
                <w:szCs w:val="26"/>
                <w:color w:val="auto"/>
                <w:vertAlign w:val="superscript"/>
              </w:rPr>
              <w:t>(3)</w:t>
            </w:r>
          </w:p>
        </w:tc>
        <w:tc>
          <w:tcPr>
            <w:tcW w:w="60" w:type="dxa"/>
            <w:vAlign w:val="bottom"/>
            <w:tcBorders>
              <w:bottom w:val="single" w:sz="8" w:color="E5EBEE"/>
            </w:tcBorders>
          </w:tcPr>
          <w:p>
            <w:pPr>
              <w:spacing w:after="0"/>
              <w:rPr>
                <w:sz w:val="24"/>
                <w:szCs w:val="24"/>
                <w:color w:val="auto"/>
              </w:rPr>
            </w:pPr>
          </w:p>
        </w:tc>
        <w:tc>
          <w:tcPr>
            <w:tcW w:w="820" w:type="dxa"/>
            <w:vAlign w:val="bottom"/>
            <w:tcBorders>
              <w:bottom w:val="single" w:sz="8" w:color="023C5B"/>
            </w:tcBorders>
          </w:tcPr>
          <w:p>
            <w:pPr>
              <w:spacing w:after="0"/>
              <w:rPr>
                <w:sz w:val="24"/>
                <w:szCs w:val="24"/>
                <w:color w:val="auto"/>
              </w:rPr>
            </w:pPr>
          </w:p>
        </w:tc>
        <w:tc>
          <w:tcPr>
            <w:tcW w:w="1100" w:type="dxa"/>
            <w:vAlign w:val="bottom"/>
            <w:tcBorders>
              <w:bottom w:val="single" w:sz="8" w:color="023C5B"/>
            </w:tcBorders>
          </w:tcPr>
          <w:p>
            <w:pPr>
              <w:spacing w:after="0"/>
              <w:rPr>
                <w:sz w:val="24"/>
                <w:szCs w:val="24"/>
                <w:color w:val="auto"/>
              </w:rPr>
            </w:pPr>
          </w:p>
        </w:tc>
        <w:tc>
          <w:tcPr>
            <w:tcW w:w="60" w:type="dxa"/>
            <w:vAlign w:val="bottom"/>
            <w:tcBorders>
              <w:bottom w:val="single" w:sz="8" w:color="E5EBEE"/>
            </w:tcBorders>
          </w:tcPr>
          <w:p>
            <w:pPr>
              <w:spacing w:after="0"/>
              <w:rPr>
                <w:sz w:val="24"/>
                <w:szCs w:val="24"/>
                <w:color w:val="auto"/>
              </w:rPr>
            </w:pPr>
          </w:p>
        </w:tc>
        <w:tc>
          <w:tcPr>
            <w:tcW w:w="1460" w:type="dxa"/>
            <w:vAlign w:val="bottom"/>
            <w:tcBorders>
              <w:bottom w:val="single" w:sz="8" w:color="023C5B"/>
            </w:tcBorders>
          </w:tcPr>
          <w:p>
            <w:pPr>
              <w:spacing w:after="0"/>
              <w:rPr>
                <w:sz w:val="24"/>
                <w:szCs w:val="24"/>
                <w:color w:val="auto"/>
              </w:rPr>
            </w:pPr>
          </w:p>
        </w:tc>
        <w:tc>
          <w:tcPr>
            <w:tcW w:w="60" w:type="dxa"/>
            <w:vAlign w:val="bottom"/>
            <w:tcBorders>
              <w:bottom w:val="single" w:sz="8" w:color="E5EBEE"/>
            </w:tcBorders>
          </w:tcPr>
          <w:p>
            <w:pPr>
              <w:spacing w:after="0"/>
              <w:rPr>
                <w:sz w:val="24"/>
                <w:szCs w:val="24"/>
                <w:color w:val="auto"/>
              </w:rPr>
            </w:pPr>
          </w:p>
        </w:tc>
        <w:tc>
          <w:tcPr>
            <w:tcW w:w="1480" w:type="dxa"/>
            <w:vAlign w:val="bottom"/>
            <w:tcBorders>
              <w:bottom w:val="single" w:sz="8" w:color="023C5B"/>
            </w:tcBorders>
          </w:tcPr>
          <w:p>
            <w:pPr>
              <w:spacing w:after="0"/>
              <w:rPr>
                <w:sz w:val="24"/>
                <w:szCs w:val="24"/>
                <w:color w:val="auto"/>
              </w:rPr>
            </w:pPr>
          </w:p>
        </w:tc>
        <w:tc>
          <w:tcPr>
            <w:tcW w:w="60" w:type="dxa"/>
            <w:vAlign w:val="bottom"/>
            <w:tcBorders>
              <w:bottom w:val="single" w:sz="8" w:color="E5EBEE"/>
            </w:tcBorders>
          </w:tcPr>
          <w:p>
            <w:pPr>
              <w:spacing w:after="0"/>
              <w:rPr>
                <w:sz w:val="24"/>
                <w:szCs w:val="24"/>
                <w:color w:val="auto"/>
              </w:rPr>
            </w:pPr>
          </w:p>
        </w:tc>
        <w:tc>
          <w:tcPr>
            <w:tcW w:w="1460" w:type="dxa"/>
            <w:vAlign w:val="bottom"/>
            <w:tcBorders>
              <w:bottom w:val="single" w:sz="8" w:color="023C5B"/>
            </w:tcBorders>
          </w:tcPr>
          <w:p>
            <w:pPr>
              <w:spacing w:after="0"/>
              <w:rPr>
                <w:sz w:val="24"/>
                <w:szCs w:val="24"/>
                <w:color w:val="auto"/>
              </w:rPr>
            </w:pPr>
          </w:p>
        </w:tc>
        <w:tc>
          <w:tcPr>
            <w:tcW w:w="20" w:type="dxa"/>
            <w:vAlign w:val="bottom"/>
            <w:tcBorders>
              <w:bottom w:val="single" w:sz="8" w:color="E5EBEE"/>
            </w:tcBorders>
          </w:tcPr>
          <w:p>
            <w:pPr>
              <w:spacing w:after="0"/>
              <w:rPr>
                <w:sz w:val="24"/>
                <w:szCs w:val="24"/>
                <w:color w:val="auto"/>
              </w:rPr>
            </w:pPr>
          </w:p>
        </w:tc>
      </w:tr>
      <w:tr>
        <w:trPr>
          <w:trHeight w:val="381"/>
        </w:trPr>
        <w:tc>
          <w:tcPr>
            <w:tcW w:w="4340" w:type="dxa"/>
            <w:vAlign w:val="bottom"/>
            <w:tcBorders>
              <w:bottom w:val="single" w:sz="8" w:color="023C5B"/>
            </w:tcBorders>
            <w:gridSpan w:val="3"/>
            <w:shd w:val="clear" w:color="auto" w:fill="E5EBEE"/>
          </w:tcPr>
          <w:p>
            <w:pPr>
              <w:ind w:left="80"/>
              <w:spacing w:after="0"/>
              <w:rPr>
                <w:sz w:val="20"/>
                <w:szCs w:val="20"/>
                <w:color w:val="auto"/>
              </w:rPr>
            </w:pPr>
            <w:r>
              <w:rPr>
                <w:rFonts w:ascii="Arial" w:cs="Arial" w:eastAsia="Arial" w:hAnsi="Arial"/>
                <w:sz w:val="18"/>
                <w:szCs w:val="18"/>
                <w:color w:val="auto"/>
              </w:rPr>
              <w:t>Suni P. Harford</w:t>
            </w:r>
            <w:r>
              <w:rPr>
                <w:rFonts w:ascii="Arial" w:cs="Arial" w:eastAsia="Arial" w:hAnsi="Arial"/>
                <w:sz w:val="26"/>
                <w:szCs w:val="26"/>
                <w:color w:val="auto"/>
                <w:vertAlign w:val="superscript"/>
              </w:rPr>
              <w:t>(2)</w:t>
            </w:r>
          </w:p>
        </w:tc>
        <w:tc>
          <w:tcPr>
            <w:tcW w:w="60" w:type="dxa"/>
            <w:vAlign w:val="bottom"/>
            <w:shd w:val="clear" w:color="auto" w:fill="E5EBEE"/>
          </w:tcPr>
          <w:p>
            <w:pPr>
              <w:spacing w:after="0"/>
              <w:rPr>
                <w:sz w:val="24"/>
                <w:szCs w:val="24"/>
                <w:color w:val="auto"/>
              </w:rPr>
            </w:pPr>
          </w:p>
        </w:tc>
        <w:tc>
          <w:tcPr>
            <w:tcW w:w="820" w:type="dxa"/>
            <w:vAlign w:val="bottom"/>
            <w:tcBorders>
              <w:bottom w:val="single" w:sz="8" w:color="023C5B"/>
            </w:tcBorders>
            <w:shd w:val="clear" w:color="auto" w:fill="E5EBEE"/>
          </w:tcPr>
          <w:p>
            <w:pPr>
              <w:spacing w:after="0"/>
              <w:rPr>
                <w:sz w:val="24"/>
                <w:szCs w:val="24"/>
                <w:color w:val="auto"/>
              </w:rPr>
            </w:pPr>
          </w:p>
        </w:tc>
        <w:tc>
          <w:tcPr>
            <w:tcW w:w="110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6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8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60" w:type="dxa"/>
            <w:vAlign w:val="bottom"/>
            <w:tcBorders>
              <w:bottom w:val="single" w:sz="8" w:color="023C5B"/>
            </w:tcBorders>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r>
      <w:tr>
        <w:trPr>
          <w:trHeight w:val="290"/>
        </w:trPr>
        <w:tc>
          <w:tcPr>
            <w:tcW w:w="4400" w:type="dxa"/>
            <w:vAlign w:val="bottom"/>
            <w:gridSpan w:val="4"/>
          </w:tcPr>
          <w:p>
            <w:pPr>
              <w:ind w:left="80"/>
              <w:spacing w:after="0"/>
              <w:rPr>
                <w:sz w:val="20"/>
                <w:szCs w:val="20"/>
                <w:color w:val="auto"/>
              </w:rPr>
            </w:pPr>
            <w:r>
              <w:rPr>
                <w:rFonts w:ascii="Arial" w:cs="Arial" w:eastAsia="Arial" w:hAnsi="Arial"/>
                <w:sz w:val="18"/>
                <w:szCs w:val="18"/>
                <w:color w:val="auto"/>
              </w:rPr>
              <w:t>Peter Thomas Killalea</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1220" w:type="dxa"/>
            <w:vAlign w:val="bottom"/>
            <w:tcBorders>
              <w:bottom w:val="single" w:sz="8" w:color="023C5B"/>
            </w:tcBorders>
            <w:gridSpan w:val="2"/>
          </w:tcPr>
          <w:p>
            <w:pPr>
              <w:spacing w:after="0"/>
              <w:rPr>
                <w:sz w:val="7"/>
                <w:szCs w:val="7"/>
                <w:color w:val="auto"/>
              </w:rPr>
            </w:pPr>
          </w:p>
        </w:tc>
        <w:tc>
          <w:tcPr>
            <w:tcW w:w="3120" w:type="dxa"/>
            <w:vAlign w:val="bottom"/>
            <w:tcBorders>
              <w:bottom w:val="single" w:sz="8" w:color="023C5B"/>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820" w:type="dxa"/>
            <w:vAlign w:val="bottom"/>
            <w:tcBorders>
              <w:bottom w:val="single" w:sz="8" w:color="023C5B"/>
            </w:tcBorders>
          </w:tcPr>
          <w:p>
            <w:pPr>
              <w:spacing w:after="0"/>
              <w:rPr>
                <w:sz w:val="7"/>
                <w:szCs w:val="7"/>
                <w:color w:val="auto"/>
              </w:rPr>
            </w:pPr>
          </w:p>
        </w:tc>
        <w:tc>
          <w:tcPr>
            <w:tcW w:w="1100" w:type="dxa"/>
            <w:vAlign w:val="bottom"/>
            <w:tcBorders>
              <w:bottom w:val="single" w:sz="8" w:color="023C5B"/>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460" w:type="dxa"/>
            <w:vAlign w:val="bottom"/>
            <w:tcBorders>
              <w:bottom w:val="single" w:sz="8" w:color="023C5B"/>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480" w:type="dxa"/>
            <w:vAlign w:val="bottom"/>
            <w:tcBorders>
              <w:bottom w:val="single" w:sz="8" w:color="023C5B"/>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460" w:type="dxa"/>
            <w:vAlign w:val="bottom"/>
            <w:tcBorders>
              <w:bottom w:val="single" w:sz="8" w:color="023C5B"/>
            </w:tcBorders>
          </w:tcPr>
          <w:p>
            <w:pPr>
              <w:spacing w:after="0"/>
              <w:rPr>
                <w:sz w:val="7"/>
                <w:szCs w:val="7"/>
                <w:color w:val="auto"/>
              </w:rPr>
            </w:pPr>
          </w:p>
        </w:tc>
        <w:tc>
          <w:tcPr>
            <w:tcW w:w="20" w:type="dxa"/>
            <w:vAlign w:val="bottom"/>
            <w:tcBorders>
              <w:bottom w:val="single" w:sz="8" w:color="E5EBEE"/>
            </w:tcBorders>
          </w:tcPr>
          <w:p>
            <w:pPr>
              <w:spacing w:after="0"/>
              <w:rPr>
                <w:sz w:val="7"/>
                <w:szCs w:val="7"/>
                <w:color w:val="auto"/>
              </w:rPr>
            </w:pPr>
          </w:p>
        </w:tc>
      </w:tr>
      <w:tr>
        <w:trPr>
          <w:trHeight w:val="381"/>
        </w:trPr>
        <w:tc>
          <w:tcPr>
            <w:tcW w:w="4340" w:type="dxa"/>
            <w:vAlign w:val="bottom"/>
            <w:tcBorders>
              <w:bottom w:val="single" w:sz="8" w:color="023C5B"/>
            </w:tcBorders>
            <w:gridSpan w:val="3"/>
            <w:shd w:val="clear" w:color="auto" w:fill="E5EBEE"/>
          </w:tcPr>
          <w:p>
            <w:pPr>
              <w:ind w:left="80"/>
              <w:spacing w:after="0"/>
              <w:rPr>
                <w:sz w:val="20"/>
                <w:szCs w:val="20"/>
                <w:color w:val="auto"/>
              </w:rPr>
            </w:pPr>
            <w:r>
              <w:rPr>
                <w:rFonts w:ascii="Arial" w:cs="Arial" w:eastAsia="Arial" w:hAnsi="Arial"/>
                <w:sz w:val="18"/>
                <w:szCs w:val="18"/>
                <w:color w:val="auto"/>
              </w:rPr>
              <w:t>Eli Leenaars</w:t>
            </w:r>
            <w:r>
              <w:rPr>
                <w:rFonts w:ascii="Arial" w:cs="Arial" w:eastAsia="Arial" w:hAnsi="Arial"/>
                <w:sz w:val="26"/>
                <w:szCs w:val="26"/>
                <w:color w:val="auto"/>
                <w:vertAlign w:val="superscript"/>
              </w:rPr>
              <w:t>(2)</w:t>
            </w:r>
          </w:p>
        </w:tc>
        <w:tc>
          <w:tcPr>
            <w:tcW w:w="60" w:type="dxa"/>
            <w:vAlign w:val="bottom"/>
            <w:shd w:val="clear" w:color="auto" w:fill="E5EBEE"/>
          </w:tcPr>
          <w:p>
            <w:pPr>
              <w:spacing w:after="0"/>
              <w:rPr>
                <w:sz w:val="24"/>
                <w:szCs w:val="24"/>
                <w:color w:val="auto"/>
              </w:rPr>
            </w:pPr>
          </w:p>
        </w:tc>
        <w:tc>
          <w:tcPr>
            <w:tcW w:w="820" w:type="dxa"/>
            <w:vAlign w:val="bottom"/>
            <w:tcBorders>
              <w:bottom w:val="single" w:sz="8" w:color="023C5B"/>
            </w:tcBorders>
            <w:shd w:val="clear" w:color="auto" w:fill="E5EBEE"/>
          </w:tcPr>
          <w:p>
            <w:pPr>
              <w:spacing w:after="0"/>
              <w:rPr>
                <w:sz w:val="24"/>
                <w:szCs w:val="24"/>
                <w:color w:val="auto"/>
              </w:rPr>
            </w:pPr>
          </w:p>
        </w:tc>
        <w:tc>
          <w:tcPr>
            <w:tcW w:w="110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6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8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60" w:type="dxa"/>
            <w:vAlign w:val="bottom"/>
            <w:tcBorders>
              <w:bottom w:val="single" w:sz="8" w:color="023C5B"/>
            </w:tcBorders>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r>
      <w:tr>
        <w:trPr>
          <w:trHeight w:val="290"/>
        </w:trPr>
        <w:tc>
          <w:tcPr>
            <w:tcW w:w="4400" w:type="dxa"/>
            <w:vAlign w:val="bottom"/>
            <w:gridSpan w:val="4"/>
          </w:tcPr>
          <w:p>
            <w:pPr>
              <w:ind w:left="80"/>
              <w:spacing w:after="0"/>
              <w:rPr>
                <w:sz w:val="20"/>
                <w:szCs w:val="20"/>
                <w:color w:val="auto"/>
              </w:rPr>
            </w:pPr>
            <w:r>
              <w:rPr>
                <w:rFonts w:ascii="Arial" w:cs="Arial" w:eastAsia="Arial" w:hAnsi="Arial"/>
                <w:sz w:val="18"/>
                <w:szCs w:val="18"/>
                <w:color w:val="auto"/>
              </w:rPr>
              <w:t>François Locoh-Donou</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
        </w:trPr>
        <w:tc>
          <w:tcPr>
            <w:tcW w:w="1220" w:type="dxa"/>
            <w:vAlign w:val="bottom"/>
            <w:tcBorders>
              <w:bottom w:val="single" w:sz="8" w:color="023C5B"/>
            </w:tcBorders>
            <w:gridSpan w:val="2"/>
          </w:tcPr>
          <w:p>
            <w:pPr>
              <w:spacing w:after="0"/>
              <w:rPr>
                <w:sz w:val="6"/>
                <w:szCs w:val="6"/>
                <w:color w:val="auto"/>
              </w:rPr>
            </w:pPr>
          </w:p>
        </w:tc>
        <w:tc>
          <w:tcPr>
            <w:tcW w:w="3120" w:type="dxa"/>
            <w:vAlign w:val="bottom"/>
            <w:tcBorders>
              <w:bottom w:val="single" w:sz="8" w:color="023C5B"/>
            </w:tcBorders>
          </w:tcPr>
          <w:p>
            <w:pPr>
              <w:spacing w:after="0"/>
              <w:rPr>
                <w:sz w:val="6"/>
                <w:szCs w:val="6"/>
                <w:color w:val="auto"/>
              </w:rPr>
            </w:pPr>
          </w:p>
        </w:tc>
        <w:tc>
          <w:tcPr>
            <w:tcW w:w="60" w:type="dxa"/>
            <w:vAlign w:val="bottom"/>
            <w:tcBorders>
              <w:bottom w:val="single" w:sz="8" w:color="E5EBEE"/>
            </w:tcBorders>
          </w:tcPr>
          <w:p>
            <w:pPr>
              <w:spacing w:after="0"/>
              <w:rPr>
                <w:sz w:val="6"/>
                <w:szCs w:val="6"/>
                <w:color w:val="auto"/>
              </w:rPr>
            </w:pPr>
          </w:p>
        </w:tc>
        <w:tc>
          <w:tcPr>
            <w:tcW w:w="820" w:type="dxa"/>
            <w:vAlign w:val="bottom"/>
            <w:tcBorders>
              <w:bottom w:val="single" w:sz="8" w:color="023C5B"/>
            </w:tcBorders>
          </w:tcPr>
          <w:p>
            <w:pPr>
              <w:spacing w:after="0"/>
              <w:rPr>
                <w:sz w:val="6"/>
                <w:szCs w:val="6"/>
                <w:color w:val="auto"/>
              </w:rPr>
            </w:pPr>
          </w:p>
        </w:tc>
        <w:tc>
          <w:tcPr>
            <w:tcW w:w="1100" w:type="dxa"/>
            <w:vAlign w:val="bottom"/>
            <w:tcBorders>
              <w:bottom w:val="single" w:sz="8" w:color="023C5B"/>
            </w:tcBorders>
          </w:tcPr>
          <w:p>
            <w:pPr>
              <w:spacing w:after="0"/>
              <w:rPr>
                <w:sz w:val="6"/>
                <w:szCs w:val="6"/>
                <w:color w:val="auto"/>
              </w:rPr>
            </w:pPr>
          </w:p>
        </w:tc>
        <w:tc>
          <w:tcPr>
            <w:tcW w:w="60" w:type="dxa"/>
            <w:vAlign w:val="bottom"/>
            <w:tcBorders>
              <w:bottom w:val="single" w:sz="8" w:color="E5EBEE"/>
            </w:tcBorders>
          </w:tcPr>
          <w:p>
            <w:pPr>
              <w:spacing w:after="0"/>
              <w:rPr>
                <w:sz w:val="6"/>
                <w:szCs w:val="6"/>
                <w:color w:val="auto"/>
              </w:rPr>
            </w:pPr>
          </w:p>
        </w:tc>
        <w:tc>
          <w:tcPr>
            <w:tcW w:w="1460" w:type="dxa"/>
            <w:vAlign w:val="bottom"/>
            <w:tcBorders>
              <w:bottom w:val="single" w:sz="8" w:color="023C5B"/>
            </w:tcBorders>
          </w:tcPr>
          <w:p>
            <w:pPr>
              <w:spacing w:after="0"/>
              <w:rPr>
                <w:sz w:val="6"/>
                <w:szCs w:val="6"/>
                <w:color w:val="auto"/>
              </w:rPr>
            </w:pPr>
          </w:p>
        </w:tc>
        <w:tc>
          <w:tcPr>
            <w:tcW w:w="60" w:type="dxa"/>
            <w:vAlign w:val="bottom"/>
            <w:tcBorders>
              <w:bottom w:val="single" w:sz="8" w:color="E5EBEE"/>
            </w:tcBorders>
          </w:tcPr>
          <w:p>
            <w:pPr>
              <w:spacing w:after="0"/>
              <w:rPr>
                <w:sz w:val="6"/>
                <w:szCs w:val="6"/>
                <w:color w:val="auto"/>
              </w:rPr>
            </w:pPr>
          </w:p>
        </w:tc>
        <w:tc>
          <w:tcPr>
            <w:tcW w:w="1480" w:type="dxa"/>
            <w:vAlign w:val="bottom"/>
            <w:tcBorders>
              <w:bottom w:val="single" w:sz="8" w:color="023C5B"/>
            </w:tcBorders>
          </w:tcPr>
          <w:p>
            <w:pPr>
              <w:spacing w:after="0"/>
              <w:rPr>
                <w:sz w:val="6"/>
                <w:szCs w:val="6"/>
                <w:color w:val="auto"/>
              </w:rPr>
            </w:pPr>
          </w:p>
        </w:tc>
        <w:tc>
          <w:tcPr>
            <w:tcW w:w="60" w:type="dxa"/>
            <w:vAlign w:val="bottom"/>
            <w:tcBorders>
              <w:bottom w:val="single" w:sz="8" w:color="E5EBEE"/>
            </w:tcBorders>
          </w:tcPr>
          <w:p>
            <w:pPr>
              <w:spacing w:after="0"/>
              <w:rPr>
                <w:sz w:val="6"/>
                <w:szCs w:val="6"/>
                <w:color w:val="auto"/>
              </w:rPr>
            </w:pPr>
          </w:p>
        </w:tc>
        <w:tc>
          <w:tcPr>
            <w:tcW w:w="1460" w:type="dxa"/>
            <w:vAlign w:val="bottom"/>
            <w:tcBorders>
              <w:bottom w:val="single" w:sz="8" w:color="023C5B"/>
            </w:tcBorders>
          </w:tcPr>
          <w:p>
            <w:pPr>
              <w:spacing w:after="0"/>
              <w:rPr>
                <w:sz w:val="6"/>
                <w:szCs w:val="6"/>
                <w:color w:val="auto"/>
              </w:rPr>
            </w:pPr>
          </w:p>
        </w:tc>
        <w:tc>
          <w:tcPr>
            <w:tcW w:w="20" w:type="dxa"/>
            <w:vAlign w:val="bottom"/>
            <w:tcBorders>
              <w:bottom w:val="single" w:sz="8" w:color="E5EBEE"/>
            </w:tcBorders>
          </w:tcPr>
          <w:p>
            <w:pPr>
              <w:spacing w:after="0"/>
              <w:rPr>
                <w:sz w:val="6"/>
                <w:szCs w:val="6"/>
                <w:color w:val="auto"/>
              </w:rPr>
            </w:pPr>
          </w:p>
        </w:tc>
      </w:tr>
      <w:tr>
        <w:trPr>
          <w:trHeight w:val="354"/>
        </w:trPr>
        <w:tc>
          <w:tcPr>
            <w:tcW w:w="4340" w:type="dxa"/>
            <w:vAlign w:val="bottom"/>
            <w:tcBorders>
              <w:bottom w:val="single" w:sz="8" w:color="023C5B"/>
            </w:tcBorders>
            <w:gridSpan w:val="3"/>
            <w:shd w:val="clear" w:color="auto" w:fill="E5EBEE"/>
          </w:tcPr>
          <w:p>
            <w:pPr>
              <w:ind w:left="80"/>
              <w:spacing w:after="0"/>
              <w:rPr>
                <w:sz w:val="20"/>
                <w:szCs w:val="20"/>
                <w:color w:val="auto"/>
              </w:rPr>
            </w:pPr>
            <w:r>
              <w:rPr>
                <w:rFonts w:ascii="Arial" w:cs="Arial" w:eastAsia="Arial" w:hAnsi="Arial"/>
                <w:sz w:val="18"/>
                <w:szCs w:val="18"/>
                <w:color w:val="auto"/>
              </w:rPr>
              <w:t>Thomas G. Maheras</w:t>
            </w:r>
            <w:r>
              <w:rPr>
                <w:rFonts w:ascii="Arial" w:cs="Arial" w:eastAsia="Arial" w:hAnsi="Arial"/>
                <w:sz w:val="26"/>
                <w:szCs w:val="26"/>
                <w:color w:val="auto"/>
                <w:vertAlign w:val="superscript"/>
              </w:rPr>
              <w:t>(4)</w:t>
            </w:r>
          </w:p>
        </w:tc>
        <w:tc>
          <w:tcPr>
            <w:tcW w:w="60" w:type="dxa"/>
            <w:vAlign w:val="bottom"/>
            <w:shd w:val="clear" w:color="auto" w:fill="E5EBEE"/>
          </w:tcPr>
          <w:p>
            <w:pPr>
              <w:spacing w:after="0"/>
              <w:rPr>
                <w:sz w:val="24"/>
                <w:szCs w:val="24"/>
                <w:color w:val="auto"/>
              </w:rPr>
            </w:pPr>
          </w:p>
        </w:tc>
        <w:tc>
          <w:tcPr>
            <w:tcW w:w="820" w:type="dxa"/>
            <w:vAlign w:val="bottom"/>
            <w:tcBorders>
              <w:bottom w:val="single" w:sz="8" w:color="023C5B"/>
            </w:tcBorders>
            <w:shd w:val="clear" w:color="auto" w:fill="E5EBEE"/>
          </w:tcPr>
          <w:p>
            <w:pPr>
              <w:spacing w:after="0"/>
              <w:rPr>
                <w:sz w:val="24"/>
                <w:szCs w:val="24"/>
                <w:color w:val="auto"/>
              </w:rPr>
            </w:pPr>
          </w:p>
        </w:tc>
        <w:tc>
          <w:tcPr>
            <w:tcW w:w="110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6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8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60" w:type="dxa"/>
            <w:vAlign w:val="bottom"/>
            <w:tcBorders>
              <w:bottom w:val="single" w:sz="8" w:color="023C5B"/>
            </w:tcBorders>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r>
      <w:tr>
        <w:trPr>
          <w:trHeight w:val="290"/>
        </w:trPr>
        <w:tc>
          <w:tcPr>
            <w:tcW w:w="4400" w:type="dxa"/>
            <w:vAlign w:val="bottom"/>
            <w:gridSpan w:val="4"/>
          </w:tcPr>
          <w:p>
            <w:pPr>
              <w:ind w:left="80"/>
              <w:spacing w:after="0"/>
              <w:rPr>
                <w:sz w:val="20"/>
                <w:szCs w:val="20"/>
                <w:color w:val="auto"/>
              </w:rPr>
            </w:pPr>
            <w:r>
              <w:rPr>
                <w:rFonts w:ascii="Arial" w:cs="Arial" w:eastAsia="Arial" w:hAnsi="Arial"/>
                <w:sz w:val="18"/>
                <w:szCs w:val="18"/>
                <w:color w:val="auto"/>
              </w:rPr>
              <w:t>Peter E. Raskind</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8"/>
        </w:trPr>
        <w:tc>
          <w:tcPr>
            <w:tcW w:w="1220" w:type="dxa"/>
            <w:vAlign w:val="bottom"/>
            <w:tcBorders>
              <w:bottom w:val="single" w:sz="8" w:color="023C5B"/>
            </w:tcBorders>
            <w:gridSpan w:val="2"/>
          </w:tcPr>
          <w:p>
            <w:pPr>
              <w:spacing w:after="0"/>
              <w:rPr>
                <w:sz w:val="6"/>
                <w:szCs w:val="6"/>
                <w:color w:val="auto"/>
              </w:rPr>
            </w:pPr>
          </w:p>
        </w:tc>
        <w:tc>
          <w:tcPr>
            <w:tcW w:w="3120" w:type="dxa"/>
            <w:vAlign w:val="bottom"/>
            <w:tcBorders>
              <w:bottom w:val="single" w:sz="8" w:color="023C5B"/>
            </w:tcBorders>
          </w:tcPr>
          <w:p>
            <w:pPr>
              <w:spacing w:after="0"/>
              <w:rPr>
                <w:sz w:val="6"/>
                <w:szCs w:val="6"/>
                <w:color w:val="auto"/>
              </w:rPr>
            </w:pPr>
          </w:p>
        </w:tc>
        <w:tc>
          <w:tcPr>
            <w:tcW w:w="60" w:type="dxa"/>
            <w:vAlign w:val="bottom"/>
            <w:tcBorders>
              <w:bottom w:val="single" w:sz="8" w:color="E5EBEE"/>
            </w:tcBorders>
          </w:tcPr>
          <w:p>
            <w:pPr>
              <w:spacing w:after="0"/>
              <w:rPr>
                <w:sz w:val="6"/>
                <w:szCs w:val="6"/>
                <w:color w:val="auto"/>
              </w:rPr>
            </w:pPr>
          </w:p>
        </w:tc>
        <w:tc>
          <w:tcPr>
            <w:tcW w:w="820" w:type="dxa"/>
            <w:vAlign w:val="bottom"/>
            <w:tcBorders>
              <w:bottom w:val="single" w:sz="8" w:color="023C5B"/>
            </w:tcBorders>
          </w:tcPr>
          <w:p>
            <w:pPr>
              <w:spacing w:after="0"/>
              <w:rPr>
                <w:sz w:val="6"/>
                <w:szCs w:val="6"/>
                <w:color w:val="auto"/>
              </w:rPr>
            </w:pPr>
          </w:p>
        </w:tc>
        <w:tc>
          <w:tcPr>
            <w:tcW w:w="1100" w:type="dxa"/>
            <w:vAlign w:val="bottom"/>
            <w:tcBorders>
              <w:bottom w:val="single" w:sz="8" w:color="023C5B"/>
            </w:tcBorders>
          </w:tcPr>
          <w:p>
            <w:pPr>
              <w:spacing w:after="0"/>
              <w:rPr>
                <w:sz w:val="6"/>
                <w:szCs w:val="6"/>
                <w:color w:val="auto"/>
              </w:rPr>
            </w:pPr>
          </w:p>
        </w:tc>
        <w:tc>
          <w:tcPr>
            <w:tcW w:w="60" w:type="dxa"/>
            <w:vAlign w:val="bottom"/>
            <w:tcBorders>
              <w:bottom w:val="single" w:sz="8" w:color="E5EBEE"/>
            </w:tcBorders>
          </w:tcPr>
          <w:p>
            <w:pPr>
              <w:spacing w:after="0"/>
              <w:rPr>
                <w:sz w:val="6"/>
                <w:szCs w:val="6"/>
                <w:color w:val="auto"/>
              </w:rPr>
            </w:pPr>
          </w:p>
        </w:tc>
        <w:tc>
          <w:tcPr>
            <w:tcW w:w="1460" w:type="dxa"/>
            <w:vAlign w:val="bottom"/>
            <w:tcBorders>
              <w:bottom w:val="single" w:sz="8" w:color="023C5B"/>
            </w:tcBorders>
          </w:tcPr>
          <w:p>
            <w:pPr>
              <w:spacing w:after="0"/>
              <w:rPr>
                <w:sz w:val="6"/>
                <w:szCs w:val="6"/>
                <w:color w:val="auto"/>
              </w:rPr>
            </w:pPr>
          </w:p>
        </w:tc>
        <w:tc>
          <w:tcPr>
            <w:tcW w:w="60" w:type="dxa"/>
            <w:vAlign w:val="bottom"/>
            <w:tcBorders>
              <w:bottom w:val="single" w:sz="8" w:color="E5EBEE"/>
            </w:tcBorders>
          </w:tcPr>
          <w:p>
            <w:pPr>
              <w:spacing w:after="0"/>
              <w:rPr>
                <w:sz w:val="6"/>
                <w:szCs w:val="6"/>
                <w:color w:val="auto"/>
              </w:rPr>
            </w:pPr>
          </w:p>
        </w:tc>
        <w:tc>
          <w:tcPr>
            <w:tcW w:w="1480" w:type="dxa"/>
            <w:vAlign w:val="bottom"/>
            <w:tcBorders>
              <w:bottom w:val="single" w:sz="8" w:color="023C5B"/>
            </w:tcBorders>
          </w:tcPr>
          <w:p>
            <w:pPr>
              <w:spacing w:after="0"/>
              <w:rPr>
                <w:sz w:val="6"/>
                <w:szCs w:val="6"/>
                <w:color w:val="auto"/>
              </w:rPr>
            </w:pPr>
          </w:p>
        </w:tc>
        <w:tc>
          <w:tcPr>
            <w:tcW w:w="60" w:type="dxa"/>
            <w:vAlign w:val="bottom"/>
            <w:tcBorders>
              <w:bottom w:val="single" w:sz="8" w:color="E5EBEE"/>
            </w:tcBorders>
          </w:tcPr>
          <w:p>
            <w:pPr>
              <w:spacing w:after="0"/>
              <w:rPr>
                <w:sz w:val="6"/>
                <w:szCs w:val="6"/>
                <w:color w:val="auto"/>
              </w:rPr>
            </w:pPr>
          </w:p>
        </w:tc>
        <w:tc>
          <w:tcPr>
            <w:tcW w:w="1460" w:type="dxa"/>
            <w:vAlign w:val="bottom"/>
            <w:tcBorders>
              <w:bottom w:val="single" w:sz="8" w:color="023C5B"/>
            </w:tcBorders>
          </w:tcPr>
          <w:p>
            <w:pPr>
              <w:spacing w:after="0"/>
              <w:rPr>
                <w:sz w:val="6"/>
                <w:szCs w:val="6"/>
                <w:color w:val="auto"/>
              </w:rPr>
            </w:pPr>
          </w:p>
        </w:tc>
        <w:tc>
          <w:tcPr>
            <w:tcW w:w="20" w:type="dxa"/>
            <w:vAlign w:val="bottom"/>
            <w:tcBorders>
              <w:bottom w:val="single" w:sz="8" w:color="E5EBEE"/>
            </w:tcBorders>
          </w:tcPr>
          <w:p>
            <w:pPr>
              <w:spacing w:after="0"/>
              <w:rPr>
                <w:sz w:val="6"/>
                <w:szCs w:val="6"/>
                <w:color w:val="auto"/>
              </w:rPr>
            </w:pPr>
          </w:p>
        </w:tc>
      </w:tr>
      <w:tr>
        <w:trPr>
          <w:trHeight w:val="395"/>
        </w:trPr>
        <w:tc>
          <w:tcPr>
            <w:tcW w:w="4340" w:type="dxa"/>
            <w:vAlign w:val="bottom"/>
            <w:tcBorders>
              <w:bottom w:val="single" w:sz="8" w:color="023C5B"/>
            </w:tcBorders>
            <w:gridSpan w:val="3"/>
            <w:shd w:val="clear" w:color="auto" w:fill="E5EBEE"/>
          </w:tcPr>
          <w:p>
            <w:pPr>
              <w:ind w:left="80"/>
              <w:spacing w:after="0"/>
              <w:rPr>
                <w:sz w:val="20"/>
                <w:szCs w:val="20"/>
                <w:color w:val="auto"/>
              </w:rPr>
            </w:pPr>
            <w:r>
              <w:rPr>
                <w:rFonts w:ascii="Arial" w:cs="Arial" w:eastAsia="Arial" w:hAnsi="Arial"/>
                <w:sz w:val="18"/>
                <w:szCs w:val="18"/>
                <w:color w:val="auto"/>
              </w:rPr>
              <w:t>Eileen Serra</w:t>
            </w:r>
            <w:r>
              <w:rPr>
                <w:rFonts w:ascii="Arial" w:cs="Arial" w:eastAsia="Arial" w:hAnsi="Arial"/>
                <w:sz w:val="26"/>
                <w:szCs w:val="26"/>
                <w:color w:val="auto"/>
                <w:vertAlign w:val="superscript"/>
              </w:rPr>
              <w:t>(2)</w:t>
            </w:r>
          </w:p>
        </w:tc>
        <w:tc>
          <w:tcPr>
            <w:tcW w:w="60" w:type="dxa"/>
            <w:vAlign w:val="bottom"/>
            <w:shd w:val="clear" w:color="auto" w:fill="E5EBEE"/>
          </w:tcPr>
          <w:p>
            <w:pPr>
              <w:spacing w:after="0"/>
              <w:rPr>
                <w:sz w:val="24"/>
                <w:szCs w:val="24"/>
                <w:color w:val="auto"/>
              </w:rPr>
            </w:pPr>
          </w:p>
        </w:tc>
        <w:tc>
          <w:tcPr>
            <w:tcW w:w="820" w:type="dxa"/>
            <w:vAlign w:val="bottom"/>
            <w:tcBorders>
              <w:bottom w:val="single" w:sz="8" w:color="023C5B"/>
            </w:tcBorders>
            <w:shd w:val="clear" w:color="auto" w:fill="E5EBEE"/>
          </w:tcPr>
          <w:p>
            <w:pPr>
              <w:spacing w:after="0"/>
              <w:rPr>
                <w:sz w:val="24"/>
                <w:szCs w:val="24"/>
                <w:color w:val="auto"/>
              </w:rPr>
            </w:pPr>
          </w:p>
        </w:tc>
        <w:tc>
          <w:tcPr>
            <w:tcW w:w="110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6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8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60" w:type="dxa"/>
            <w:vAlign w:val="bottom"/>
            <w:tcBorders>
              <w:bottom w:val="single" w:sz="8" w:color="023C5B"/>
            </w:tcBorders>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r>
      <w:tr>
        <w:trPr>
          <w:trHeight w:val="317"/>
        </w:trPr>
        <w:tc>
          <w:tcPr>
            <w:tcW w:w="4400" w:type="dxa"/>
            <w:vAlign w:val="bottom"/>
            <w:gridSpan w:val="4"/>
          </w:tcPr>
          <w:p>
            <w:pPr>
              <w:ind w:left="80"/>
              <w:spacing w:after="0"/>
              <w:rPr>
                <w:sz w:val="20"/>
                <w:szCs w:val="20"/>
                <w:color w:val="auto"/>
              </w:rPr>
            </w:pPr>
            <w:r>
              <w:rPr>
                <w:rFonts w:ascii="Arial" w:cs="Arial" w:eastAsia="Arial" w:hAnsi="Arial"/>
                <w:sz w:val="18"/>
                <w:szCs w:val="18"/>
                <w:color w:val="auto"/>
              </w:rPr>
              <w:t>Mayo A. Shattuck III</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1220" w:type="dxa"/>
            <w:vAlign w:val="bottom"/>
            <w:tcBorders>
              <w:bottom w:val="single" w:sz="8" w:color="023C5B"/>
            </w:tcBorders>
            <w:gridSpan w:val="2"/>
          </w:tcPr>
          <w:p>
            <w:pPr>
              <w:spacing w:after="0"/>
              <w:rPr>
                <w:sz w:val="10"/>
                <w:szCs w:val="10"/>
                <w:color w:val="auto"/>
              </w:rPr>
            </w:pPr>
          </w:p>
        </w:tc>
        <w:tc>
          <w:tcPr>
            <w:tcW w:w="3120" w:type="dxa"/>
            <w:vAlign w:val="bottom"/>
            <w:tcBorders>
              <w:bottom w:val="single" w:sz="8" w:color="023C5B"/>
            </w:tcBorders>
          </w:tcPr>
          <w:p>
            <w:pPr>
              <w:spacing w:after="0"/>
              <w:rPr>
                <w:sz w:val="10"/>
                <w:szCs w:val="10"/>
                <w:color w:val="auto"/>
              </w:rPr>
            </w:pPr>
          </w:p>
        </w:tc>
        <w:tc>
          <w:tcPr>
            <w:tcW w:w="60" w:type="dxa"/>
            <w:vAlign w:val="bottom"/>
            <w:tcBorders>
              <w:bottom w:val="single" w:sz="8" w:color="E5EBEE"/>
            </w:tcBorders>
          </w:tcPr>
          <w:p>
            <w:pPr>
              <w:spacing w:after="0"/>
              <w:rPr>
                <w:sz w:val="10"/>
                <w:szCs w:val="10"/>
                <w:color w:val="auto"/>
              </w:rPr>
            </w:pPr>
          </w:p>
        </w:tc>
        <w:tc>
          <w:tcPr>
            <w:tcW w:w="820" w:type="dxa"/>
            <w:vAlign w:val="bottom"/>
            <w:tcBorders>
              <w:bottom w:val="single" w:sz="8" w:color="023C5B"/>
            </w:tcBorders>
          </w:tcPr>
          <w:p>
            <w:pPr>
              <w:spacing w:after="0"/>
              <w:rPr>
                <w:sz w:val="10"/>
                <w:szCs w:val="10"/>
                <w:color w:val="auto"/>
              </w:rPr>
            </w:pPr>
          </w:p>
        </w:tc>
        <w:tc>
          <w:tcPr>
            <w:tcW w:w="1100" w:type="dxa"/>
            <w:vAlign w:val="bottom"/>
            <w:tcBorders>
              <w:bottom w:val="single" w:sz="8" w:color="023C5B"/>
            </w:tcBorders>
          </w:tcPr>
          <w:p>
            <w:pPr>
              <w:spacing w:after="0"/>
              <w:rPr>
                <w:sz w:val="10"/>
                <w:szCs w:val="10"/>
                <w:color w:val="auto"/>
              </w:rPr>
            </w:pPr>
          </w:p>
        </w:tc>
        <w:tc>
          <w:tcPr>
            <w:tcW w:w="60" w:type="dxa"/>
            <w:vAlign w:val="bottom"/>
            <w:tcBorders>
              <w:bottom w:val="single" w:sz="8" w:color="E5EBEE"/>
            </w:tcBorders>
          </w:tcPr>
          <w:p>
            <w:pPr>
              <w:spacing w:after="0"/>
              <w:rPr>
                <w:sz w:val="10"/>
                <w:szCs w:val="10"/>
                <w:color w:val="auto"/>
              </w:rPr>
            </w:pPr>
          </w:p>
        </w:tc>
        <w:tc>
          <w:tcPr>
            <w:tcW w:w="1460" w:type="dxa"/>
            <w:vAlign w:val="bottom"/>
            <w:tcBorders>
              <w:bottom w:val="single" w:sz="8" w:color="023C5B"/>
            </w:tcBorders>
          </w:tcPr>
          <w:p>
            <w:pPr>
              <w:spacing w:after="0"/>
              <w:rPr>
                <w:sz w:val="10"/>
                <w:szCs w:val="10"/>
                <w:color w:val="auto"/>
              </w:rPr>
            </w:pPr>
          </w:p>
        </w:tc>
        <w:tc>
          <w:tcPr>
            <w:tcW w:w="60" w:type="dxa"/>
            <w:vAlign w:val="bottom"/>
            <w:tcBorders>
              <w:bottom w:val="single" w:sz="8" w:color="E5EBEE"/>
            </w:tcBorders>
          </w:tcPr>
          <w:p>
            <w:pPr>
              <w:spacing w:after="0"/>
              <w:rPr>
                <w:sz w:val="10"/>
                <w:szCs w:val="10"/>
                <w:color w:val="auto"/>
              </w:rPr>
            </w:pPr>
          </w:p>
        </w:tc>
        <w:tc>
          <w:tcPr>
            <w:tcW w:w="1480" w:type="dxa"/>
            <w:vAlign w:val="bottom"/>
            <w:tcBorders>
              <w:bottom w:val="single" w:sz="8" w:color="023C5B"/>
            </w:tcBorders>
          </w:tcPr>
          <w:p>
            <w:pPr>
              <w:spacing w:after="0"/>
              <w:rPr>
                <w:sz w:val="10"/>
                <w:szCs w:val="10"/>
                <w:color w:val="auto"/>
              </w:rPr>
            </w:pPr>
          </w:p>
        </w:tc>
        <w:tc>
          <w:tcPr>
            <w:tcW w:w="60" w:type="dxa"/>
            <w:vAlign w:val="bottom"/>
            <w:tcBorders>
              <w:bottom w:val="single" w:sz="8" w:color="E5EBEE"/>
            </w:tcBorders>
          </w:tcPr>
          <w:p>
            <w:pPr>
              <w:spacing w:after="0"/>
              <w:rPr>
                <w:sz w:val="10"/>
                <w:szCs w:val="10"/>
                <w:color w:val="auto"/>
              </w:rPr>
            </w:pPr>
          </w:p>
        </w:tc>
        <w:tc>
          <w:tcPr>
            <w:tcW w:w="1460" w:type="dxa"/>
            <w:vAlign w:val="bottom"/>
            <w:tcBorders>
              <w:bottom w:val="single" w:sz="8" w:color="023C5B"/>
            </w:tcBorders>
          </w:tcPr>
          <w:p>
            <w:pPr>
              <w:spacing w:after="0"/>
              <w:rPr>
                <w:sz w:val="10"/>
                <w:szCs w:val="10"/>
                <w:color w:val="auto"/>
              </w:rPr>
            </w:pPr>
          </w:p>
        </w:tc>
        <w:tc>
          <w:tcPr>
            <w:tcW w:w="20" w:type="dxa"/>
            <w:vAlign w:val="bottom"/>
            <w:tcBorders>
              <w:bottom w:val="single" w:sz="8" w:color="E5EBEE"/>
            </w:tcBorders>
          </w:tcPr>
          <w:p>
            <w:pPr>
              <w:spacing w:after="0"/>
              <w:rPr>
                <w:sz w:val="10"/>
                <w:szCs w:val="10"/>
                <w:color w:val="auto"/>
              </w:rPr>
            </w:pPr>
          </w:p>
        </w:tc>
      </w:tr>
      <w:tr>
        <w:trPr>
          <w:trHeight w:val="395"/>
        </w:trPr>
        <w:tc>
          <w:tcPr>
            <w:tcW w:w="4340" w:type="dxa"/>
            <w:vAlign w:val="bottom"/>
            <w:tcBorders>
              <w:bottom w:val="single" w:sz="8" w:color="023C5B"/>
            </w:tcBorders>
            <w:gridSpan w:val="3"/>
            <w:shd w:val="clear" w:color="auto" w:fill="E5EBEE"/>
          </w:tcPr>
          <w:p>
            <w:pPr>
              <w:ind w:left="80"/>
              <w:spacing w:after="0"/>
              <w:rPr>
                <w:sz w:val="20"/>
                <w:szCs w:val="20"/>
                <w:color w:val="auto"/>
              </w:rPr>
            </w:pPr>
            <w:r>
              <w:rPr>
                <w:rFonts w:ascii="Arial" w:cs="Arial" w:eastAsia="Arial" w:hAnsi="Arial"/>
                <w:sz w:val="18"/>
                <w:szCs w:val="18"/>
                <w:color w:val="auto"/>
              </w:rPr>
              <w:t>J. Michael Shepherd</w:t>
            </w:r>
            <w:r>
              <w:rPr>
                <w:rFonts w:ascii="Arial" w:cs="Arial" w:eastAsia="Arial" w:hAnsi="Arial"/>
                <w:sz w:val="26"/>
                <w:szCs w:val="26"/>
                <w:color w:val="auto"/>
                <w:vertAlign w:val="superscript"/>
              </w:rPr>
              <w:t>(2)</w:t>
            </w:r>
          </w:p>
        </w:tc>
        <w:tc>
          <w:tcPr>
            <w:tcW w:w="60" w:type="dxa"/>
            <w:vAlign w:val="bottom"/>
            <w:shd w:val="clear" w:color="auto" w:fill="E5EBEE"/>
          </w:tcPr>
          <w:p>
            <w:pPr>
              <w:spacing w:after="0"/>
              <w:rPr>
                <w:sz w:val="24"/>
                <w:szCs w:val="24"/>
                <w:color w:val="auto"/>
              </w:rPr>
            </w:pPr>
          </w:p>
        </w:tc>
        <w:tc>
          <w:tcPr>
            <w:tcW w:w="820" w:type="dxa"/>
            <w:vAlign w:val="bottom"/>
            <w:tcBorders>
              <w:bottom w:val="single" w:sz="8" w:color="023C5B"/>
            </w:tcBorders>
            <w:shd w:val="clear" w:color="auto" w:fill="E5EBEE"/>
          </w:tcPr>
          <w:p>
            <w:pPr>
              <w:spacing w:after="0"/>
              <w:rPr>
                <w:sz w:val="24"/>
                <w:szCs w:val="24"/>
                <w:color w:val="auto"/>
              </w:rPr>
            </w:pPr>
          </w:p>
        </w:tc>
        <w:tc>
          <w:tcPr>
            <w:tcW w:w="110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6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80" w:type="dxa"/>
            <w:vAlign w:val="bottom"/>
            <w:tcBorders>
              <w:bottom w:val="single" w:sz="8" w:color="023C5B"/>
            </w:tcBorders>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60" w:type="dxa"/>
            <w:vAlign w:val="bottom"/>
            <w:tcBorders>
              <w:bottom w:val="single" w:sz="8" w:color="023C5B"/>
            </w:tcBorders>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r>
      <w:tr>
        <w:trPr>
          <w:trHeight w:val="290"/>
        </w:trPr>
        <w:tc>
          <w:tcPr>
            <w:tcW w:w="4400" w:type="dxa"/>
            <w:vAlign w:val="bottom"/>
            <w:gridSpan w:val="4"/>
          </w:tcPr>
          <w:p>
            <w:pPr>
              <w:ind w:left="80"/>
              <w:spacing w:after="0"/>
              <w:rPr>
                <w:sz w:val="20"/>
                <w:szCs w:val="20"/>
                <w:color w:val="auto"/>
              </w:rPr>
            </w:pPr>
            <w:r>
              <w:rPr>
                <w:rFonts w:ascii="Arial" w:cs="Arial" w:eastAsia="Arial" w:hAnsi="Arial"/>
                <w:sz w:val="18"/>
                <w:szCs w:val="18"/>
                <w:color w:val="auto"/>
              </w:rPr>
              <w:t>Craig Anthony Williams</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1220" w:type="dxa"/>
            <w:vAlign w:val="bottom"/>
            <w:tcBorders>
              <w:bottom w:val="single" w:sz="8" w:color="023C5B"/>
            </w:tcBorders>
            <w:gridSpan w:val="2"/>
          </w:tcPr>
          <w:p>
            <w:pPr>
              <w:spacing w:after="0"/>
              <w:rPr>
                <w:sz w:val="7"/>
                <w:szCs w:val="7"/>
                <w:color w:val="auto"/>
              </w:rPr>
            </w:pPr>
          </w:p>
        </w:tc>
        <w:tc>
          <w:tcPr>
            <w:tcW w:w="3120" w:type="dxa"/>
            <w:vAlign w:val="bottom"/>
            <w:tcBorders>
              <w:bottom w:val="single" w:sz="8" w:color="023C5B"/>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820" w:type="dxa"/>
            <w:vAlign w:val="bottom"/>
            <w:tcBorders>
              <w:bottom w:val="single" w:sz="8" w:color="023C5B"/>
            </w:tcBorders>
          </w:tcPr>
          <w:p>
            <w:pPr>
              <w:spacing w:after="0"/>
              <w:rPr>
                <w:sz w:val="7"/>
                <w:szCs w:val="7"/>
                <w:color w:val="auto"/>
              </w:rPr>
            </w:pPr>
          </w:p>
        </w:tc>
        <w:tc>
          <w:tcPr>
            <w:tcW w:w="1100" w:type="dxa"/>
            <w:vAlign w:val="bottom"/>
            <w:tcBorders>
              <w:bottom w:val="single" w:sz="8" w:color="023C5B"/>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460" w:type="dxa"/>
            <w:vAlign w:val="bottom"/>
            <w:tcBorders>
              <w:bottom w:val="single" w:sz="8" w:color="023C5B"/>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480" w:type="dxa"/>
            <w:vAlign w:val="bottom"/>
            <w:tcBorders>
              <w:bottom w:val="single" w:sz="8" w:color="023C5B"/>
            </w:tcBorders>
          </w:tcPr>
          <w:p>
            <w:pPr>
              <w:spacing w:after="0"/>
              <w:rPr>
                <w:sz w:val="7"/>
                <w:szCs w:val="7"/>
                <w:color w:val="auto"/>
              </w:rPr>
            </w:pPr>
          </w:p>
        </w:tc>
        <w:tc>
          <w:tcPr>
            <w:tcW w:w="60" w:type="dxa"/>
            <w:vAlign w:val="bottom"/>
            <w:tcBorders>
              <w:bottom w:val="single" w:sz="8" w:color="E5EBEE"/>
            </w:tcBorders>
          </w:tcPr>
          <w:p>
            <w:pPr>
              <w:spacing w:after="0"/>
              <w:rPr>
                <w:sz w:val="7"/>
                <w:szCs w:val="7"/>
                <w:color w:val="auto"/>
              </w:rPr>
            </w:pPr>
          </w:p>
        </w:tc>
        <w:tc>
          <w:tcPr>
            <w:tcW w:w="1460" w:type="dxa"/>
            <w:vAlign w:val="bottom"/>
            <w:tcBorders>
              <w:bottom w:val="single" w:sz="8" w:color="023C5B"/>
            </w:tcBorders>
          </w:tcPr>
          <w:p>
            <w:pPr>
              <w:spacing w:after="0"/>
              <w:rPr>
                <w:sz w:val="7"/>
                <w:szCs w:val="7"/>
                <w:color w:val="auto"/>
              </w:rPr>
            </w:pPr>
          </w:p>
        </w:tc>
        <w:tc>
          <w:tcPr>
            <w:tcW w:w="20" w:type="dxa"/>
            <w:vAlign w:val="bottom"/>
            <w:tcBorders>
              <w:bottom w:val="single" w:sz="8" w:color="E5EBEE"/>
            </w:tcBorders>
          </w:tcPr>
          <w:p>
            <w:pPr>
              <w:spacing w:after="0"/>
              <w:rPr>
                <w:sz w:val="7"/>
                <w:szCs w:val="7"/>
                <w:color w:val="auto"/>
              </w:rPr>
            </w:pPr>
          </w:p>
        </w:tc>
      </w:tr>
      <w:tr>
        <w:trPr>
          <w:trHeight w:val="290"/>
        </w:trPr>
        <w:tc>
          <w:tcPr>
            <w:tcW w:w="4400" w:type="dxa"/>
            <w:vAlign w:val="bottom"/>
            <w:gridSpan w:val="4"/>
            <w:shd w:val="clear" w:color="auto" w:fill="E5EBEE"/>
          </w:tcPr>
          <w:p>
            <w:pPr>
              <w:ind w:left="80"/>
              <w:spacing w:after="0"/>
              <w:rPr>
                <w:sz w:val="20"/>
                <w:szCs w:val="20"/>
                <w:color w:val="auto"/>
              </w:rPr>
            </w:pPr>
            <w:r>
              <w:rPr>
                <w:rFonts w:ascii="Arial" w:cs="Arial" w:eastAsia="Arial" w:hAnsi="Arial"/>
                <w:sz w:val="18"/>
                <w:szCs w:val="18"/>
                <w:color w:val="auto"/>
              </w:rPr>
              <w:t>Jennifer L. Wong</w:t>
            </w:r>
          </w:p>
        </w:tc>
        <w:tc>
          <w:tcPr>
            <w:tcW w:w="820" w:type="dxa"/>
            <w:vAlign w:val="bottom"/>
            <w:shd w:val="clear" w:color="auto" w:fill="E5EBEE"/>
          </w:tcPr>
          <w:p>
            <w:pPr>
              <w:spacing w:after="0"/>
              <w:rPr>
                <w:sz w:val="24"/>
                <w:szCs w:val="24"/>
                <w:color w:val="auto"/>
              </w:rPr>
            </w:pPr>
          </w:p>
        </w:tc>
        <w:tc>
          <w:tcPr>
            <w:tcW w:w="1100" w:type="dxa"/>
            <w:vAlign w:val="bottom"/>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60" w:type="dxa"/>
            <w:vAlign w:val="bottom"/>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80" w:type="dxa"/>
            <w:vAlign w:val="bottom"/>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460" w:type="dxa"/>
            <w:vAlign w:val="bottom"/>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r>
      <w:tr>
        <w:trPr>
          <w:trHeight w:val="78"/>
        </w:trPr>
        <w:tc>
          <w:tcPr>
            <w:tcW w:w="1220" w:type="dxa"/>
            <w:vAlign w:val="bottom"/>
            <w:gridSpan w:val="2"/>
            <w:shd w:val="clear" w:color="auto" w:fill="E5EBEE"/>
          </w:tcPr>
          <w:p>
            <w:pPr>
              <w:spacing w:after="0"/>
              <w:rPr>
                <w:sz w:val="6"/>
                <w:szCs w:val="6"/>
                <w:color w:val="auto"/>
              </w:rPr>
            </w:pPr>
          </w:p>
        </w:tc>
        <w:tc>
          <w:tcPr>
            <w:tcW w:w="3120" w:type="dxa"/>
            <w:vAlign w:val="bottom"/>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820" w:type="dxa"/>
            <w:vAlign w:val="bottom"/>
            <w:shd w:val="clear" w:color="auto" w:fill="E5EBEE"/>
          </w:tcPr>
          <w:p>
            <w:pPr>
              <w:spacing w:after="0"/>
              <w:rPr>
                <w:sz w:val="6"/>
                <w:szCs w:val="6"/>
                <w:color w:val="auto"/>
              </w:rPr>
            </w:pPr>
          </w:p>
        </w:tc>
        <w:tc>
          <w:tcPr>
            <w:tcW w:w="1100" w:type="dxa"/>
            <w:vAlign w:val="bottom"/>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1460" w:type="dxa"/>
            <w:vAlign w:val="bottom"/>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1480" w:type="dxa"/>
            <w:vAlign w:val="bottom"/>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1460" w:type="dxa"/>
            <w:vAlign w:val="bottom"/>
            <w:shd w:val="clear" w:color="auto" w:fill="E5EBEE"/>
          </w:tcPr>
          <w:p>
            <w:pPr>
              <w:spacing w:after="0"/>
              <w:rPr>
                <w:sz w:val="6"/>
                <w:szCs w:val="6"/>
                <w:color w:val="auto"/>
              </w:rPr>
            </w:pPr>
          </w:p>
        </w:tc>
        <w:tc>
          <w:tcPr>
            <w:tcW w:w="20" w:type="dxa"/>
            <w:vAlign w:val="bottom"/>
            <w:shd w:val="clear" w:color="auto" w:fill="E5EBEE"/>
          </w:tcPr>
          <w:p>
            <w:pPr>
              <w:spacing w:after="0"/>
              <w:rPr>
                <w:sz w:val="6"/>
                <w:szCs w:val="6"/>
                <w:color w:val="auto"/>
              </w:rPr>
            </w:pPr>
          </w:p>
        </w:tc>
      </w:tr>
      <w:tr>
        <w:trPr>
          <w:trHeight w:val="67"/>
        </w:trPr>
        <w:tc>
          <w:tcPr>
            <w:tcW w:w="1220" w:type="dxa"/>
            <w:vAlign w:val="bottom"/>
            <w:gridSpan w:val="2"/>
          </w:tcPr>
          <w:p>
            <w:pPr>
              <w:spacing w:after="0"/>
              <w:rPr>
                <w:sz w:val="5"/>
                <w:szCs w:val="5"/>
                <w:color w:val="auto"/>
              </w:rPr>
            </w:pPr>
          </w:p>
        </w:tc>
        <w:tc>
          <w:tcPr>
            <w:tcW w:w="3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01"/>
        </w:trPr>
        <w:tc>
          <w:tcPr>
            <w:tcW w:w="4400" w:type="dxa"/>
            <w:vAlign w:val="bottom"/>
            <w:gridSpan w:val="4"/>
            <w:shd w:val="clear" w:color="auto" w:fill="023C5B"/>
          </w:tcPr>
          <w:p>
            <w:pPr>
              <w:ind w:left="80"/>
              <w:spacing w:after="0"/>
              <w:rPr>
                <w:sz w:val="20"/>
                <w:szCs w:val="20"/>
                <w:color w:val="auto"/>
              </w:rPr>
            </w:pPr>
            <w:r>
              <w:rPr>
                <w:rFonts w:ascii="Arial" w:cs="Arial" w:eastAsia="Arial" w:hAnsi="Arial"/>
                <w:sz w:val="16"/>
                <w:szCs w:val="16"/>
                <w:b w:val="1"/>
                <w:bCs w:val="1"/>
                <w:color w:val="FFFFFF"/>
              </w:rPr>
              <w:t>NUMBER OF MEETINGS</w:t>
            </w:r>
          </w:p>
        </w:tc>
        <w:tc>
          <w:tcPr>
            <w:tcW w:w="820" w:type="dxa"/>
            <w:vAlign w:val="bottom"/>
            <w:shd w:val="clear" w:color="auto" w:fill="023C5B"/>
          </w:tcPr>
          <w:p>
            <w:pPr>
              <w:spacing w:after="0"/>
              <w:rPr>
                <w:sz w:val="24"/>
                <w:szCs w:val="24"/>
                <w:color w:val="auto"/>
              </w:rPr>
            </w:pPr>
          </w:p>
        </w:tc>
        <w:tc>
          <w:tcPr>
            <w:tcW w:w="1100" w:type="dxa"/>
            <w:vAlign w:val="bottom"/>
            <w:shd w:val="clear" w:color="auto" w:fill="023C5B"/>
          </w:tcPr>
          <w:p>
            <w:pPr>
              <w:jc w:val="right"/>
              <w:ind w:right="815"/>
              <w:spacing w:after="0"/>
              <w:rPr>
                <w:sz w:val="20"/>
                <w:szCs w:val="20"/>
                <w:color w:val="auto"/>
              </w:rPr>
            </w:pPr>
            <w:r>
              <w:rPr>
                <w:rFonts w:ascii="Arial" w:cs="Arial" w:eastAsia="Arial" w:hAnsi="Arial"/>
                <w:sz w:val="16"/>
                <w:szCs w:val="16"/>
                <w:b w:val="1"/>
                <w:bCs w:val="1"/>
                <w:color w:val="FFFFFF"/>
              </w:rPr>
              <w:t>9</w:t>
            </w:r>
          </w:p>
        </w:tc>
        <w:tc>
          <w:tcPr>
            <w:tcW w:w="60" w:type="dxa"/>
            <w:vAlign w:val="bottom"/>
            <w:shd w:val="clear" w:color="auto" w:fill="023C5B"/>
          </w:tcPr>
          <w:p>
            <w:pPr>
              <w:spacing w:after="0"/>
              <w:rPr>
                <w:sz w:val="24"/>
                <w:szCs w:val="24"/>
                <w:color w:val="auto"/>
              </w:rPr>
            </w:pPr>
          </w:p>
        </w:tc>
        <w:tc>
          <w:tcPr>
            <w:tcW w:w="1460" w:type="dxa"/>
            <w:vAlign w:val="bottom"/>
            <w:shd w:val="clear" w:color="auto" w:fill="023C5B"/>
          </w:tcPr>
          <w:p>
            <w:pPr>
              <w:jc w:val="right"/>
              <w:ind w:right="520"/>
              <w:spacing w:after="0"/>
              <w:rPr>
                <w:sz w:val="20"/>
                <w:szCs w:val="20"/>
                <w:color w:val="auto"/>
              </w:rPr>
            </w:pPr>
            <w:r>
              <w:rPr>
                <w:rFonts w:ascii="Arial" w:cs="Arial" w:eastAsia="Arial" w:hAnsi="Arial"/>
                <w:sz w:val="16"/>
                <w:szCs w:val="16"/>
                <w:b w:val="1"/>
                <w:bCs w:val="1"/>
                <w:color w:val="FFFFFF"/>
              </w:rPr>
              <w:t>6</w:t>
            </w:r>
          </w:p>
        </w:tc>
        <w:tc>
          <w:tcPr>
            <w:tcW w:w="60" w:type="dxa"/>
            <w:vAlign w:val="bottom"/>
            <w:shd w:val="clear" w:color="auto" w:fill="023C5B"/>
          </w:tcPr>
          <w:p>
            <w:pPr>
              <w:spacing w:after="0"/>
              <w:rPr>
                <w:sz w:val="24"/>
                <w:szCs w:val="24"/>
                <w:color w:val="auto"/>
              </w:rPr>
            </w:pPr>
          </w:p>
        </w:tc>
        <w:tc>
          <w:tcPr>
            <w:tcW w:w="1480" w:type="dxa"/>
            <w:vAlign w:val="bottom"/>
            <w:shd w:val="clear" w:color="auto" w:fill="023C5B"/>
          </w:tcPr>
          <w:p>
            <w:pPr>
              <w:jc w:val="right"/>
              <w:ind w:right="520"/>
              <w:spacing w:after="0"/>
              <w:rPr>
                <w:sz w:val="20"/>
                <w:szCs w:val="20"/>
                <w:color w:val="auto"/>
              </w:rPr>
            </w:pPr>
            <w:r>
              <w:rPr>
                <w:rFonts w:ascii="Arial" w:cs="Arial" w:eastAsia="Arial" w:hAnsi="Arial"/>
                <w:sz w:val="16"/>
                <w:szCs w:val="16"/>
                <w:b w:val="1"/>
                <w:bCs w:val="1"/>
                <w:color w:val="FFFFFF"/>
              </w:rPr>
              <w:t>6</w:t>
            </w:r>
          </w:p>
        </w:tc>
        <w:tc>
          <w:tcPr>
            <w:tcW w:w="60" w:type="dxa"/>
            <w:vAlign w:val="bottom"/>
            <w:shd w:val="clear" w:color="auto" w:fill="023C5B"/>
          </w:tcPr>
          <w:p>
            <w:pPr>
              <w:spacing w:after="0"/>
              <w:rPr>
                <w:sz w:val="24"/>
                <w:szCs w:val="24"/>
                <w:color w:val="auto"/>
              </w:rPr>
            </w:pPr>
          </w:p>
        </w:tc>
        <w:tc>
          <w:tcPr>
            <w:tcW w:w="1460" w:type="dxa"/>
            <w:vAlign w:val="bottom"/>
            <w:shd w:val="clear" w:color="auto" w:fill="023C5B"/>
          </w:tcPr>
          <w:p>
            <w:pPr>
              <w:jc w:val="right"/>
              <w:ind w:right="540"/>
              <w:spacing w:after="0"/>
              <w:rPr>
                <w:sz w:val="20"/>
                <w:szCs w:val="20"/>
                <w:color w:val="auto"/>
              </w:rPr>
            </w:pPr>
            <w:r>
              <w:rPr>
                <w:rFonts w:ascii="Arial" w:cs="Arial" w:eastAsia="Arial" w:hAnsi="Arial"/>
                <w:sz w:val="16"/>
                <w:szCs w:val="16"/>
                <w:b w:val="1"/>
                <w:bCs w:val="1"/>
                <w:color w:val="FFFFFF"/>
              </w:rPr>
              <w:t>8</w:t>
            </w:r>
          </w:p>
        </w:tc>
        <w:tc>
          <w:tcPr>
            <w:tcW w:w="20" w:type="dxa"/>
            <w:vAlign w:val="bottom"/>
            <w:shd w:val="clear" w:color="auto" w:fill="023C5B"/>
          </w:tcPr>
          <w:p>
            <w:pPr>
              <w:spacing w:after="0"/>
              <w:rPr>
                <w:sz w:val="24"/>
                <w:szCs w:val="24"/>
                <w:color w:val="auto"/>
              </w:rPr>
            </w:pPr>
          </w:p>
        </w:tc>
      </w:tr>
      <w:tr>
        <w:trPr>
          <w:trHeight w:val="74"/>
        </w:trPr>
        <w:tc>
          <w:tcPr>
            <w:tcW w:w="920" w:type="dxa"/>
            <w:vAlign w:val="bottom"/>
            <w:shd w:val="clear" w:color="auto" w:fill="023C5B"/>
          </w:tcPr>
          <w:p>
            <w:pPr>
              <w:spacing w:after="0"/>
              <w:rPr>
                <w:sz w:val="6"/>
                <w:szCs w:val="6"/>
                <w:color w:val="auto"/>
              </w:rPr>
            </w:pPr>
          </w:p>
        </w:tc>
        <w:tc>
          <w:tcPr>
            <w:tcW w:w="300" w:type="dxa"/>
            <w:vAlign w:val="bottom"/>
            <w:shd w:val="clear" w:color="auto" w:fill="023C5B"/>
          </w:tcPr>
          <w:p>
            <w:pPr>
              <w:spacing w:after="0"/>
              <w:rPr>
                <w:sz w:val="6"/>
                <w:szCs w:val="6"/>
                <w:color w:val="auto"/>
              </w:rPr>
            </w:pPr>
          </w:p>
        </w:tc>
        <w:tc>
          <w:tcPr>
            <w:tcW w:w="3120" w:type="dxa"/>
            <w:vAlign w:val="bottom"/>
            <w:shd w:val="clear" w:color="auto" w:fill="023C5B"/>
          </w:tcPr>
          <w:p>
            <w:pPr>
              <w:spacing w:after="0"/>
              <w:rPr>
                <w:sz w:val="6"/>
                <w:szCs w:val="6"/>
                <w:color w:val="auto"/>
              </w:rPr>
            </w:pPr>
          </w:p>
        </w:tc>
        <w:tc>
          <w:tcPr>
            <w:tcW w:w="60" w:type="dxa"/>
            <w:vAlign w:val="bottom"/>
            <w:shd w:val="clear" w:color="auto" w:fill="023C5B"/>
          </w:tcPr>
          <w:p>
            <w:pPr>
              <w:spacing w:after="0"/>
              <w:rPr>
                <w:sz w:val="6"/>
                <w:szCs w:val="6"/>
                <w:color w:val="auto"/>
              </w:rPr>
            </w:pPr>
          </w:p>
        </w:tc>
        <w:tc>
          <w:tcPr>
            <w:tcW w:w="820" w:type="dxa"/>
            <w:vAlign w:val="bottom"/>
            <w:shd w:val="clear" w:color="auto" w:fill="023C5B"/>
          </w:tcPr>
          <w:p>
            <w:pPr>
              <w:spacing w:after="0"/>
              <w:rPr>
                <w:sz w:val="6"/>
                <w:szCs w:val="6"/>
                <w:color w:val="auto"/>
              </w:rPr>
            </w:pPr>
          </w:p>
        </w:tc>
        <w:tc>
          <w:tcPr>
            <w:tcW w:w="1100" w:type="dxa"/>
            <w:vAlign w:val="bottom"/>
            <w:shd w:val="clear" w:color="auto" w:fill="023C5B"/>
          </w:tcPr>
          <w:p>
            <w:pPr>
              <w:spacing w:after="0"/>
              <w:rPr>
                <w:sz w:val="6"/>
                <w:szCs w:val="6"/>
                <w:color w:val="auto"/>
              </w:rPr>
            </w:pPr>
          </w:p>
        </w:tc>
        <w:tc>
          <w:tcPr>
            <w:tcW w:w="60" w:type="dxa"/>
            <w:vAlign w:val="bottom"/>
            <w:shd w:val="clear" w:color="auto" w:fill="023C5B"/>
          </w:tcPr>
          <w:p>
            <w:pPr>
              <w:spacing w:after="0"/>
              <w:rPr>
                <w:sz w:val="6"/>
                <w:szCs w:val="6"/>
                <w:color w:val="auto"/>
              </w:rPr>
            </w:pPr>
          </w:p>
        </w:tc>
        <w:tc>
          <w:tcPr>
            <w:tcW w:w="1460" w:type="dxa"/>
            <w:vAlign w:val="bottom"/>
            <w:shd w:val="clear" w:color="auto" w:fill="023C5B"/>
          </w:tcPr>
          <w:p>
            <w:pPr>
              <w:spacing w:after="0"/>
              <w:rPr>
                <w:sz w:val="6"/>
                <w:szCs w:val="6"/>
                <w:color w:val="auto"/>
              </w:rPr>
            </w:pPr>
          </w:p>
        </w:tc>
        <w:tc>
          <w:tcPr>
            <w:tcW w:w="60" w:type="dxa"/>
            <w:vAlign w:val="bottom"/>
            <w:shd w:val="clear" w:color="auto" w:fill="023C5B"/>
          </w:tcPr>
          <w:p>
            <w:pPr>
              <w:spacing w:after="0"/>
              <w:rPr>
                <w:sz w:val="6"/>
                <w:szCs w:val="6"/>
                <w:color w:val="auto"/>
              </w:rPr>
            </w:pPr>
          </w:p>
        </w:tc>
        <w:tc>
          <w:tcPr>
            <w:tcW w:w="1480" w:type="dxa"/>
            <w:vAlign w:val="bottom"/>
            <w:shd w:val="clear" w:color="auto" w:fill="023C5B"/>
          </w:tcPr>
          <w:p>
            <w:pPr>
              <w:spacing w:after="0"/>
              <w:rPr>
                <w:sz w:val="6"/>
                <w:szCs w:val="6"/>
                <w:color w:val="auto"/>
              </w:rPr>
            </w:pPr>
          </w:p>
        </w:tc>
        <w:tc>
          <w:tcPr>
            <w:tcW w:w="60" w:type="dxa"/>
            <w:vAlign w:val="bottom"/>
            <w:shd w:val="clear" w:color="auto" w:fill="023C5B"/>
          </w:tcPr>
          <w:p>
            <w:pPr>
              <w:spacing w:after="0"/>
              <w:rPr>
                <w:sz w:val="6"/>
                <w:szCs w:val="6"/>
                <w:color w:val="auto"/>
              </w:rPr>
            </w:pPr>
          </w:p>
        </w:tc>
        <w:tc>
          <w:tcPr>
            <w:tcW w:w="1460" w:type="dxa"/>
            <w:vAlign w:val="bottom"/>
            <w:shd w:val="clear" w:color="auto" w:fill="023C5B"/>
          </w:tcPr>
          <w:p>
            <w:pPr>
              <w:spacing w:after="0"/>
              <w:rPr>
                <w:sz w:val="6"/>
                <w:szCs w:val="6"/>
                <w:color w:val="auto"/>
              </w:rPr>
            </w:pPr>
          </w:p>
        </w:tc>
        <w:tc>
          <w:tcPr>
            <w:tcW w:w="20" w:type="dxa"/>
            <w:vAlign w:val="bottom"/>
            <w:shd w:val="clear" w:color="auto" w:fill="023C5B"/>
          </w:tcPr>
          <w:p>
            <w:pPr>
              <w:spacing w:after="0"/>
              <w:rPr>
                <w:sz w:val="6"/>
                <w:szCs w:val="6"/>
                <w:color w:val="auto"/>
              </w:rPr>
            </w:pPr>
          </w:p>
        </w:tc>
      </w:tr>
      <w:tr>
        <w:trPr>
          <w:trHeight w:val="457"/>
        </w:trPr>
        <w:tc>
          <w:tcPr>
            <w:tcW w:w="920" w:type="dxa"/>
            <w:vAlign w:val="bottom"/>
          </w:tcPr>
          <w:p>
            <w:pPr>
              <w:ind w:left="240"/>
              <w:spacing w:after="0"/>
              <w:rPr>
                <w:sz w:val="20"/>
                <w:szCs w:val="20"/>
                <w:color w:val="auto"/>
              </w:rPr>
            </w:pPr>
            <w:r>
              <w:rPr>
                <w:rFonts w:ascii="Arial" w:cs="Arial" w:eastAsia="Arial" w:hAnsi="Arial"/>
                <w:sz w:val="18"/>
                <w:szCs w:val="18"/>
                <w:color w:val="auto"/>
              </w:rPr>
              <w:t>Chair </w:t>
            </w:r>
          </w:p>
        </w:tc>
        <w:tc>
          <w:tcPr>
            <w:tcW w:w="3480" w:type="dxa"/>
            <w:vAlign w:val="bottom"/>
            <w:gridSpan w:val="3"/>
          </w:tcPr>
          <w:p>
            <w:pPr>
              <w:ind w:left="200"/>
              <w:spacing w:after="0"/>
              <w:rPr>
                <w:sz w:val="20"/>
                <w:szCs w:val="20"/>
                <w:color w:val="auto"/>
              </w:rPr>
            </w:pPr>
            <w:r>
              <w:rPr>
                <w:rFonts w:ascii="Arial" w:cs="Arial" w:eastAsia="Arial" w:hAnsi="Arial"/>
                <w:sz w:val="18"/>
                <w:szCs w:val="18"/>
                <w:color w:val="auto"/>
              </w:rPr>
              <w:t>Member</w:t>
            </w: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9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4615815</wp:posOffset>
            </wp:positionH>
            <wp:positionV relativeFrom="paragraph">
              <wp:posOffset>-4143375</wp:posOffset>
            </wp:positionV>
            <wp:extent cx="110490" cy="1104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-3888740</wp:posOffset>
            </wp:positionV>
            <wp:extent cx="110490" cy="1104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6551930</wp:posOffset>
            </wp:positionH>
            <wp:positionV relativeFrom="paragraph">
              <wp:posOffset>-3880485</wp:posOffset>
            </wp:positionV>
            <wp:extent cx="110490" cy="1104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-3625850</wp:posOffset>
            </wp:positionV>
            <wp:extent cx="110490" cy="1104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-3625850</wp:posOffset>
            </wp:positionV>
            <wp:extent cx="118745" cy="1104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8745" cy="110490"/>
                    </a:xfrm>
                    <a:prstGeom prst="rect">
                      <a:avLst/>
                    </a:prstGeom>
                    <a:noFill/>
                  </pic:spPr>
                </pic:pic>
              </a:graphicData>
            </a:graphic>
          </wp:anchor>
        </w:drawing>
        <w:drawing>
          <wp:anchor simplePos="0" relativeHeight="251657728" behindDoc="1" locked="0" layoutInCell="0" allowOverlap="1">
            <wp:simplePos x="0" y="0"/>
            <wp:positionH relativeFrom="column">
              <wp:posOffset>6551930</wp:posOffset>
            </wp:positionH>
            <wp:positionV relativeFrom="paragraph">
              <wp:posOffset>-3625850</wp:posOffset>
            </wp:positionV>
            <wp:extent cx="110490" cy="1104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-3370580</wp:posOffset>
            </wp:positionV>
            <wp:extent cx="110490" cy="1104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6551930</wp:posOffset>
            </wp:positionH>
            <wp:positionV relativeFrom="paragraph">
              <wp:posOffset>-3370580</wp:posOffset>
            </wp:positionV>
            <wp:extent cx="110490" cy="1104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-3124835</wp:posOffset>
            </wp:positionV>
            <wp:extent cx="110490" cy="1104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6551930</wp:posOffset>
            </wp:positionH>
            <wp:positionV relativeFrom="paragraph">
              <wp:posOffset>-3124835</wp:posOffset>
            </wp:positionV>
            <wp:extent cx="110490" cy="1104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-2861310</wp:posOffset>
            </wp:positionV>
            <wp:extent cx="110490" cy="1104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-2861310</wp:posOffset>
            </wp:positionV>
            <wp:extent cx="110490" cy="1104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6551930</wp:posOffset>
            </wp:positionH>
            <wp:positionV relativeFrom="paragraph">
              <wp:posOffset>-2861310</wp:posOffset>
            </wp:positionV>
            <wp:extent cx="110490" cy="1104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-2614930</wp:posOffset>
            </wp:positionV>
            <wp:extent cx="110490" cy="1104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-2614930</wp:posOffset>
            </wp:positionV>
            <wp:extent cx="118745" cy="1104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8745" cy="110490"/>
                    </a:xfrm>
                    <a:prstGeom prst="rect">
                      <a:avLst/>
                    </a:prstGeom>
                    <a:noFill/>
                  </pic:spPr>
                </pic:pic>
              </a:graphicData>
            </a:graphic>
          </wp:anchor>
        </w:drawing>
        <w:drawing>
          <wp:anchor simplePos="0" relativeHeight="251657728" behindDoc="1" locked="0" layoutInCell="0" allowOverlap="1">
            <wp:simplePos x="0" y="0"/>
            <wp:positionH relativeFrom="column">
              <wp:posOffset>6551930</wp:posOffset>
            </wp:positionH>
            <wp:positionV relativeFrom="paragraph">
              <wp:posOffset>-2368550</wp:posOffset>
            </wp:positionV>
            <wp:extent cx="110490" cy="1104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-2131060</wp:posOffset>
            </wp:positionV>
            <wp:extent cx="118745" cy="1104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8745" cy="110490"/>
                    </a:xfrm>
                    <a:prstGeom prst="rect">
                      <a:avLst/>
                    </a:prstGeom>
                    <a:noFill/>
                  </pic:spPr>
                </pic:pic>
              </a:graphicData>
            </a:graphic>
          </wp:anchor>
        </w:drawing>
        <w:drawing>
          <wp:anchor simplePos="0" relativeHeight="251657728" behindDoc="1" locked="0" layoutInCell="0" allowOverlap="1">
            <wp:simplePos x="0" y="0"/>
            <wp:positionH relativeFrom="column">
              <wp:posOffset>6551930</wp:posOffset>
            </wp:positionH>
            <wp:positionV relativeFrom="paragraph">
              <wp:posOffset>-2131060</wp:posOffset>
            </wp:positionV>
            <wp:extent cx="110490" cy="1104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-1876425</wp:posOffset>
            </wp:positionV>
            <wp:extent cx="110490" cy="1104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6551930</wp:posOffset>
            </wp:positionH>
            <wp:positionV relativeFrom="paragraph">
              <wp:posOffset>-1876425</wp:posOffset>
            </wp:positionV>
            <wp:extent cx="110490" cy="1104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-1604645</wp:posOffset>
            </wp:positionV>
            <wp:extent cx="110490" cy="1104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-1621155</wp:posOffset>
            </wp:positionV>
            <wp:extent cx="118745" cy="1104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8745" cy="110490"/>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-1323975</wp:posOffset>
            </wp:positionV>
            <wp:extent cx="110490" cy="1104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6551930</wp:posOffset>
            </wp:positionH>
            <wp:positionV relativeFrom="paragraph">
              <wp:posOffset>-1323975</wp:posOffset>
            </wp:positionV>
            <wp:extent cx="110490" cy="1104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4615815</wp:posOffset>
            </wp:positionH>
            <wp:positionV relativeFrom="paragraph">
              <wp:posOffset>-1069340</wp:posOffset>
            </wp:positionV>
            <wp:extent cx="110490" cy="1104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5584190</wp:posOffset>
            </wp:positionH>
            <wp:positionV relativeFrom="paragraph">
              <wp:posOffset>-1069340</wp:posOffset>
            </wp:positionV>
            <wp:extent cx="118745" cy="1104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8745" cy="110490"/>
                    </a:xfrm>
                    <a:prstGeom prst="rect">
                      <a:avLst/>
                    </a:prstGeom>
                    <a:noFill/>
                  </pic:spPr>
                </pic:pic>
              </a:graphicData>
            </a:graphic>
          </wp:anchor>
        </w:drawing>
        <w:drawing>
          <wp:anchor simplePos="0" relativeHeight="251657728" behindDoc="1" locked="0" layoutInCell="0" allowOverlap="1">
            <wp:simplePos x="0" y="0"/>
            <wp:positionH relativeFrom="column">
              <wp:posOffset>6551930</wp:posOffset>
            </wp:positionH>
            <wp:positionV relativeFrom="paragraph">
              <wp:posOffset>-814705</wp:posOffset>
            </wp:positionV>
            <wp:extent cx="110490" cy="1104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0490" cy="11049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-236855</wp:posOffset>
            </wp:positionV>
            <wp:extent cx="110490" cy="1187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0490" cy="118745"/>
                    </a:xfrm>
                    <a:prstGeom prst="rect">
                      <a:avLst/>
                    </a:prstGeom>
                    <a:noFill/>
                  </pic:spPr>
                </pic:pic>
              </a:graphicData>
            </a:graphic>
          </wp:anchor>
        </w:drawing>
        <w:drawing>
          <wp:anchor simplePos="0" relativeHeight="251657728" behindDoc="1" locked="0" layoutInCell="0" allowOverlap="1">
            <wp:simplePos x="0" y="0"/>
            <wp:positionH relativeFrom="column">
              <wp:posOffset>666750</wp:posOffset>
            </wp:positionH>
            <wp:positionV relativeFrom="paragraph">
              <wp:posOffset>-236855</wp:posOffset>
            </wp:positionV>
            <wp:extent cx="110490" cy="1187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0490" cy="118745"/>
                    </a:xfrm>
                    <a:prstGeom prst="rect">
                      <a:avLst/>
                    </a:prstGeom>
                    <a:noFill/>
                  </pic:spPr>
                </pic:pic>
              </a:graphicData>
            </a:graphic>
          </wp:anchor>
        </w:drawing>
      </w:r>
    </w:p>
    <w:p>
      <w:pPr>
        <w:spacing w:after="0" w:line="131" w:lineRule="exact"/>
        <w:rPr>
          <w:sz w:val="20"/>
          <w:szCs w:val="20"/>
          <w:color w:val="auto"/>
        </w:rPr>
      </w:pPr>
    </w:p>
    <w:p>
      <w:pPr>
        <w:ind w:left="600" w:hanging="433"/>
        <w:spacing w:after="0" w:line="281" w:lineRule="auto"/>
        <w:tabs>
          <w:tab w:leader="none" w:pos="6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Board has determined that each member of the Audit Committee is “financially literate” pursuant to the NYSE rules. No member of the Audit Committee simultaneously serves on the audit committees of more than three public companies, including Capital One.</w:t>
      </w:r>
    </w:p>
    <w:p>
      <w:pPr>
        <w:spacing w:after="0" w:line="82"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55" w:lineRule="exact"/>
        <w:rPr>
          <w:sz w:val="20"/>
          <w:szCs w:val="20"/>
          <w:color w:val="auto"/>
        </w:rPr>
      </w:pPr>
    </w:p>
    <w:p>
      <w:pPr>
        <w:ind w:left="600" w:right="20" w:hanging="433"/>
        <w:spacing w:after="0" w:line="281"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Board has determined that Ms. Detrick, Ms. Harford, Mr. Leenaars, Ms. Serra, and Mr. Shepherd are “audit committee financial experts” under the applicable Securities and Exchange Commission (“SEC”) rules based on their experience and qualifications.</w:t>
      </w:r>
    </w:p>
    <w:p>
      <w:pPr>
        <w:spacing w:after="0" w:line="64" w:lineRule="exact"/>
        <w:rPr>
          <w:rFonts w:ascii="Arial" w:cs="Arial" w:eastAsia="Arial" w:hAnsi="Arial"/>
          <w:sz w:val="14"/>
          <w:szCs w:val="14"/>
          <w:color w:val="auto"/>
        </w:rPr>
      </w:pPr>
    </w:p>
    <w:p>
      <w:pPr>
        <w:jc w:val="both"/>
        <w:ind w:left="600" w:hanging="433"/>
        <w:spacing w:after="0" w:line="260" w:lineRule="auto"/>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Ms. Hackett will not stand for reelection and will retire from the Board, as Lead Independent Director of the Board, and the committees of the Board on which she serves effective May 8, 2026, in accordance with our Corporate Governance Guidelines. Upon Ms. Hackett’s retirement, the Board, on the recommendation of the Governance and Nominating Committee, intends to appoint Mr. Raskind as the Lead Independent Director and chair of the Governance and Nominating Committee.</w:t>
      </w:r>
    </w:p>
    <w:p>
      <w:pPr>
        <w:spacing w:after="0" w:line="78" w:lineRule="exact"/>
        <w:rPr>
          <w:rFonts w:ascii="Arial" w:cs="Arial" w:eastAsia="Arial" w:hAnsi="Arial"/>
          <w:sz w:val="14"/>
          <w:szCs w:val="14"/>
          <w:color w:val="auto"/>
        </w:rPr>
      </w:pPr>
    </w:p>
    <w:p>
      <w:pPr>
        <w:ind w:left="600" w:hanging="433"/>
        <w:spacing w:after="0"/>
        <w:tabs>
          <w:tab w:leader="none" w:pos="6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Maheras has decided to not stand for reelection and will retire from the Board and the committee on which he serves effective May 8, 2026.</w:t>
      </w:r>
    </w:p>
    <w:p>
      <w:pPr>
        <w:spacing w:after="0" w:line="30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Committee Membership Determinations</w:t>
      </w:r>
    </w:p>
    <w:p>
      <w:pPr>
        <w:spacing w:after="0" w:line="22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Annually, the Governance and Nominating Committee assesses and considers membership for each of the Board’s standing committees. This review takes into account, among other factors, committee needs, director experience, committee succession planning, and the desire to balance membership continuity with new perspectives.</w:t>
      </w:r>
    </w:p>
    <w:p>
      <w:pPr>
        <w:spacing w:after="0" w:line="17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Chair of the Governance and Nominating Committee facilitates discussions with management, committee chairs, the Chairman of the Board, and individual directors, as needed, and shares that feedback with the Governance and Nominating Committee. The Governance and Nominating Committee makes recommendations for committee membership and chairs to the full Board for review and approval at least annually.</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Committee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6929755" cy="33032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29755" cy="330327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45" w:lineRule="exact"/>
        <w:rPr>
          <w:sz w:val="20"/>
          <w:szCs w:val="20"/>
          <w:color w:val="auto"/>
        </w:rPr>
      </w:pPr>
    </w:p>
    <w:p>
      <w:pPr>
        <w:ind w:left="2040"/>
        <w:spacing w:after="0"/>
        <w:rPr>
          <w:sz w:val="20"/>
          <w:szCs w:val="20"/>
          <w:color w:val="auto"/>
        </w:rPr>
      </w:pPr>
      <w:r>
        <w:rPr>
          <w:rFonts w:ascii="Arial" w:cs="Arial" w:eastAsia="Arial" w:hAnsi="Arial"/>
          <w:sz w:val="21"/>
          <w:szCs w:val="21"/>
          <w:b w:val="1"/>
          <w:bCs w:val="1"/>
          <w:color w:val="FFFFFF"/>
        </w:rPr>
        <w:t>Audit Committee</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Primary Responsibilities:</w:t>
      </w:r>
    </w:p>
    <w:p>
      <w:pPr>
        <w:spacing w:after="0" w:line="60" w:lineRule="exact"/>
        <w:rPr>
          <w:sz w:val="20"/>
          <w:szCs w:val="20"/>
          <w:color w:val="auto"/>
        </w:rPr>
      </w:pPr>
    </w:p>
    <w:p>
      <w:pPr>
        <w:jc w:val="both"/>
        <w:ind w:left="480" w:hanging="313"/>
        <w:spacing w:after="0" w:line="249" w:lineRule="auto"/>
        <w:tabs>
          <w:tab w:leader="none" w:pos="480" w:val="left"/>
        </w:tabs>
        <w:numPr>
          <w:ilvl w:val="0"/>
          <w:numId w:val="53"/>
        </w:numPr>
        <w:rPr>
          <w:rFonts w:ascii="MS PGothic" w:cs="MS PGothic" w:eastAsia="MS PGothic" w:hAnsi="MS PGothic"/>
          <w:sz w:val="14"/>
          <w:szCs w:val="14"/>
          <w:color w:val="023C5B"/>
        </w:rPr>
      </w:pPr>
      <w:r>
        <w:rPr>
          <w:rFonts w:ascii="Arial" w:cs="Arial" w:eastAsia="Arial" w:hAnsi="Arial"/>
          <w:sz w:val="18"/>
          <w:szCs w:val="18"/>
          <w:color w:val="auto"/>
        </w:rPr>
        <w:t>Have direct responsibility for the appointment, compensation, qualifications, independence, performance, and retention of the Company’s independent registered public accounting firm</w:t>
      </w:r>
    </w:p>
    <w:p>
      <w:pPr>
        <w:spacing w:after="0" w:line="24" w:lineRule="exact"/>
        <w:rPr>
          <w:rFonts w:ascii="MS PGothic" w:cs="MS PGothic" w:eastAsia="MS PGothic" w:hAnsi="MS PGothic"/>
          <w:sz w:val="14"/>
          <w:szCs w:val="14"/>
          <w:color w:val="023C5B"/>
        </w:rPr>
      </w:pPr>
    </w:p>
    <w:p>
      <w:pPr>
        <w:jc w:val="both"/>
        <w:ind w:left="480" w:hanging="313"/>
        <w:spacing w:after="0" w:line="249" w:lineRule="auto"/>
        <w:tabs>
          <w:tab w:leader="none" w:pos="480" w:val="left"/>
        </w:tabs>
        <w:numPr>
          <w:ilvl w:val="0"/>
          <w:numId w:val="53"/>
        </w:numPr>
        <w:rPr>
          <w:rFonts w:ascii="MS PGothic" w:cs="MS PGothic" w:eastAsia="MS PGothic" w:hAnsi="MS PGothic"/>
          <w:sz w:val="14"/>
          <w:szCs w:val="14"/>
          <w:color w:val="023C5B"/>
        </w:rPr>
      </w:pPr>
      <w:r>
        <w:rPr>
          <w:rFonts w:ascii="Arial" w:cs="Arial" w:eastAsia="Arial" w:hAnsi="Arial"/>
          <w:sz w:val="18"/>
          <w:szCs w:val="18"/>
          <w:color w:val="auto"/>
        </w:rPr>
        <w:t>Assist our Board with the oversight of the integrity of the Company’s financial statements, including matters related to internal controls over financial reporting</w:t>
      </w:r>
    </w:p>
    <w:p>
      <w:pPr>
        <w:spacing w:after="0" w:line="24" w:lineRule="exact"/>
        <w:rPr>
          <w:rFonts w:ascii="MS PGothic" w:cs="MS PGothic" w:eastAsia="MS PGothic" w:hAnsi="MS PGothic"/>
          <w:sz w:val="14"/>
          <w:szCs w:val="14"/>
          <w:color w:val="023C5B"/>
        </w:rPr>
      </w:pPr>
    </w:p>
    <w:p>
      <w:pPr>
        <w:jc w:val="both"/>
        <w:ind w:left="480" w:hanging="313"/>
        <w:spacing w:after="0" w:line="249" w:lineRule="auto"/>
        <w:tabs>
          <w:tab w:leader="none" w:pos="480" w:val="left"/>
        </w:tabs>
        <w:numPr>
          <w:ilvl w:val="0"/>
          <w:numId w:val="53"/>
        </w:numPr>
        <w:rPr>
          <w:rFonts w:ascii="MS PGothic" w:cs="MS PGothic" w:eastAsia="MS PGothic" w:hAnsi="MS PGothic"/>
          <w:sz w:val="14"/>
          <w:szCs w:val="14"/>
          <w:color w:val="023C5B"/>
        </w:rPr>
      </w:pPr>
      <w:r>
        <w:rPr>
          <w:rFonts w:ascii="Arial" w:cs="Arial" w:eastAsia="Arial" w:hAnsi="Arial"/>
          <w:sz w:val="18"/>
          <w:szCs w:val="18"/>
          <w:color w:val="auto"/>
        </w:rPr>
        <w:t>Review and discuss with management their assessment of the effectiveness of the Company’s internal disclosure controls and procedures</w:t>
      </w:r>
    </w:p>
    <w:p>
      <w:pPr>
        <w:spacing w:after="0" w:line="24" w:lineRule="exact"/>
        <w:rPr>
          <w:rFonts w:ascii="MS PGothic" w:cs="MS PGothic" w:eastAsia="MS PGothic" w:hAnsi="MS PGothic"/>
          <w:sz w:val="14"/>
          <w:szCs w:val="14"/>
          <w:color w:val="023C5B"/>
        </w:rPr>
      </w:pPr>
    </w:p>
    <w:p>
      <w:pPr>
        <w:jc w:val="both"/>
        <w:ind w:left="480" w:hanging="313"/>
        <w:spacing w:after="0" w:line="249" w:lineRule="auto"/>
        <w:tabs>
          <w:tab w:leader="none" w:pos="480" w:val="left"/>
        </w:tabs>
        <w:numPr>
          <w:ilvl w:val="0"/>
          <w:numId w:val="53"/>
        </w:numPr>
        <w:rPr>
          <w:rFonts w:ascii="MS PGothic" w:cs="MS PGothic" w:eastAsia="MS PGothic" w:hAnsi="MS PGothic"/>
          <w:sz w:val="14"/>
          <w:szCs w:val="14"/>
          <w:color w:val="023C5B"/>
        </w:rPr>
      </w:pPr>
      <w:r>
        <w:rPr>
          <w:rFonts w:ascii="Arial" w:cs="Arial" w:eastAsia="Arial" w:hAnsi="Arial"/>
          <w:sz w:val="18"/>
          <w:szCs w:val="18"/>
          <w:color w:val="auto"/>
        </w:rPr>
        <w:t>Review and discuss with management (in consultation with the Risk Committee) the Company’s risk assessment and risk management matters</w:t>
      </w:r>
    </w:p>
    <w:p>
      <w:pPr>
        <w:spacing w:after="0" w:line="24" w:lineRule="exact"/>
        <w:rPr>
          <w:rFonts w:ascii="MS PGothic" w:cs="MS PGothic" w:eastAsia="MS PGothic" w:hAnsi="MS PGothic"/>
          <w:sz w:val="14"/>
          <w:szCs w:val="14"/>
          <w:color w:val="023C5B"/>
        </w:rPr>
      </w:pPr>
    </w:p>
    <w:p>
      <w:pPr>
        <w:ind w:left="480" w:hanging="313"/>
        <w:spacing w:after="0" w:line="265" w:lineRule="auto"/>
        <w:tabs>
          <w:tab w:leader="none" w:pos="480" w:val="left"/>
        </w:tabs>
        <w:numPr>
          <w:ilvl w:val="0"/>
          <w:numId w:val="53"/>
        </w:numPr>
        <w:rPr>
          <w:rFonts w:ascii="MS PGothic" w:cs="MS PGothic" w:eastAsia="MS PGothic" w:hAnsi="MS PGothic"/>
          <w:sz w:val="14"/>
          <w:szCs w:val="14"/>
          <w:color w:val="023C5B"/>
        </w:rPr>
      </w:pPr>
      <w:r>
        <w:rPr>
          <w:rFonts w:ascii="Arial" w:cs="Arial" w:eastAsia="Arial" w:hAnsi="Arial"/>
          <w:sz w:val="18"/>
          <w:szCs w:val="18"/>
          <w:color w:val="auto"/>
        </w:rPr>
        <w:t>Oversee the internal audit function, including the Chief Audit Officer’s performance, independence and compensation</w:t>
      </w:r>
    </w:p>
    <w:p>
      <w:pPr>
        <w:spacing w:after="0" w:line="10" w:lineRule="exact"/>
        <w:rPr>
          <w:rFonts w:ascii="MS PGothic" w:cs="MS PGothic" w:eastAsia="MS PGothic" w:hAnsi="MS PGothic"/>
          <w:sz w:val="14"/>
          <w:szCs w:val="14"/>
          <w:color w:val="023C5B"/>
        </w:rPr>
      </w:pPr>
    </w:p>
    <w:p>
      <w:pPr>
        <w:jc w:val="both"/>
        <w:ind w:left="480" w:hanging="313"/>
        <w:spacing w:after="0" w:line="249" w:lineRule="auto"/>
        <w:tabs>
          <w:tab w:leader="none" w:pos="480" w:val="left"/>
        </w:tabs>
        <w:numPr>
          <w:ilvl w:val="0"/>
          <w:numId w:val="53"/>
        </w:numPr>
        <w:rPr>
          <w:rFonts w:ascii="MS PGothic" w:cs="MS PGothic" w:eastAsia="MS PGothic" w:hAnsi="MS PGothic"/>
          <w:sz w:val="14"/>
          <w:szCs w:val="14"/>
          <w:color w:val="023C5B"/>
        </w:rPr>
      </w:pPr>
      <w:r>
        <w:rPr>
          <w:rFonts w:ascii="Arial" w:cs="Arial" w:eastAsia="Arial" w:hAnsi="Arial"/>
          <w:sz w:val="18"/>
          <w:szCs w:val="18"/>
          <w:color w:val="auto"/>
        </w:rPr>
        <w:t>Perform the fiduciary audit function as the audit committee of our national bank subsidiary in accordance with federal banking regulations</w:t>
      </w:r>
    </w:p>
    <w:p>
      <w:pPr>
        <w:spacing w:after="0" w:line="24" w:lineRule="exact"/>
        <w:rPr>
          <w:rFonts w:ascii="MS PGothic" w:cs="MS PGothic" w:eastAsia="MS PGothic" w:hAnsi="MS PGothic"/>
          <w:sz w:val="14"/>
          <w:szCs w:val="14"/>
          <w:color w:val="023C5B"/>
        </w:rPr>
      </w:pPr>
    </w:p>
    <w:p>
      <w:pPr>
        <w:jc w:val="both"/>
        <w:ind w:left="480" w:hanging="313"/>
        <w:spacing w:after="0" w:line="249" w:lineRule="auto"/>
        <w:tabs>
          <w:tab w:leader="none" w:pos="480" w:val="left"/>
        </w:tabs>
        <w:numPr>
          <w:ilvl w:val="0"/>
          <w:numId w:val="53"/>
        </w:numPr>
        <w:rPr>
          <w:rFonts w:ascii="MS PGothic" w:cs="MS PGothic" w:eastAsia="MS PGothic" w:hAnsi="MS PGothic"/>
          <w:sz w:val="14"/>
          <w:szCs w:val="14"/>
          <w:color w:val="023C5B"/>
        </w:rPr>
      </w:pPr>
      <w:r>
        <w:rPr>
          <w:rFonts w:ascii="Arial" w:cs="Arial" w:eastAsia="Arial" w:hAnsi="Arial"/>
          <w:sz w:val="18"/>
          <w:szCs w:val="18"/>
          <w:color w:val="auto"/>
        </w:rPr>
        <w:t>Review and recommend to the Board approval of the Company’s Code of Conduct, including any waivers of the Code of Conduct for directors and certain executive officers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1340"/>
        <w:spacing w:after="0"/>
        <w:rPr>
          <w:sz w:val="20"/>
          <w:szCs w:val="20"/>
          <w:color w:val="auto"/>
        </w:rPr>
      </w:pPr>
      <w:r>
        <w:rPr>
          <w:rFonts w:ascii="Arial" w:cs="Arial" w:eastAsia="Arial" w:hAnsi="Arial"/>
          <w:sz w:val="21"/>
          <w:szCs w:val="21"/>
          <w:b w:val="1"/>
          <w:bCs w:val="1"/>
          <w:color w:val="FFFFFF"/>
        </w:rPr>
        <w:t>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60" w:lineRule="exact"/>
        <w:rPr>
          <w:sz w:val="20"/>
          <w:szCs w:val="20"/>
          <w:color w:val="auto"/>
        </w:rPr>
      </w:pPr>
    </w:p>
    <w:p>
      <w:pPr>
        <w:jc w:val="both"/>
        <w:ind w:left="320" w:hanging="316"/>
        <w:spacing w:after="0" w:line="243" w:lineRule="auto"/>
        <w:tabs>
          <w:tab w:leader="none" w:pos="320" w:val="left"/>
        </w:tabs>
        <w:numPr>
          <w:ilvl w:val="0"/>
          <w:numId w:val="54"/>
        </w:numPr>
        <w:rPr>
          <w:rFonts w:ascii="MS PGothic" w:cs="MS PGothic" w:eastAsia="MS PGothic" w:hAnsi="MS PGothic"/>
          <w:sz w:val="14"/>
          <w:szCs w:val="14"/>
          <w:color w:val="023C5B"/>
        </w:rPr>
      </w:pPr>
      <w:r>
        <w:rPr>
          <w:rFonts w:ascii="Arial" w:cs="Arial" w:eastAsia="Arial" w:hAnsi="Arial"/>
          <w:sz w:val="18"/>
          <w:szCs w:val="18"/>
          <w:color w:val="auto"/>
        </w:rPr>
        <w:t>Evaluate, approve, and recommend to the Independent Directors the CEO’s and senior management’s compensation, including any salary levels, incentive awards, perquisites, and termination arrangements</w:t>
      </w:r>
    </w:p>
    <w:p>
      <w:pPr>
        <w:spacing w:after="0" w:line="31" w:lineRule="exact"/>
        <w:rPr>
          <w:rFonts w:ascii="MS PGothic" w:cs="MS PGothic" w:eastAsia="MS PGothic" w:hAnsi="MS PGothic"/>
          <w:sz w:val="14"/>
          <w:szCs w:val="14"/>
          <w:color w:val="023C5B"/>
        </w:rPr>
      </w:pPr>
    </w:p>
    <w:p>
      <w:pPr>
        <w:jc w:val="both"/>
        <w:ind w:left="320" w:hanging="316"/>
        <w:spacing w:after="0" w:line="238" w:lineRule="auto"/>
        <w:tabs>
          <w:tab w:leader="none" w:pos="320" w:val="left"/>
        </w:tabs>
        <w:numPr>
          <w:ilvl w:val="0"/>
          <w:numId w:val="54"/>
        </w:numPr>
        <w:rPr>
          <w:rFonts w:ascii="MS PGothic" w:cs="MS PGothic" w:eastAsia="MS PGothic" w:hAnsi="MS PGothic"/>
          <w:sz w:val="14"/>
          <w:szCs w:val="14"/>
          <w:color w:val="023C5B"/>
        </w:rPr>
      </w:pPr>
      <w:r>
        <w:rPr>
          <w:rFonts w:ascii="Arial" w:cs="Arial" w:eastAsia="Arial" w:hAnsi="Arial"/>
          <w:sz w:val="18"/>
          <w:szCs w:val="18"/>
          <w:color w:val="auto"/>
        </w:rPr>
        <w:t>Review and approve the Company’s goals and objectives relevant to compensation, and oversee the Company’s policies and programs relating to compensation and benefits available to senior management, and others who can expose the Company to material risk with a goal that such programs be designed and operated in a manner that achieves balance and is consistent with safety and soundness</w:t>
      </w:r>
    </w:p>
    <w:p>
      <w:pPr>
        <w:spacing w:after="0" w:line="34" w:lineRule="exact"/>
        <w:rPr>
          <w:rFonts w:ascii="MS PGothic" w:cs="MS PGothic" w:eastAsia="MS PGothic" w:hAnsi="MS PGothic"/>
          <w:sz w:val="14"/>
          <w:szCs w:val="14"/>
          <w:color w:val="023C5B"/>
        </w:rPr>
      </w:pPr>
    </w:p>
    <w:p>
      <w:pPr>
        <w:jc w:val="both"/>
        <w:ind w:left="320" w:hanging="316"/>
        <w:spacing w:after="0" w:line="243" w:lineRule="auto"/>
        <w:tabs>
          <w:tab w:leader="none" w:pos="320" w:val="left"/>
        </w:tabs>
        <w:numPr>
          <w:ilvl w:val="0"/>
          <w:numId w:val="54"/>
        </w:numPr>
        <w:rPr>
          <w:rFonts w:ascii="MS PGothic" w:cs="MS PGothic" w:eastAsia="MS PGothic" w:hAnsi="MS PGothic"/>
          <w:sz w:val="14"/>
          <w:szCs w:val="14"/>
          <w:color w:val="023C5B"/>
        </w:rPr>
      </w:pPr>
      <w:r>
        <w:rPr>
          <w:rFonts w:ascii="Arial" w:cs="Arial" w:eastAsia="Arial" w:hAnsi="Arial"/>
          <w:sz w:val="18"/>
          <w:szCs w:val="18"/>
          <w:color w:val="auto"/>
        </w:rPr>
        <w:t>Administer Capital One’s 2004 Stock Incentive Plan, the Legacy Discover 2023 Omnibus Incentive Plan, 2002 Associate Stock Purchase Plan, and other compensation and benefits plans</w:t>
      </w:r>
    </w:p>
    <w:p>
      <w:pPr>
        <w:spacing w:after="0" w:line="31" w:lineRule="exact"/>
        <w:rPr>
          <w:rFonts w:ascii="MS PGothic" w:cs="MS PGothic" w:eastAsia="MS PGothic" w:hAnsi="MS PGothic"/>
          <w:sz w:val="14"/>
          <w:szCs w:val="14"/>
          <w:color w:val="023C5B"/>
        </w:rPr>
      </w:pPr>
    </w:p>
    <w:p>
      <w:pPr>
        <w:ind w:left="320" w:hanging="316"/>
        <w:spacing w:after="0" w:line="265" w:lineRule="auto"/>
        <w:tabs>
          <w:tab w:leader="none" w:pos="320" w:val="left"/>
        </w:tabs>
        <w:numPr>
          <w:ilvl w:val="0"/>
          <w:numId w:val="54"/>
        </w:numPr>
        <w:rPr>
          <w:rFonts w:ascii="MS PGothic" w:cs="MS PGothic" w:eastAsia="MS PGothic" w:hAnsi="MS PGothic"/>
          <w:sz w:val="14"/>
          <w:szCs w:val="14"/>
          <w:color w:val="023C5B"/>
        </w:rPr>
      </w:pPr>
      <w:r>
        <w:rPr>
          <w:rFonts w:ascii="Arial" w:cs="Arial" w:eastAsia="Arial" w:hAnsi="Arial"/>
          <w:sz w:val="18"/>
          <w:szCs w:val="18"/>
          <w:color w:val="auto"/>
        </w:rPr>
        <w:t>Periodically review and recommend non-management director compensation to the Board</w:t>
      </w:r>
    </w:p>
    <w:p>
      <w:pPr>
        <w:spacing w:after="0" w:line="10" w:lineRule="exact"/>
        <w:rPr>
          <w:rFonts w:ascii="MS PGothic" w:cs="MS PGothic" w:eastAsia="MS PGothic" w:hAnsi="MS PGothic"/>
          <w:sz w:val="14"/>
          <w:szCs w:val="14"/>
          <w:color w:val="023C5B"/>
        </w:rPr>
      </w:pPr>
    </w:p>
    <w:p>
      <w:pPr>
        <w:ind w:left="320" w:hanging="316"/>
        <w:spacing w:after="0"/>
        <w:tabs>
          <w:tab w:leader="none" w:pos="320" w:val="left"/>
        </w:tabs>
        <w:numPr>
          <w:ilvl w:val="0"/>
          <w:numId w:val="54"/>
        </w:numPr>
        <w:rPr>
          <w:rFonts w:ascii="MS PGothic" w:cs="MS PGothic" w:eastAsia="MS PGothic" w:hAnsi="MS PGothic"/>
          <w:sz w:val="14"/>
          <w:szCs w:val="14"/>
          <w:color w:val="023C5B"/>
        </w:rPr>
      </w:pPr>
      <w:r>
        <w:rPr>
          <w:rFonts w:ascii="Arial" w:cs="Arial" w:eastAsia="Arial" w:hAnsi="Arial"/>
          <w:sz w:val="18"/>
          <w:szCs w:val="18"/>
          <w:color w:val="auto"/>
        </w:rPr>
        <w:t>Administer the Clawback Policy</w:t>
      </w:r>
    </w:p>
    <w:p>
      <w:pPr>
        <w:spacing w:after="0" w:line="667" w:lineRule="exact"/>
        <w:rPr>
          <w:sz w:val="20"/>
          <w:szCs w:val="20"/>
          <w:color w:val="auto"/>
        </w:rPr>
      </w:pPr>
    </w:p>
    <w:p>
      <w:pPr>
        <w:sectPr>
          <w:pgSz w:w="11900" w:h="16838" w:orient="portrait"/>
          <w:cols w:equalWidth="0" w:num="2">
            <w:col w:w="5600" w:space="140"/>
            <w:col w:w="5340"/>
          </w:cols>
          <w:pgMar w:left="320" w:top="478" w:right="499" w:bottom="1440" w:gutter="0" w:footer="0" w:header="0"/>
          <w:type w:val="continuous"/>
        </w:sect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44500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445008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43"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FFFFFF"/>
        </w:rPr>
        <w:t>Governance and Nominating Committee</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Primary Responsibilities:</w:t>
      </w:r>
    </w:p>
    <w:p>
      <w:pPr>
        <w:spacing w:after="0" w:line="60" w:lineRule="exact"/>
        <w:rPr>
          <w:sz w:val="20"/>
          <w:szCs w:val="20"/>
          <w:color w:val="auto"/>
        </w:rPr>
      </w:pPr>
    </w:p>
    <w:p>
      <w:pPr>
        <w:jc w:val="both"/>
        <w:ind w:left="480" w:hanging="313"/>
        <w:spacing w:after="0"/>
        <w:tabs>
          <w:tab w:leader="none" w:pos="480" w:val="left"/>
        </w:tabs>
        <w:numPr>
          <w:ilvl w:val="0"/>
          <w:numId w:val="55"/>
        </w:numPr>
        <w:rPr>
          <w:rFonts w:ascii="MS PGothic" w:cs="MS PGothic" w:eastAsia="MS PGothic" w:hAnsi="MS PGothic"/>
          <w:sz w:val="14"/>
          <w:szCs w:val="14"/>
          <w:color w:val="023C5B"/>
        </w:rPr>
      </w:pPr>
      <w:r>
        <w:rPr>
          <w:rFonts w:ascii="Arial" w:cs="Arial" w:eastAsia="Arial" w:hAnsi="Arial"/>
          <w:sz w:val="18"/>
          <w:szCs w:val="18"/>
          <w:color w:val="auto"/>
        </w:rPr>
        <w:t>Plan for director succession and assist our Board by identifying and recommending nominees for election to our Board and review the qualifications of potential Board members in light of the Company’s long-term strategy and evolving business environment</w:t>
      </w:r>
    </w:p>
    <w:p>
      <w:pPr>
        <w:spacing w:after="0" w:line="34" w:lineRule="exact"/>
        <w:rPr>
          <w:rFonts w:ascii="MS PGothic" w:cs="MS PGothic" w:eastAsia="MS PGothic" w:hAnsi="MS PGothic"/>
          <w:sz w:val="14"/>
          <w:szCs w:val="14"/>
          <w:color w:val="023C5B"/>
        </w:rPr>
      </w:pPr>
    </w:p>
    <w:p>
      <w:pPr>
        <w:ind w:left="480" w:hanging="313"/>
        <w:spacing w:after="0"/>
        <w:tabs>
          <w:tab w:leader="none" w:pos="480" w:val="left"/>
        </w:tabs>
        <w:numPr>
          <w:ilvl w:val="0"/>
          <w:numId w:val="55"/>
        </w:numPr>
        <w:rPr>
          <w:rFonts w:ascii="MS PGothic" w:cs="MS PGothic" w:eastAsia="MS PGothic" w:hAnsi="MS PGothic"/>
          <w:sz w:val="14"/>
          <w:szCs w:val="14"/>
          <w:color w:val="023C5B"/>
        </w:rPr>
      </w:pPr>
      <w:r>
        <w:rPr>
          <w:rFonts w:ascii="Arial" w:cs="Arial" w:eastAsia="Arial" w:hAnsi="Arial"/>
          <w:sz w:val="18"/>
          <w:szCs w:val="18"/>
          <w:color w:val="auto"/>
        </w:rPr>
        <w:t>Review and recommend committee membership</w:t>
      </w:r>
    </w:p>
    <w:p>
      <w:pPr>
        <w:spacing w:after="0" w:line="60" w:lineRule="exact"/>
        <w:rPr>
          <w:rFonts w:ascii="MS PGothic" w:cs="MS PGothic" w:eastAsia="MS PGothic" w:hAnsi="MS PGothic"/>
          <w:sz w:val="14"/>
          <w:szCs w:val="14"/>
          <w:color w:val="023C5B"/>
        </w:rPr>
      </w:pPr>
    </w:p>
    <w:p>
      <w:pPr>
        <w:jc w:val="both"/>
        <w:ind w:left="480" w:hanging="313"/>
        <w:spacing w:after="0" w:line="262" w:lineRule="auto"/>
        <w:tabs>
          <w:tab w:leader="none" w:pos="480" w:val="left"/>
        </w:tabs>
        <w:numPr>
          <w:ilvl w:val="0"/>
          <w:numId w:val="55"/>
        </w:numPr>
        <w:rPr>
          <w:rFonts w:ascii="MS PGothic" w:cs="MS PGothic" w:eastAsia="MS PGothic" w:hAnsi="MS PGothic"/>
          <w:sz w:val="13"/>
          <w:szCs w:val="13"/>
          <w:color w:val="023C5B"/>
        </w:rPr>
      </w:pPr>
      <w:r>
        <w:rPr>
          <w:rFonts w:ascii="Arial" w:cs="Arial" w:eastAsia="Arial" w:hAnsi="Arial"/>
          <w:sz w:val="17"/>
          <w:szCs w:val="17"/>
          <w:color w:val="auto"/>
        </w:rPr>
        <w:t>Review and reassess the adequacy of the Company’s Corporate Governance Guidelines and recommend any proposed changes to the Board for approval and oversee other corporate governance matters applicable to the Board and its committees</w:t>
      </w:r>
    </w:p>
    <w:p>
      <w:pPr>
        <w:spacing w:after="0" w:line="15" w:lineRule="exact"/>
        <w:rPr>
          <w:rFonts w:ascii="MS PGothic" w:cs="MS PGothic" w:eastAsia="MS PGothic" w:hAnsi="MS PGothic"/>
          <w:sz w:val="13"/>
          <w:szCs w:val="13"/>
          <w:color w:val="023C5B"/>
        </w:rPr>
      </w:pPr>
    </w:p>
    <w:p>
      <w:pPr>
        <w:jc w:val="both"/>
        <w:ind w:left="480" w:hanging="313"/>
        <w:spacing w:after="0" w:line="249" w:lineRule="auto"/>
        <w:tabs>
          <w:tab w:leader="none" w:pos="480" w:val="left"/>
        </w:tabs>
        <w:numPr>
          <w:ilvl w:val="0"/>
          <w:numId w:val="55"/>
        </w:numPr>
        <w:rPr>
          <w:rFonts w:ascii="MS PGothic" w:cs="MS PGothic" w:eastAsia="MS PGothic" w:hAnsi="MS PGothic"/>
          <w:sz w:val="14"/>
          <w:szCs w:val="14"/>
          <w:color w:val="023C5B"/>
        </w:rPr>
      </w:pPr>
      <w:r>
        <w:rPr>
          <w:rFonts w:ascii="Arial" w:cs="Arial" w:eastAsia="Arial" w:hAnsi="Arial"/>
          <w:sz w:val="18"/>
          <w:szCs w:val="18"/>
          <w:color w:val="auto"/>
        </w:rPr>
        <w:t>Oversee the Board and CEO’s annual evaluation process and periodically discuss the plan for the succession of the CEO and certain other key executives</w:t>
      </w:r>
    </w:p>
    <w:p>
      <w:pPr>
        <w:spacing w:after="0" w:line="24" w:lineRule="exact"/>
        <w:rPr>
          <w:rFonts w:ascii="MS PGothic" w:cs="MS PGothic" w:eastAsia="MS PGothic" w:hAnsi="MS PGothic"/>
          <w:sz w:val="14"/>
          <w:szCs w:val="14"/>
          <w:color w:val="023C5B"/>
        </w:rPr>
      </w:pPr>
    </w:p>
    <w:p>
      <w:pPr>
        <w:jc w:val="both"/>
        <w:ind w:left="480" w:hanging="313"/>
        <w:spacing w:after="0" w:line="249" w:lineRule="auto"/>
        <w:tabs>
          <w:tab w:leader="none" w:pos="480" w:val="left"/>
        </w:tabs>
        <w:numPr>
          <w:ilvl w:val="0"/>
          <w:numId w:val="55"/>
        </w:numPr>
        <w:rPr>
          <w:rFonts w:ascii="MS PGothic" w:cs="MS PGothic" w:eastAsia="MS PGothic" w:hAnsi="MS PGothic"/>
          <w:sz w:val="14"/>
          <w:szCs w:val="14"/>
          <w:color w:val="023C5B"/>
        </w:rPr>
      </w:pPr>
      <w:r>
        <w:rPr>
          <w:rFonts w:ascii="Arial" w:cs="Arial" w:eastAsia="Arial" w:hAnsi="Arial"/>
          <w:sz w:val="18"/>
          <w:szCs w:val="18"/>
          <w:color w:val="auto"/>
        </w:rPr>
        <w:t>Oversee management’s stockholder and other stakeholder engagement program and practices and evaluate stockholder proposals and other correspondence</w:t>
      </w:r>
    </w:p>
    <w:p>
      <w:pPr>
        <w:spacing w:after="0" w:line="24" w:lineRule="exact"/>
        <w:rPr>
          <w:rFonts w:ascii="MS PGothic" w:cs="MS PGothic" w:eastAsia="MS PGothic" w:hAnsi="MS PGothic"/>
          <w:sz w:val="14"/>
          <w:szCs w:val="14"/>
          <w:color w:val="023C5B"/>
        </w:rPr>
      </w:pPr>
    </w:p>
    <w:p>
      <w:pPr>
        <w:jc w:val="both"/>
        <w:ind w:left="480" w:hanging="313"/>
        <w:spacing w:after="0" w:line="249" w:lineRule="auto"/>
        <w:tabs>
          <w:tab w:leader="none" w:pos="480" w:val="left"/>
        </w:tabs>
        <w:numPr>
          <w:ilvl w:val="0"/>
          <w:numId w:val="55"/>
        </w:numPr>
        <w:rPr>
          <w:rFonts w:ascii="MS PGothic" w:cs="MS PGothic" w:eastAsia="MS PGothic" w:hAnsi="MS PGothic"/>
          <w:sz w:val="14"/>
          <w:szCs w:val="14"/>
          <w:color w:val="023C5B"/>
        </w:rPr>
      </w:pPr>
      <w:r>
        <w:rPr>
          <w:rFonts w:ascii="Arial" w:cs="Arial" w:eastAsia="Arial" w:hAnsi="Arial"/>
          <w:sz w:val="18"/>
          <w:szCs w:val="18"/>
          <w:color w:val="auto"/>
        </w:rPr>
        <w:t>Establish and oversee processes for annual individual director and Board assessments and oversee that committee chairs perform annual committee evaluations</w:t>
      </w:r>
    </w:p>
    <w:p>
      <w:pPr>
        <w:spacing w:after="0" w:line="24" w:lineRule="exact"/>
        <w:rPr>
          <w:rFonts w:ascii="MS PGothic" w:cs="MS PGothic" w:eastAsia="MS PGothic" w:hAnsi="MS PGothic"/>
          <w:sz w:val="14"/>
          <w:szCs w:val="14"/>
          <w:color w:val="023C5B"/>
        </w:rPr>
      </w:pPr>
    </w:p>
    <w:p>
      <w:pPr>
        <w:jc w:val="both"/>
        <w:ind w:left="480" w:hanging="313"/>
        <w:spacing w:after="0" w:line="249" w:lineRule="auto"/>
        <w:tabs>
          <w:tab w:leader="none" w:pos="480" w:val="left"/>
        </w:tabs>
        <w:numPr>
          <w:ilvl w:val="0"/>
          <w:numId w:val="55"/>
        </w:numPr>
        <w:rPr>
          <w:rFonts w:ascii="MS PGothic" w:cs="MS PGothic" w:eastAsia="MS PGothic" w:hAnsi="MS PGothic"/>
          <w:sz w:val="14"/>
          <w:szCs w:val="14"/>
          <w:color w:val="023C5B"/>
        </w:rPr>
      </w:pPr>
      <w:r>
        <w:rPr>
          <w:rFonts w:ascii="Arial" w:cs="Arial" w:eastAsia="Arial" w:hAnsi="Arial"/>
          <w:sz w:val="18"/>
          <w:szCs w:val="18"/>
          <w:color w:val="auto"/>
        </w:rPr>
        <w:t>Keep informed regarding external governance trends, including reviewing benchmarking research conducted by management and reporting from outside advisors</w:t>
      </w:r>
    </w:p>
    <w:p>
      <w:pPr>
        <w:spacing w:after="0" w:line="24" w:lineRule="exact"/>
        <w:rPr>
          <w:rFonts w:ascii="MS PGothic" w:cs="MS PGothic" w:eastAsia="MS PGothic" w:hAnsi="MS PGothic"/>
          <w:sz w:val="14"/>
          <w:szCs w:val="14"/>
          <w:color w:val="023C5B"/>
        </w:rPr>
      </w:pPr>
    </w:p>
    <w:p>
      <w:pPr>
        <w:ind w:left="480" w:hanging="313"/>
        <w:spacing w:after="0" w:line="265" w:lineRule="auto"/>
        <w:tabs>
          <w:tab w:leader="none" w:pos="480" w:val="left"/>
        </w:tabs>
        <w:numPr>
          <w:ilvl w:val="0"/>
          <w:numId w:val="55"/>
        </w:numPr>
        <w:rPr>
          <w:rFonts w:ascii="MS PGothic" w:cs="MS PGothic" w:eastAsia="MS PGothic" w:hAnsi="MS PGothic"/>
          <w:sz w:val="14"/>
          <w:szCs w:val="14"/>
          <w:color w:val="023C5B"/>
        </w:rPr>
      </w:pPr>
      <w:r>
        <w:rPr>
          <w:rFonts w:ascii="Arial" w:cs="Arial" w:eastAsia="Arial" w:hAnsi="Arial"/>
          <w:sz w:val="18"/>
          <w:szCs w:val="18"/>
          <w:color w:val="auto"/>
        </w:rPr>
        <w:t>Oversee the Company’s sustainability and social responsibility strategies and practices, as it determines appropriate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860"/>
        <w:spacing w:after="0"/>
        <w:rPr>
          <w:sz w:val="20"/>
          <w:szCs w:val="20"/>
          <w:color w:val="auto"/>
        </w:rPr>
      </w:pPr>
      <w:r>
        <w:rPr>
          <w:rFonts w:ascii="Arial" w:cs="Arial" w:eastAsia="Arial" w:hAnsi="Arial"/>
          <w:sz w:val="21"/>
          <w:szCs w:val="21"/>
          <w:b w:val="1"/>
          <w:bCs w:val="1"/>
          <w:color w:val="FFFFFF"/>
        </w:rPr>
        <w:t>Risk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60" w:lineRule="exact"/>
        <w:rPr>
          <w:sz w:val="20"/>
          <w:szCs w:val="20"/>
          <w:color w:val="auto"/>
        </w:rPr>
      </w:pPr>
    </w:p>
    <w:p>
      <w:pPr>
        <w:jc w:val="both"/>
        <w:ind w:left="320" w:hanging="316"/>
        <w:spacing w:after="0" w:line="238" w:lineRule="auto"/>
        <w:tabs>
          <w:tab w:leader="none" w:pos="320" w:val="left"/>
        </w:tabs>
        <w:numPr>
          <w:ilvl w:val="0"/>
          <w:numId w:val="56"/>
        </w:numPr>
        <w:rPr>
          <w:rFonts w:ascii="MS PGothic" w:cs="MS PGothic" w:eastAsia="MS PGothic" w:hAnsi="MS PGothic"/>
          <w:sz w:val="14"/>
          <w:szCs w:val="14"/>
          <w:color w:val="023C5B"/>
        </w:rPr>
      </w:pPr>
      <w:r>
        <w:rPr>
          <w:rFonts w:ascii="Arial" w:cs="Arial" w:eastAsia="Arial" w:hAnsi="Arial"/>
          <w:sz w:val="18"/>
          <w:szCs w:val="18"/>
          <w:color w:val="auto"/>
        </w:rPr>
        <w:t>Assist our Board with oversight of the Company’s enterprise-wide risk management framework, including policies and practices established by management to identify, assess, measure, and manage key risks facing the Company across all of the Company’s risk categories (strategic, compliance, operational, reputation, credit, market, and liquidity risk) and emerging risks</w:t>
      </w:r>
    </w:p>
    <w:p>
      <w:pPr>
        <w:spacing w:after="0" w:line="34" w:lineRule="exact"/>
        <w:rPr>
          <w:rFonts w:ascii="MS PGothic" w:cs="MS PGothic" w:eastAsia="MS PGothic" w:hAnsi="MS PGothic"/>
          <w:sz w:val="14"/>
          <w:szCs w:val="14"/>
          <w:color w:val="023C5B"/>
        </w:rPr>
      </w:pPr>
    </w:p>
    <w:p>
      <w:pPr>
        <w:jc w:val="both"/>
        <w:ind w:left="320" w:hanging="316"/>
        <w:spacing w:after="0" w:line="243" w:lineRule="auto"/>
        <w:tabs>
          <w:tab w:leader="none" w:pos="320" w:val="left"/>
        </w:tabs>
        <w:numPr>
          <w:ilvl w:val="0"/>
          <w:numId w:val="56"/>
        </w:numPr>
        <w:rPr>
          <w:rFonts w:ascii="MS PGothic" w:cs="MS PGothic" w:eastAsia="MS PGothic" w:hAnsi="MS PGothic"/>
          <w:sz w:val="14"/>
          <w:szCs w:val="14"/>
          <w:color w:val="023C5B"/>
        </w:rPr>
      </w:pPr>
      <w:r>
        <w:rPr>
          <w:rFonts w:ascii="Arial" w:cs="Arial" w:eastAsia="Arial" w:hAnsi="Arial"/>
          <w:sz w:val="18"/>
          <w:szCs w:val="18"/>
          <w:color w:val="auto"/>
        </w:rPr>
        <w:t>Discuss with management the enterprise’s risk appetite and tolerance, and at least annually recommend to the full Board the statement of risk appetite and tolerance to be communicated throughout the Company</w:t>
      </w:r>
    </w:p>
    <w:p>
      <w:pPr>
        <w:spacing w:after="0" w:line="31" w:lineRule="exact"/>
        <w:rPr>
          <w:rFonts w:ascii="MS PGothic" w:cs="MS PGothic" w:eastAsia="MS PGothic" w:hAnsi="MS PGothic"/>
          <w:sz w:val="14"/>
          <w:szCs w:val="14"/>
          <w:color w:val="023C5B"/>
        </w:rPr>
      </w:pPr>
    </w:p>
    <w:p>
      <w:pPr>
        <w:ind w:left="320" w:hanging="316"/>
        <w:spacing w:after="0" w:line="265" w:lineRule="auto"/>
        <w:tabs>
          <w:tab w:leader="none" w:pos="320" w:val="left"/>
        </w:tabs>
        <w:numPr>
          <w:ilvl w:val="0"/>
          <w:numId w:val="56"/>
        </w:numPr>
        <w:rPr>
          <w:rFonts w:ascii="MS PGothic" w:cs="MS PGothic" w:eastAsia="MS PGothic" w:hAnsi="MS PGothic"/>
          <w:sz w:val="14"/>
          <w:szCs w:val="14"/>
          <w:color w:val="023C5B"/>
        </w:rPr>
      </w:pPr>
      <w:r>
        <w:rPr>
          <w:rFonts w:ascii="Arial" w:cs="Arial" w:eastAsia="Arial" w:hAnsi="Arial"/>
          <w:sz w:val="18"/>
          <w:szCs w:val="18"/>
          <w:color w:val="auto"/>
        </w:rPr>
        <w:t>Review and approve annually the credit review plans and policies, and any significant changes to such plans</w:t>
      </w:r>
    </w:p>
    <w:p>
      <w:pPr>
        <w:spacing w:after="0" w:line="10" w:lineRule="exact"/>
        <w:rPr>
          <w:rFonts w:ascii="MS PGothic" w:cs="MS PGothic" w:eastAsia="MS PGothic" w:hAnsi="MS PGothic"/>
          <w:sz w:val="14"/>
          <w:szCs w:val="14"/>
          <w:color w:val="023C5B"/>
        </w:rPr>
      </w:pPr>
    </w:p>
    <w:p>
      <w:pPr>
        <w:jc w:val="both"/>
        <w:ind w:left="320" w:hanging="316"/>
        <w:spacing w:after="0" w:line="239" w:lineRule="auto"/>
        <w:tabs>
          <w:tab w:leader="none" w:pos="320" w:val="left"/>
        </w:tabs>
        <w:numPr>
          <w:ilvl w:val="0"/>
          <w:numId w:val="56"/>
        </w:numPr>
        <w:rPr>
          <w:rFonts w:ascii="MS PGothic" w:cs="MS PGothic" w:eastAsia="MS PGothic" w:hAnsi="MS PGothic"/>
          <w:sz w:val="14"/>
          <w:szCs w:val="14"/>
          <w:color w:val="023C5B"/>
        </w:rPr>
      </w:pPr>
      <w:r>
        <w:rPr>
          <w:rFonts w:ascii="Arial" w:cs="Arial" w:eastAsia="Arial" w:hAnsi="Arial"/>
          <w:sz w:val="18"/>
          <w:szCs w:val="18"/>
          <w:color w:val="auto"/>
        </w:rPr>
        <w:t>Review and recommend to the Board the Company’s liquidity risk tolerance at least annually, taking into account the Company’s capital structure, risk profile, complexity, activities, and size. Senior management reports to the Risk Committee or the Board regarding the Company’s liquidity risk profile and liquidity risk tolerance at least quarterly</w:t>
      </w:r>
    </w:p>
    <w:p>
      <w:pPr>
        <w:spacing w:after="0" w:line="33" w:lineRule="exact"/>
        <w:rPr>
          <w:rFonts w:ascii="MS PGothic" w:cs="MS PGothic" w:eastAsia="MS PGothic" w:hAnsi="MS PGothic"/>
          <w:sz w:val="14"/>
          <w:szCs w:val="14"/>
          <w:color w:val="023C5B"/>
        </w:rPr>
      </w:pPr>
    </w:p>
    <w:p>
      <w:pPr>
        <w:jc w:val="both"/>
        <w:ind w:left="320" w:hanging="316"/>
        <w:spacing w:after="0"/>
        <w:tabs>
          <w:tab w:leader="none" w:pos="320" w:val="left"/>
        </w:tabs>
        <w:numPr>
          <w:ilvl w:val="0"/>
          <w:numId w:val="56"/>
        </w:numPr>
        <w:rPr>
          <w:rFonts w:ascii="MS PGothic" w:cs="MS PGothic" w:eastAsia="MS PGothic" w:hAnsi="MS PGothic"/>
          <w:sz w:val="14"/>
          <w:szCs w:val="14"/>
          <w:color w:val="023C5B"/>
        </w:rPr>
      </w:pPr>
      <w:r>
        <w:rPr>
          <w:rFonts w:ascii="Arial" w:cs="Arial" w:eastAsia="Arial" w:hAnsi="Arial"/>
          <w:sz w:val="18"/>
          <w:szCs w:val="18"/>
          <w:color w:val="auto"/>
        </w:rPr>
        <w:t>Receive and review management reports regarding the Company’s technology and cyber risk profile, top technology and cyber risks, enterprise cyber program, key enterprise cyber initiatives, and any significant cyber incidents impacting the Company</w:t>
      </w:r>
    </w:p>
    <w:p>
      <w:pPr>
        <w:spacing w:after="0" w:line="34" w:lineRule="exact"/>
        <w:rPr>
          <w:rFonts w:ascii="MS PGothic" w:cs="MS PGothic" w:eastAsia="MS PGothic" w:hAnsi="MS PGothic"/>
          <w:sz w:val="14"/>
          <w:szCs w:val="14"/>
          <w:color w:val="023C5B"/>
        </w:rPr>
      </w:pPr>
    </w:p>
    <w:p>
      <w:pPr>
        <w:ind w:left="320" w:hanging="316"/>
        <w:spacing w:after="0" w:line="265" w:lineRule="auto"/>
        <w:tabs>
          <w:tab w:leader="none" w:pos="320" w:val="left"/>
        </w:tabs>
        <w:numPr>
          <w:ilvl w:val="0"/>
          <w:numId w:val="56"/>
        </w:numPr>
        <w:rPr>
          <w:rFonts w:ascii="MS PGothic" w:cs="MS PGothic" w:eastAsia="MS PGothic" w:hAnsi="MS PGothic"/>
          <w:sz w:val="14"/>
          <w:szCs w:val="14"/>
          <w:color w:val="023C5B"/>
        </w:rPr>
      </w:pPr>
      <w:r>
        <w:rPr>
          <w:rFonts w:ascii="Arial" w:cs="Arial" w:eastAsia="Arial" w:hAnsi="Arial"/>
          <w:sz w:val="18"/>
          <w:szCs w:val="18"/>
          <w:color w:val="auto"/>
        </w:rPr>
        <w:t>Review and recommend to the Board the Company’s resolution and recovery plans at least annually</w:t>
      </w:r>
    </w:p>
    <w:p>
      <w:pPr>
        <w:spacing w:after="0" w:line="10" w:lineRule="exact"/>
        <w:rPr>
          <w:rFonts w:ascii="MS PGothic" w:cs="MS PGothic" w:eastAsia="MS PGothic" w:hAnsi="MS PGothic"/>
          <w:sz w:val="14"/>
          <w:szCs w:val="14"/>
          <w:color w:val="023C5B"/>
        </w:rPr>
      </w:pPr>
    </w:p>
    <w:p>
      <w:pPr>
        <w:jc w:val="both"/>
        <w:ind w:left="320" w:hanging="316"/>
        <w:spacing w:after="0" w:line="249" w:lineRule="auto"/>
        <w:tabs>
          <w:tab w:leader="none" w:pos="320" w:val="left"/>
        </w:tabs>
        <w:numPr>
          <w:ilvl w:val="0"/>
          <w:numId w:val="56"/>
        </w:numPr>
        <w:rPr>
          <w:rFonts w:ascii="MS PGothic" w:cs="MS PGothic" w:eastAsia="MS PGothic" w:hAnsi="MS PGothic"/>
          <w:sz w:val="14"/>
          <w:szCs w:val="14"/>
          <w:color w:val="023C5B"/>
        </w:rPr>
      </w:pPr>
      <w:r>
        <w:rPr>
          <w:rFonts w:ascii="Arial" w:cs="Arial" w:eastAsia="Arial" w:hAnsi="Arial"/>
          <w:sz w:val="18"/>
          <w:szCs w:val="18"/>
          <w:color w:val="auto"/>
        </w:rPr>
        <w:t>Annually review the performance of the Chief Risk Officers and approve the compensation and any salary adjustment of the Chief Risk Officers</w:t>
      </w:r>
    </w:p>
    <w:p>
      <w:pPr>
        <w:spacing w:after="0" w:line="172" w:lineRule="exact"/>
        <w:rPr>
          <w:sz w:val="20"/>
          <w:szCs w:val="20"/>
          <w:color w:val="auto"/>
        </w:rPr>
      </w:pPr>
    </w:p>
    <w:p>
      <w:pPr>
        <w:sectPr>
          <w:pgSz w:w="11900" w:h="16838" w:orient="portrait"/>
          <w:cols w:equalWidth="0" w:num="2">
            <w:col w:w="5600" w:space="140"/>
            <w:col w:w="5340"/>
          </w:cols>
          <w:pgMar w:left="320" w:top="478" w:right="499" w:bottom="1440" w:gutter="0" w:footer="0" w:header="0"/>
          <w:type w:val="continuous"/>
        </w:sectPr>
      </w:pPr>
    </w:p>
    <w:p>
      <w:pPr>
        <w:jc w:val="both"/>
        <w:ind w:left="160"/>
        <w:spacing w:after="0" w:line="265" w:lineRule="auto"/>
        <w:rPr>
          <w:sz w:val="20"/>
          <w:szCs w:val="20"/>
          <w:color w:val="auto"/>
        </w:rPr>
      </w:pPr>
      <w:r>
        <w:rPr>
          <w:rFonts w:ascii="Arial" w:cs="Arial" w:eastAsia="Arial" w:hAnsi="Arial"/>
          <w:sz w:val="18"/>
          <w:szCs w:val="18"/>
          <w:color w:val="auto"/>
        </w:rPr>
        <w:t>The Charters of the Audit, Compensation, Governance and Nominating, and Risk Committees are available on our website at www.capitalone.com, under “Investors,” then “Governance &amp; Leadership,” then “Board of Directors and Committee Documents.”</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Compensation Committee Consultant</w:t>
      </w:r>
    </w:p>
    <w:p>
      <w:pPr>
        <w:spacing w:after="0" w:line="22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Compensation Committee has the authority to retain and terminate legal counsel and other consultants and to approve such consultants’ fees and other retention terms. The Compensation Committee has retained the services of Frederic W. Cook &amp; Co., Inc. (“FW Cook”), an independent executive compensation consulting firm. FW Cook reports to the Compensation Committee and its engagement may be terminated by the Compensation Committee at any time.</w:t>
      </w:r>
    </w:p>
    <w:p>
      <w:pPr>
        <w:spacing w:after="0" w:line="111"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46"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Compensation Committee determines the scope and nature of FW Cook’s assignments. In 2025, FW Cook performed the following work for the Compensation Committee:</w:t>
      </w:r>
    </w:p>
    <w:p>
      <w:pPr>
        <w:spacing w:after="0" w:line="185" w:lineRule="exact"/>
        <w:rPr>
          <w:sz w:val="20"/>
          <w:szCs w:val="20"/>
          <w:color w:val="auto"/>
        </w:rPr>
      </w:pPr>
    </w:p>
    <w:p>
      <w:pPr>
        <w:ind w:left="1020" w:hanging="425"/>
        <w:spacing w:after="0" w:line="210" w:lineRule="auto"/>
        <w:tabs>
          <w:tab w:leader="none" w:pos="1020" w:val="left"/>
        </w:tabs>
        <w:numPr>
          <w:ilvl w:val="0"/>
          <w:numId w:val="5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Provided independent competitive market data and advice related to the compensation for the CEO and the other executive officers, including the evaluation of the Company’s peer comparator group used for competitive analyses</w:t>
      </w:r>
    </w:p>
    <w:p>
      <w:pPr>
        <w:spacing w:after="0" w:line="207"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5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Reviewed management-provided market data and recommendations on the design of compensation programs for senior executives other than the CEO</w:t>
      </w:r>
    </w:p>
    <w:p>
      <w:pPr>
        <w:spacing w:after="0" w:line="207"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5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Reviewed the Company’s executive compensation levels, performance, and the design of incentive programs for the CEO and the other executive officers</w:t>
      </w:r>
    </w:p>
    <w:p>
      <w:pPr>
        <w:spacing w:after="0" w:line="207"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5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Reviewed the Company’s non-management director compensation program and provided competitive compensation data and director compensation program recommendations for review and consideration</w:t>
      </w:r>
    </w:p>
    <w:p>
      <w:pPr>
        <w:spacing w:after="0" w:line="207"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5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Provided information on executive and director compensation trends and industry benchmarking and analyses of the implications of such trends for the Company</w:t>
      </w:r>
    </w:p>
    <w:p>
      <w:pPr>
        <w:spacing w:after="0" w:line="207"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5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Provided market data and advice on compensation practices related to transformational acquisition activity in connection with the Discover Transaction</w:t>
      </w:r>
    </w:p>
    <w:p>
      <w:pPr>
        <w:spacing w:after="0" w:line="180"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Consultants from FW Cook typically attend Compensation Committee meetings and executive sessions of the Compensation Committee upon request of the Chair of the Compensation Committee, including meetings held jointly with the Independent Directors to review or approve the compensation for the CEO and the other executive officers and to provide an independent perspective regarding such compensation practices.</w:t>
      </w:r>
    </w:p>
    <w:p>
      <w:pPr>
        <w:spacing w:after="0" w:line="17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FW Cook does not provide any additional services to the Company or its management other than the services provided to the Compensation Committee. The Compensation Committee has considered factors relevant to FW Cook’s independence from management under SEC and NYSE rules and has determined that FW Cook is independent from management.</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Executive Officers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individuals serve as the Company’s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7219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29755" cy="72199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78"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23C5B"/>
        </w:rPr>
        <w:t xml:space="preserve"> Robert M. Alexander    </w:t>
      </w:r>
    </w:p>
    <w:p>
      <w:pPr>
        <w:spacing w:after="0" w:line="234" w:lineRule="exact"/>
        <w:rPr>
          <w:sz w:val="20"/>
          <w:szCs w:val="20"/>
          <w:color w:val="auto"/>
        </w:rPr>
      </w:pPr>
    </w:p>
    <w:p>
      <w:pPr>
        <w:ind w:left="160" w:right="580"/>
        <w:spacing w:after="0" w:line="434" w:lineRule="auto"/>
        <w:rPr>
          <w:sz w:val="20"/>
          <w:szCs w:val="20"/>
          <w:color w:val="auto"/>
        </w:rPr>
      </w:pPr>
      <w:r>
        <w:rPr>
          <w:rFonts w:ascii="Arial" w:cs="Arial" w:eastAsia="Arial" w:hAnsi="Arial"/>
          <w:sz w:val="16"/>
          <w:szCs w:val="16"/>
          <w:i w:val="1"/>
          <w:iCs w:val="1"/>
          <w:color w:val="auto"/>
        </w:rPr>
        <w:t> Chief Information Officer  Age: 61</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Alexander has served as our Chief Information Officer since May 2007, and is responsible for overseeing all technology activities for Capital One. Mr. Alexander joined Capital One in April 1998. From April 1998 to May 2007, Mr. Alexander had responsibility at various times for a number of Capital One’s lending businesses, including the U.S. consumer credit card and installment loan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34290</wp:posOffset>
            </wp:positionV>
            <wp:extent cx="6929755" cy="9086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908685"/>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2520" w:space="720"/>
            <w:col w:w="78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20"/>
          <w:szCs w:val="20"/>
          <w:b w:val="1"/>
          <w:bCs w:val="1"/>
          <w:i w:val="1"/>
          <w:iCs w:val="1"/>
          <w:color w:val="023C5B"/>
        </w:rPr>
        <w:t xml:space="preserve"> Neal A. Blinde              </w:t>
      </w:r>
    </w:p>
    <w:p>
      <w:pPr>
        <w:spacing w:after="0" w:line="234" w:lineRule="exact"/>
        <w:rPr>
          <w:sz w:val="20"/>
          <w:szCs w:val="20"/>
          <w:color w:val="auto"/>
        </w:rPr>
      </w:pPr>
    </w:p>
    <w:p>
      <w:pPr>
        <w:ind w:left="160" w:right="80"/>
        <w:spacing w:after="0" w:line="434" w:lineRule="auto"/>
        <w:rPr>
          <w:sz w:val="20"/>
          <w:szCs w:val="20"/>
          <w:color w:val="auto"/>
        </w:rPr>
      </w:pPr>
      <w:r>
        <w:rPr>
          <w:rFonts w:ascii="Arial" w:cs="Arial" w:eastAsia="Arial" w:hAnsi="Arial"/>
          <w:sz w:val="16"/>
          <w:szCs w:val="16"/>
          <w:i w:val="1"/>
          <w:iCs w:val="1"/>
          <w:color w:val="auto"/>
        </w:rPr>
        <w:t> President, Commercial Banking  Age: 53</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Arial" w:cs="Arial" w:eastAsia="Arial" w:hAnsi="Arial"/>
          <w:sz w:val="18"/>
          <w:szCs w:val="18"/>
          <w:color w:val="auto"/>
        </w:rPr>
        <w:t>Mr. Blinde has served as our President, Commercial Banking since March 2022, and is responsible for leading all aspects of Commercial Banking, including Corporate Banking, Commercial Real Estate Banking, Capital Markets, Treasury Services, and all related operations. Prior to joining Capital One, Mr. Blinde served in various leadership roles at Wells Fargo &amp; Company, a financial services company, most recently serving as Executive Vice President and Treasurer from October 2015 to December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33655</wp:posOffset>
            </wp:positionV>
            <wp:extent cx="69297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2520" w:space="720"/>
            <w:col w:w="7840"/>
          </w:cols>
          <w:pgMar w:left="320" w:top="478" w:right="499" w:bottom="1440" w:gutter="0" w:footer="0" w:header="0"/>
          <w:type w:val="continuous"/>
        </w:sect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13589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29755" cy="13589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10"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023C5B"/>
        </w:rPr>
        <w:t> Matthew W. Cooper     </w:t>
      </w:r>
    </w:p>
    <w:p>
      <w:pPr>
        <w:spacing w:after="0" w:line="269"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i w:val="1"/>
          <w:iCs w:val="1"/>
          <w:color w:val="auto"/>
        </w:rPr>
        <w:t>General Counsel and Corporate Secretary; President, Discover Integration</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Age: 54</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Mr. Cooper has served as our General Counsel since February 2018, and assumed the additional roles of Corporate Secretary in March 2022, and President, Discover Integration in May 2025. He is responsible for overseeing Capital One’s Legal Department, Board of Directors, and Senior Executive governance processes. In addition, in his role as President, Discover Integration, Mr. Cooper leads all continuing integration matters across the organization relating to Discover. In February 2024, Mr. Cooper was named Integration Executive Officer for Capital One’s acquisition of Discover. Mr. Cooper joined Capital One in January 2009 and has served in various positions, including as Chief Counsel, Legal from January 2016 to February 2018, as Chief Counsel, Global Card from July 2012 to January 2016, and as Chief Counsel, Litigation from January 2009 to February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35560</wp:posOffset>
            </wp:positionV>
            <wp:extent cx="6929755" cy="1417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9755" cy="14179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520" w:space="720"/>
            <w:col w:w="78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20"/>
          <w:szCs w:val="20"/>
          <w:b w:val="1"/>
          <w:bCs w:val="1"/>
          <w:i w:val="1"/>
          <w:iCs w:val="1"/>
          <w:color w:val="023C5B"/>
        </w:rPr>
        <w:t xml:space="preserve"> Lia N. Dean                  </w:t>
      </w:r>
    </w:p>
    <w:p>
      <w:pPr>
        <w:spacing w:after="0" w:line="234" w:lineRule="exact"/>
        <w:rPr>
          <w:sz w:val="20"/>
          <w:szCs w:val="20"/>
          <w:color w:val="auto"/>
        </w:rPr>
      </w:pPr>
    </w:p>
    <w:p>
      <w:pPr>
        <w:ind w:left="160"/>
        <w:spacing w:after="0" w:line="277" w:lineRule="auto"/>
        <w:rPr>
          <w:sz w:val="20"/>
          <w:szCs w:val="20"/>
          <w:color w:val="auto"/>
        </w:rPr>
      </w:pPr>
      <w:r>
        <w:rPr>
          <w:rFonts w:ascii="Arial" w:cs="Arial" w:eastAsia="Arial" w:hAnsi="Arial"/>
          <w:sz w:val="16"/>
          <w:szCs w:val="16"/>
          <w:i w:val="1"/>
          <w:iCs w:val="1"/>
          <w:color w:val="auto"/>
        </w:rPr>
        <w:t> President, Banking and Premium  Products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Age: 48</w:t>
      </w:r>
    </w:p>
    <w:p>
      <w:pPr>
        <w:spacing w:after="0" w:line="20" w:lineRule="exact"/>
        <w:rPr>
          <w:sz w:val="20"/>
          <w:szCs w:val="20"/>
          <w:color w:val="auto"/>
        </w:rPr>
      </w:pPr>
      <w:r>
        <w:rPr>
          <w:sz w:val="20"/>
          <w:szCs w:val="20"/>
          <w:color w:val="auto"/>
        </w:rPr>
        <w:br w:type="column"/>
      </w:r>
    </w:p>
    <w:p>
      <w:pPr>
        <w:jc w:val="both"/>
        <w:spacing w:after="0" w:line="236" w:lineRule="auto"/>
        <w:rPr>
          <w:sz w:val="20"/>
          <w:szCs w:val="20"/>
          <w:color w:val="auto"/>
        </w:rPr>
      </w:pPr>
      <w:r>
        <w:rPr>
          <w:rFonts w:ascii="Arial" w:cs="Arial" w:eastAsia="Arial" w:hAnsi="Arial"/>
          <w:sz w:val="18"/>
          <w:szCs w:val="18"/>
          <w:color w:val="auto"/>
        </w:rPr>
        <w:t>Ms. Dean has served as our President, Banking &amp; Premium Products since July 2022. Ms. Dean is responsible for leading Capital One’s Retail Bank strategy, customer experience and end-to-end operations. Ms. Dean also oversees Capital One’s premium cards, and its shopping and travel businesses. Ms. Dean joined Capital One in April 2014. From April 2014 to June 2018, Ms. Dean served as Senior Vice President, Strategy for Capital One’s Retail and Direct Bank businesses, where she led the national expansion of Capital One Cafés. From June 2018 to June 2020, Ms. Dean served as our Head of Bank Marketing and Retail; from June 2020 to November 2020, Ms. Dean served as Head of Upmarket, Card Customer Experience &amp; Bank Marketing; and from November 2020 until July 2022, Ms. Dean served as President, Retail Bank &amp; Premium Card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35560</wp:posOffset>
            </wp:positionV>
            <wp:extent cx="6929755" cy="1417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29755" cy="14179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540" w:space="700"/>
            <w:col w:w="78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20"/>
          <w:szCs w:val="20"/>
          <w:b w:val="1"/>
          <w:bCs w:val="1"/>
          <w:i w:val="1"/>
          <w:iCs w:val="1"/>
          <w:color w:val="023C5B"/>
        </w:rPr>
        <w:t xml:space="preserve"> Kaitlin Haggerty           </w:t>
      </w:r>
    </w:p>
    <w:p>
      <w:pPr>
        <w:spacing w:after="0" w:line="234" w:lineRule="exact"/>
        <w:rPr>
          <w:sz w:val="20"/>
          <w:szCs w:val="20"/>
          <w:color w:val="auto"/>
        </w:rPr>
      </w:pPr>
    </w:p>
    <w:p>
      <w:pPr>
        <w:ind w:left="160" w:right="60"/>
        <w:spacing w:after="0" w:line="434" w:lineRule="auto"/>
        <w:rPr>
          <w:sz w:val="20"/>
          <w:szCs w:val="20"/>
          <w:color w:val="auto"/>
        </w:rPr>
      </w:pPr>
      <w:r>
        <w:rPr>
          <w:rFonts w:ascii="Arial" w:cs="Arial" w:eastAsia="Arial" w:hAnsi="Arial"/>
          <w:sz w:val="16"/>
          <w:szCs w:val="16"/>
          <w:i w:val="1"/>
          <w:iCs w:val="1"/>
          <w:color w:val="auto"/>
        </w:rPr>
        <w:t> Chief Human Resources Officer  Age: 41</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Arial" w:cs="Arial" w:eastAsia="Arial" w:hAnsi="Arial"/>
          <w:sz w:val="17"/>
          <w:szCs w:val="17"/>
          <w:color w:val="auto"/>
        </w:rPr>
        <w:t>Ms. Haggerty has served as our Chief Human Resources Officer since February 2022, and is responsible for overseeing Capital One’s Human Resources department, including its strategy, recruitment efforts, and development programs. Ms. Haggerty joined Capital One in October 2017 as a Senior Director in Corporate Strategy. From October 2017 to June 2020, Ms. Haggerty served in roles of increasing responsibility, including roles as Vice President and then as Managing Vice President, in our Corporate Strategy Group, where she partnered with the Card leadership team on product and growth strategies. In June 2020, she became head of the Walmart Partnership and, from July 2020 to November 2021, led the Walmart Partnership program within our Card business. She then served as Senior Vice President of Human Resources from November 2021 until her appointment as Chief Human Resources Officer in February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29845</wp:posOffset>
            </wp:positionV>
            <wp:extent cx="6929755" cy="1036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1036320"/>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2520" w:space="720"/>
            <w:col w:w="78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7"/>
          <w:szCs w:val="17"/>
          <w:b w:val="1"/>
          <w:bCs w:val="1"/>
          <w:i w:val="1"/>
          <w:iCs w:val="1"/>
          <w:color w:val="023C5B"/>
        </w:rPr>
        <w:t> Jason Hanson             </w:t>
      </w:r>
    </w:p>
    <w:p>
      <w:pPr>
        <w:spacing w:after="0" w:line="269" w:lineRule="exact"/>
        <w:rPr>
          <w:sz w:val="20"/>
          <w:szCs w:val="20"/>
          <w:color w:val="auto"/>
        </w:rPr>
      </w:pPr>
    </w:p>
    <w:p>
      <w:pPr>
        <w:ind w:left="160" w:right="420"/>
        <w:spacing w:after="0" w:line="277" w:lineRule="auto"/>
        <w:rPr>
          <w:sz w:val="20"/>
          <w:szCs w:val="20"/>
          <w:color w:val="auto"/>
        </w:rPr>
      </w:pPr>
      <w:r>
        <w:rPr>
          <w:rFonts w:ascii="Arial" w:cs="Arial" w:eastAsia="Arial" w:hAnsi="Arial"/>
          <w:sz w:val="16"/>
          <w:szCs w:val="16"/>
          <w:i w:val="1"/>
          <w:iCs w:val="1"/>
          <w:color w:val="auto"/>
        </w:rPr>
        <w:t> President, Global Payment  Network</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Age: 47</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8"/>
          <w:szCs w:val="18"/>
          <w:color w:val="auto"/>
        </w:rPr>
        <w:t>Mr. Hanson has served as our President of Global Payment Network since May 2025, and is responsible for leading all aspects of our Global Payment Network, including Discover Network, PULSE, and Diners Club International, and all related operations. Mr. Hanson is the President and CEO of Discover Global Network and the Chairman of the PULSE and Diners Club International networks. Prior to joining Capital One, Mr. Hanson served in various leadership roles at Discover Financial Services from December 2019 until May 2025, most recently serving as Executive Vice President, Payment Services, from July 2023 to May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33655</wp:posOffset>
            </wp:positionV>
            <wp:extent cx="69297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7840"/>
          </w:cols>
          <w:pgMar w:left="320" w:top="478" w:right="499" w:bottom="1440" w:gutter="0" w:footer="0" w:header="0"/>
          <w:type w:val="continuous"/>
        </w:sectPr>
      </w:pPr>
    </w:p>
    <w:p>
      <w:pPr>
        <w:spacing w:after="0" w:line="75"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13589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29755" cy="13589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1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23C5B"/>
        </w:rPr>
        <w:t xml:space="preserve"> Celia S. Karam           </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President, Retail Bank</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Age: 47</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Ms. Karam has served as our President, Retail Bank since August 2022. Her organization is focused on building world-class products, capabilities, and customer experiences that drive business growth, inspire customer loyalty, and empower the financial well-being of customers. Ms. Karam joined Capital One in July 2006. From July 2006 to June 2018, Ms. Karam served in a variety of roles within Capital One’s Banking and Consumer Credit Card businesses. Key positions include Vice President of Consumer Lending to Retail Bank Customers from January 2012 to June 2013, Managing Vice President of Consumer Bank Products from July 2013 to December 2016, and Senior Vice President, Head of Small Business Banking from January 2017 to May 2018. Ms. Karam also served as the Company’s Chief Audit Officer from June 2018 to July 2021 and Chief Operating Officer, Card from August 2021 to August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35560</wp:posOffset>
            </wp:positionV>
            <wp:extent cx="6929755" cy="1163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29755" cy="116332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520" w:space="720"/>
            <w:col w:w="78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20"/>
          <w:szCs w:val="20"/>
          <w:b w:val="1"/>
          <w:bCs w:val="1"/>
          <w:i w:val="1"/>
          <w:iCs w:val="1"/>
          <w:color w:val="023C5B"/>
        </w:rPr>
        <w:t xml:space="preserve"> Frank G. LaPrade, III    </w:t>
      </w:r>
    </w:p>
    <w:p>
      <w:pPr>
        <w:spacing w:after="0" w:line="234" w:lineRule="exact"/>
        <w:rPr>
          <w:sz w:val="20"/>
          <w:szCs w:val="20"/>
          <w:color w:val="auto"/>
        </w:rPr>
      </w:pPr>
    </w:p>
    <w:p>
      <w:pPr>
        <w:ind w:left="160"/>
        <w:spacing w:after="0" w:line="277" w:lineRule="auto"/>
        <w:rPr>
          <w:sz w:val="20"/>
          <w:szCs w:val="20"/>
          <w:color w:val="auto"/>
        </w:rPr>
      </w:pPr>
      <w:r>
        <w:rPr>
          <w:rFonts w:ascii="Arial" w:cs="Arial" w:eastAsia="Arial" w:hAnsi="Arial"/>
          <w:sz w:val="16"/>
          <w:szCs w:val="16"/>
          <w:i w:val="1"/>
          <w:iCs w:val="1"/>
          <w:color w:val="auto"/>
        </w:rPr>
        <w:t> Chief Enterprise Services Officer  and Chief of Staff to the CEO</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Age: 59</w:t>
      </w:r>
    </w:p>
    <w:p>
      <w:pPr>
        <w:spacing w:after="0" w:line="20" w:lineRule="exact"/>
        <w:rPr>
          <w:sz w:val="20"/>
          <w:szCs w:val="20"/>
          <w:color w:val="auto"/>
        </w:rPr>
      </w:pPr>
      <w:r>
        <w:rPr>
          <w:sz w:val="20"/>
          <w:szCs w:val="20"/>
          <w:color w:val="auto"/>
        </w:rPr>
        <w:br w:type="column"/>
      </w:r>
    </w:p>
    <w:p>
      <w:pPr>
        <w:jc w:val="both"/>
        <w:spacing w:after="0" w:line="237" w:lineRule="auto"/>
        <w:rPr>
          <w:sz w:val="20"/>
          <w:szCs w:val="20"/>
          <w:color w:val="auto"/>
        </w:rPr>
      </w:pPr>
      <w:r>
        <w:rPr>
          <w:rFonts w:ascii="Arial" w:cs="Arial" w:eastAsia="Arial" w:hAnsi="Arial"/>
          <w:sz w:val="18"/>
          <w:szCs w:val="18"/>
          <w:color w:val="auto"/>
        </w:rPr>
        <w:t>Mr. LaPrade has served as our Chief Enterprise Services Officer since 2010 and Chief of Staff to the CEO since 2004, and is responsible for managing Enterprise Services for Capital One, including Technology, Enterprise Product Management, Design, Enterprise AI, Enterprise Data, Capital One Software, Growth Ventures, Brand, Enterprise Supplier Management, External Affairs, Workplace Solutions, and Corporate Security. Mr. LaPrade joined Capital One in February 1996. Since that time he has served in various positions, including as Capital One’s Deputy General Counsel from 1996 to 2004, responsible for managing the Company’s litigation, employment, intellectual property, and transactional practice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34925</wp:posOffset>
            </wp:positionV>
            <wp:extent cx="6929755" cy="1163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29755" cy="116332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520" w:space="720"/>
            <w:col w:w="78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19"/>
          <w:szCs w:val="19"/>
          <w:b w:val="1"/>
          <w:bCs w:val="1"/>
          <w:i w:val="1"/>
          <w:iCs w:val="1"/>
          <w:color w:val="023C5B"/>
        </w:rPr>
        <w:t> Mark Daniel Mouadeb</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 President, Card</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 Age: 42</w:t>
      </w:r>
    </w:p>
    <w:p>
      <w:pPr>
        <w:spacing w:after="0" w:line="20" w:lineRule="exact"/>
        <w:rPr>
          <w:sz w:val="20"/>
          <w:szCs w:val="20"/>
          <w:color w:val="auto"/>
        </w:rPr>
      </w:pPr>
      <w:r>
        <w:rPr>
          <w:sz w:val="20"/>
          <w:szCs w:val="20"/>
          <w:color w:val="auto"/>
        </w:rPr>
        <w:br w:type="column"/>
      </w:r>
    </w:p>
    <w:p>
      <w:pPr>
        <w:jc w:val="both"/>
        <w:spacing w:after="0" w:line="237" w:lineRule="auto"/>
        <w:rPr>
          <w:sz w:val="20"/>
          <w:szCs w:val="20"/>
          <w:color w:val="auto"/>
        </w:rPr>
      </w:pPr>
      <w:r>
        <w:rPr>
          <w:rFonts w:ascii="Arial" w:cs="Arial" w:eastAsia="Arial" w:hAnsi="Arial"/>
          <w:sz w:val="18"/>
          <w:szCs w:val="18"/>
          <w:color w:val="auto"/>
        </w:rPr>
        <w:t>Mr. Mouadeb has served as our President of Card since April 2025 and is responsible for leading our consumer credit card business in the United States, Canada, and the United Kingdom and our personal loan business in the United States. Mr. Mouadeb has been with Capital One since 2006, and he has served in a variety of roles at Capital One, most recently serving as our President of U.S. Card from July 2022 to March 2025, as Executive Vice President, Head of Core Consumer Card from February 2021 to June 2022, as Senior Vice President, Head of Mainstreet Card from July 2020 to January 2021, and as Senior Vice President, Head of Walmart Partnership from July 2018 to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34925</wp:posOffset>
            </wp:positionV>
            <wp:extent cx="6929755" cy="1163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29755" cy="116332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520" w:space="720"/>
            <w:col w:w="78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20"/>
          <w:szCs w:val="20"/>
          <w:b w:val="1"/>
          <w:bCs w:val="1"/>
          <w:i w:val="1"/>
          <w:iCs w:val="1"/>
          <w:color w:val="023C5B"/>
        </w:rPr>
        <w:t xml:space="preserve"> Ravi Raghu                 </w:t>
      </w:r>
    </w:p>
    <w:p>
      <w:pPr>
        <w:spacing w:after="0" w:line="234" w:lineRule="exact"/>
        <w:rPr>
          <w:sz w:val="20"/>
          <w:szCs w:val="20"/>
          <w:color w:val="auto"/>
        </w:rPr>
      </w:pPr>
    </w:p>
    <w:p>
      <w:pPr>
        <w:ind w:left="160" w:right="20" w:firstLine="40"/>
        <w:spacing w:after="0" w:line="434" w:lineRule="auto"/>
        <w:rPr>
          <w:sz w:val="20"/>
          <w:szCs w:val="20"/>
          <w:color w:val="auto"/>
        </w:rPr>
      </w:pPr>
      <w:r>
        <w:rPr>
          <w:rFonts w:ascii="Arial" w:cs="Arial" w:eastAsia="Arial" w:hAnsi="Arial"/>
          <w:sz w:val="16"/>
          <w:szCs w:val="16"/>
          <w:i w:val="1"/>
          <w:iCs w:val="1"/>
          <w:color w:val="auto"/>
        </w:rPr>
        <w:t>President, Capital One Software  Age: 47</w:t>
      </w:r>
    </w:p>
    <w:p>
      <w:pPr>
        <w:spacing w:after="0" w:line="20" w:lineRule="exact"/>
        <w:rPr>
          <w:sz w:val="20"/>
          <w:szCs w:val="20"/>
          <w:color w:val="auto"/>
        </w:rPr>
      </w:pPr>
      <w:r>
        <w:rPr>
          <w:sz w:val="20"/>
          <w:szCs w:val="20"/>
          <w:color w:val="auto"/>
        </w:rPr>
        <w:br w:type="column"/>
      </w:r>
    </w:p>
    <w:p>
      <w:pPr>
        <w:jc w:val="both"/>
        <w:spacing w:after="0" w:line="237" w:lineRule="auto"/>
        <w:rPr>
          <w:sz w:val="20"/>
          <w:szCs w:val="20"/>
          <w:color w:val="auto"/>
        </w:rPr>
      </w:pPr>
      <w:r>
        <w:rPr>
          <w:rFonts w:ascii="Arial" w:cs="Arial" w:eastAsia="Arial" w:hAnsi="Arial"/>
          <w:sz w:val="18"/>
          <w:szCs w:val="18"/>
          <w:color w:val="auto"/>
        </w:rPr>
        <w:t>Mr. Raghu has served as our President, Capital One Software since March 2026, after serving as our President, Capital One Software, International, and Business Cards &amp; Payments since July 2022. In his current role, Mr. Raghu is responsible for our enterprise B2B software business. Mr. Raghu began his professional career in Capital One’s Credit Card Division over 20 years ago as a business analyst and has served in a variety of leadership roles at Capital One, including as Executive Vice President, Head of Capital One Software from July 2021 to July 2022 and previously as Executive Vice President, Head of Dealer Auto Finance from March 2017 to July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34925</wp:posOffset>
            </wp:positionV>
            <wp:extent cx="6929755" cy="9086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29755" cy="90868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520" w:space="720"/>
            <w:col w:w="78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20"/>
          <w:szCs w:val="20"/>
          <w:b w:val="1"/>
          <w:bCs w:val="1"/>
          <w:i w:val="1"/>
          <w:iCs w:val="1"/>
          <w:color w:val="023C5B"/>
        </w:rPr>
        <w:t xml:space="preserve"> Kara West                 </w:t>
      </w:r>
    </w:p>
    <w:p>
      <w:pPr>
        <w:spacing w:after="0" w:line="234" w:lineRule="exact"/>
        <w:rPr>
          <w:sz w:val="20"/>
          <w:szCs w:val="20"/>
          <w:color w:val="auto"/>
        </w:rPr>
      </w:pPr>
    </w:p>
    <w:p>
      <w:pPr>
        <w:ind w:left="160" w:right="280" w:firstLine="40"/>
        <w:spacing w:after="0" w:line="434" w:lineRule="auto"/>
        <w:rPr>
          <w:sz w:val="20"/>
          <w:szCs w:val="20"/>
          <w:color w:val="auto"/>
        </w:rPr>
      </w:pPr>
      <w:r>
        <w:rPr>
          <w:rFonts w:ascii="Arial" w:cs="Arial" w:eastAsia="Arial" w:hAnsi="Arial"/>
          <w:sz w:val="16"/>
          <w:szCs w:val="16"/>
          <w:i w:val="1"/>
          <w:iCs w:val="1"/>
          <w:color w:val="auto"/>
        </w:rPr>
        <w:t>Chief Enterprise Risk Officer  Age: 52</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Arial" w:cs="Arial" w:eastAsia="Arial" w:hAnsi="Arial"/>
          <w:sz w:val="18"/>
          <w:szCs w:val="18"/>
          <w:color w:val="auto"/>
        </w:rPr>
        <w:t>Ms. West has served as our Chief Enterprise Risk Officer since September 2023, and is responsible for oversight of Capital One’s risk management activities in compliance, operational, reputation, and strategic risk, as well as the enterprise risk management function. Ms. West has been with Capital One since 2013, serving in a variety of roles, including previously serving as Senior Vice President and Card Chief Risk Officer from November 2017 to August 2021 and as Chief Audit Officer from August 2021 to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33655</wp:posOffset>
            </wp:positionV>
            <wp:extent cx="69297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7840"/>
          </w:cols>
          <w:pgMar w:left="320" w:top="478" w:right="499" w:bottom="1440" w:gutter="0" w:footer="0" w:header="0"/>
          <w:type w:val="continuous"/>
        </w:sectPr>
      </w:pPr>
    </w:p>
    <w:p>
      <w:pPr>
        <w:spacing w:after="0" w:line="67"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9766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29755" cy="97663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10"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023C5B"/>
        </w:rPr>
        <w:t xml:space="preserve"> Sanjiv Yajnik                  </w:t>
      </w:r>
    </w:p>
    <w:p>
      <w:pPr>
        <w:spacing w:after="0" w:line="234" w:lineRule="exact"/>
        <w:rPr>
          <w:sz w:val="20"/>
          <w:szCs w:val="20"/>
          <w:color w:val="auto"/>
        </w:rPr>
      </w:pPr>
    </w:p>
    <w:p>
      <w:pPr>
        <w:ind w:left="200" w:right="240"/>
        <w:spacing w:after="0" w:line="434" w:lineRule="auto"/>
        <w:rPr>
          <w:sz w:val="20"/>
          <w:szCs w:val="20"/>
          <w:color w:val="auto"/>
        </w:rPr>
      </w:pPr>
      <w:r>
        <w:rPr>
          <w:rFonts w:ascii="Arial" w:cs="Arial" w:eastAsia="Arial" w:hAnsi="Arial"/>
          <w:sz w:val="16"/>
          <w:szCs w:val="16"/>
          <w:i w:val="1"/>
          <w:iCs w:val="1"/>
          <w:color w:val="auto"/>
        </w:rPr>
        <w:t> President, Financial Services  Age: 69</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Mr. Yajnik has served as our President, Financial Services since June 2009, and is responsible for overseeing Capital One’s Auto Finance business, one of the largest auto lenders in the United States. Mr. Yajnik joined Capital One in July 1998 as our Head of Credit Risk Management. In July 1999, he became our first Head of Capital One Small Business Services and the leader of our Capital One Canada business. From August 2005 to January 2008, he served as Managing Director of Capital One Europe, before returning to the United States to join our Financial Services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33655</wp:posOffset>
            </wp:positionV>
            <wp:extent cx="6929755" cy="129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29755" cy="1290955"/>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2540" w:space="700"/>
            <w:col w:w="78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20"/>
          <w:szCs w:val="20"/>
          <w:b w:val="1"/>
          <w:bCs w:val="1"/>
          <w:i w:val="1"/>
          <w:iCs w:val="1"/>
          <w:color w:val="023C5B"/>
        </w:rPr>
        <w:t xml:space="preserve"> Andrew M. Young          </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Chief Financial Officer</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 Age: 51</w:t>
      </w:r>
    </w:p>
    <w:p>
      <w:pPr>
        <w:spacing w:after="0" w:line="20" w:lineRule="exact"/>
        <w:rPr>
          <w:sz w:val="20"/>
          <w:szCs w:val="20"/>
          <w:color w:val="auto"/>
        </w:rPr>
      </w:pPr>
      <w:r>
        <w:rPr>
          <w:sz w:val="20"/>
          <w:szCs w:val="20"/>
          <w:color w:val="auto"/>
        </w:rPr>
        <w:br w:type="column"/>
      </w:r>
    </w:p>
    <w:p>
      <w:pPr>
        <w:jc w:val="both"/>
        <w:spacing w:after="0" w:line="237" w:lineRule="auto"/>
        <w:rPr>
          <w:sz w:val="20"/>
          <w:szCs w:val="20"/>
          <w:color w:val="auto"/>
        </w:rPr>
      </w:pPr>
      <w:r>
        <w:rPr>
          <w:rFonts w:ascii="Arial" w:cs="Arial" w:eastAsia="Arial" w:hAnsi="Arial"/>
          <w:sz w:val="18"/>
          <w:szCs w:val="18"/>
          <w:color w:val="auto"/>
        </w:rPr>
        <w:t>Mr. Young has served as our Chief Financial Officer since March 2021, and is responsible for overseeing Capital One’s finance team and the overall financial management of the Company. Mr. Young joined Capital One in June 1996. Since that time, he has served in a variety of roles at Capital One. Most recently, he was Senior Vice President and Business Line Chief Financial Officer of the Company from April 2018 to February 2021. In this role, he was responsible for managing all lines of business chief financial officer teams as well as enterprise planning and budgeting. Mr. Young also served as the Chief Financial Officer of Capital One, National Association from July 2018 until February 2021. Prior to that, he served as Senior Vice President, Head of Corporate Planning and CFO of Infrastructure from January 2015 to April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33020</wp:posOffset>
            </wp:positionV>
            <wp:extent cx="6929755" cy="9086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29755" cy="90868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2520" w:space="720"/>
            <w:col w:w="78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20"/>
          <w:szCs w:val="20"/>
          <w:b w:val="1"/>
          <w:bCs w:val="1"/>
          <w:i w:val="1"/>
          <w:iCs w:val="1"/>
          <w:color w:val="023C5B"/>
        </w:rPr>
        <w:t xml:space="preserve"> Michael Zamsky          </w:t>
      </w:r>
    </w:p>
    <w:p>
      <w:pPr>
        <w:spacing w:after="0" w:line="234" w:lineRule="exact"/>
        <w:rPr>
          <w:sz w:val="20"/>
          <w:szCs w:val="20"/>
          <w:color w:val="auto"/>
        </w:rPr>
      </w:pPr>
    </w:p>
    <w:p>
      <w:pPr>
        <w:ind w:left="200" w:right="100"/>
        <w:spacing w:after="0" w:line="277" w:lineRule="auto"/>
        <w:rPr>
          <w:sz w:val="20"/>
          <w:szCs w:val="20"/>
          <w:color w:val="auto"/>
        </w:rPr>
      </w:pPr>
      <w:r>
        <w:rPr>
          <w:rFonts w:ascii="Arial" w:cs="Arial" w:eastAsia="Arial" w:hAnsi="Arial"/>
          <w:sz w:val="16"/>
          <w:szCs w:val="16"/>
          <w:i w:val="1"/>
          <w:iCs w:val="1"/>
          <w:color w:val="auto"/>
        </w:rPr>
        <w:t>Chief Credit and Financial Risk Officer</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 Age: 51</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Arial" w:cs="Arial" w:eastAsia="Arial" w:hAnsi="Arial"/>
          <w:sz w:val="18"/>
          <w:szCs w:val="18"/>
          <w:color w:val="auto"/>
        </w:rPr>
        <w:t>Mr. Zamsky has served as our Chief Credit and Financial Risk Officer since September 2023, and is responsible for oversight of Capital One’s risk management activities in credit, liquidity, and market risk. He also leads Enterprise Model Risk Management. Mr. Zamsky has been with Capital One for over 27 years, and he previously served in a number of business and operations leadership roles, including serving as our Chief Consumer Credit Officer from August 2006 to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33655</wp:posOffset>
            </wp:positionV>
            <wp:extent cx="69297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7840"/>
          </w:cols>
          <w:pgMar w:left="320" w:top="478" w:right="499" w:bottom="1440" w:gutter="0" w:footer="0" w:header="0"/>
          <w:type w:val="continuous"/>
        </w:sectPr>
      </w:pPr>
    </w:p>
    <w:p>
      <w:pPr>
        <w:spacing w:after="0" w:line="12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Related Person Transactions</w:t>
      </w:r>
    </w:p>
    <w:p>
      <w:pPr>
        <w:spacing w:after="0" w:line="228"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Our Board has approved a written Related Person Transaction policy, which sets forth policies and procedures for reviewing, and approving or ratifying, transactions with directors, director nominees, executive officers, stockholders holding 5% or more of Capital One’s voting securities, or any of their immediate family members or affiliated entities (collectively, “Related Persons”). The policy covers transactions, arrangements, and relationships where Capital One is a participant, the aggregate amount exceeds $120,000, and a Related Person has a direct or indirect material interest (“Related Person Transactions”). Under the policy, Related Person Transactions must be approved or ratified by the Governance and Nominating Committee, and may only be ratified or approved if the Committee determines the Related Person Transactions are not inconsistent with the best interests of the Company and its stockholders.</w:t>
      </w:r>
    </w:p>
    <w:p>
      <w:pPr>
        <w:spacing w:after="0" w:line="181"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In reviewing Related Person Transactions, the Governance and Nominating Committee considers all relevant facts and circumstances, which may include: the benefits to the Company from the transaction; the nature and extent of the Related Person’s interest in the transaction; the impact, if any, on a director’s independence; any implications under Capital One’s Code of Conduct (including whether the transaction would create a conflict of interest or the appearance thereof); any concerns with respect to reputational risk; the availability of other sources for comparable products or services; and the terms of the transaction as compared to the terms available to unrelated third parties or to Capital One’s associates, generally.</w:t>
      </w:r>
    </w:p>
    <w:p>
      <w:pPr>
        <w:spacing w:after="0" w:line="18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Governance and Nominating Committee has pre-approved the following types of Related Person Transactions as being not inconsistent with the best interests of Capital One and its stockholders: director and executive compensation otherwise disclosed in the Company’s proxy statement and/or approved by the Compensation Committee or the Board; transactions in amounts that are not material and where the relationship arises only</w:t>
      </w:r>
    </w:p>
    <w:p>
      <w:pPr>
        <w:spacing w:after="0" w:line="111"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 - Corporate Governance at Capital One</w:t>
      </w:r>
    </w:p>
    <w:p>
      <w:pPr>
        <w:spacing w:after="0" w:line="14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from a Related Person’s position as an employee (other than as an executive officer) or a director of, or having immaterial financial holdings in, another entity; and financial services, including loans, extensions of credit, or other financial services and products provided by Capital One to a Related Person that are in the ordinary course, non-preferential, do not involve features unfavorable to the Company, and comply with all applicable laws, rules, and regulations (including the Sarbanes-Oxley Act of 2002 (“Sarbanes-Oxley Act”) and Regulation O of the Board of Governors of the Federal Reserve, and the FDIC Guidelines).</w:t>
      </w:r>
    </w:p>
    <w:p>
      <w:pPr>
        <w:spacing w:after="0" w:line="182"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From time to time in the ordinary course of its business, Capital One issues loans and provides other financial services and products to directors, executive officers, and/or nominees for director, or to a director’s, executive officer’s, or director nominee’s immediate family member, including persons sharing the household of such director, executive officer, or director nominee (other than a tenant or employee). Such loans and other financial services and products are made in the ordinary course of business; are on substantially the same terms, including interest rates and collateral, as those prevailing at the time for comparable loans and financial services and products with persons not related to the Company; and do not involve more than the normal risk of collectability or present other features unfavorable to the Company.</w:t>
      </w:r>
    </w:p>
    <w:p>
      <w:pPr>
        <w:spacing w:after="0" w:line="18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Matthew W. Cooper is Capital One’s General Counsel and Corporate Secretary and President, Discover Integration. In 2025, Mr. Cooper’s brother-in-law was a partner at the international law firm McGuireWoods LLP (“McGuireWoods”). Capital One has engaged McGuireWoods from time to time in the ordinary course of business and on an arm’s-length basis. The relationship between Capital One and McGuireWoods began before Mr. Cooper was employed by Capital One and also pre-dates Mr. Cooper’s brother-in-law’s association with McGuireWoods. Mr. Cooper’s brother-in-law did not work on any Capital One matters and his ownership in the firm was less than 1%. In 2025, Capital One made aggregate payments to McGuireWoods of approximately $6.8 million for legal services. This relationship was ratified by the Governance and Nominating Committee.</w:t>
      </w:r>
    </w:p>
    <w:p>
      <w:pPr>
        <w:spacing w:after="0" w:line="18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Ravi Raghu is Capital One’s President, Capital One Software. Mr. Raghu’s spouse is a Senior Manager with the Company. In 2025, Mr. Raghu’s spouse received compensation of approximately $204,000, including an annual salary and incentive award commensurate with her qualifications, responsibilities, and other employees holding similar positions. She does not report directly or indirectly to Mr. Raghu. This relationship was ratified by the Governance and Nominating Committee.</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How to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173990</wp:posOffset>
            </wp:positionV>
            <wp:extent cx="6929755" cy="15373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29755" cy="15373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39"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FFFFFF"/>
        </w:rPr>
        <w:t> Our Directors</w:t>
      </w:r>
    </w:p>
    <w:p>
      <w:pPr>
        <w:spacing w:after="0" w:line="161" w:lineRule="exact"/>
        <w:rPr>
          <w:sz w:val="20"/>
          <w:szCs w:val="20"/>
          <w:color w:val="auto"/>
        </w:rPr>
      </w:pPr>
    </w:p>
    <w:p>
      <w:pPr>
        <w:jc w:val="both"/>
        <w:ind w:left="220"/>
        <w:spacing w:after="0" w:line="262" w:lineRule="auto"/>
        <w:rPr>
          <w:sz w:val="20"/>
          <w:szCs w:val="20"/>
          <w:color w:val="auto"/>
        </w:rPr>
      </w:pPr>
      <w:r>
        <w:rPr>
          <w:rFonts w:ascii="Arial" w:cs="Arial" w:eastAsia="Arial" w:hAnsi="Arial"/>
          <w:sz w:val="16"/>
          <w:szCs w:val="16"/>
          <w:color w:val="auto"/>
        </w:rPr>
        <w:t>Communicate with the Board, including individual directors, the Lead Independent Director, committee chairs, or the Independent Directors as a group.</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Mail correspondence to:</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Board of Directors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 Corporate Secretary’s Office</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Capital One Financial Corporation</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1600 Capital One Drive</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McLean, Virginia 22102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b w:val="1"/>
          <w:bCs w:val="1"/>
          <w:color w:val="023C5B"/>
        </w:rPr>
        <w:t>Investor Relations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Contact our Investor Relations team:</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Email: investorrelations@capitalone.com</w:t>
      </w:r>
    </w:p>
    <w:p>
      <w:pPr>
        <w:spacing w:after="0" w:line="1647" w:lineRule="exact"/>
        <w:rPr>
          <w:sz w:val="20"/>
          <w:szCs w:val="20"/>
          <w:color w:val="auto"/>
        </w:rPr>
      </w:pPr>
    </w:p>
    <w:p>
      <w:pPr>
        <w:sectPr>
          <w:pgSz w:w="11900" w:h="16838" w:orient="portrait"/>
          <w:cols w:equalWidth="0" w:num="2">
            <w:col w:w="5680" w:space="180"/>
            <w:col w:w="5220"/>
          </w:cols>
          <w:pgMar w:left="320" w:top="478" w:right="499" w:bottom="1440" w:gutter="0" w:footer="0" w:header="0"/>
          <w:type w:val="continuous"/>
        </w:sectPr>
      </w:pPr>
    </w:p>
    <w:p>
      <w:pPr>
        <w:spacing w:after="0" w:line="10"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Corporate Secretary will review all communications sent to the Board, the Lead Independent Director, committee chairs, the Independent Directors as a group, or individual directors and forward all substantive communications to the appropriate parties. Communications to the Board, the Independent Directors, or any individual director that relate to Capital One’s accounting, internal accounting controls, or auditing matters are referred to the Chair of the Audit Committee and Capital One’s Chief Audit Officer. Other communications are referred to the Lead Independent Director. Please continue to share your thoughts or concerns with us. We value your input and your investment.</w:t>
      </w:r>
    </w:p>
    <w:p>
      <w:pPr>
        <w:spacing w:after="0" w:line="106"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0920"/>
        <w:spacing w:after="0"/>
        <w:rPr>
          <w:sz w:val="20"/>
          <w:szCs w:val="20"/>
          <w:color w:val="auto"/>
        </w:rPr>
      </w:pPr>
      <w:r>
        <w:rPr>
          <w:rFonts w:ascii="Arial" w:cs="Arial" w:eastAsia="Arial" w:hAnsi="Arial"/>
          <w:sz w:val="16"/>
          <w:szCs w:val="16"/>
          <w:b w:val="1"/>
          <w:bCs w:val="1"/>
          <w:color w:val="023C5B"/>
        </w:rPr>
        <w:t> </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III -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140970</wp:posOffset>
            </wp:positionV>
            <wp:extent cx="69297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Director Compensation Objectives</w:t>
      </w:r>
    </w:p>
    <w:p>
      <w:pPr>
        <w:spacing w:after="0" w:line="228"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Board approves the compensation for non-management directors based on recommendations made by the Compensation Committee. The Board has designed the director compensation program to achieve four primary objectives:</w:t>
      </w:r>
    </w:p>
    <w:p>
      <w:pPr>
        <w:spacing w:after="0" w:line="130" w:lineRule="exact"/>
        <w:rPr>
          <w:sz w:val="20"/>
          <w:szCs w:val="20"/>
          <w:color w:val="auto"/>
        </w:rPr>
      </w:pPr>
    </w:p>
    <w:p>
      <w:pPr>
        <w:ind w:left="1020" w:hanging="425"/>
        <w:spacing w:after="0"/>
        <w:tabs>
          <w:tab w:leader="none" w:pos="1020" w:val="left"/>
        </w:tabs>
        <w:numPr>
          <w:ilvl w:val="0"/>
          <w:numId w:val="5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Attract and retain talented directors with the skills and capabilities to perpetuate Capital One’s success</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5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Fairly compensate directors for the work required in a company of Capital One’s size, industry, and scope</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5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Recognize the individual roles and responsibilities of the directors</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5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Align directors’ interests with the long-term interests of our stockholders</w:t>
      </w:r>
    </w:p>
    <w:p>
      <w:pPr>
        <w:spacing w:after="0" w:line="180"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Management directors do not receive compensation for their service on the Board. In 2025, Mr. Fairbank was Capital One’s only management director.</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Director Compensation Procedures</w:t>
      </w:r>
    </w:p>
    <w:p>
      <w:pPr>
        <w:spacing w:after="0" w:line="22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Compensation Committee annually reviews the compensation program for Capital One’s non-management directors. The Committee’s independent compensation consultant, FW Cook, provides competitive compensation data and director compensation program recommendations to the Compensation Committee. The competitive compensation data includes information regarding the compensation (cash, equity, and other benefits) of the non-management directors within Capital One’s peer comparator group. The Compensation Committee considers this information and FW Cook’s recommendations and finalizes a proposed director compensation structure for review and approval by the full Board, typically in the second quarter of each year. See the discussion under “Compensation Committee Consultant” beginning on page 43 for further information on the role and responsibilities of FW Cook and “Peer Groups” beginning on page 91 for further information on the selection of the Company’s peer comparator group.</w:t>
      </w:r>
    </w:p>
    <w:p>
      <w:pPr>
        <w:spacing w:after="0" w:line="184"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Based on its review of competitive market data and guidance from FW Cook in the second quarter of 2025, the Compensation Committee determined that the Company’s director compensation program meets the objectives listed above.</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Director Compensation Structure</w:t>
      </w:r>
    </w:p>
    <w:p>
      <w:pPr>
        <w:spacing w:after="0" w:line="22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On May 8, 2025, the Board approved a compensation program for Capital One’s non-management directors for the period from May 8, 2025 through our 2026 Annual Stockholder Meeting that is similar to the program for the preceding year. The compensation program consists of an annual cash retainer of $100,000 for service on the Board. In addition, directors receive annual cash retainers for committee service and for service as committee chairs and Lead Independent Director. Under the most recently approved director compensation program, the annual cash retainers are as follows:</w:t>
      </w:r>
    </w:p>
    <w:p>
      <w:pPr>
        <w:spacing w:after="0" w:line="154" w:lineRule="exact"/>
        <w:rPr>
          <w:sz w:val="20"/>
          <w:szCs w:val="20"/>
          <w:color w:val="auto"/>
        </w:rPr>
      </w:pPr>
    </w:p>
    <w:p>
      <w:pPr>
        <w:ind w:left="1020" w:hanging="425"/>
        <w:spacing w:after="0"/>
        <w:tabs>
          <w:tab w:leader="none" w:pos="1020" w:val="left"/>
        </w:tabs>
        <w:numPr>
          <w:ilvl w:val="0"/>
          <w:numId w:val="59"/>
        </w:numPr>
        <w:rPr>
          <w:rFonts w:ascii="MS PGothic" w:cs="MS PGothic" w:eastAsia="MS PGothic" w:hAnsi="MS PGothic"/>
          <w:sz w:val="29"/>
          <w:szCs w:val="29"/>
          <w:color w:val="023C5B"/>
          <w:vertAlign w:val="superscript"/>
        </w:rPr>
      </w:pPr>
      <w:r>
        <w:rPr>
          <w:rFonts w:ascii="Arial" w:cs="Arial" w:eastAsia="Arial" w:hAnsi="Arial"/>
          <w:sz w:val="18"/>
          <w:szCs w:val="18"/>
          <w:color w:val="auto"/>
        </w:rPr>
        <w:t>Lead Independent Director: $100,000</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59"/>
        </w:numPr>
        <w:rPr>
          <w:rFonts w:ascii="MS PGothic" w:cs="MS PGothic" w:eastAsia="MS PGothic" w:hAnsi="MS PGothic"/>
          <w:sz w:val="29"/>
          <w:szCs w:val="29"/>
          <w:color w:val="023C5B"/>
          <w:vertAlign w:val="superscript"/>
        </w:rPr>
      </w:pPr>
      <w:r>
        <w:rPr>
          <w:rFonts w:ascii="Arial" w:cs="Arial" w:eastAsia="Arial" w:hAnsi="Arial"/>
          <w:sz w:val="18"/>
          <w:szCs w:val="18"/>
          <w:color w:val="auto"/>
        </w:rPr>
        <w:t>Chair of the Audit Committee or Risk Committee: $70,000</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59"/>
        </w:numPr>
        <w:rPr>
          <w:rFonts w:ascii="MS PGothic" w:cs="MS PGothic" w:eastAsia="MS PGothic" w:hAnsi="MS PGothic"/>
          <w:sz w:val="29"/>
          <w:szCs w:val="29"/>
          <w:color w:val="023C5B"/>
          <w:vertAlign w:val="superscript"/>
        </w:rPr>
      </w:pPr>
      <w:r>
        <w:rPr>
          <w:rFonts w:ascii="Arial" w:cs="Arial" w:eastAsia="Arial" w:hAnsi="Arial"/>
          <w:sz w:val="18"/>
          <w:szCs w:val="18"/>
          <w:color w:val="auto"/>
        </w:rPr>
        <w:t>Chair of the Compensation Committee: $45,000</w:t>
      </w:r>
    </w:p>
    <w:p>
      <w:pPr>
        <w:spacing w:after="0" w:line="131"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-108585</wp:posOffset>
            </wp:positionV>
            <wp:extent cx="8255" cy="1784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III - Director Compensation</w:t>
      </w:r>
    </w:p>
    <w:p>
      <w:pPr>
        <w:spacing w:after="0" w:line="91" w:lineRule="exact"/>
        <w:rPr>
          <w:sz w:val="20"/>
          <w:szCs w:val="20"/>
          <w:color w:val="auto"/>
        </w:rPr>
      </w:pPr>
    </w:p>
    <w:p>
      <w:pPr>
        <w:ind w:left="1020" w:hanging="425"/>
        <w:spacing w:after="0"/>
        <w:tabs>
          <w:tab w:leader="none" w:pos="1020" w:val="left"/>
        </w:tabs>
        <w:numPr>
          <w:ilvl w:val="0"/>
          <w:numId w:val="6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Chair of the Governance and Nominating Committee: $45,000</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6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Member of the Audit Committee or Risk Committee (other than the chair): $30,000</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6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Member of the Compensation Committee or Governance and Nominating Committee (other than the chair): $15,000</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6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Member of the Capital One, National Association Trust Committee: $10,000</w:t>
      </w:r>
    </w:p>
    <w:p>
      <w:pPr>
        <w:spacing w:after="0" w:line="180"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Each non-management director serving on May 8, 2025, received on such date an award of 1,241 RSUs under the 2004 Stock Incentive Plan with a grant date fair value of $235,170, or $189.50 per share. On May 18, 2025, each of our three directors elected by the Board in 2025, as part of the acquisition of Discover, received an award of 1,159 RSUs under the 2004 Stock Incentive Plan with a grant date fair value of $228,578, or $197.22 per share, which was pro rated for their service beginning on May 18, 2025. The RSUs were valued based on the fair market value of a share of Capital One common stock on the date of grant and vest one year from the date of grant.</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Other Benefits</w:t>
      </w:r>
    </w:p>
    <w:p>
      <w:pPr>
        <w:spacing w:after="0" w:line="22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Under the Capital One Financial Corporation Non-Employee Directors Deferred Compensation Plan (“NEDDCP”), non-management directors who reside in the United States may voluntarily defer all or a portion of their cash compensation and receive deferred income benefits. Participants in the plan can direct their individual cash deferrals among ten investments available through the plan. Beginning in 2023, under the NEDDCP, U.S.-based non-management directors who have met their stock ownership requirement may also elect to defer their entire annual RSU award issued for their service as a director.</w:t>
      </w:r>
    </w:p>
    <w:p>
      <w:pPr>
        <w:spacing w:after="0" w:line="182"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Non-management directors participating in the NEDDCP receive their deferred cash income benefits and/or deferred stock benefits when they cease serving as directors, upon certain other distribution events specified in the plan, or at such earlier time as authorized by the Compensation Committee, in cash or in Capital One common stock, respectively. Upon a change of control, Capital One will pay each director within 30 days of the change of control. Those who elect to defer cash will receive a lump sum cash payment equal to the director’s cash account balance as of the date of the change of control. Those who elect to defer RSUs will receive shares of Capital One common stock or cash for each RSU in an amount equal to the per-share amount paid to Capital One’s stockholders in connection with the change of control.</w:t>
      </w:r>
    </w:p>
    <w:p>
      <w:pPr>
        <w:spacing w:after="0" w:line="18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Capital One offers non-management directors the opportunity to designate contributions to charitable organizations of their choice, as reflected in footnote 3 in the Compensation of Directors table below. Directors also occasionally have access to certain Capital One-sponsored events for which they receive tickets.</w:t>
      </w:r>
    </w:p>
    <w:p>
      <w:pPr>
        <w:spacing w:after="0" w:line="172"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Directors receive reimbursements for certain board-related expenses, including external educational seminars and travel-related costs incurred to attend Board meetings. Such reimbursements are not included as compensation for the directors in the table below.</w:t>
      </w:r>
    </w:p>
    <w:p>
      <w:pPr>
        <w:spacing w:after="0" w:line="83"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III - Director Compensation</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Compensation of Directors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Directors of Capital One received the following compensation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29755" cy="32353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29755" cy="3235325"/>
                    </a:xfrm>
                    <a:prstGeom prst="rect">
                      <a:avLst/>
                    </a:prstGeom>
                    <a:noFill/>
                  </pic:spPr>
                </pic:pic>
              </a:graphicData>
            </a:graphic>
          </wp:anchor>
        </w:drawing>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1220" w:type="dxa"/>
            <w:vAlign w:val="bottom"/>
            <w:shd w:val="clear" w:color="auto" w:fill="023C5B"/>
          </w:tcPr>
          <w:p>
            <w:pPr>
              <w:spacing w:after="0"/>
              <w:rPr>
                <w:sz w:val="18"/>
                <w:szCs w:val="18"/>
                <w:color w:val="auto"/>
              </w:rPr>
            </w:pPr>
          </w:p>
        </w:tc>
        <w:tc>
          <w:tcPr>
            <w:tcW w:w="4720" w:type="dxa"/>
            <w:vAlign w:val="bottom"/>
            <w:shd w:val="clear" w:color="auto" w:fill="023C5B"/>
          </w:tcPr>
          <w:p>
            <w:pPr>
              <w:spacing w:after="0"/>
              <w:rPr>
                <w:sz w:val="18"/>
                <w:szCs w:val="18"/>
                <w:color w:val="auto"/>
              </w:rPr>
            </w:pPr>
          </w:p>
        </w:tc>
        <w:tc>
          <w:tcPr>
            <w:tcW w:w="60" w:type="dxa"/>
            <w:vAlign w:val="bottom"/>
            <w:shd w:val="clear" w:color="auto" w:fill="023C5B"/>
          </w:tcPr>
          <w:p>
            <w:pPr>
              <w:spacing w:after="0"/>
              <w:rPr>
                <w:sz w:val="18"/>
                <w:szCs w:val="18"/>
                <w:color w:val="auto"/>
              </w:rPr>
            </w:pPr>
          </w:p>
        </w:tc>
        <w:tc>
          <w:tcPr>
            <w:tcW w:w="1340" w:type="dxa"/>
            <w:vAlign w:val="bottom"/>
            <w:gridSpan w:val="2"/>
            <w:shd w:val="clear" w:color="auto" w:fill="023C5B"/>
          </w:tcPr>
          <w:p>
            <w:pPr>
              <w:jc w:val="center"/>
              <w:ind w:right="60"/>
              <w:spacing w:after="0"/>
              <w:rPr>
                <w:sz w:val="20"/>
                <w:szCs w:val="20"/>
                <w:color w:val="auto"/>
              </w:rPr>
            </w:pPr>
            <w:r>
              <w:rPr>
                <w:rFonts w:ascii="Arial" w:cs="Arial" w:eastAsia="Arial" w:hAnsi="Arial"/>
                <w:sz w:val="16"/>
                <w:szCs w:val="16"/>
                <w:b w:val="1"/>
                <w:bCs w:val="1"/>
                <w:color w:val="FFFFFF"/>
              </w:rPr>
              <w:t> Fees Earned or</w:t>
            </w:r>
          </w:p>
        </w:tc>
        <w:tc>
          <w:tcPr>
            <w:tcW w:w="1220" w:type="dxa"/>
            <w:vAlign w:val="bottom"/>
            <w:gridSpan w:val="2"/>
            <w:shd w:val="clear" w:color="auto" w:fill="023C5B"/>
          </w:tcPr>
          <w:p>
            <w:pPr>
              <w:jc w:val="center"/>
              <w:ind w:right="20"/>
              <w:spacing w:after="0"/>
              <w:rPr>
                <w:sz w:val="20"/>
                <w:szCs w:val="20"/>
                <w:color w:val="auto"/>
              </w:rPr>
            </w:pPr>
            <w:r>
              <w:rPr>
                <w:rFonts w:ascii="Arial" w:cs="Arial" w:eastAsia="Arial" w:hAnsi="Arial"/>
                <w:sz w:val="16"/>
                <w:szCs w:val="16"/>
                <w:b w:val="1"/>
                <w:bCs w:val="1"/>
                <w:color w:val="FFFFFF"/>
              </w:rPr>
              <w:t>Stock</w:t>
            </w:r>
          </w:p>
        </w:tc>
        <w:tc>
          <w:tcPr>
            <w:tcW w:w="1460" w:type="dxa"/>
            <w:vAlign w:val="bottom"/>
            <w:gridSpan w:val="2"/>
            <w:shd w:val="clear" w:color="auto" w:fill="023C5B"/>
          </w:tcPr>
          <w:p>
            <w:pPr>
              <w:jc w:val="center"/>
              <w:ind w:right="20"/>
              <w:spacing w:after="0"/>
              <w:rPr>
                <w:sz w:val="20"/>
                <w:szCs w:val="20"/>
                <w:color w:val="auto"/>
              </w:rPr>
            </w:pPr>
            <w:r>
              <w:rPr>
                <w:rFonts w:ascii="Arial" w:cs="Arial" w:eastAsia="Arial" w:hAnsi="Arial"/>
                <w:sz w:val="16"/>
                <w:szCs w:val="16"/>
                <w:b w:val="1"/>
                <w:bCs w:val="1"/>
                <w:color w:val="FFFFFF"/>
              </w:rPr>
              <w:t>All Other</w:t>
            </w:r>
          </w:p>
        </w:tc>
        <w:tc>
          <w:tcPr>
            <w:tcW w:w="900" w:type="dxa"/>
            <w:vAlign w:val="bottom"/>
            <w:shd w:val="clear" w:color="auto" w:fill="023C5B"/>
          </w:tcPr>
          <w:p>
            <w:pPr>
              <w:spacing w:after="0"/>
              <w:rPr>
                <w:sz w:val="18"/>
                <w:szCs w:val="18"/>
                <w:color w:val="auto"/>
              </w:rPr>
            </w:pPr>
          </w:p>
        </w:tc>
      </w:tr>
      <w:tr>
        <w:trPr>
          <w:trHeight w:val="255"/>
        </w:trPr>
        <w:tc>
          <w:tcPr>
            <w:tcW w:w="6000" w:type="dxa"/>
            <w:vAlign w:val="bottom"/>
            <w:gridSpan w:val="3"/>
            <w:shd w:val="clear" w:color="auto" w:fill="023C5B"/>
          </w:tcPr>
          <w:p>
            <w:pPr>
              <w:spacing w:after="0"/>
              <w:rPr>
                <w:sz w:val="20"/>
                <w:szCs w:val="20"/>
                <w:color w:val="auto"/>
              </w:rPr>
            </w:pPr>
            <w:r>
              <w:rPr>
                <w:rFonts w:ascii="Arial" w:cs="Arial" w:eastAsia="Arial" w:hAnsi="Arial"/>
                <w:sz w:val="16"/>
                <w:szCs w:val="16"/>
                <w:b w:val="1"/>
                <w:bCs w:val="1"/>
                <w:color w:val="FFFFFF"/>
              </w:rPr>
              <w:t> Director Name</w:t>
            </w:r>
          </w:p>
        </w:tc>
        <w:tc>
          <w:tcPr>
            <w:tcW w:w="1340" w:type="dxa"/>
            <w:vAlign w:val="bottom"/>
            <w:gridSpan w:val="2"/>
            <w:shd w:val="clear" w:color="auto" w:fill="023C5B"/>
          </w:tcPr>
          <w:p>
            <w:pPr>
              <w:jc w:val="center"/>
              <w:ind w:right="40"/>
              <w:spacing w:after="0" w:line="255" w:lineRule="exact"/>
              <w:rPr>
                <w:sz w:val="20"/>
                <w:szCs w:val="20"/>
                <w:color w:val="auto"/>
              </w:rPr>
            </w:pPr>
            <w:r>
              <w:rPr>
                <w:rFonts w:ascii="Arial" w:cs="Arial" w:eastAsia="Arial" w:hAnsi="Arial"/>
                <w:sz w:val="16"/>
                <w:szCs w:val="16"/>
                <w:b w:val="1"/>
                <w:bCs w:val="1"/>
                <w:color w:val="FFFFFF"/>
                <w:w w:val="95"/>
              </w:rPr>
              <w:t>Paid in Cash</w:t>
            </w:r>
            <w:r>
              <w:rPr>
                <w:rFonts w:ascii="Arial" w:cs="Arial" w:eastAsia="Arial" w:hAnsi="Arial"/>
                <w:sz w:val="24"/>
                <w:szCs w:val="24"/>
                <w:b w:val="1"/>
                <w:bCs w:val="1"/>
                <w:color w:val="FFFFFF"/>
                <w:w w:val="95"/>
                <w:vertAlign w:val="superscript"/>
              </w:rPr>
              <w:t>(1)</w:t>
            </w:r>
          </w:p>
        </w:tc>
        <w:tc>
          <w:tcPr>
            <w:tcW w:w="1220" w:type="dxa"/>
            <w:vAlign w:val="bottom"/>
            <w:gridSpan w:val="2"/>
            <w:shd w:val="clear" w:color="auto" w:fill="023C5B"/>
          </w:tcPr>
          <w:p>
            <w:pPr>
              <w:jc w:val="center"/>
              <w:ind w:right="60"/>
              <w:spacing w:after="0" w:line="255" w:lineRule="exact"/>
              <w:rPr>
                <w:sz w:val="20"/>
                <w:szCs w:val="20"/>
                <w:color w:val="auto"/>
              </w:rPr>
            </w:pPr>
            <w:r>
              <w:rPr>
                <w:rFonts w:ascii="Arial" w:cs="Arial" w:eastAsia="Arial" w:hAnsi="Arial"/>
                <w:sz w:val="16"/>
                <w:szCs w:val="16"/>
                <w:b w:val="1"/>
                <w:bCs w:val="1"/>
                <w:color w:val="FFFFFF"/>
                <w:w w:val="92"/>
              </w:rPr>
              <w:t>  Awards</w:t>
            </w:r>
            <w:r>
              <w:rPr>
                <w:rFonts w:ascii="Arial" w:cs="Arial" w:eastAsia="Arial" w:hAnsi="Arial"/>
                <w:sz w:val="24"/>
                <w:szCs w:val="24"/>
                <w:b w:val="1"/>
                <w:bCs w:val="1"/>
                <w:color w:val="FFFFFF"/>
                <w:w w:val="92"/>
                <w:vertAlign w:val="superscript"/>
              </w:rPr>
              <w:t>(2)</w:t>
            </w:r>
            <w:r>
              <w:rPr>
                <w:rFonts w:ascii="Arial" w:cs="Arial" w:eastAsia="Arial" w:hAnsi="Arial"/>
                <w:sz w:val="16"/>
                <w:szCs w:val="16"/>
                <w:b w:val="1"/>
                <w:bCs w:val="1"/>
                <w:color w:val="FFFFFF"/>
                <w:w w:val="92"/>
              </w:rPr>
              <w:t xml:space="preserve"> </w:t>
            </w:r>
          </w:p>
        </w:tc>
        <w:tc>
          <w:tcPr>
            <w:tcW w:w="1460" w:type="dxa"/>
            <w:vAlign w:val="bottom"/>
            <w:gridSpan w:val="2"/>
            <w:shd w:val="clear" w:color="auto" w:fill="023C5B"/>
          </w:tcPr>
          <w:p>
            <w:pPr>
              <w:jc w:val="center"/>
              <w:spacing w:after="0" w:line="255" w:lineRule="exact"/>
              <w:rPr>
                <w:sz w:val="20"/>
                <w:szCs w:val="20"/>
                <w:color w:val="auto"/>
              </w:rPr>
            </w:pPr>
            <w:r>
              <w:rPr>
                <w:rFonts w:ascii="Arial" w:cs="Arial" w:eastAsia="Arial" w:hAnsi="Arial"/>
                <w:sz w:val="16"/>
                <w:szCs w:val="16"/>
                <w:b w:val="1"/>
                <w:bCs w:val="1"/>
                <w:color w:val="FFFFFF"/>
              </w:rPr>
              <w:t> Compensation</w:t>
            </w:r>
            <w:r>
              <w:rPr>
                <w:rFonts w:ascii="Arial" w:cs="Arial" w:eastAsia="Arial" w:hAnsi="Arial"/>
                <w:sz w:val="24"/>
                <w:szCs w:val="24"/>
                <w:b w:val="1"/>
                <w:bCs w:val="1"/>
                <w:color w:val="FFFFFF"/>
                <w:vertAlign w:val="superscript"/>
              </w:rPr>
              <w:t>(3)</w:t>
            </w:r>
            <w:r>
              <w:rPr>
                <w:rFonts w:ascii="Arial" w:cs="Arial" w:eastAsia="Arial" w:hAnsi="Arial"/>
                <w:sz w:val="16"/>
                <w:szCs w:val="16"/>
                <w:b w:val="1"/>
                <w:bCs w:val="1"/>
                <w:color w:val="FFFFFF"/>
              </w:rPr>
              <w:t xml:space="preserve"> </w:t>
            </w:r>
          </w:p>
        </w:tc>
        <w:tc>
          <w:tcPr>
            <w:tcW w:w="900" w:type="dxa"/>
            <w:vAlign w:val="bottom"/>
            <w:shd w:val="clear" w:color="auto" w:fill="023C5B"/>
          </w:tcPr>
          <w:p>
            <w:pPr>
              <w:ind w:left="280"/>
              <w:spacing w:after="0"/>
              <w:rPr>
                <w:sz w:val="20"/>
                <w:szCs w:val="20"/>
                <w:color w:val="auto"/>
              </w:rPr>
            </w:pPr>
            <w:r>
              <w:rPr>
                <w:rFonts w:ascii="Arial" w:cs="Arial" w:eastAsia="Arial" w:hAnsi="Arial"/>
                <w:sz w:val="16"/>
                <w:szCs w:val="16"/>
                <w:b w:val="1"/>
                <w:bCs w:val="1"/>
                <w:color w:val="FFFFFF"/>
              </w:rPr>
              <w:t>Total</w:t>
            </w:r>
          </w:p>
        </w:tc>
      </w:tr>
      <w:tr>
        <w:trPr>
          <w:trHeight w:val="308"/>
        </w:trPr>
        <w:tc>
          <w:tcPr>
            <w:tcW w:w="5940" w:type="dxa"/>
            <w:vAlign w:val="bottom"/>
            <w:tcBorders>
              <w:bottom w:val="single" w:sz="8" w:color="023C5B"/>
            </w:tcBorders>
            <w:gridSpan w:val="2"/>
            <w:shd w:val="clear" w:color="auto" w:fill="E5EBEE"/>
          </w:tcPr>
          <w:p>
            <w:pPr>
              <w:spacing w:after="0"/>
              <w:rPr>
                <w:sz w:val="20"/>
                <w:szCs w:val="20"/>
                <w:color w:val="auto"/>
              </w:rPr>
            </w:pPr>
            <w:r>
              <w:rPr>
                <w:rFonts w:ascii="Arial" w:cs="Arial" w:eastAsia="Arial" w:hAnsi="Arial"/>
                <w:sz w:val="18"/>
                <w:szCs w:val="18"/>
                <w:color w:val="auto"/>
              </w:rPr>
              <w:t> Richard D. Fairbank</w:t>
            </w:r>
            <w:r>
              <w:rPr>
                <w:rFonts w:ascii="Arial" w:cs="Arial" w:eastAsia="Arial" w:hAnsi="Arial"/>
                <w:sz w:val="26"/>
                <w:szCs w:val="26"/>
                <w:color w:val="auto"/>
                <w:vertAlign w:val="superscript"/>
              </w:rPr>
              <w:t>(4)</w:t>
            </w:r>
          </w:p>
        </w:tc>
        <w:tc>
          <w:tcPr>
            <w:tcW w:w="60" w:type="dxa"/>
            <w:vAlign w:val="bottom"/>
            <w:shd w:val="clear" w:color="auto" w:fill="E5EBEE"/>
          </w:tcPr>
          <w:p>
            <w:pPr>
              <w:spacing w:after="0"/>
              <w:rPr>
                <w:sz w:val="24"/>
                <w:szCs w:val="24"/>
                <w:color w:val="auto"/>
              </w:rPr>
            </w:pPr>
          </w:p>
        </w:tc>
        <w:tc>
          <w:tcPr>
            <w:tcW w:w="1260" w:type="dxa"/>
            <w:vAlign w:val="bottom"/>
            <w:tcBorders>
              <w:bottom w:val="single" w:sz="8" w:color="023C5B"/>
            </w:tcBorders>
            <w:shd w:val="clear" w:color="auto" w:fill="E5EBEE"/>
          </w:tcPr>
          <w:p>
            <w:pPr>
              <w:jc w:val="center"/>
              <w:ind w:left="5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E5EBEE"/>
          </w:tcPr>
          <w:p>
            <w:pPr>
              <w:spacing w:after="0"/>
              <w:rPr>
                <w:sz w:val="24"/>
                <w:szCs w:val="24"/>
                <w:color w:val="auto"/>
              </w:rPr>
            </w:pPr>
          </w:p>
        </w:tc>
        <w:tc>
          <w:tcPr>
            <w:tcW w:w="1160" w:type="dxa"/>
            <w:vAlign w:val="bottom"/>
            <w:tcBorders>
              <w:bottom w:val="single" w:sz="8" w:color="023C5B"/>
            </w:tcBorders>
            <w:shd w:val="clear" w:color="auto" w:fill="E5EBEE"/>
          </w:tcPr>
          <w:p>
            <w:pPr>
              <w:jc w:val="center"/>
              <w:ind w:left="32"/>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E5EBEE"/>
          </w:tcPr>
          <w:p>
            <w:pPr>
              <w:spacing w:after="0"/>
              <w:rPr>
                <w:sz w:val="24"/>
                <w:szCs w:val="24"/>
                <w:color w:val="auto"/>
              </w:rPr>
            </w:pPr>
          </w:p>
        </w:tc>
        <w:tc>
          <w:tcPr>
            <w:tcW w:w="1380" w:type="dxa"/>
            <w:vAlign w:val="bottom"/>
            <w:tcBorders>
              <w:bottom w:val="single" w:sz="8" w:color="023C5B"/>
            </w:tcBorders>
            <w:shd w:val="clear" w:color="auto" w:fill="E5EBEE"/>
          </w:tcPr>
          <w:p>
            <w:pPr>
              <w:jc w:val="center"/>
              <w:ind w:left="5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E5EBEE"/>
          </w:tcPr>
          <w:p>
            <w:pPr>
              <w:spacing w:after="0"/>
              <w:rPr>
                <w:sz w:val="24"/>
                <w:szCs w:val="24"/>
                <w:color w:val="auto"/>
              </w:rPr>
            </w:pPr>
          </w:p>
        </w:tc>
        <w:tc>
          <w:tcPr>
            <w:tcW w:w="9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6000" w:type="dxa"/>
            <w:vAlign w:val="bottom"/>
            <w:gridSpan w:val="3"/>
          </w:tcPr>
          <w:p>
            <w:pPr>
              <w:spacing w:after="0"/>
              <w:rPr>
                <w:sz w:val="20"/>
                <w:szCs w:val="20"/>
                <w:color w:val="auto"/>
              </w:rPr>
            </w:pPr>
            <w:r>
              <w:rPr>
                <w:rFonts w:ascii="Arial" w:cs="Arial" w:eastAsia="Arial" w:hAnsi="Arial"/>
                <w:sz w:val="18"/>
                <w:szCs w:val="18"/>
                <w:color w:val="auto"/>
              </w:rPr>
              <w:t> Ime Archibong</w:t>
            </w:r>
          </w:p>
        </w:tc>
        <w:tc>
          <w:tcPr>
            <w:tcW w:w="1260" w:type="dxa"/>
            <w:vAlign w:val="bottom"/>
          </w:tcPr>
          <w:p>
            <w:pPr>
              <w:jc w:val="center"/>
              <w:ind w:left="32"/>
              <w:spacing w:after="0"/>
              <w:rPr>
                <w:sz w:val="20"/>
                <w:szCs w:val="20"/>
                <w:color w:val="auto"/>
              </w:rPr>
            </w:pPr>
            <w:r>
              <w:rPr>
                <w:rFonts w:ascii="Arial" w:cs="Arial" w:eastAsia="Arial" w:hAnsi="Arial"/>
                <w:sz w:val="18"/>
                <w:szCs w:val="18"/>
                <w:color w:val="auto"/>
                <w:w w:val="98"/>
              </w:rPr>
              <w:t>$115,000</w:t>
            </w:r>
          </w:p>
        </w:tc>
        <w:tc>
          <w:tcPr>
            <w:tcW w:w="80" w:type="dxa"/>
            <w:vAlign w:val="bottom"/>
          </w:tcPr>
          <w:p>
            <w:pPr>
              <w:spacing w:after="0"/>
              <w:rPr>
                <w:sz w:val="21"/>
                <w:szCs w:val="21"/>
                <w:color w:val="auto"/>
              </w:rPr>
            </w:pPr>
          </w:p>
        </w:tc>
        <w:tc>
          <w:tcPr>
            <w:tcW w:w="1160" w:type="dxa"/>
            <w:vAlign w:val="bottom"/>
          </w:tcPr>
          <w:p>
            <w:pPr>
              <w:jc w:val="center"/>
              <w:ind w:left="32"/>
              <w:spacing w:after="0"/>
              <w:rPr>
                <w:sz w:val="20"/>
                <w:szCs w:val="20"/>
                <w:color w:val="auto"/>
              </w:rPr>
            </w:pPr>
            <w:r>
              <w:rPr>
                <w:rFonts w:ascii="Arial" w:cs="Arial" w:eastAsia="Arial" w:hAnsi="Arial"/>
                <w:sz w:val="18"/>
                <w:szCs w:val="18"/>
                <w:color w:val="auto"/>
              </w:rPr>
              <w:t>$235,170</w:t>
            </w:r>
          </w:p>
        </w:tc>
        <w:tc>
          <w:tcPr>
            <w:tcW w:w="60" w:type="dxa"/>
            <w:vAlign w:val="bottom"/>
          </w:tcPr>
          <w:p>
            <w:pPr>
              <w:spacing w:after="0"/>
              <w:rPr>
                <w:sz w:val="21"/>
                <w:szCs w:val="21"/>
                <w:color w:val="auto"/>
              </w:rPr>
            </w:pPr>
          </w:p>
        </w:tc>
        <w:tc>
          <w:tcPr>
            <w:tcW w:w="1380" w:type="dxa"/>
            <w:vAlign w:val="bottom"/>
          </w:tcPr>
          <w:p>
            <w:pPr>
              <w:jc w:val="center"/>
              <w:ind w:left="52"/>
              <w:spacing w:after="0"/>
              <w:rPr>
                <w:sz w:val="20"/>
                <w:szCs w:val="20"/>
                <w:color w:val="auto"/>
              </w:rPr>
            </w:pPr>
            <w:r>
              <w:rPr>
                <w:rFonts w:ascii="Arial" w:cs="Arial" w:eastAsia="Arial" w:hAnsi="Arial"/>
                <w:sz w:val="18"/>
                <w:szCs w:val="18"/>
                <w:color w:val="auto"/>
                <w:w w:val="98"/>
              </w:rPr>
              <w:t>$18,100</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$368,270</w:t>
            </w:r>
          </w:p>
        </w:tc>
      </w:tr>
      <w:tr>
        <w:trPr>
          <w:trHeight w:val="38"/>
        </w:trPr>
        <w:tc>
          <w:tcPr>
            <w:tcW w:w="1220" w:type="dxa"/>
            <w:vAlign w:val="bottom"/>
            <w:tcBorders>
              <w:bottom w:val="single" w:sz="8" w:color="023C5B"/>
            </w:tcBorders>
          </w:tcPr>
          <w:p>
            <w:pPr>
              <w:spacing w:after="0"/>
              <w:rPr>
                <w:sz w:val="3"/>
                <w:szCs w:val="3"/>
                <w:color w:val="auto"/>
              </w:rPr>
            </w:pPr>
          </w:p>
        </w:tc>
        <w:tc>
          <w:tcPr>
            <w:tcW w:w="47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26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11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8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00" w:type="dxa"/>
            <w:vAlign w:val="bottom"/>
            <w:tcBorders>
              <w:bottom w:val="single" w:sz="8" w:color="023C5B"/>
            </w:tcBorders>
          </w:tcPr>
          <w:p>
            <w:pPr>
              <w:spacing w:after="0"/>
              <w:rPr>
                <w:sz w:val="3"/>
                <w:szCs w:val="3"/>
                <w:color w:val="auto"/>
              </w:rPr>
            </w:pPr>
          </w:p>
        </w:tc>
      </w:tr>
      <w:tr>
        <w:trPr>
          <w:trHeight w:val="288"/>
        </w:trPr>
        <w:tc>
          <w:tcPr>
            <w:tcW w:w="6000" w:type="dxa"/>
            <w:vAlign w:val="bottom"/>
            <w:tcBorders>
              <w:bottom w:val="single" w:sz="8" w:color="E5EBEE"/>
            </w:tcBorders>
            <w:gridSpan w:val="3"/>
            <w:shd w:val="clear" w:color="auto" w:fill="E5EBEE"/>
          </w:tcPr>
          <w:p>
            <w:pPr>
              <w:spacing w:after="0"/>
              <w:rPr>
                <w:sz w:val="20"/>
                <w:szCs w:val="20"/>
                <w:color w:val="auto"/>
              </w:rPr>
            </w:pPr>
            <w:r>
              <w:rPr>
                <w:rFonts w:ascii="Arial" w:cs="Arial" w:eastAsia="Arial" w:hAnsi="Arial"/>
                <w:sz w:val="18"/>
                <w:szCs w:val="18"/>
                <w:color w:val="auto"/>
              </w:rPr>
              <w:t> Christine Detrick</w:t>
            </w:r>
          </w:p>
        </w:tc>
        <w:tc>
          <w:tcPr>
            <w:tcW w:w="1260" w:type="dxa"/>
            <w:vAlign w:val="bottom"/>
            <w:tcBorders>
              <w:bottom w:val="single" w:sz="8" w:color="E5EBEE"/>
            </w:tcBorders>
            <w:shd w:val="clear" w:color="auto" w:fill="E5EBEE"/>
          </w:tcPr>
          <w:p>
            <w:pPr>
              <w:jc w:val="center"/>
              <w:ind w:left="32"/>
              <w:spacing w:after="0"/>
              <w:rPr>
                <w:sz w:val="20"/>
                <w:szCs w:val="20"/>
                <w:color w:val="auto"/>
              </w:rPr>
            </w:pPr>
            <w:r>
              <w:rPr>
                <w:rFonts w:ascii="Arial" w:cs="Arial" w:eastAsia="Arial" w:hAnsi="Arial"/>
                <w:sz w:val="18"/>
                <w:szCs w:val="18"/>
                <w:color w:val="auto"/>
                <w:w w:val="98"/>
              </w:rPr>
              <w:t>$160,000</w:t>
            </w:r>
          </w:p>
        </w:tc>
        <w:tc>
          <w:tcPr>
            <w:tcW w:w="80" w:type="dxa"/>
            <w:vAlign w:val="bottom"/>
            <w:tcBorders>
              <w:bottom w:val="single" w:sz="8" w:color="E5EBEE"/>
            </w:tcBorders>
            <w:shd w:val="clear" w:color="auto" w:fill="E5EBEE"/>
          </w:tcPr>
          <w:p>
            <w:pPr>
              <w:spacing w:after="0"/>
              <w:rPr>
                <w:sz w:val="24"/>
                <w:szCs w:val="24"/>
                <w:color w:val="auto"/>
              </w:rPr>
            </w:pPr>
          </w:p>
        </w:tc>
        <w:tc>
          <w:tcPr>
            <w:tcW w:w="1160" w:type="dxa"/>
            <w:vAlign w:val="bottom"/>
            <w:tcBorders>
              <w:bottom w:val="single" w:sz="8" w:color="E5EBEE"/>
            </w:tcBorders>
            <w:shd w:val="clear" w:color="auto" w:fill="E5EBEE"/>
          </w:tcPr>
          <w:p>
            <w:pPr>
              <w:jc w:val="center"/>
              <w:ind w:left="32"/>
              <w:spacing w:after="0"/>
              <w:rPr>
                <w:sz w:val="20"/>
                <w:szCs w:val="20"/>
                <w:color w:val="auto"/>
              </w:rPr>
            </w:pPr>
            <w:r>
              <w:rPr>
                <w:rFonts w:ascii="Arial" w:cs="Arial" w:eastAsia="Arial" w:hAnsi="Arial"/>
                <w:sz w:val="18"/>
                <w:szCs w:val="18"/>
                <w:color w:val="auto"/>
              </w:rPr>
              <w:t>$235,170</w:t>
            </w:r>
          </w:p>
        </w:tc>
        <w:tc>
          <w:tcPr>
            <w:tcW w:w="60" w:type="dxa"/>
            <w:vAlign w:val="bottom"/>
            <w:tcBorders>
              <w:bottom w:val="single" w:sz="8" w:color="E5EBEE"/>
            </w:tcBorders>
            <w:shd w:val="clear" w:color="auto" w:fill="E5EBEE"/>
          </w:tcPr>
          <w:p>
            <w:pPr>
              <w:spacing w:after="0"/>
              <w:rPr>
                <w:sz w:val="24"/>
                <w:szCs w:val="24"/>
                <w:color w:val="auto"/>
              </w:rPr>
            </w:pPr>
          </w:p>
        </w:tc>
        <w:tc>
          <w:tcPr>
            <w:tcW w:w="1380" w:type="dxa"/>
            <w:vAlign w:val="bottom"/>
            <w:tcBorders>
              <w:bottom w:val="single" w:sz="8" w:color="E5EBEE"/>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$13,100</w:t>
            </w:r>
          </w:p>
        </w:tc>
        <w:tc>
          <w:tcPr>
            <w:tcW w:w="80" w:type="dxa"/>
            <w:vAlign w:val="bottom"/>
            <w:tcBorders>
              <w:bottom w:val="single" w:sz="8" w:color="E5EBEE"/>
            </w:tcBorders>
            <w:shd w:val="clear" w:color="auto" w:fill="E5EBEE"/>
          </w:tcPr>
          <w:p>
            <w:pPr>
              <w:spacing w:after="0"/>
              <w:rPr>
                <w:sz w:val="24"/>
                <w:szCs w:val="24"/>
                <w:color w:val="auto"/>
              </w:rPr>
            </w:pPr>
          </w:p>
        </w:tc>
        <w:tc>
          <w:tcPr>
            <w:tcW w:w="9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$408,270</w:t>
            </w:r>
          </w:p>
        </w:tc>
      </w:tr>
      <w:tr>
        <w:trPr>
          <w:trHeight w:val="250"/>
        </w:trPr>
        <w:tc>
          <w:tcPr>
            <w:tcW w:w="5940" w:type="dxa"/>
            <w:vAlign w:val="bottom"/>
            <w:tcBorders>
              <w:top w:val="single" w:sz="8" w:color="023C5B"/>
            </w:tcBorders>
            <w:gridSpan w:val="2"/>
          </w:tcPr>
          <w:p>
            <w:pPr>
              <w:spacing w:after="0"/>
              <w:rPr>
                <w:sz w:val="20"/>
                <w:szCs w:val="20"/>
                <w:color w:val="auto"/>
              </w:rPr>
            </w:pPr>
            <w:r>
              <w:rPr>
                <w:rFonts w:ascii="Arial" w:cs="Arial" w:eastAsia="Arial" w:hAnsi="Arial"/>
                <w:sz w:val="18"/>
                <w:szCs w:val="18"/>
                <w:color w:val="auto"/>
              </w:rPr>
              <w:t> Ann Fritz Hackett</w:t>
            </w:r>
          </w:p>
        </w:tc>
        <w:tc>
          <w:tcPr>
            <w:tcW w:w="60" w:type="dxa"/>
            <w:vAlign w:val="bottom"/>
          </w:tcPr>
          <w:p>
            <w:pPr>
              <w:spacing w:after="0"/>
              <w:rPr>
                <w:sz w:val="21"/>
                <w:szCs w:val="21"/>
                <w:color w:val="auto"/>
              </w:rPr>
            </w:pPr>
          </w:p>
        </w:tc>
        <w:tc>
          <w:tcPr>
            <w:tcW w:w="1260" w:type="dxa"/>
            <w:vAlign w:val="bottom"/>
            <w:tcBorders>
              <w:top w:val="single" w:sz="8" w:color="023C5B"/>
            </w:tcBorders>
          </w:tcPr>
          <w:p>
            <w:pPr>
              <w:jc w:val="center"/>
              <w:ind w:left="32"/>
              <w:spacing w:after="0"/>
              <w:rPr>
                <w:sz w:val="20"/>
                <w:szCs w:val="20"/>
                <w:color w:val="auto"/>
              </w:rPr>
            </w:pPr>
            <w:r>
              <w:rPr>
                <w:rFonts w:ascii="Arial" w:cs="Arial" w:eastAsia="Arial" w:hAnsi="Arial"/>
                <w:sz w:val="18"/>
                <w:szCs w:val="18"/>
                <w:color w:val="auto"/>
                <w:w w:val="98"/>
              </w:rPr>
              <w:t>$290,000</w:t>
            </w:r>
          </w:p>
        </w:tc>
        <w:tc>
          <w:tcPr>
            <w:tcW w:w="80" w:type="dxa"/>
            <w:vAlign w:val="bottom"/>
          </w:tcPr>
          <w:p>
            <w:pPr>
              <w:spacing w:after="0"/>
              <w:rPr>
                <w:sz w:val="21"/>
                <w:szCs w:val="21"/>
                <w:color w:val="auto"/>
              </w:rPr>
            </w:pPr>
          </w:p>
        </w:tc>
        <w:tc>
          <w:tcPr>
            <w:tcW w:w="1160" w:type="dxa"/>
            <w:vAlign w:val="bottom"/>
            <w:tcBorders>
              <w:top w:val="single" w:sz="8" w:color="023C5B"/>
            </w:tcBorders>
          </w:tcPr>
          <w:p>
            <w:pPr>
              <w:jc w:val="center"/>
              <w:ind w:left="32"/>
              <w:spacing w:after="0"/>
              <w:rPr>
                <w:sz w:val="20"/>
                <w:szCs w:val="20"/>
                <w:color w:val="auto"/>
              </w:rPr>
            </w:pPr>
            <w:r>
              <w:rPr>
                <w:rFonts w:ascii="Arial" w:cs="Arial" w:eastAsia="Arial" w:hAnsi="Arial"/>
                <w:sz w:val="18"/>
                <w:szCs w:val="18"/>
                <w:color w:val="auto"/>
              </w:rPr>
              <w:t>$235,170</w:t>
            </w:r>
          </w:p>
        </w:tc>
        <w:tc>
          <w:tcPr>
            <w:tcW w:w="60" w:type="dxa"/>
            <w:vAlign w:val="bottom"/>
          </w:tcPr>
          <w:p>
            <w:pPr>
              <w:spacing w:after="0"/>
              <w:rPr>
                <w:sz w:val="21"/>
                <w:szCs w:val="21"/>
                <w:color w:val="auto"/>
              </w:rPr>
            </w:pPr>
          </w:p>
        </w:tc>
        <w:tc>
          <w:tcPr>
            <w:tcW w:w="1380" w:type="dxa"/>
            <w:vAlign w:val="bottom"/>
            <w:tcBorders>
              <w:top w:val="single" w:sz="8" w:color="023C5B"/>
            </w:tcBorders>
          </w:tcPr>
          <w:p>
            <w:pPr>
              <w:jc w:val="center"/>
              <w:ind w:left="52"/>
              <w:spacing w:after="0"/>
              <w:rPr>
                <w:sz w:val="20"/>
                <w:szCs w:val="20"/>
                <w:color w:val="auto"/>
              </w:rPr>
            </w:pPr>
            <w:r>
              <w:rPr>
                <w:rFonts w:ascii="Arial" w:cs="Arial" w:eastAsia="Arial" w:hAnsi="Arial"/>
                <w:sz w:val="18"/>
                <w:szCs w:val="18"/>
                <w:color w:val="auto"/>
                <w:w w:val="98"/>
              </w:rPr>
              <w:t>$18,100</w:t>
            </w:r>
          </w:p>
        </w:tc>
        <w:tc>
          <w:tcPr>
            <w:tcW w:w="80" w:type="dxa"/>
            <w:vAlign w:val="bottom"/>
          </w:tcPr>
          <w:p>
            <w:pPr>
              <w:spacing w:after="0"/>
              <w:rPr>
                <w:sz w:val="21"/>
                <w:szCs w:val="21"/>
                <w:color w:val="auto"/>
              </w:rPr>
            </w:pPr>
          </w:p>
        </w:tc>
        <w:tc>
          <w:tcPr>
            <w:tcW w:w="90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$543,270</w:t>
            </w:r>
          </w:p>
        </w:tc>
      </w:tr>
      <w:tr>
        <w:trPr>
          <w:trHeight w:val="38"/>
        </w:trPr>
        <w:tc>
          <w:tcPr>
            <w:tcW w:w="1220" w:type="dxa"/>
            <w:vAlign w:val="bottom"/>
            <w:tcBorders>
              <w:bottom w:val="single" w:sz="8" w:color="023C5B"/>
            </w:tcBorders>
          </w:tcPr>
          <w:p>
            <w:pPr>
              <w:spacing w:after="0"/>
              <w:rPr>
                <w:sz w:val="3"/>
                <w:szCs w:val="3"/>
                <w:color w:val="auto"/>
              </w:rPr>
            </w:pPr>
          </w:p>
        </w:tc>
        <w:tc>
          <w:tcPr>
            <w:tcW w:w="47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26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11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8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00" w:type="dxa"/>
            <w:vAlign w:val="bottom"/>
            <w:tcBorders>
              <w:bottom w:val="single" w:sz="8" w:color="023C5B"/>
            </w:tcBorders>
          </w:tcPr>
          <w:p>
            <w:pPr>
              <w:spacing w:after="0"/>
              <w:rPr>
                <w:sz w:val="3"/>
                <w:szCs w:val="3"/>
                <w:color w:val="auto"/>
              </w:rPr>
            </w:pPr>
          </w:p>
        </w:tc>
      </w:tr>
      <w:tr>
        <w:trPr>
          <w:trHeight w:val="288"/>
        </w:trPr>
        <w:tc>
          <w:tcPr>
            <w:tcW w:w="6000" w:type="dxa"/>
            <w:vAlign w:val="bottom"/>
            <w:tcBorders>
              <w:bottom w:val="single" w:sz="8" w:color="E5EBEE"/>
            </w:tcBorders>
            <w:gridSpan w:val="3"/>
            <w:shd w:val="clear" w:color="auto" w:fill="E5EBEE"/>
          </w:tcPr>
          <w:p>
            <w:pPr>
              <w:spacing w:after="0"/>
              <w:rPr>
                <w:sz w:val="20"/>
                <w:szCs w:val="20"/>
                <w:color w:val="auto"/>
              </w:rPr>
            </w:pPr>
            <w:r>
              <w:rPr>
                <w:rFonts w:ascii="Arial" w:cs="Arial" w:eastAsia="Arial" w:hAnsi="Arial"/>
                <w:sz w:val="18"/>
                <w:szCs w:val="18"/>
                <w:color w:val="auto"/>
              </w:rPr>
              <w:t> Suni P. Harford</w:t>
            </w:r>
          </w:p>
        </w:tc>
        <w:tc>
          <w:tcPr>
            <w:tcW w:w="1260" w:type="dxa"/>
            <w:vAlign w:val="bottom"/>
            <w:tcBorders>
              <w:bottom w:val="single" w:sz="8" w:color="E5EBEE"/>
            </w:tcBorders>
            <w:shd w:val="clear" w:color="auto" w:fill="E5EBEE"/>
          </w:tcPr>
          <w:p>
            <w:pPr>
              <w:jc w:val="center"/>
              <w:ind w:left="32"/>
              <w:spacing w:after="0"/>
              <w:rPr>
                <w:sz w:val="20"/>
                <w:szCs w:val="20"/>
                <w:color w:val="auto"/>
              </w:rPr>
            </w:pPr>
            <w:r>
              <w:rPr>
                <w:rFonts w:ascii="Arial" w:cs="Arial" w:eastAsia="Arial" w:hAnsi="Arial"/>
                <w:sz w:val="18"/>
                <w:szCs w:val="18"/>
                <w:color w:val="auto"/>
                <w:w w:val="98"/>
              </w:rPr>
              <w:t>$160,000</w:t>
            </w:r>
          </w:p>
        </w:tc>
        <w:tc>
          <w:tcPr>
            <w:tcW w:w="80" w:type="dxa"/>
            <w:vAlign w:val="bottom"/>
            <w:tcBorders>
              <w:bottom w:val="single" w:sz="8" w:color="E5EBEE"/>
            </w:tcBorders>
            <w:shd w:val="clear" w:color="auto" w:fill="E5EBEE"/>
          </w:tcPr>
          <w:p>
            <w:pPr>
              <w:spacing w:after="0"/>
              <w:rPr>
                <w:sz w:val="24"/>
                <w:szCs w:val="24"/>
                <w:color w:val="auto"/>
              </w:rPr>
            </w:pPr>
          </w:p>
        </w:tc>
        <w:tc>
          <w:tcPr>
            <w:tcW w:w="1160" w:type="dxa"/>
            <w:vAlign w:val="bottom"/>
            <w:tcBorders>
              <w:bottom w:val="single" w:sz="8" w:color="E5EBEE"/>
            </w:tcBorders>
            <w:shd w:val="clear" w:color="auto" w:fill="E5EBEE"/>
          </w:tcPr>
          <w:p>
            <w:pPr>
              <w:jc w:val="center"/>
              <w:ind w:left="32"/>
              <w:spacing w:after="0"/>
              <w:rPr>
                <w:sz w:val="20"/>
                <w:szCs w:val="20"/>
                <w:color w:val="auto"/>
              </w:rPr>
            </w:pPr>
            <w:r>
              <w:rPr>
                <w:rFonts w:ascii="Arial" w:cs="Arial" w:eastAsia="Arial" w:hAnsi="Arial"/>
                <w:sz w:val="18"/>
                <w:szCs w:val="18"/>
                <w:color w:val="auto"/>
              </w:rPr>
              <w:t>$235,170</w:t>
            </w:r>
          </w:p>
        </w:tc>
        <w:tc>
          <w:tcPr>
            <w:tcW w:w="60" w:type="dxa"/>
            <w:vAlign w:val="bottom"/>
            <w:tcBorders>
              <w:bottom w:val="single" w:sz="8" w:color="E5EBEE"/>
            </w:tcBorders>
            <w:shd w:val="clear" w:color="auto" w:fill="E5EBEE"/>
          </w:tcPr>
          <w:p>
            <w:pPr>
              <w:spacing w:after="0"/>
              <w:rPr>
                <w:sz w:val="24"/>
                <w:szCs w:val="24"/>
                <w:color w:val="auto"/>
              </w:rPr>
            </w:pPr>
          </w:p>
        </w:tc>
        <w:tc>
          <w:tcPr>
            <w:tcW w:w="1380" w:type="dxa"/>
            <w:vAlign w:val="bottom"/>
            <w:tcBorders>
              <w:bottom w:val="single" w:sz="8" w:color="E5EBEE"/>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$18,100</w:t>
            </w:r>
          </w:p>
        </w:tc>
        <w:tc>
          <w:tcPr>
            <w:tcW w:w="80" w:type="dxa"/>
            <w:vAlign w:val="bottom"/>
            <w:tcBorders>
              <w:bottom w:val="single" w:sz="8" w:color="E5EBEE"/>
            </w:tcBorders>
            <w:shd w:val="clear" w:color="auto" w:fill="E5EBEE"/>
          </w:tcPr>
          <w:p>
            <w:pPr>
              <w:spacing w:after="0"/>
              <w:rPr>
                <w:sz w:val="24"/>
                <w:szCs w:val="24"/>
                <w:color w:val="auto"/>
              </w:rPr>
            </w:pPr>
          </w:p>
        </w:tc>
        <w:tc>
          <w:tcPr>
            <w:tcW w:w="9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$413,270</w:t>
            </w:r>
          </w:p>
        </w:tc>
      </w:tr>
      <w:tr>
        <w:trPr>
          <w:trHeight w:val="250"/>
        </w:trPr>
        <w:tc>
          <w:tcPr>
            <w:tcW w:w="5940" w:type="dxa"/>
            <w:vAlign w:val="bottom"/>
            <w:tcBorders>
              <w:top w:val="single" w:sz="8" w:color="023C5B"/>
            </w:tcBorders>
            <w:gridSpan w:val="2"/>
          </w:tcPr>
          <w:p>
            <w:pPr>
              <w:spacing w:after="0"/>
              <w:rPr>
                <w:sz w:val="20"/>
                <w:szCs w:val="20"/>
                <w:color w:val="auto"/>
              </w:rPr>
            </w:pPr>
            <w:r>
              <w:rPr>
                <w:rFonts w:ascii="Arial" w:cs="Arial" w:eastAsia="Arial" w:hAnsi="Arial"/>
                <w:sz w:val="18"/>
                <w:szCs w:val="18"/>
                <w:color w:val="auto"/>
              </w:rPr>
              <w:t> Peter T. Killalea</w:t>
            </w:r>
          </w:p>
        </w:tc>
        <w:tc>
          <w:tcPr>
            <w:tcW w:w="60" w:type="dxa"/>
            <w:vAlign w:val="bottom"/>
          </w:tcPr>
          <w:p>
            <w:pPr>
              <w:spacing w:after="0"/>
              <w:rPr>
                <w:sz w:val="21"/>
                <w:szCs w:val="21"/>
                <w:color w:val="auto"/>
              </w:rPr>
            </w:pPr>
          </w:p>
        </w:tc>
        <w:tc>
          <w:tcPr>
            <w:tcW w:w="1260" w:type="dxa"/>
            <w:vAlign w:val="bottom"/>
            <w:tcBorders>
              <w:top w:val="single" w:sz="8" w:color="023C5B"/>
            </w:tcBorders>
          </w:tcPr>
          <w:p>
            <w:pPr>
              <w:jc w:val="center"/>
              <w:ind w:left="32"/>
              <w:spacing w:after="0"/>
              <w:rPr>
                <w:sz w:val="20"/>
                <w:szCs w:val="20"/>
                <w:color w:val="auto"/>
              </w:rPr>
            </w:pPr>
            <w:r>
              <w:rPr>
                <w:rFonts w:ascii="Arial" w:cs="Arial" w:eastAsia="Arial" w:hAnsi="Arial"/>
                <w:sz w:val="18"/>
                <w:szCs w:val="18"/>
                <w:color w:val="auto"/>
                <w:w w:val="98"/>
              </w:rPr>
              <w:t>$145,000</w:t>
            </w:r>
          </w:p>
        </w:tc>
        <w:tc>
          <w:tcPr>
            <w:tcW w:w="80" w:type="dxa"/>
            <w:vAlign w:val="bottom"/>
          </w:tcPr>
          <w:p>
            <w:pPr>
              <w:spacing w:after="0"/>
              <w:rPr>
                <w:sz w:val="21"/>
                <w:szCs w:val="21"/>
                <w:color w:val="auto"/>
              </w:rPr>
            </w:pPr>
          </w:p>
        </w:tc>
        <w:tc>
          <w:tcPr>
            <w:tcW w:w="1160" w:type="dxa"/>
            <w:vAlign w:val="bottom"/>
            <w:tcBorders>
              <w:top w:val="single" w:sz="8" w:color="023C5B"/>
            </w:tcBorders>
          </w:tcPr>
          <w:p>
            <w:pPr>
              <w:jc w:val="center"/>
              <w:ind w:left="32"/>
              <w:spacing w:after="0"/>
              <w:rPr>
                <w:sz w:val="20"/>
                <w:szCs w:val="20"/>
                <w:color w:val="auto"/>
              </w:rPr>
            </w:pPr>
            <w:r>
              <w:rPr>
                <w:rFonts w:ascii="Arial" w:cs="Arial" w:eastAsia="Arial" w:hAnsi="Arial"/>
                <w:sz w:val="18"/>
                <w:szCs w:val="18"/>
                <w:color w:val="auto"/>
              </w:rPr>
              <w:t>$235,170</w:t>
            </w:r>
          </w:p>
        </w:tc>
        <w:tc>
          <w:tcPr>
            <w:tcW w:w="60" w:type="dxa"/>
            <w:vAlign w:val="bottom"/>
          </w:tcPr>
          <w:p>
            <w:pPr>
              <w:spacing w:after="0"/>
              <w:rPr>
                <w:sz w:val="21"/>
                <w:szCs w:val="21"/>
                <w:color w:val="auto"/>
              </w:rPr>
            </w:pPr>
          </w:p>
        </w:tc>
        <w:tc>
          <w:tcPr>
            <w:tcW w:w="1380" w:type="dxa"/>
            <w:vAlign w:val="bottom"/>
            <w:tcBorders>
              <w:top w:val="single" w:sz="8" w:color="023C5B"/>
            </w:tcBorders>
          </w:tcPr>
          <w:p>
            <w:pPr>
              <w:jc w:val="center"/>
              <w:ind w:left="52"/>
              <w:spacing w:after="0"/>
              <w:rPr>
                <w:sz w:val="20"/>
                <w:szCs w:val="20"/>
                <w:color w:val="auto"/>
              </w:rPr>
            </w:pPr>
            <w:r>
              <w:rPr>
                <w:rFonts w:ascii="Arial" w:cs="Arial" w:eastAsia="Arial" w:hAnsi="Arial"/>
                <w:sz w:val="18"/>
                <w:szCs w:val="18"/>
                <w:color w:val="auto"/>
                <w:w w:val="98"/>
              </w:rPr>
              <w:t>$13,100</w:t>
            </w:r>
          </w:p>
        </w:tc>
        <w:tc>
          <w:tcPr>
            <w:tcW w:w="80" w:type="dxa"/>
            <w:vAlign w:val="bottom"/>
          </w:tcPr>
          <w:p>
            <w:pPr>
              <w:spacing w:after="0"/>
              <w:rPr>
                <w:sz w:val="21"/>
                <w:szCs w:val="21"/>
                <w:color w:val="auto"/>
              </w:rPr>
            </w:pPr>
          </w:p>
        </w:tc>
        <w:tc>
          <w:tcPr>
            <w:tcW w:w="90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$393,270</w:t>
            </w:r>
          </w:p>
        </w:tc>
      </w:tr>
      <w:tr>
        <w:trPr>
          <w:trHeight w:val="38"/>
        </w:trPr>
        <w:tc>
          <w:tcPr>
            <w:tcW w:w="1220" w:type="dxa"/>
            <w:vAlign w:val="bottom"/>
            <w:tcBorders>
              <w:bottom w:val="single" w:sz="8" w:color="023C5B"/>
            </w:tcBorders>
          </w:tcPr>
          <w:p>
            <w:pPr>
              <w:spacing w:after="0"/>
              <w:rPr>
                <w:sz w:val="3"/>
                <w:szCs w:val="3"/>
                <w:color w:val="auto"/>
              </w:rPr>
            </w:pPr>
          </w:p>
        </w:tc>
        <w:tc>
          <w:tcPr>
            <w:tcW w:w="47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26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11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8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00" w:type="dxa"/>
            <w:vAlign w:val="bottom"/>
            <w:tcBorders>
              <w:bottom w:val="single" w:sz="8" w:color="023C5B"/>
            </w:tcBorders>
          </w:tcPr>
          <w:p>
            <w:pPr>
              <w:spacing w:after="0"/>
              <w:rPr>
                <w:sz w:val="3"/>
                <w:szCs w:val="3"/>
                <w:color w:val="auto"/>
              </w:rPr>
            </w:pPr>
          </w:p>
        </w:tc>
      </w:tr>
      <w:tr>
        <w:trPr>
          <w:trHeight w:val="288"/>
        </w:trPr>
        <w:tc>
          <w:tcPr>
            <w:tcW w:w="5940" w:type="dxa"/>
            <w:vAlign w:val="bottom"/>
            <w:tcBorders>
              <w:bottom w:val="single" w:sz="8" w:color="023C5B"/>
            </w:tcBorders>
            <w:gridSpan w:val="2"/>
            <w:shd w:val="clear" w:color="auto" w:fill="E5EBEE"/>
          </w:tcPr>
          <w:p>
            <w:pPr>
              <w:spacing w:after="0" w:line="287" w:lineRule="exact"/>
              <w:rPr>
                <w:sz w:val="20"/>
                <w:szCs w:val="20"/>
                <w:color w:val="auto"/>
              </w:rPr>
            </w:pPr>
            <w:r>
              <w:rPr>
                <w:rFonts w:ascii="Arial" w:cs="Arial" w:eastAsia="Arial" w:hAnsi="Arial"/>
                <w:sz w:val="18"/>
                <w:szCs w:val="18"/>
                <w:color w:val="auto"/>
              </w:rPr>
              <w:t> Eli Leenaars</w:t>
            </w:r>
            <w:r>
              <w:rPr>
                <w:rFonts w:ascii="Arial" w:cs="Arial" w:eastAsia="Arial" w:hAnsi="Arial"/>
                <w:sz w:val="26"/>
                <w:szCs w:val="26"/>
                <w:color w:val="auto"/>
                <w:vertAlign w:val="superscript"/>
              </w:rPr>
              <w:t>(5)</w:t>
            </w:r>
          </w:p>
        </w:tc>
        <w:tc>
          <w:tcPr>
            <w:tcW w:w="60" w:type="dxa"/>
            <w:vAlign w:val="bottom"/>
            <w:shd w:val="clear" w:color="auto" w:fill="E5EBEE"/>
          </w:tcPr>
          <w:p>
            <w:pPr>
              <w:spacing w:after="0"/>
              <w:rPr>
                <w:sz w:val="24"/>
                <w:szCs w:val="24"/>
                <w:color w:val="auto"/>
              </w:rPr>
            </w:pPr>
          </w:p>
        </w:tc>
        <w:tc>
          <w:tcPr>
            <w:tcW w:w="1260" w:type="dxa"/>
            <w:vAlign w:val="bottom"/>
            <w:tcBorders>
              <w:bottom w:val="single" w:sz="8" w:color="023C5B"/>
            </w:tcBorders>
            <w:shd w:val="clear" w:color="auto" w:fill="E5EBEE"/>
          </w:tcPr>
          <w:p>
            <w:pPr>
              <w:jc w:val="center"/>
              <w:ind w:left="32"/>
              <w:spacing w:after="0"/>
              <w:rPr>
                <w:sz w:val="20"/>
                <w:szCs w:val="20"/>
                <w:color w:val="auto"/>
              </w:rPr>
            </w:pPr>
            <w:r>
              <w:rPr>
                <w:rFonts w:ascii="Arial" w:cs="Arial" w:eastAsia="Arial" w:hAnsi="Arial"/>
                <w:sz w:val="18"/>
                <w:szCs w:val="18"/>
                <w:color w:val="auto"/>
                <w:w w:val="98"/>
              </w:rPr>
              <w:t>$240,000</w:t>
            </w:r>
          </w:p>
        </w:tc>
        <w:tc>
          <w:tcPr>
            <w:tcW w:w="80" w:type="dxa"/>
            <w:vAlign w:val="bottom"/>
            <w:shd w:val="clear" w:color="auto" w:fill="E5EBEE"/>
          </w:tcPr>
          <w:p>
            <w:pPr>
              <w:spacing w:after="0"/>
              <w:rPr>
                <w:sz w:val="24"/>
                <w:szCs w:val="24"/>
                <w:color w:val="auto"/>
              </w:rPr>
            </w:pPr>
          </w:p>
        </w:tc>
        <w:tc>
          <w:tcPr>
            <w:tcW w:w="1160" w:type="dxa"/>
            <w:vAlign w:val="bottom"/>
            <w:tcBorders>
              <w:bottom w:val="single" w:sz="8" w:color="023C5B"/>
            </w:tcBorders>
            <w:shd w:val="clear" w:color="auto" w:fill="E5EBEE"/>
          </w:tcPr>
          <w:p>
            <w:pPr>
              <w:jc w:val="center"/>
              <w:ind w:left="32"/>
              <w:spacing w:after="0"/>
              <w:rPr>
                <w:sz w:val="20"/>
                <w:szCs w:val="20"/>
                <w:color w:val="auto"/>
              </w:rPr>
            </w:pPr>
            <w:r>
              <w:rPr>
                <w:rFonts w:ascii="Arial" w:cs="Arial" w:eastAsia="Arial" w:hAnsi="Arial"/>
                <w:sz w:val="18"/>
                <w:szCs w:val="18"/>
                <w:color w:val="auto"/>
              </w:rPr>
              <w:t>$235,170</w:t>
            </w:r>
          </w:p>
        </w:tc>
        <w:tc>
          <w:tcPr>
            <w:tcW w:w="60" w:type="dxa"/>
            <w:vAlign w:val="bottom"/>
            <w:shd w:val="clear" w:color="auto" w:fill="E5EBEE"/>
          </w:tcPr>
          <w:p>
            <w:pPr>
              <w:spacing w:after="0"/>
              <w:rPr>
                <w:sz w:val="24"/>
                <w:szCs w:val="24"/>
                <w:color w:val="auto"/>
              </w:rPr>
            </w:pPr>
          </w:p>
        </w:tc>
        <w:tc>
          <w:tcPr>
            <w:tcW w:w="1380" w:type="dxa"/>
            <w:vAlign w:val="bottom"/>
            <w:tcBorders>
              <w:bottom w:val="single" w:sz="8" w:color="023C5B"/>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$13,100</w:t>
            </w:r>
          </w:p>
        </w:tc>
        <w:tc>
          <w:tcPr>
            <w:tcW w:w="80" w:type="dxa"/>
            <w:vAlign w:val="bottom"/>
            <w:shd w:val="clear" w:color="auto" w:fill="E5EBEE"/>
          </w:tcPr>
          <w:p>
            <w:pPr>
              <w:spacing w:after="0"/>
              <w:rPr>
                <w:sz w:val="24"/>
                <w:szCs w:val="24"/>
                <w:color w:val="auto"/>
              </w:rPr>
            </w:pPr>
          </w:p>
        </w:tc>
        <w:tc>
          <w:tcPr>
            <w:tcW w:w="9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8"/>
                <w:szCs w:val="18"/>
                <w:color w:val="auto"/>
                <w:w w:val="98"/>
              </w:rPr>
              <w:t>$488,270</w:t>
            </w:r>
          </w:p>
        </w:tc>
      </w:tr>
      <w:tr>
        <w:trPr>
          <w:trHeight w:val="250"/>
        </w:trPr>
        <w:tc>
          <w:tcPr>
            <w:tcW w:w="6000" w:type="dxa"/>
            <w:vAlign w:val="bottom"/>
            <w:gridSpan w:val="3"/>
          </w:tcPr>
          <w:p>
            <w:pPr>
              <w:spacing w:after="0"/>
              <w:rPr>
                <w:sz w:val="20"/>
                <w:szCs w:val="20"/>
                <w:color w:val="auto"/>
              </w:rPr>
            </w:pPr>
            <w:r>
              <w:rPr>
                <w:rFonts w:ascii="Arial" w:cs="Arial" w:eastAsia="Arial" w:hAnsi="Arial"/>
                <w:sz w:val="18"/>
                <w:szCs w:val="18"/>
                <w:color w:val="auto"/>
              </w:rPr>
              <w:t> François Locoh-Donou</w:t>
            </w:r>
          </w:p>
        </w:tc>
        <w:tc>
          <w:tcPr>
            <w:tcW w:w="1260" w:type="dxa"/>
            <w:vAlign w:val="bottom"/>
          </w:tcPr>
          <w:p>
            <w:pPr>
              <w:jc w:val="center"/>
              <w:ind w:left="32"/>
              <w:spacing w:after="0"/>
              <w:rPr>
                <w:sz w:val="20"/>
                <w:szCs w:val="20"/>
                <w:color w:val="auto"/>
              </w:rPr>
            </w:pPr>
            <w:r>
              <w:rPr>
                <w:rFonts w:ascii="Arial" w:cs="Arial" w:eastAsia="Arial" w:hAnsi="Arial"/>
                <w:sz w:val="18"/>
                <w:szCs w:val="18"/>
                <w:color w:val="auto"/>
                <w:w w:val="98"/>
              </w:rPr>
              <w:t>$160,000</w:t>
            </w:r>
          </w:p>
        </w:tc>
        <w:tc>
          <w:tcPr>
            <w:tcW w:w="80" w:type="dxa"/>
            <w:vAlign w:val="bottom"/>
          </w:tcPr>
          <w:p>
            <w:pPr>
              <w:spacing w:after="0"/>
              <w:rPr>
                <w:sz w:val="21"/>
                <w:szCs w:val="21"/>
                <w:color w:val="auto"/>
              </w:rPr>
            </w:pPr>
          </w:p>
        </w:tc>
        <w:tc>
          <w:tcPr>
            <w:tcW w:w="1160" w:type="dxa"/>
            <w:vAlign w:val="bottom"/>
          </w:tcPr>
          <w:p>
            <w:pPr>
              <w:jc w:val="center"/>
              <w:ind w:left="32"/>
              <w:spacing w:after="0"/>
              <w:rPr>
                <w:sz w:val="20"/>
                <w:szCs w:val="20"/>
                <w:color w:val="auto"/>
              </w:rPr>
            </w:pPr>
            <w:r>
              <w:rPr>
                <w:rFonts w:ascii="Arial" w:cs="Arial" w:eastAsia="Arial" w:hAnsi="Arial"/>
                <w:sz w:val="18"/>
                <w:szCs w:val="18"/>
                <w:color w:val="auto"/>
              </w:rPr>
              <w:t>$235,170</w:t>
            </w:r>
          </w:p>
        </w:tc>
        <w:tc>
          <w:tcPr>
            <w:tcW w:w="60" w:type="dxa"/>
            <w:vAlign w:val="bottom"/>
          </w:tcPr>
          <w:p>
            <w:pPr>
              <w:spacing w:after="0"/>
              <w:rPr>
                <w:sz w:val="21"/>
                <w:szCs w:val="21"/>
                <w:color w:val="auto"/>
              </w:rPr>
            </w:pPr>
          </w:p>
        </w:tc>
        <w:tc>
          <w:tcPr>
            <w:tcW w:w="1380" w:type="dxa"/>
            <w:vAlign w:val="bottom"/>
          </w:tcPr>
          <w:p>
            <w:pPr>
              <w:jc w:val="center"/>
              <w:ind w:left="52"/>
              <w:spacing w:after="0"/>
              <w:rPr>
                <w:sz w:val="20"/>
                <w:szCs w:val="20"/>
                <w:color w:val="auto"/>
              </w:rPr>
            </w:pPr>
            <w:r>
              <w:rPr>
                <w:rFonts w:ascii="Arial" w:cs="Arial" w:eastAsia="Arial" w:hAnsi="Arial"/>
                <w:sz w:val="18"/>
                <w:szCs w:val="18"/>
                <w:color w:val="auto"/>
                <w:w w:val="98"/>
              </w:rPr>
              <w:t>$18,100</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$413,270</w:t>
            </w:r>
          </w:p>
        </w:tc>
      </w:tr>
      <w:tr>
        <w:trPr>
          <w:trHeight w:val="38"/>
        </w:trPr>
        <w:tc>
          <w:tcPr>
            <w:tcW w:w="1220" w:type="dxa"/>
            <w:vAlign w:val="bottom"/>
            <w:tcBorders>
              <w:bottom w:val="single" w:sz="8" w:color="023C5B"/>
            </w:tcBorders>
          </w:tcPr>
          <w:p>
            <w:pPr>
              <w:spacing w:after="0"/>
              <w:rPr>
                <w:sz w:val="3"/>
                <w:szCs w:val="3"/>
                <w:color w:val="auto"/>
              </w:rPr>
            </w:pPr>
          </w:p>
        </w:tc>
        <w:tc>
          <w:tcPr>
            <w:tcW w:w="47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26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11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8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00" w:type="dxa"/>
            <w:vAlign w:val="bottom"/>
            <w:tcBorders>
              <w:bottom w:val="single" w:sz="8" w:color="023C5B"/>
            </w:tcBorders>
          </w:tcPr>
          <w:p>
            <w:pPr>
              <w:spacing w:after="0"/>
              <w:rPr>
                <w:sz w:val="3"/>
                <w:szCs w:val="3"/>
                <w:color w:val="auto"/>
              </w:rPr>
            </w:pPr>
          </w:p>
        </w:tc>
      </w:tr>
      <w:tr>
        <w:trPr>
          <w:trHeight w:val="288"/>
        </w:trPr>
        <w:tc>
          <w:tcPr>
            <w:tcW w:w="5940" w:type="dxa"/>
            <w:vAlign w:val="bottom"/>
            <w:tcBorders>
              <w:bottom w:val="single" w:sz="8" w:color="023C5B"/>
            </w:tcBorders>
            <w:gridSpan w:val="2"/>
            <w:shd w:val="clear" w:color="auto" w:fill="E5EBEE"/>
          </w:tcPr>
          <w:p>
            <w:pPr>
              <w:spacing w:after="0" w:line="287" w:lineRule="exact"/>
              <w:rPr>
                <w:sz w:val="20"/>
                <w:szCs w:val="20"/>
                <w:color w:val="auto"/>
              </w:rPr>
            </w:pPr>
            <w:r>
              <w:rPr>
                <w:rFonts w:ascii="Arial" w:cs="Arial" w:eastAsia="Arial" w:hAnsi="Arial"/>
                <w:sz w:val="18"/>
                <w:szCs w:val="18"/>
                <w:color w:val="auto"/>
              </w:rPr>
              <w:t> Thomas G. Maheras</w:t>
            </w:r>
            <w:r>
              <w:rPr>
                <w:rFonts w:ascii="Arial" w:cs="Arial" w:eastAsia="Arial" w:hAnsi="Arial"/>
                <w:sz w:val="26"/>
                <w:szCs w:val="26"/>
                <w:color w:val="auto"/>
                <w:vertAlign w:val="superscript"/>
              </w:rPr>
              <w:t>(6)</w:t>
            </w:r>
          </w:p>
        </w:tc>
        <w:tc>
          <w:tcPr>
            <w:tcW w:w="60" w:type="dxa"/>
            <w:vAlign w:val="bottom"/>
            <w:shd w:val="clear" w:color="auto" w:fill="E5EBEE"/>
          </w:tcPr>
          <w:p>
            <w:pPr>
              <w:spacing w:after="0"/>
              <w:rPr>
                <w:sz w:val="24"/>
                <w:szCs w:val="24"/>
                <w:color w:val="auto"/>
              </w:rPr>
            </w:pPr>
          </w:p>
        </w:tc>
        <w:tc>
          <w:tcPr>
            <w:tcW w:w="1260" w:type="dxa"/>
            <w:vAlign w:val="bottom"/>
            <w:tcBorders>
              <w:bottom w:val="single" w:sz="8" w:color="023C5B"/>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$62,555</w:t>
            </w:r>
          </w:p>
        </w:tc>
        <w:tc>
          <w:tcPr>
            <w:tcW w:w="80" w:type="dxa"/>
            <w:vAlign w:val="bottom"/>
            <w:shd w:val="clear" w:color="auto" w:fill="E5EBEE"/>
          </w:tcPr>
          <w:p>
            <w:pPr>
              <w:spacing w:after="0"/>
              <w:rPr>
                <w:sz w:val="24"/>
                <w:szCs w:val="24"/>
                <w:color w:val="auto"/>
              </w:rPr>
            </w:pPr>
          </w:p>
        </w:tc>
        <w:tc>
          <w:tcPr>
            <w:tcW w:w="1160" w:type="dxa"/>
            <w:vAlign w:val="bottom"/>
            <w:tcBorders>
              <w:bottom w:val="single" w:sz="8" w:color="023C5B"/>
            </w:tcBorders>
            <w:shd w:val="clear" w:color="auto" w:fill="E5EBEE"/>
          </w:tcPr>
          <w:p>
            <w:pPr>
              <w:jc w:val="center"/>
              <w:ind w:left="32"/>
              <w:spacing w:after="0"/>
              <w:rPr>
                <w:sz w:val="20"/>
                <w:szCs w:val="20"/>
                <w:color w:val="auto"/>
              </w:rPr>
            </w:pPr>
            <w:r>
              <w:rPr>
                <w:rFonts w:ascii="Arial" w:cs="Arial" w:eastAsia="Arial" w:hAnsi="Arial"/>
                <w:sz w:val="18"/>
                <w:szCs w:val="18"/>
                <w:color w:val="auto"/>
              </w:rPr>
              <w:t>$228,578</w:t>
            </w:r>
          </w:p>
        </w:tc>
        <w:tc>
          <w:tcPr>
            <w:tcW w:w="60" w:type="dxa"/>
            <w:vAlign w:val="bottom"/>
            <w:shd w:val="clear" w:color="auto" w:fill="E5EBEE"/>
          </w:tcPr>
          <w:p>
            <w:pPr>
              <w:spacing w:after="0"/>
              <w:rPr>
                <w:sz w:val="24"/>
                <w:szCs w:val="24"/>
                <w:color w:val="auto"/>
              </w:rPr>
            </w:pPr>
          </w:p>
        </w:tc>
        <w:tc>
          <w:tcPr>
            <w:tcW w:w="1380" w:type="dxa"/>
            <w:vAlign w:val="bottom"/>
            <w:tcBorders>
              <w:bottom w:val="single" w:sz="8" w:color="023C5B"/>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$10,000</w:t>
            </w:r>
          </w:p>
        </w:tc>
        <w:tc>
          <w:tcPr>
            <w:tcW w:w="80" w:type="dxa"/>
            <w:vAlign w:val="bottom"/>
            <w:shd w:val="clear" w:color="auto" w:fill="E5EBEE"/>
          </w:tcPr>
          <w:p>
            <w:pPr>
              <w:spacing w:after="0"/>
              <w:rPr>
                <w:sz w:val="24"/>
                <w:szCs w:val="24"/>
                <w:color w:val="auto"/>
              </w:rPr>
            </w:pPr>
          </w:p>
        </w:tc>
        <w:tc>
          <w:tcPr>
            <w:tcW w:w="9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8"/>
                <w:szCs w:val="18"/>
                <w:color w:val="auto"/>
                <w:w w:val="98"/>
              </w:rPr>
              <w:t>$301,133</w:t>
            </w:r>
          </w:p>
        </w:tc>
      </w:tr>
      <w:tr>
        <w:trPr>
          <w:trHeight w:val="250"/>
        </w:trPr>
        <w:tc>
          <w:tcPr>
            <w:tcW w:w="6000" w:type="dxa"/>
            <w:vAlign w:val="bottom"/>
            <w:gridSpan w:val="3"/>
          </w:tcPr>
          <w:p>
            <w:pPr>
              <w:spacing w:after="0"/>
              <w:rPr>
                <w:sz w:val="20"/>
                <w:szCs w:val="20"/>
                <w:color w:val="auto"/>
              </w:rPr>
            </w:pPr>
            <w:r>
              <w:rPr>
                <w:rFonts w:ascii="Arial" w:cs="Arial" w:eastAsia="Arial" w:hAnsi="Arial"/>
                <w:sz w:val="18"/>
                <w:szCs w:val="18"/>
                <w:color w:val="auto"/>
              </w:rPr>
              <w:t> Peter E. Raskind</w:t>
            </w:r>
          </w:p>
        </w:tc>
        <w:tc>
          <w:tcPr>
            <w:tcW w:w="1260" w:type="dxa"/>
            <w:vAlign w:val="bottom"/>
          </w:tcPr>
          <w:p>
            <w:pPr>
              <w:jc w:val="center"/>
              <w:ind w:left="32"/>
              <w:spacing w:after="0"/>
              <w:rPr>
                <w:sz w:val="20"/>
                <w:szCs w:val="20"/>
                <w:color w:val="auto"/>
              </w:rPr>
            </w:pPr>
            <w:r>
              <w:rPr>
                <w:rFonts w:ascii="Arial" w:cs="Arial" w:eastAsia="Arial" w:hAnsi="Arial"/>
                <w:sz w:val="18"/>
                <w:szCs w:val="18"/>
                <w:color w:val="auto"/>
                <w:w w:val="98"/>
              </w:rPr>
              <w:t>$145,000</w:t>
            </w:r>
          </w:p>
        </w:tc>
        <w:tc>
          <w:tcPr>
            <w:tcW w:w="80" w:type="dxa"/>
            <w:vAlign w:val="bottom"/>
          </w:tcPr>
          <w:p>
            <w:pPr>
              <w:spacing w:after="0"/>
              <w:rPr>
                <w:sz w:val="21"/>
                <w:szCs w:val="21"/>
                <w:color w:val="auto"/>
              </w:rPr>
            </w:pPr>
          </w:p>
        </w:tc>
        <w:tc>
          <w:tcPr>
            <w:tcW w:w="1160" w:type="dxa"/>
            <w:vAlign w:val="bottom"/>
          </w:tcPr>
          <w:p>
            <w:pPr>
              <w:jc w:val="center"/>
              <w:ind w:left="32"/>
              <w:spacing w:after="0"/>
              <w:rPr>
                <w:sz w:val="20"/>
                <w:szCs w:val="20"/>
                <w:color w:val="auto"/>
              </w:rPr>
            </w:pPr>
            <w:r>
              <w:rPr>
                <w:rFonts w:ascii="Arial" w:cs="Arial" w:eastAsia="Arial" w:hAnsi="Arial"/>
                <w:sz w:val="18"/>
                <w:szCs w:val="18"/>
                <w:color w:val="auto"/>
              </w:rPr>
              <w:t>$235,170</w:t>
            </w:r>
          </w:p>
        </w:tc>
        <w:tc>
          <w:tcPr>
            <w:tcW w:w="60" w:type="dxa"/>
            <w:vAlign w:val="bottom"/>
          </w:tcPr>
          <w:p>
            <w:pPr>
              <w:spacing w:after="0"/>
              <w:rPr>
                <w:sz w:val="21"/>
                <w:szCs w:val="21"/>
                <w:color w:val="auto"/>
              </w:rPr>
            </w:pPr>
          </w:p>
        </w:tc>
        <w:tc>
          <w:tcPr>
            <w:tcW w:w="1380" w:type="dxa"/>
            <w:vAlign w:val="bottom"/>
          </w:tcPr>
          <w:p>
            <w:pPr>
              <w:jc w:val="center"/>
              <w:ind w:left="52"/>
              <w:spacing w:after="0"/>
              <w:rPr>
                <w:sz w:val="20"/>
                <w:szCs w:val="20"/>
                <w:color w:val="auto"/>
              </w:rPr>
            </w:pPr>
            <w:r>
              <w:rPr>
                <w:rFonts w:ascii="Arial" w:cs="Arial" w:eastAsia="Arial" w:hAnsi="Arial"/>
                <w:sz w:val="18"/>
                <w:szCs w:val="18"/>
                <w:color w:val="auto"/>
                <w:w w:val="98"/>
              </w:rPr>
              <w:t>$18,100</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$398,270</w:t>
            </w:r>
          </w:p>
        </w:tc>
      </w:tr>
      <w:tr>
        <w:trPr>
          <w:trHeight w:val="38"/>
        </w:trPr>
        <w:tc>
          <w:tcPr>
            <w:tcW w:w="1220" w:type="dxa"/>
            <w:vAlign w:val="bottom"/>
            <w:tcBorders>
              <w:bottom w:val="single" w:sz="8" w:color="023C5B"/>
            </w:tcBorders>
          </w:tcPr>
          <w:p>
            <w:pPr>
              <w:spacing w:after="0"/>
              <w:rPr>
                <w:sz w:val="3"/>
                <w:szCs w:val="3"/>
                <w:color w:val="auto"/>
              </w:rPr>
            </w:pPr>
          </w:p>
        </w:tc>
        <w:tc>
          <w:tcPr>
            <w:tcW w:w="47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26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11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8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00" w:type="dxa"/>
            <w:vAlign w:val="bottom"/>
            <w:tcBorders>
              <w:bottom w:val="single" w:sz="8" w:color="023C5B"/>
            </w:tcBorders>
          </w:tcPr>
          <w:p>
            <w:pPr>
              <w:spacing w:after="0"/>
              <w:rPr>
                <w:sz w:val="3"/>
                <w:szCs w:val="3"/>
                <w:color w:val="auto"/>
              </w:rPr>
            </w:pPr>
          </w:p>
        </w:tc>
      </w:tr>
      <w:tr>
        <w:trPr>
          <w:trHeight w:val="288"/>
        </w:trPr>
        <w:tc>
          <w:tcPr>
            <w:tcW w:w="6000" w:type="dxa"/>
            <w:vAlign w:val="bottom"/>
            <w:tcBorders>
              <w:bottom w:val="single" w:sz="8" w:color="E5EBEE"/>
            </w:tcBorders>
            <w:gridSpan w:val="3"/>
            <w:shd w:val="clear" w:color="auto" w:fill="E5EBEE"/>
          </w:tcPr>
          <w:p>
            <w:pPr>
              <w:spacing w:after="0"/>
              <w:rPr>
                <w:sz w:val="20"/>
                <w:szCs w:val="20"/>
                <w:color w:val="auto"/>
              </w:rPr>
            </w:pPr>
            <w:r>
              <w:rPr>
                <w:rFonts w:ascii="Arial" w:cs="Arial" w:eastAsia="Arial" w:hAnsi="Arial"/>
                <w:sz w:val="18"/>
                <w:szCs w:val="18"/>
                <w:color w:val="auto"/>
              </w:rPr>
              <w:t> Eileen Serra</w:t>
            </w:r>
          </w:p>
        </w:tc>
        <w:tc>
          <w:tcPr>
            <w:tcW w:w="1260" w:type="dxa"/>
            <w:vAlign w:val="bottom"/>
            <w:tcBorders>
              <w:bottom w:val="single" w:sz="8" w:color="E5EBEE"/>
            </w:tcBorders>
            <w:shd w:val="clear" w:color="auto" w:fill="E5EBEE"/>
          </w:tcPr>
          <w:p>
            <w:pPr>
              <w:jc w:val="center"/>
              <w:ind w:left="32"/>
              <w:spacing w:after="0"/>
              <w:rPr>
                <w:sz w:val="20"/>
                <w:szCs w:val="20"/>
                <w:color w:val="auto"/>
              </w:rPr>
            </w:pPr>
            <w:r>
              <w:rPr>
                <w:rFonts w:ascii="Arial" w:cs="Arial" w:eastAsia="Arial" w:hAnsi="Arial"/>
                <w:sz w:val="18"/>
                <w:szCs w:val="18"/>
                <w:color w:val="auto"/>
                <w:w w:val="98"/>
              </w:rPr>
              <w:t>$200,000</w:t>
            </w:r>
          </w:p>
        </w:tc>
        <w:tc>
          <w:tcPr>
            <w:tcW w:w="80" w:type="dxa"/>
            <w:vAlign w:val="bottom"/>
            <w:tcBorders>
              <w:bottom w:val="single" w:sz="8" w:color="E5EBEE"/>
            </w:tcBorders>
            <w:shd w:val="clear" w:color="auto" w:fill="E5EBEE"/>
          </w:tcPr>
          <w:p>
            <w:pPr>
              <w:spacing w:after="0"/>
              <w:rPr>
                <w:sz w:val="24"/>
                <w:szCs w:val="24"/>
                <w:color w:val="auto"/>
              </w:rPr>
            </w:pPr>
          </w:p>
        </w:tc>
        <w:tc>
          <w:tcPr>
            <w:tcW w:w="1160" w:type="dxa"/>
            <w:vAlign w:val="bottom"/>
            <w:tcBorders>
              <w:bottom w:val="single" w:sz="8" w:color="E5EBEE"/>
            </w:tcBorders>
            <w:shd w:val="clear" w:color="auto" w:fill="E5EBEE"/>
          </w:tcPr>
          <w:p>
            <w:pPr>
              <w:jc w:val="center"/>
              <w:ind w:left="32"/>
              <w:spacing w:after="0"/>
              <w:rPr>
                <w:sz w:val="20"/>
                <w:szCs w:val="20"/>
                <w:color w:val="auto"/>
              </w:rPr>
            </w:pPr>
            <w:r>
              <w:rPr>
                <w:rFonts w:ascii="Arial" w:cs="Arial" w:eastAsia="Arial" w:hAnsi="Arial"/>
                <w:sz w:val="18"/>
                <w:szCs w:val="18"/>
                <w:color w:val="auto"/>
              </w:rPr>
              <w:t>$235,170</w:t>
            </w:r>
          </w:p>
        </w:tc>
        <w:tc>
          <w:tcPr>
            <w:tcW w:w="60" w:type="dxa"/>
            <w:vAlign w:val="bottom"/>
            <w:tcBorders>
              <w:bottom w:val="single" w:sz="8" w:color="E5EBEE"/>
            </w:tcBorders>
            <w:shd w:val="clear" w:color="auto" w:fill="E5EBEE"/>
          </w:tcPr>
          <w:p>
            <w:pPr>
              <w:spacing w:after="0"/>
              <w:rPr>
                <w:sz w:val="24"/>
                <w:szCs w:val="24"/>
                <w:color w:val="auto"/>
              </w:rPr>
            </w:pPr>
          </w:p>
        </w:tc>
        <w:tc>
          <w:tcPr>
            <w:tcW w:w="1380" w:type="dxa"/>
            <w:vAlign w:val="bottom"/>
            <w:tcBorders>
              <w:bottom w:val="single" w:sz="8" w:color="E5EBEE"/>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$18,100</w:t>
            </w:r>
          </w:p>
        </w:tc>
        <w:tc>
          <w:tcPr>
            <w:tcW w:w="80" w:type="dxa"/>
            <w:vAlign w:val="bottom"/>
            <w:tcBorders>
              <w:bottom w:val="single" w:sz="8" w:color="E5EBEE"/>
            </w:tcBorders>
            <w:shd w:val="clear" w:color="auto" w:fill="E5EBEE"/>
          </w:tcPr>
          <w:p>
            <w:pPr>
              <w:spacing w:after="0"/>
              <w:rPr>
                <w:sz w:val="24"/>
                <w:szCs w:val="24"/>
                <w:color w:val="auto"/>
              </w:rPr>
            </w:pPr>
          </w:p>
        </w:tc>
        <w:tc>
          <w:tcPr>
            <w:tcW w:w="9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$453,270</w:t>
            </w:r>
          </w:p>
        </w:tc>
      </w:tr>
      <w:tr>
        <w:trPr>
          <w:trHeight w:val="250"/>
        </w:trPr>
        <w:tc>
          <w:tcPr>
            <w:tcW w:w="5940" w:type="dxa"/>
            <w:vAlign w:val="bottom"/>
            <w:tcBorders>
              <w:top w:val="single" w:sz="8" w:color="023C5B"/>
            </w:tcBorders>
            <w:gridSpan w:val="2"/>
          </w:tcPr>
          <w:p>
            <w:pPr>
              <w:spacing w:after="0"/>
              <w:rPr>
                <w:sz w:val="20"/>
                <w:szCs w:val="20"/>
                <w:color w:val="auto"/>
              </w:rPr>
            </w:pPr>
            <w:r>
              <w:rPr>
                <w:rFonts w:ascii="Arial" w:cs="Arial" w:eastAsia="Arial" w:hAnsi="Arial"/>
                <w:sz w:val="18"/>
                <w:szCs w:val="18"/>
                <w:color w:val="auto"/>
              </w:rPr>
              <w:t> Mayo A. Shattuck III</w:t>
            </w:r>
          </w:p>
        </w:tc>
        <w:tc>
          <w:tcPr>
            <w:tcW w:w="60" w:type="dxa"/>
            <w:vAlign w:val="bottom"/>
          </w:tcPr>
          <w:p>
            <w:pPr>
              <w:spacing w:after="0"/>
              <w:rPr>
                <w:sz w:val="21"/>
                <w:szCs w:val="21"/>
                <w:color w:val="auto"/>
              </w:rPr>
            </w:pPr>
          </w:p>
        </w:tc>
        <w:tc>
          <w:tcPr>
            <w:tcW w:w="1260" w:type="dxa"/>
            <w:vAlign w:val="bottom"/>
            <w:tcBorders>
              <w:top w:val="single" w:sz="8" w:color="023C5B"/>
            </w:tcBorders>
          </w:tcPr>
          <w:p>
            <w:pPr>
              <w:jc w:val="center"/>
              <w:ind w:left="32"/>
              <w:spacing w:after="0"/>
              <w:rPr>
                <w:sz w:val="20"/>
                <w:szCs w:val="20"/>
                <w:color w:val="auto"/>
              </w:rPr>
            </w:pPr>
            <w:r>
              <w:rPr>
                <w:rFonts w:ascii="Arial" w:cs="Arial" w:eastAsia="Arial" w:hAnsi="Arial"/>
                <w:sz w:val="18"/>
                <w:szCs w:val="18"/>
                <w:color w:val="auto"/>
                <w:w w:val="98"/>
              </w:rPr>
              <w:t>$140,000</w:t>
            </w:r>
          </w:p>
        </w:tc>
        <w:tc>
          <w:tcPr>
            <w:tcW w:w="80" w:type="dxa"/>
            <w:vAlign w:val="bottom"/>
          </w:tcPr>
          <w:p>
            <w:pPr>
              <w:spacing w:after="0"/>
              <w:rPr>
                <w:sz w:val="21"/>
                <w:szCs w:val="21"/>
                <w:color w:val="auto"/>
              </w:rPr>
            </w:pPr>
          </w:p>
        </w:tc>
        <w:tc>
          <w:tcPr>
            <w:tcW w:w="1160" w:type="dxa"/>
            <w:vAlign w:val="bottom"/>
            <w:tcBorders>
              <w:top w:val="single" w:sz="8" w:color="023C5B"/>
            </w:tcBorders>
          </w:tcPr>
          <w:p>
            <w:pPr>
              <w:jc w:val="center"/>
              <w:ind w:left="32"/>
              <w:spacing w:after="0"/>
              <w:rPr>
                <w:sz w:val="20"/>
                <w:szCs w:val="20"/>
                <w:color w:val="auto"/>
              </w:rPr>
            </w:pPr>
            <w:r>
              <w:rPr>
                <w:rFonts w:ascii="Arial" w:cs="Arial" w:eastAsia="Arial" w:hAnsi="Arial"/>
                <w:sz w:val="18"/>
                <w:szCs w:val="18"/>
                <w:color w:val="auto"/>
              </w:rPr>
              <w:t>$235,170</w:t>
            </w:r>
          </w:p>
        </w:tc>
        <w:tc>
          <w:tcPr>
            <w:tcW w:w="60" w:type="dxa"/>
            <w:vAlign w:val="bottom"/>
          </w:tcPr>
          <w:p>
            <w:pPr>
              <w:spacing w:after="0"/>
              <w:rPr>
                <w:sz w:val="21"/>
                <w:szCs w:val="21"/>
                <w:color w:val="auto"/>
              </w:rPr>
            </w:pPr>
          </w:p>
        </w:tc>
        <w:tc>
          <w:tcPr>
            <w:tcW w:w="1380" w:type="dxa"/>
            <w:vAlign w:val="bottom"/>
            <w:tcBorders>
              <w:top w:val="single" w:sz="8" w:color="023C5B"/>
            </w:tcBorders>
          </w:tcPr>
          <w:p>
            <w:pPr>
              <w:jc w:val="center"/>
              <w:ind w:left="52"/>
              <w:spacing w:after="0"/>
              <w:rPr>
                <w:sz w:val="20"/>
                <w:szCs w:val="20"/>
                <w:color w:val="auto"/>
              </w:rPr>
            </w:pPr>
            <w:r>
              <w:rPr>
                <w:rFonts w:ascii="Arial" w:cs="Arial" w:eastAsia="Arial" w:hAnsi="Arial"/>
                <w:sz w:val="18"/>
                <w:szCs w:val="18"/>
                <w:color w:val="auto"/>
                <w:w w:val="98"/>
              </w:rPr>
              <w:t>$18,100</w:t>
            </w:r>
          </w:p>
        </w:tc>
        <w:tc>
          <w:tcPr>
            <w:tcW w:w="80" w:type="dxa"/>
            <w:vAlign w:val="bottom"/>
          </w:tcPr>
          <w:p>
            <w:pPr>
              <w:spacing w:after="0"/>
              <w:rPr>
                <w:sz w:val="21"/>
                <w:szCs w:val="21"/>
                <w:color w:val="auto"/>
              </w:rPr>
            </w:pPr>
          </w:p>
        </w:tc>
        <w:tc>
          <w:tcPr>
            <w:tcW w:w="90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$393,270</w:t>
            </w:r>
          </w:p>
        </w:tc>
      </w:tr>
      <w:tr>
        <w:trPr>
          <w:trHeight w:val="38"/>
        </w:trPr>
        <w:tc>
          <w:tcPr>
            <w:tcW w:w="1220" w:type="dxa"/>
            <w:vAlign w:val="bottom"/>
            <w:tcBorders>
              <w:bottom w:val="single" w:sz="8" w:color="023C5B"/>
            </w:tcBorders>
          </w:tcPr>
          <w:p>
            <w:pPr>
              <w:spacing w:after="0"/>
              <w:rPr>
                <w:sz w:val="3"/>
                <w:szCs w:val="3"/>
                <w:color w:val="auto"/>
              </w:rPr>
            </w:pPr>
          </w:p>
        </w:tc>
        <w:tc>
          <w:tcPr>
            <w:tcW w:w="47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26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11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8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00" w:type="dxa"/>
            <w:vAlign w:val="bottom"/>
            <w:tcBorders>
              <w:bottom w:val="single" w:sz="8" w:color="023C5B"/>
            </w:tcBorders>
          </w:tcPr>
          <w:p>
            <w:pPr>
              <w:spacing w:after="0"/>
              <w:rPr>
                <w:sz w:val="3"/>
                <w:szCs w:val="3"/>
                <w:color w:val="auto"/>
              </w:rPr>
            </w:pPr>
          </w:p>
        </w:tc>
      </w:tr>
      <w:tr>
        <w:trPr>
          <w:trHeight w:val="288"/>
        </w:trPr>
        <w:tc>
          <w:tcPr>
            <w:tcW w:w="5940" w:type="dxa"/>
            <w:vAlign w:val="bottom"/>
            <w:tcBorders>
              <w:bottom w:val="single" w:sz="8" w:color="023C5B"/>
            </w:tcBorders>
            <w:gridSpan w:val="2"/>
            <w:shd w:val="clear" w:color="auto" w:fill="E5EBEE"/>
          </w:tcPr>
          <w:p>
            <w:pPr>
              <w:spacing w:after="0" w:line="287" w:lineRule="exact"/>
              <w:rPr>
                <w:sz w:val="20"/>
                <w:szCs w:val="20"/>
                <w:color w:val="auto"/>
              </w:rPr>
            </w:pPr>
            <w:r>
              <w:rPr>
                <w:rFonts w:ascii="Arial" w:cs="Arial" w:eastAsia="Arial" w:hAnsi="Arial"/>
                <w:sz w:val="18"/>
                <w:szCs w:val="18"/>
                <w:color w:val="auto"/>
              </w:rPr>
              <w:t> J. Michael Shepherd</w:t>
            </w:r>
            <w:r>
              <w:rPr>
                <w:rFonts w:ascii="Arial" w:cs="Arial" w:eastAsia="Arial" w:hAnsi="Arial"/>
                <w:sz w:val="26"/>
                <w:szCs w:val="26"/>
                <w:color w:val="auto"/>
                <w:vertAlign w:val="superscript"/>
              </w:rPr>
              <w:t>(6)</w:t>
            </w:r>
          </w:p>
        </w:tc>
        <w:tc>
          <w:tcPr>
            <w:tcW w:w="60" w:type="dxa"/>
            <w:vAlign w:val="bottom"/>
            <w:shd w:val="clear" w:color="auto" w:fill="E5EBEE"/>
          </w:tcPr>
          <w:p>
            <w:pPr>
              <w:spacing w:after="0"/>
              <w:rPr>
                <w:sz w:val="24"/>
                <w:szCs w:val="24"/>
                <w:color w:val="auto"/>
              </w:rPr>
            </w:pPr>
          </w:p>
        </w:tc>
        <w:tc>
          <w:tcPr>
            <w:tcW w:w="1260" w:type="dxa"/>
            <w:vAlign w:val="bottom"/>
            <w:tcBorders>
              <w:bottom w:val="single" w:sz="8" w:color="023C5B"/>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$76,484</w:t>
            </w:r>
          </w:p>
        </w:tc>
        <w:tc>
          <w:tcPr>
            <w:tcW w:w="80" w:type="dxa"/>
            <w:vAlign w:val="bottom"/>
            <w:shd w:val="clear" w:color="auto" w:fill="E5EBEE"/>
          </w:tcPr>
          <w:p>
            <w:pPr>
              <w:spacing w:after="0"/>
              <w:rPr>
                <w:sz w:val="24"/>
                <w:szCs w:val="24"/>
                <w:color w:val="auto"/>
              </w:rPr>
            </w:pPr>
          </w:p>
        </w:tc>
        <w:tc>
          <w:tcPr>
            <w:tcW w:w="1160" w:type="dxa"/>
            <w:vAlign w:val="bottom"/>
            <w:tcBorders>
              <w:bottom w:val="single" w:sz="8" w:color="023C5B"/>
            </w:tcBorders>
            <w:shd w:val="clear" w:color="auto" w:fill="E5EBEE"/>
          </w:tcPr>
          <w:p>
            <w:pPr>
              <w:jc w:val="center"/>
              <w:ind w:left="32"/>
              <w:spacing w:after="0"/>
              <w:rPr>
                <w:sz w:val="20"/>
                <w:szCs w:val="20"/>
                <w:color w:val="auto"/>
              </w:rPr>
            </w:pPr>
            <w:r>
              <w:rPr>
                <w:rFonts w:ascii="Arial" w:cs="Arial" w:eastAsia="Arial" w:hAnsi="Arial"/>
                <w:sz w:val="18"/>
                <w:szCs w:val="18"/>
                <w:color w:val="auto"/>
              </w:rPr>
              <w:t>$228,578</w:t>
            </w:r>
          </w:p>
        </w:tc>
        <w:tc>
          <w:tcPr>
            <w:tcW w:w="60" w:type="dxa"/>
            <w:vAlign w:val="bottom"/>
            <w:shd w:val="clear" w:color="auto" w:fill="E5EBEE"/>
          </w:tcPr>
          <w:p>
            <w:pPr>
              <w:spacing w:after="0"/>
              <w:rPr>
                <w:sz w:val="24"/>
                <w:szCs w:val="24"/>
                <w:color w:val="auto"/>
              </w:rPr>
            </w:pPr>
          </w:p>
        </w:tc>
        <w:tc>
          <w:tcPr>
            <w:tcW w:w="1380" w:type="dxa"/>
            <w:vAlign w:val="bottom"/>
            <w:tcBorders>
              <w:bottom w:val="single" w:sz="8" w:color="023C5B"/>
            </w:tcBorders>
            <w:shd w:val="clear" w:color="auto" w:fill="E5EBEE"/>
          </w:tcPr>
          <w:p>
            <w:pPr>
              <w:jc w:val="center"/>
              <w:ind w:left="52"/>
              <w:spacing w:after="0"/>
              <w:rPr>
                <w:sz w:val="20"/>
                <w:szCs w:val="20"/>
                <w:color w:val="auto"/>
              </w:rPr>
            </w:pPr>
            <w:r>
              <w:rPr>
                <w:rFonts w:ascii="Arial" w:cs="Arial" w:eastAsia="Arial" w:hAnsi="Arial"/>
                <w:sz w:val="18"/>
                <w:szCs w:val="18"/>
                <w:color w:val="auto"/>
                <w:w w:val="98"/>
              </w:rPr>
              <w:t>$10,000</w:t>
            </w:r>
          </w:p>
        </w:tc>
        <w:tc>
          <w:tcPr>
            <w:tcW w:w="80" w:type="dxa"/>
            <w:vAlign w:val="bottom"/>
            <w:shd w:val="clear" w:color="auto" w:fill="E5EBEE"/>
          </w:tcPr>
          <w:p>
            <w:pPr>
              <w:spacing w:after="0"/>
              <w:rPr>
                <w:sz w:val="24"/>
                <w:szCs w:val="24"/>
                <w:color w:val="auto"/>
              </w:rPr>
            </w:pPr>
          </w:p>
        </w:tc>
        <w:tc>
          <w:tcPr>
            <w:tcW w:w="9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8"/>
                <w:szCs w:val="18"/>
                <w:color w:val="auto"/>
                <w:w w:val="98"/>
              </w:rPr>
              <w:t>$315,062</w:t>
            </w:r>
          </w:p>
        </w:tc>
      </w:tr>
      <w:tr>
        <w:trPr>
          <w:trHeight w:val="250"/>
        </w:trPr>
        <w:tc>
          <w:tcPr>
            <w:tcW w:w="6000" w:type="dxa"/>
            <w:vAlign w:val="bottom"/>
            <w:gridSpan w:val="3"/>
          </w:tcPr>
          <w:p>
            <w:pPr>
              <w:spacing w:after="0"/>
              <w:rPr>
                <w:sz w:val="20"/>
                <w:szCs w:val="20"/>
                <w:color w:val="auto"/>
              </w:rPr>
            </w:pPr>
            <w:r>
              <w:rPr>
                <w:rFonts w:ascii="Arial" w:cs="Arial" w:eastAsia="Arial" w:hAnsi="Arial"/>
                <w:sz w:val="18"/>
                <w:szCs w:val="18"/>
                <w:color w:val="auto"/>
              </w:rPr>
              <w:t> Craig Anthony Williams</w:t>
            </w:r>
          </w:p>
        </w:tc>
        <w:tc>
          <w:tcPr>
            <w:tcW w:w="1260" w:type="dxa"/>
            <w:vAlign w:val="bottom"/>
          </w:tcPr>
          <w:p>
            <w:pPr>
              <w:jc w:val="center"/>
              <w:ind w:left="32"/>
              <w:spacing w:after="0"/>
              <w:rPr>
                <w:sz w:val="20"/>
                <w:szCs w:val="20"/>
                <w:color w:val="auto"/>
              </w:rPr>
            </w:pPr>
            <w:r>
              <w:rPr>
                <w:rFonts w:ascii="Arial" w:cs="Arial" w:eastAsia="Arial" w:hAnsi="Arial"/>
                <w:sz w:val="18"/>
                <w:szCs w:val="18"/>
                <w:color w:val="auto"/>
                <w:w w:val="98"/>
              </w:rPr>
              <w:t>$137,500</w:t>
            </w:r>
          </w:p>
        </w:tc>
        <w:tc>
          <w:tcPr>
            <w:tcW w:w="80" w:type="dxa"/>
            <w:vAlign w:val="bottom"/>
          </w:tcPr>
          <w:p>
            <w:pPr>
              <w:spacing w:after="0"/>
              <w:rPr>
                <w:sz w:val="21"/>
                <w:szCs w:val="21"/>
                <w:color w:val="auto"/>
              </w:rPr>
            </w:pPr>
          </w:p>
        </w:tc>
        <w:tc>
          <w:tcPr>
            <w:tcW w:w="1160" w:type="dxa"/>
            <w:vAlign w:val="bottom"/>
          </w:tcPr>
          <w:p>
            <w:pPr>
              <w:jc w:val="center"/>
              <w:ind w:left="32"/>
              <w:spacing w:after="0"/>
              <w:rPr>
                <w:sz w:val="20"/>
                <w:szCs w:val="20"/>
                <w:color w:val="auto"/>
              </w:rPr>
            </w:pPr>
            <w:r>
              <w:rPr>
                <w:rFonts w:ascii="Arial" w:cs="Arial" w:eastAsia="Arial" w:hAnsi="Arial"/>
                <w:sz w:val="18"/>
                <w:szCs w:val="18"/>
                <w:color w:val="auto"/>
              </w:rPr>
              <w:t>$235,170</w:t>
            </w:r>
          </w:p>
        </w:tc>
        <w:tc>
          <w:tcPr>
            <w:tcW w:w="60" w:type="dxa"/>
            <w:vAlign w:val="bottom"/>
          </w:tcPr>
          <w:p>
            <w:pPr>
              <w:spacing w:after="0"/>
              <w:rPr>
                <w:sz w:val="21"/>
                <w:szCs w:val="21"/>
                <w:color w:val="auto"/>
              </w:rPr>
            </w:pPr>
          </w:p>
        </w:tc>
        <w:tc>
          <w:tcPr>
            <w:tcW w:w="1380" w:type="dxa"/>
            <w:vAlign w:val="bottom"/>
          </w:tcPr>
          <w:p>
            <w:pPr>
              <w:jc w:val="center"/>
              <w:ind w:left="52"/>
              <w:spacing w:after="0"/>
              <w:rPr>
                <w:sz w:val="20"/>
                <w:szCs w:val="20"/>
                <w:color w:val="auto"/>
              </w:rPr>
            </w:pPr>
            <w:r>
              <w:rPr>
                <w:rFonts w:ascii="Arial" w:cs="Arial" w:eastAsia="Arial" w:hAnsi="Arial"/>
                <w:sz w:val="18"/>
                <w:szCs w:val="18"/>
                <w:color w:val="auto"/>
                <w:w w:val="98"/>
              </w:rPr>
              <w:t>$18,100</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8"/>
              </w:rPr>
              <w:t>$390,770</w:t>
            </w:r>
          </w:p>
        </w:tc>
      </w:tr>
      <w:tr>
        <w:trPr>
          <w:trHeight w:val="38"/>
        </w:trPr>
        <w:tc>
          <w:tcPr>
            <w:tcW w:w="1220" w:type="dxa"/>
            <w:vAlign w:val="bottom"/>
            <w:tcBorders>
              <w:bottom w:val="single" w:sz="8" w:color="023C5B"/>
            </w:tcBorders>
          </w:tcPr>
          <w:p>
            <w:pPr>
              <w:spacing w:after="0"/>
              <w:rPr>
                <w:sz w:val="3"/>
                <w:szCs w:val="3"/>
                <w:color w:val="auto"/>
              </w:rPr>
            </w:pPr>
          </w:p>
        </w:tc>
        <w:tc>
          <w:tcPr>
            <w:tcW w:w="47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26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11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8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00" w:type="dxa"/>
            <w:vAlign w:val="bottom"/>
            <w:tcBorders>
              <w:bottom w:val="single" w:sz="8" w:color="023C5B"/>
            </w:tcBorders>
          </w:tcPr>
          <w:p>
            <w:pPr>
              <w:spacing w:after="0"/>
              <w:rPr>
                <w:sz w:val="3"/>
                <w:szCs w:val="3"/>
                <w:color w:val="auto"/>
              </w:rPr>
            </w:pPr>
          </w:p>
        </w:tc>
      </w:tr>
      <w:tr>
        <w:trPr>
          <w:trHeight w:val="288"/>
        </w:trPr>
        <w:tc>
          <w:tcPr>
            <w:tcW w:w="6000" w:type="dxa"/>
            <w:vAlign w:val="bottom"/>
            <w:gridSpan w:val="3"/>
            <w:shd w:val="clear" w:color="auto" w:fill="E5EBEE"/>
          </w:tcPr>
          <w:p>
            <w:pPr>
              <w:spacing w:after="0" w:line="287" w:lineRule="exact"/>
              <w:rPr>
                <w:sz w:val="20"/>
                <w:szCs w:val="20"/>
                <w:color w:val="auto"/>
              </w:rPr>
            </w:pPr>
            <w:r>
              <w:rPr>
                <w:rFonts w:ascii="Arial" w:cs="Arial" w:eastAsia="Arial" w:hAnsi="Arial"/>
                <w:sz w:val="18"/>
                <w:szCs w:val="18"/>
                <w:color w:val="auto"/>
              </w:rPr>
              <w:t> Jennifer L. Wong</w:t>
            </w:r>
            <w:r>
              <w:rPr>
                <w:rFonts w:ascii="Arial" w:cs="Arial" w:eastAsia="Arial" w:hAnsi="Arial"/>
                <w:sz w:val="26"/>
                <w:szCs w:val="26"/>
                <w:color w:val="auto"/>
                <w:vertAlign w:val="superscript"/>
              </w:rPr>
              <w:t>(6)</w:t>
            </w:r>
          </w:p>
        </w:tc>
        <w:tc>
          <w:tcPr>
            <w:tcW w:w="1260" w:type="dxa"/>
            <w:vAlign w:val="bottom"/>
            <w:shd w:val="clear" w:color="auto" w:fill="E5EBEE"/>
          </w:tcPr>
          <w:p>
            <w:pPr>
              <w:jc w:val="center"/>
              <w:ind w:left="52"/>
              <w:spacing w:after="0"/>
              <w:rPr>
                <w:sz w:val="20"/>
                <w:szCs w:val="20"/>
                <w:color w:val="auto"/>
              </w:rPr>
            </w:pPr>
            <w:r>
              <w:rPr>
                <w:rFonts w:ascii="Arial" w:cs="Arial" w:eastAsia="Arial" w:hAnsi="Arial"/>
                <w:sz w:val="18"/>
                <w:szCs w:val="18"/>
                <w:color w:val="auto"/>
                <w:w w:val="98"/>
              </w:rPr>
              <w:t>$62,555</w:t>
            </w:r>
          </w:p>
        </w:tc>
        <w:tc>
          <w:tcPr>
            <w:tcW w:w="80" w:type="dxa"/>
            <w:vAlign w:val="bottom"/>
            <w:shd w:val="clear" w:color="auto" w:fill="E5EBEE"/>
          </w:tcPr>
          <w:p>
            <w:pPr>
              <w:spacing w:after="0"/>
              <w:rPr>
                <w:sz w:val="24"/>
                <w:szCs w:val="24"/>
                <w:color w:val="auto"/>
              </w:rPr>
            </w:pPr>
          </w:p>
        </w:tc>
        <w:tc>
          <w:tcPr>
            <w:tcW w:w="1160" w:type="dxa"/>
            <w:vAlign w:val="bottom"/>
            <w:shd w:val="clear" w:color="auto" w:fill="E5EBEE"/>
          </w:tcPr>
          <w:p>
            <w:pPr>
              <w:jc w:val="center"/>
              <w:ind w:left="32"/>
              <w:spacing w:after="0"/>
              <w:rPr>
                <w:sz w:val="20"/>
                <w:szCs w:val="20"/>
                <w:color w:val="auto"/>
              </w:rPr>
            </w:pPr>
            <w:r>
              <w:rPr>
                <w:rFonts w:ascii="Arial" w:cs="Arial" w:eastAsia="Arial" w:hAnsi="Arial"/>
                <w:sz w:val="18"/>
                <w:szCs w:val="18"/>
                <w:color w:val="auto"/>
              </w:rPr>
              <w:t>$228,578</w:t>
            </w:r>
          </w:p>
        </w:tc>
        <w:tc>
          <w:tcPr>
            <w:tcW w:w="60" w:type="dxa"/>
            <w:vAlign w:val="bottom"/>
            <w:shd w:val="clear" w:color="auto" w:fill="E5EBEE"/>
          </w:tcPr>
          <w:p>
            <w:pPr>
              <w:spacing w:after="0"/>
              <w:rPr>
                <w:sz w:val="24"/>
                <w:szCs w:val="24"/>
                <w:color w:val="auto"/>
              </w:rPr>
            </w:pPr>
          </w:p>
        </w:tc>
        <w:tc>
          <w:tcPr>
            <w:tcW w:w="1380" w:type="dxa"/>
            <w:vAlign w:val="bottom"/>
            <w:shd w:val="clear" w:color="auto" w:fill="E5EBEE"/>
          </w:tcPr>
          <w:p>
            <w:pPr>
              <w:jc w:val="center"/>
              <w:ind w:left="52"/>
              <w:spacing w:after="0"/>
              <w:rPr>
                <w:sz w:val="20"/>
                <w:szCs w:val="20"/>
                <w:color w:val="auto"/>
              </w:rPr>
            </w:pPr>
            <w:r>
              <w:rPr>
                <w:rFonts w:ascii="Arial" w:cs="Arial" w:eastAsia="Arial" w:hAnsi="Arial"/>
                <w:sz w:val="18"/>
                <w:szCs w:val="18"/>
                <w:color w:val="auto"/>
                <w:w w:val="98"/>
              </w:rPr>
              <w:t>$10,000</w:t>
            </w:r>
          </w:p>
        </w:tc>
        <w:tc>
          <w:tcPr>
            <w:tcW w:w="80" w:type="dxa"/>
            <w:vAlign w:val="bottom"/>
            <w:shd w:val="clear" w:color="auto" w:fill="E5EBEE"/>
          </w:tcPr>
          <w:p>
            <w:pPr>
              <w:spacing w:after="0"/>
              <w:rPr>
                <w:sz w:val="24"/>
                <w:szCs w:val="24"/>
                <w:color w:val="auto"/>
              </w:rPr>
            </w:pPr>
          </w:p>
        </w:tc>
        <w:tc>
          <w:tcPr>
            <w:tcW w:w="900" w:type="dxa"/>
            <w:vAlign w:val="bottom"/>
            <w:shd w:val="clear" w:color="auto" w:fill="E5EBEE"/>
          </w:tcPr>
          <w:p>
            <w:pPr>
              <w:jc w:val="center"/>
              <w:spacing w:after="0"/>
              <w:rPr>
                <w:sz w:val="20"/>
                <w:szCs w:val="20"/>
                <w:color w:val="auto"/>
              </w:rPr>
            </w:pPr>
            <w:r>
              <w:rPr>
                <w:rFonts w:ascii="Arial" w:cs="Arial" w:eastAsia="Arial" w:hAnsi="Arial"/>
                <w:sz w:val="18"/>
                <w:szCs w:val="18"/>
                <w:color w:val="auto"/>
                <w:w w:val="98"/>
              </w:rPr>
              <w:t>$301,133</w:t>
            </w:r>
          </w:p>
        </w:tc>
      </w:tr>
      <w:tr>
        <w:trPr>
          <w:trHeight w:val="127"/>
        </w:trPr>
        <w:tc>
          <w:tcPr>
            <w:tcW w:w="1220" w:type="dxa"/>
            <w:vAlign w:val="bottom"/>
            <w:tcBorders>
              <w:top w:val="single" w:sz="8" w:color="023C5B"/>
              <w:bottom w:val="single" w:sz="8" w:color="auto"/>
            </w:tcBorders>
          </w:tcPr>
          <w:p>
            <w:pPr>
              <w:spacing w:after="0"/>
              <w:rPr>
                <w:sz w:val="11"/>
                <w:szCs w:val="11"/>
                <w:color w:val="auto"/>
              </w:rPr>
            </w:pPr>
          </w:p>
        </w:tc>
        <w:tc>
          <w:tcPr>
            <w:tcW w:w="4720" w:type="dxa"/>
            <w:vAlign w:val="bottom"/>
            <w:tcBorders>
              <w:top w:val="single" w:sz="8" w:color="023C5B"/>
            </w:tcBorders>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Borders>
              <w:top w:val="single" w:sz="8" w:color="023C5B"/>
            </w:tcBorders>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top w:val="single" w:sz="8" w:color="023C5B"/>
            </w:tcBorders>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Borders>
              <w:top w:val="single" w:sz="8" w:color="023C5B"/>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023C5B"/>
            </w:tcBorders>
          </w:tcPr>
          <w:p>
            <w:pPr>
              <w:spacing w:after="0"/>
              <w:rPr>
                <w:sz w:val="11"/>
                <w:szCs w:val="11"/>
                <w:color w:val="auto"/>
              </w:rPr>
            </w:pPr>
          </w:p>
        </w:tc>
      </w:tr>
    </w:tbl>
    <w:p>
      <w:pPr>
        <w:spacing w:after="0" w:line="31" w:lineRule="exact"/>
        <w:rPr>
          <w:sz w:val="20"/>
          <w:szCs w:val="20"/>
          <w:color w:val="auto"/>
        </w:rPr>
      </w:pPr>
    </w:p>
    <w:p>
      <w:pPr>
        <w:jc w:val="both"/>
        <w:ind w:left="600" w:hanging="433"/>
        <w:spacing w:after="0" w:line="254" w:lineRule="auto"/>
        <w:tabs>
          <w:tab w:leader="none" w:pos="6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cash payments made during 2025, which include half of the payments made under the compensation program for the period from May 8, 2025 through our 2026 Annual Stockholder Meeting and half of the payments made under the compensation program for the period from May 2, 2024 through the date of our 2025 Annual Stockholder Meeting. Messrs. Maheras and Shepherd and Ms. Wong were appointed to the Board effective May 18, 2025 and received pro-rated cash payments.</w:t>
      </w:r>
    </w:p>
    <w:p>
      <w:pPr>
        <w:spacing w:after="0" w:line="211" w:lineRule="exact"/>
        <w:rPr>
          <w:rFonts w:ascii="Arial" w:cs="Arial" w:eastAsia="Arial" w:hAnsi="Arial"/>
          <w:sz w:val="14"/>
          <w:szCs w:val="14"/>
          <w:color w:val="auto"/>
        </w:rPr>
      </w:pPr>
    </w:p>
    <w:p>
      <w:pPr>
        <w:ind w:left="600" w:hanging="433"/>
        <w:spacing w:after="0"/>
        <w:tabs>
          <w:tab w:leader="none" w:pos="6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the grant date fair value of RSUs granted during 2025, calculated in accordance with FASB ASC Topic 718.</w:t>
      </w:r>
    </w:p>
    <w:p>
      <w:pPr>
        <w:spacing w:after="0" w:line="79" w:lineRule="exact"/>
        <w:rPr>
          <w:rFonts w:ascii="Arial" w:cs="Arial" w:eastAsia="Arial" w:hAnsi="Arial"/>
          <w:sz w:val="14"/>
          <w:szCs w:val="14"/>
          <w:color w:val="auto"/>
        </w:rPr>
      </w:pPr>
    </w:p>
    <w:p>
      <w:pPr>
        <w:jc w:val="both"/>
        <w:ind w:left="600" w:hanging="433"/>
        <w:spacing w:after="0" w:line="260" w:lineRule="auto"/>
        <w:tabs>
          <w:tab w:leader="none" w:pos="6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Amounts shown represent contributions made by Capital One on behalf of certain non-management directors serving during 2025 to charitable organization(s) of their choice, pursuant to programs under which Capital One will make charitable contributions in an aggregate annual amount of up to $15,000 per director. Amounts also include the value of Capital One products that non-management directors received. See “Other Benefits” on page 50 for more information.</w:t>
      </w:r>
    </w:p>
    <w:p>
      <w:pPr>
        <w:spacing w:after="0" w:line="38" w:lineRule="exact"/>
        <w:rPr>
          <w:rFonts w:ascii="Arial" w:cs="Arial" w:eastAsia="Arial" w:hAnsi="Arial"/>
          <w:sz w:val="14"/>
          <w:szCs w:val="14"/>
          <w:color w:val="auto"/>
        </w:rPr>
      </w:pPr>
    </w:p>
    <w:p>
      <w:pPr>
        <w:ind w:left="600" w:hanging="433"/>
        <w:spacing w:after="0"/>
        <w:tabs>
          <w:tab w:leader="none" w:pos="6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Management directors do not receive compensation for their service on the Board. In 2025, Mr. Fairbank was Capital One’s only management director.</w:t>
      </w:r>
    </w:p>
    <w:p>
      <w:pPr>
        <w:spacing w:after="0" w:line="79"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 addition to the standard compensatory arrangement described above, Mr. Leenaars received an additional $25,000 in recognition of the extra time and effort that is required for Mr. Leenaars to travel internationally to attend Board and committee meetings.</w:t>
      </w:r>
    </w:p>
    <w:p>
      <w:pPr>
        <w:spacing w:after="0" w:line="24" w:lineRule="exact"/>
        <w:rPr>
          <w:rFonts w:ascii="Arial" w:cs="Arial" w:eastAsia="Arial" w:hAnsi="Arial"/>
          <w:sz w:val="14"/>
          <w:szCs w:val="14"/>
          <w:color w:val="auto"/>
        </w:rPr>
      </w:pPr>
    </w:p>
    <w:p>
      <w:pPr>
        <w:ind w:left="600" w:right="20" w:hanging="433"/>
        <w:spacing w:after="0" w:line="281" w:lineRule="auto"/>
        <w:tabs>
          <w:tab w:leader="none" w:pos="6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Messrs. Maheras, Shepherd, and Ms. Wong were appointed to the Board effective May 18, 2025 and received pro-rated cash payments and pro-rated stock awards relating to their service beginning on May 18, 2025.</w:t>
      </w:r>
    </w:p>
    <w:p>
      <w:pPr>
        <w:spacing w:after="0" w:line="82"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III - Director Compensation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the number of RSUs outstanding for each non-management director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29755" cy="30232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29755" cy="3023235"/>
                    </a:xfrm>
                    <a:prstGeom prst="rect">
                      <a:avLst/>
                    </a:prstGeom>
                    <a:noFill/>
                  </pic:spPr>
                </pic:pic>
              </a:graphicData>
            </a:graphic>
          </wp:anchor>
        </w:drawing>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8040" w:type="dxa"/>
            <w:vAlign w:val="bottom"/>
            <w:shd w:val="clear" w:color="auto" w:fill="023C5B"/>
          </w:tcPr>
          <w:p>
            <w:pPr>
              <w:spacing w:after="0"/>
              <w:rPr>
                <w:sz w:val="19"/>
                <w:szCs w:val="19"/>
                <w:color w:val="auto"/>
              </w:rPr>
            </w:pPr>
          </w:p>
        </w:tc>
        <w:tc>
          <w:tcPr>
            <w:tcW w:w="80" w:type="dxa"/>
            <w:vAlign w:val="bottom"/>
            <w:shd w:val="clear" w:color="auto" w:fill="023C5B"/>
          </w:tcPr>
          <w:p>
            <w:pPr>
              <w:spacing w:after="0"/>
              <w:rPr>
                <w:sz w:val="19"/>
                <w:szCs w:val="19"/>
                <w:color w:val="auto"/>
              </w:rPr>
            </w:pPr>
          </w:p>
        </w:tc>
        <w:tc>
          <w:tcPr>
            <w:tcW w:w="2800" w:type="dxa"/>
            <w:vAlign w:val="bottom"/>
            <w:gridSpan w:val="3"/>
            <w:shd w:val="clear" w:color="auto" w:fill="023C5B"/>
          </w:tcPr>
          <w:p>
            <w:pPr>
              <w:ind w:left="440"/>
              <w:spacing w:after="0"/>
              <w:rPr>
                <w:sz w:val="20"/>
                <w:szCs w:val="20"/>
                <w:color w:val="auto"/>
              </w:rPr>
            </w:pPr>
            <w:r>
              <w:rPr>
                <w:rFonts w:ascii="Arial" w:cs="Arial" w:eastAsia="Arial" w:hAnsi="Arial"/>
                <w:sz w:val="16"/>
                <w:szCs w:val="16"/>
                <w:b w:val="1"/>
                <w:bCs w:val="1"/>
                <w:color w:val="FFFFFF"/>
              </w:rPr>
              <w:t xml:space="preserve">Number of Outstanding          </w:t>
            </w:r>
          </w:p>
        </w:tc>
      </w:tr>
      <w:tr>
        <w:trPr>
          <w:trHeight w:val="215"/>
        </w:trPr>
        <w:tc>
          <w:tcPr>
            <w:tcW w:w="8120" w:type="dxa"/>
            <w:vAlign w:val="bottom"/>
            <w:gridSpan w:val="2"/>
            <w:shd w:val="clear" w:color="auto" w:fill="023C5B"/>
          </w:tcPr>
          <w:p>
            <w:pPr>
              <w:ind w:left="60"/>
              <w:spacing w:after="0"/>
              <w:rPr>
                <w:sz w:val="20"/>
                <w:szCs w:val="20"/>
                <w:color w:val="auto"/>
              </w:rPr>
            </w:pPr>
            <w:r>
              <w:rPr>
                <w:rFonts w:ascii="Arial" w:cs="Arial" w:eastAsia="Arial" w:hAnsi="Arial"/>
                <w:sz w:val="16"/>
                <w:szCs w:val="16"/>
                <w:b w:val="1"/>
                <w:bCs w:val="1"/>
                <w:color w:val="FFFFFF"/>
              </w:rPr>
              <w:t>Director Name</w:t>
            </w:r>
          </w:p>
        </w:tc>
        <w:tc>
          <w:tcPr>
            <w:tcW w:w="1680" w:type="dxa"/>
            <w:vAlign w:val="bottom"/>
            <w:shd w:val="clear" w:color="auto" w:fill="023C5B"/>
          </w:tcPr>
          <w:p>
            <w:pPr>
              <w:ind w:left="1120"/>
              <w:spacing w:after="0"/>
              <w:rPr>
                <w:sz w:val="20"/>
                <w:szCs w:val="20"/>
                <w:color w:val="auto"/>
              </w:rPr>
            </w:pPr>
            <w:r>
              <w:rPr>
                <w:rFonts w:ascii="Arial" w:cs="Arial" w:eastAsia="Arial" w:hAnsi="Arial"/>
                <w:sz w:val="16"/>
                <w:szCs w:val="16"/>
                <w:b w:val="1"/>
                <w:bCs w:val="1"/>
                <w:color w:val="FFFFFF"/>
                <w:w w:val="91"/>
              </w:rPr>
              <w:t>RSUs </w:t>
            </w:r>
          </w:p>
        </w:tc>
        <w:tc>
          <w:tcPr>
            <w:tcW w:w="160" w:type="dxa"/>
            <w:vAlign w:val="bottom"/>
            <w:shd w:val="clear" w:color="auto" w:fill="023C5B"/>
          </w:tcPr>
          <w:p>
            <w:pPr>
              <w:ind w:left="20"/>
              <w:spacing w:after="0"/>
              <w:rPr>
                <w:sz w:val="20"/>
                <w:szCs w:val="20"/>
                <w:color w:val="auto"/>
              </w:rPr>
            </w:pPr>
            <w:r>
              <w:rPr>
                <w:rFonts w:ascii="Arial" w:cs="Arial" w:eastAsia="Arial" w:hAnsi="Arial"/>
                <w:sz w:val="16"/>
                <w:szCs w:val="16"/>
                <w:b w:val="1"/>
                <w:bCs w:val="1"/>
                <w:color w:val="FFFFFF"/>
                <w:w w:val="74"/>
              </w:rPr>
              <w:t> </w:t>
            </w:r>
          </w:p>
        </w:tc>
        <w:tc>
          <w:tcPr>
            <w:tcW w:w="960" w:type="dxa"/>
            <w:vAlign w:val="bottom"/>
            <w:shd w:val="clear" w:color="auto" w:fill="023C5B"/>
          </w:tcPr>
          <w:p>
            <w:pPr>
              <w:ind w:left="20"/>
              <w:spacing w:after="0"/>
              <w:rPr>
                <w:sz w:val="20"/>
                <w:szCs w:val="20"/>
                <w:color w:val="auto"/>
              </w:rPr>
            </w:pPr>
            <w:r>
              <w:rPr>
                <w:rFonts w:ascii="Arial" w:cs="Arial" w:eastAsia="Arial" w:hAnsi="Arial"/>
                <w:sz w:val="16"/>
                <w:szCs w:val="16"/>
                <w:b w:val="1"/>
                <w:bCs w:val="1"/>
                <w:color w:val="FFFFFF"/>
              </w:rPr>
              <w:t xml:space="preserve">    </w:t>
            </w:r>
          </w:p>
        </w:tc>
      </w:tr>
      <w:tr>
        <w:trPr>
          <w:trHeight w:val="308"/>
        </w:trPr>
        <w:tc>
          <w:tcPr>
            <w:tcW w:w="8040" w:type="dxa"/>
            <w:vAlign w:val="bottom"/>
            <w:tcBorders>
              <w:bottom w:val="single" w:sz="8" w:color="023C5B"/>
            </w:tcBorders>
            <w:shd w:val="clear" w:color="auto" w:fill="E5EBEE"/>
          </w:tcPr>
          <w:p>
            <w:pPr>
              <w:ind w:left="60"/>
              <w:spacing w:after="0"/>
              <w:rPr>
                <w:sz w:val="20"/>
                <w:szCs w:val="20"/>
                <w:color w:val="auto"/>
              </w:rPr>
            </w:pPr>
            <w:r>
              <w:rPr>
                <w:rFonts w:ascii="Arial" w:cs="Arial" w:eastAsia="Arial" w:hAnsi="Arial"/>
                <w:sz w:val="18"/>
                <w:szCs w:val="18"/>
                <w:color w:val="auto"/>
              </w:rPr>
              <w:t>Ime Archibong</w:t>
            </w:r>
          </w:p>
        </w:tc>
        <w:tc>
          <w:tcPr>
            <w:tcW w:w="80" w:type="dxa"/>
            <w:vAlign w:val="bottom"/>
            <w:shd w:val="clear" w:color="auto" w:fill="E5EBEE"/>
          </w:tcPr>
          <w:p>
            <w:pPr>
              <w:spacing w:after="0"/>
              <w:rPr>
                <w:sz w:val="24"/>
                <w:szCs w:val="24"/>
                <w:color w:val="auto"/>
              </w:rPr>
            </w:pPr>
          </w:p>
        </w:tc>
        <w:tc>
          <w:tcPr>
            <w:tcW w:w="1680" w:type="dxa"/>
            <w:vAlign w:val="bottom"/>
            <w:tcBorders>
              <w:bottom w:val="single" w:sz="8" w:color="023C5B"/>
            </w:tcBorders>
            <w:shd w:val="clear" w:color="auto" w:fill="E5EBEE"/>
          </w:tcPr>
          <w:p>
            <w:pPr>
              <w:jc w:val="center"/>
              <w:ind w:left="932"/>
              <w:spacing w:after="0"/>
              <w:rPr>
                <w:sz w:val="20"/>
                <w:szCs w:val="20"/>
                <w:color w:val="auto"/>
              </w:rPr>
            </w:pPr>
            <w:r>
              <w:rPr>
                <w:rFonts w:ascii="Arial" w:cs="Arial" w:eastAsia="Arial" w:hAnsi="Arial"/>
                <w:sz w:val="18"/>
                <w:szCs w:val="18"/>
                <w:color w:val="auto"/>
                <w:w w:val="79"/>
              </w:rPr>
              <w:t>6,960 </w:t>
            </w:r>
          </w:p>
        </w:tc>
        <w:tc>
          <w:tcPr>
            <w:tcW w:w="160" w:type="dxa"/>
            <w:vAlign w:val="bottom"/>
            <w:tcBorders>
              <w:bottom w:val="single" w:sz="8" w:color="023C5B"/>
            </w:tcBorders>
            <w:shd w:val="clear" w:color="auto" w:fill="E5EBEE"/>
          </w:tcPr>
          <w:p>
            <w:pPr>
              <w:ind w:left="60"/>
              <w:spacing w:after="0"/>
              <w:rPr>
                <w:sz w:val="20"/>
                <w:szCs w:val="20"/>
                <w:color w:val="auto"/>
              </w:rPr>
            </w:pPr>
            <w:r>
              <w:rPr>
                <w:rFonts w:ascii="Arial" w:cs="Arial" w:eastAsia="Arial" w:hAnsi="Arial"/>
                <w:sz w:val="11"/>
                <w:szCs w:val="11"/>
                <w:color w:val="auto"/>
                <w:w w:val="72"/>
              </w:rPr>
              <w:t> </w:t>
            </w:r>
          </w:p>
        </w:tc>
        <w:tc>
          <w:tcPr>
            <w:tcW w:w="960" w:type="dxa"/>
            <w:vAlign w:val="bottom"/>
            <w:tcBorders>
              <w:bottom w:val="single" w:sz="8" w:color="023C5B"/>
            </w:tcBorders>
            <w:shd w:val="clear" w:color="auto" w:fill="E5EBEE"/>
          </w:tcPr>
          <w:p>
            <w:pPr>
              <w:ind w:left="80"/>
              <w:spacing w:after="0"/>
              <w:rPr>
                <w:sz w:val="20"/>
                <w:szCs w:val="20"/>
                <w:color w:val="auto"/>
              </w:rPr>
            </w:pPr>
            <w:r>
              <w:rPr>
                <w:rFonts w:ascii="Arial" w:cs="Arial" w:eastAsia="Arial" w:hAnsi="Arial"/>
                <w:sz w:val="18"/>
                <w:szCs w:val="18"/>
                <w:color w:val="auto"/>
              </w:rPr>
              <w:t>    </w:t>
            </w:r>
          </w:p>
        </w:tc>
      </w:tr>
      <w:tr>
        <w:trPr>
          <w:trHeight w:val="288"/>
        </w:trPr>
        <w:tc>
          <w:tcPr>
            <w:tcW w:w="8040" w:type="dxa"/>
            <w:vAlign w:val="bottom"/>
            <w:tcBorders>
              <w:bottom w:val="single" w:sz="8" w:color="023C5B"/>
            </w:tcBorders>
          </w:tcPr>
          <w:p>
            <w:pPr>
              <w:ind w:left="60"/>
              <w:spacing w:after="0"/>
              <w:rPr>
                <w:sz w:val="20"/>
                <w:szCs w:val="20"/>
                <w:color w:val="auto"/>
              </w:rPr>
            </w:pPr>
            <w:r>
              <w:rPr>
                <w:rFonts w:ascii="Arial" w:cs="Arial" w:eastAsia="Arial" w:hAnsi="Arial"/>
                <w:sz w:val="18"/>
                <w:szCs w:val="18"/>
                <w:color w:val="auto"/>
              </w:rPr>
              <w:t>Christine Detrick</w:t>
            </w:r>
          </w:p>
        </w:tc>
        <w:tc>
          <w:tcPr>
            <w:tcW w:w="80" w:type="dxa"/>
            <w:vAlign w:val="bottom"/>
            <w:tcBorders>
              <w:bottom w:val="single" w:sz="8" w:color="E5EBEE"/>
            </w:tcBorders>
          </w:tcPr>
          <w:p>
            <w:pPr>
              <w:spacing w:after="0"/>
              <w:rPr>
                <w:sz w:val="24"/>
                <w:szCs w:val="24"/>
                <w:color w:val="auto"/>
              </w:rPr>
            </w:pPr>
          </w:p>
        </w:tc>
        <w:tc>
          <w:tcPr>
            <w:tcW w:w="1680" w:type="dxa"/>
            <w:vAlign w:val="bottom"/>
            <w:tcBorders>
              <w:bottom w:val="single" w:sz="8" w:color="023C5B"/>
            </w:tcBorders>
          </w:tcPr>
          <w:p>
            <w:pPr>
              <w:jc w:val="center"/>
              <w:ind w:left="932"/>
              <w:spacing w:after="0"/>
              <w:rPr>
                <w:sz w:val="20"/>
                <w:szCs w:val="20"/>
                <w:color w:val="auto"/>
              </w:rPr>
            </w:pPr>
            <w:r>
              <w:rPr>
                <w:rFonts w:ascii="Arial" w:cs="Arial" w:eastAsia="Arial" w:hAnsi="Arial"/>
                <w:sz w:val="18"/>
                <w:szCs w:val="18"/>
                <w:color w:val="auto"/>
                <w:w w:val="79"/>
              </w:rPr>
              <w:t>7,610 </w:t>
            </w:r>
          </w:p>
        </w:tc>
        <w:tc>
          <w:tcPr>
            <w:tcW w:w="160" w:type="dxa"/>
            <w:vAlign w:val="bottom"/>
            <w:tcBorders>
              <w:bottom w:val="single" w:sz="8" w:color="023C5B"/>
            </w:tcBorders>
          </w:tcPr>
          <w:p>
            <w:pPr>
              <w:ind w:left="60"/>
              <w:spacing w:after="0"/>
              <w:rPr>
                <w:sz w:val="20"/>
                <w:szCs w:val="20"/>
                <w:color w:val="auto"/>
              </w:rPr>
            </w:pPr>
            <w:r>
              <w:rPr>
                <w:rFonts w:ascii="Arial" w:cs="Arial" w:eastAsia="Arial" w:hAnsi="Arial"/>
                <w:sz w:val="11"/>
                <w:szCs w:val="11"/>
                <w:color w:val="auto"/>
                <w:w w:val="72"/>
              </w:rPr>
              <w:t> </w:t>
            </w:r>
          </w:p>
        </w:tc>
        <w:tc>
          <w:tcPr>
            <w:tcW w:w="960" w:type="dxa"/>
            <w:vAlign w:val="bottom"/>
            <w:tcBorders>
              <w:bottom w:val="single" w:sz="8" w:color="023C5B"/>
            </w:tcBorders>
          </w:tcPr>
          <w:p>
            <w:pPr>
              <w:ind w:left="80"/>
              <w:spacing w:after="0"/>
              <w:rPr>
                <w:sz w:val="20"/>
                <w:szCs w:val="20"/>
                <w:color w:val="auto"/>
              </w:rPr>
            </w:pPr>
            <w:r>
              <w:rPr>
                <w:rFonts w:ascii="Arial" w:cs="Arial" w:eastAsia="Arial" w:hAnsi="Arial"/>
                <w:sz w:val="18"/>
                <w:szCs w:val="18"/>
                <w:color w:val="auto"/>
              </w:rPr>
              <w:t>    </w:t>
            </w:r>
          </w:p>
        </w:tc>
      </w:tr>
      <w:tr>
        <w:trPr>
          <w:trHeight w:val="288"/>
        </w:trPr>
        <w:tc>
          <w:tcPr>
            <w:tcW w:w="8040" w:type="dxa"/>
            <w:vAlign w:val="bottom"/>
            <w:tcBorders>
              <w:bottom w:val="single" w:sz="8" w:color="023C5B"/>
            </w:tcBorders>
            <w:shd w:val="clear" w:color="auto" w:fill="E5EBEE"/>
          </w:tcPr>
          <w:p>
            <w:pPr>
              <w:ind w:left="60"/>
              <w:spacing w:after="0"/>
              <w:rPr>
                <w:sz w:val="20"/>
                <w:szCs w:val="20"/>
                <w:color w:val="auto"/>
              </w:rPr>
            </w:pPr>
            <w:r>
              <w:rPr>
                <w:rFonts w:ascii="Arial" w:cs="Arial" w:eastAsia="Arial" w:hAnsi="Arial"/>
                <w:sz w:val="18"/>
                <w:szCs w:val="18"/>
                <w:color w:val="auto"/>
              </w:rPr>
              <w:t>Ann Fritz Hackett</w:t>
            </w:r>
          </w:p>
        </w:tc>
        <w:tc>
          <w:tcPr>
            <w:tcW w:w="80" w:type="dxa"/>
            <w:vAlign w:val="bottom"/>
            <w:shd w:val="clear" w:color="auto" w:fill="E5EBEE"/>
          </w:tcPr>
          <w:p>
            <w:pPr>
              <w:spacing w:after="0"/>
              <w:rPr>
                <w:sz w:val="24"/>
                <w:szCs w:val="24"/>
                <w:color w:val="auto"/>
              </w:rPr>
            </w:pPr>
          </w:p>
        </w:tc>
        <w:tc>
          <w:tcPr>
            <w:tcW w:w="1680" w:type="dxa"/>
            <w:vAlign w:val="bottom"/>
            <w:tcBorders>
              <w:bottom w:val="single" w:sz="8" w:color="023C5B"/>
            </w:tcBorders>
            <w:shd w:val="clear" w:color="auto" w:fill="E5EBEE"/>
          </w:tcPr>
          <w:p>
            <w:pPr>
              <w:jc w:val="center"/>
              <w:ind w:left="952"/>
              <w:spacing w:after="0"/>
              <w:rPr>
                <w:sz w:val="20"/>
                <w:szCs w:val="20"/>
                <w:color w:val="auto"/>
              </w:rPr>
            </w:pPr>
            <w:r>
              <w:rPr>
                <w:rFonts w:ascii="Arial" w:cs="Arial" w:eastAsia="Arial" w:hAnsi="Arial"/>
                <w:sz w:val="18"/>
                <w:szCs w:val="18"/>
                <w:color w:val="auto"/>
                <w:w w:val="82"/>
              </w:rPr>
              <w:t>55,571 </w:t>
            </w:r>
          </w:p>
        </w:tc>
        <w:tc>
          <w:tcPr>
            <w:tcW w:w="160" w:type="dxa"/>
            <w:vAlign w:val="bottom"/>
            <w:tcBorders>
              <w:bottom w:val="single" w:sz="8" w:color="023C5B"/>
            </w:tcBorders>
            <w:shd w:val="clear" w:color="auto" w:fill="E5EBEE"/>
          </w:tcPr>
          <w:p>
            <w:pPr>
              <w:ind w:left="100"/>
              <w:spacing w:after="0"/>
              <w:rPr>
                <w:sz w:val="20"/>
                <w:szCs w:val="20"/>
                <w:color w:val="auto"/>
              </w:rPr>
            </w:pPr>
            <w:r>
              <w:rPr>
                <w:rFonts w:ascii="Arial" w:cs="Arial" w:eastAsia="Arial" w:hAnsi="Arial"/>
                <w:sz w:val="4"/>
                <w:szCs w:val="4"/>
                <w:color w:val="auto"/>
                <w:w w:val="98"/>
              </w:rPr>
              <w:t> </w:t>
            </w:r>
          </w:p>
        </w:tc>
        <w:tc>
          <w:tcPr>
            <w:tcW w:w="960" w:type="dxa"/>
            <w:vAlign w:val="bottom"/>
            <w:tcBorders>
              <w:bottom w:val="single" w:sz="8" w:color="023C5B"/>
            </w:tcBorders>
            <w:shd w:val="clear" w:color="auto" w:fill="E5EBEE"/>
          </w:tcPr>
          <w:p>
            <w:pPr>
              <w:ind w:left="120"/>
              <w:spacing w:after="0"/>
              <w:rPr>
                <w:sz w:val="20"/>
                <w:szCs w:val="20"/>
                <w:color w:val="auto"/>
              </w:rPr>
            </w:pPr>
            <w:r>
              <w:rPr>
                <w:rFonts w:ascii="Arial" w:cs="Arial" w:eastAsia="Arial" w:hAnsi="Arial"/>
                <w:sz w:val="18"/>
                <w:szCs w:val="18"/>
                <w:color w:val="auto"/>
              </w:rPr>
              <w:t>    </w:t>
            </w:r>
          </w:p>
        </w:tc>
      </w:tr>
      <w:tr>
        <w:trPr>
          <w:trHeight w:val="288"/>
        </w:trPr>
        <w:tc>
          <w:tcPr>
            <w:tcW w:w="8040" w:type="dxa"/>
            <w:vAlign w:val="bottom"/>
            <w:tcBorders>
              <w:bottom w:val="single" w:sz="8" w:color="023C5B"/>
            </w:tcBorders>
          </w:tcPr>
          <w:p>
            <w:pPr>
              <w:ind w:left="60"/>
              <w:spacing w:after="0"/>
              <w:rPr>
                <w:sz w:val="20"/>
                <w:szCs w:val="20"/>
                <w:color w:val="auto"/>
              </w:rPr>
            </w:pPr>
            <w:r>
              <w:rPr>
                <w:rFonts w:ascii="Arial" w:cs="Arial" w:eastAsia="Arial" w:hAnsi="Arial"/>
                <w:sz w:val="18"/>
                <w:szCs w:val="18"/>
                <w:color w:val="auto"/>
              </w:rPr>
              <w:t>Suni P. Harford</w:t>
            </w:r>
          </w:p>
        </w:tc>
        <w:tc>
          <w:tcPr>
            <w:tcW w:w="80" w:type="dxa"/>
            <w:vAlign w:val="bottom"/>
            <w:tcBorders>
              <w:bottom w:val="single" w:sz="8" w:color="E5EBEE"/>
            </w:tcBorders>
          </w:tcPr>
          <w:p>
            <w:pPr>
              <w:spacing w:after="0"/>
              <w:rPr>
                <w:sz w:val="24"/>
                <w:szCs w:val="24"/>
                <w:color w:val="auto"/>
              </w:rPr>
            </w:pPr>
          </w:p>
        </w:tc>
        <w:tc>
          <w:tcPr>
            <w:tcW w:w="1680" w:type="dxa"/>
            <w:vAlign w:val="bottom"/>
            <w:tcBorders>
              <w:bottom w:val="single" w:sz="8" w:color="023C5B"/>
            </w:tcBorders>
          </w:tcPr>
          <w:p>
            <w:pPr>
              <w:jc w:val="center"/>
              <w:ind w:left="932"/>
              <w:spacing w:after="0"/>
              <w:rPr>
                <w:sz w:val="20"/>
                <w:szCs w:val="20"/>
                <w:color w:val="auto"/>
              </w:rPr>
            </w:pPr>
            <w:r>
              <w:rPr>
                <w:rFonts w:ascii="Arial" w:cs="Arial" w:eastAsia="Arial" w:hAnsi="Arial"/>
                <w:sz w:val="18"/>
                <w:szCs w:val="18"/>
                <w:color w:val="auto"/>
                <w:w w:val="79"/>
              </w:rPr>
              <w:t>3,020 </w:t>
            </w:r>
          </w:p>
        </w:tc>
        <w:tc>
          <w:tcPr>
            <w:tcW w:w="160" w:type="dxa"/>
            <w:vAlign w:val="bottom"/>
            <w:tcBorders>
              <w:bottom w:val="single" w:sz="8" w:color="023C5B"/>
            </w:tcBorders>
          </w:tcPr>
          <w:p>
            <w:pPr>
              <w:ind w:left="60"/>
              <w:spacing w:after="0"/>
              <w:rPr>
                <w:sz w:val="20"/>
                <w:szCs w:val="20"/>
                <w:color w:val="auto"/>
              </w:rPr>
            </w:pPr>
            <w:r>
              <w:rPr>
                <w:rFonts w:ascii="Arial" w:cs="Arial" w:eastAsia="Arial" w:hAnsi="Arial"/>
                <w:sz w:val="11"/>
                <w:szCs w:val="11"/>
                <w:color w:val="auto"/>
                <w:w w:val="72"/>
              </w:rPr>
              <w:t> </w:t>
            </w:r>
          </w:p>
        </w:tc>
        <w:tc>
          <w:tcPr>
            <w:tcW w:w="960" w:type="dxa"/>
            <w:vAlign w:val="bottom"/>
            <w:tcBorders>
              <w:bottom w:val="single" w:sz="8" w:color="023C5B"/>
            </w:tcBorders>
          </w:tcPr>
          <w:p>
            <w:pPr>
              <w:ind w:left="80"/>
              <w:spacing w:after="0"/>
              <w:rPr>
                <w:sz w:val="20"/>
                <w:szCs w:val="20"/>
                <w:color w:val="auto"/>
              </w:rPr>
            </w:pPr>
            <w:r>
              <w:rPr>
                <w:rFonts w:ascii="Arial" w:cs="Arial" w:eastAsia="Arial" w:hAnsi="Arial"/>
                <w:sz w:val="18"/>
                <w:szCs w:val="18"/>
                <w:color w:val="auto"/>
              </w:rPr>
              <w:t>    </w:t>
            </w:r>
          </w:p>
        </w:tc>
      </w:tr>
      <w:tr>
        <w:trPr>
          <w:trHeight w:val="288"/>
        </w:trPr>
        <w:tc>
          <w:tcPr>
            <w:tcW w:w="8040" w:type="dxa"/>
            <w:vAlign w:val="bottom"/>
            <w:tcBorders>
              <w:bottom w:val="single" w:sz="8" w:color="023C5B"/>
            </w:tcBorders>
            <w:shd w:val="clear" w:color="auto" w:fill="E5EBEE"/>
          </w:tcPr>
          <w:p>
            <w:pPr>
              <w:ind w:left="60"/>
              <w:spacing w:after="0"/>
              <w:rPr>
                <w:sz w:val="20"/>
                <w:szCs w:val="20"/>
                <w:color w:val="auto"/>
              </w:rPr>
            </w:pPr>
            <w:r>
              <w:rPr>
                <w:rFonts w:ascii="Arial" w:cs="Arial" w:eastAsia="Arial" w:hAnsi="Arial"/>
                <w:sz w:val="18"/>
                <w:szCs w:val="18"/>
                <w:color w:val="auto"/>
              </w:rPr>
              <w:t>Peter T. Killalea</w:t>
            </w:r>
          </w:p>
        </w:tc>
        <w:tc>
          <w:tcPr>
            <w:tcW w:w="80" w:type="dxa"/>
            <w:vAlign w:val="bottom"/>
            <w:shd w:val="clear" w:color="auto" w:fill="E5EBEE"/>
          </w:tcPr>
          <w:p>
            <w:pPr>
              <w:spacing w:after="0"/>
              <w:rPr>
                <w:sz w:val="24"/>
                <w:szCs w:val="24"/>
                <w:color w:val="auto"/>
              </w:rPr>
            </w:pPr>
          </w:p>
        </w:tc>
        <w:tc>
          <w:tcPr>
            <w:tcW w:w="1680" w:type="dxa"/>
            <w:vAlign w:val="bottom"/>
            <w:tcBorders>
              <w:bottom w:val="single" w:sz="8" w:color="023C5B"/>
            </w:tcBorders>
            <w:shd w:val="clear" w:color="auto" w:fill="E5EBEE"/>
          </w:tcPr>
          <w:p>
            <w:pPr>
              <w:jc w:val="center"/>
              <w:ind w:left="952"/>
              <w:spacing w:after="0"/>
              <w:rPr>
                <w:sz w:val="20"/>
                <w:szCs w:val="20"/>
                <w:color w:val="auto"/>
              </w:rPr>
            </w:pPr>
            <w:r>
              <w:rPr>
                <w:rFonts w:ascii="Arial" w:cs="Arial" w:eastAsia="Arial" w:hAnsi="Arial"/>
                <w:sz w:val="18"/>
                <w:szCs w:val="18"/>
                <w:color w:val="auto"/>
                <w:w w:val="82"/>
              </w:rPr>
              <w:t>18,361 </w:t>
            </w:r>
          </w:p>
        </w:tc>
        <w:tc>
          <w:tcPr>
            <w:tcW w:w="160" w:type="dxa"/>
            <w:vAlign w:val="bottom"/>
            <w:tcBorders>
              <w:bottom w:val="single" w:sz="8" w:color="023C5B"/>
            </w:tcBorders>
            <w:shd w:val="clear" w:color="auto" w:fill="E5EBEE"/>
          </w:tcPr>
          <w:p>
            <w:pPr>
              <w:ind w:left="100"/>
              <w:spacing w:after="0"/>
              <w:rPr>
                <w:sz w:val="20"/>
                <w:szCs w:val="20"/>
                <w:color w:val="auto"/>
              </w:rPr>
            </w:pPr>
            <w:r>
              <w:rPr>
                <w:rFonts w:ascii="Arial" w:cs="Arial" w:eastAsia="Arial" w:hAnsi="Arial"/>
                <w:sz w:val="4"/>
                <w:szCs w:val="4"/>
                <w:color w:val="auto"/>
                <w:w w:val="98"/>
              </w:rPr>
              <w:t> </w:t>
            </w:r>
          </w:p>
        </w:tc>
        <w:tc>
          <w:tcPr>
            <w:tcW w:w="960" w:type="dxa"/>
            <w:vAlign w:val="bottom"/>
            <w:tcBorders>
              <w:bottom w:val="single" w:sz="8" w:color="023C5B"/>
            </w:tcBorders>
            <w:shd w:val="clear" w:color="auto" w:fill="E5EBEE"/>
          </w:tcPr>
          <w:p>
            <w:pPr>
              <w:ind w:left="120"/>
              <w:spacing w:after="0"/>
              <w:rPr>
                <w:sz w:val="20"/>
                <w:szCs w:val="20"/>
                <w:color w:val="auto"/>
              </w:rPr>
            </w:pPr>
            <w:r>
              <w:rPr>
                <w:rFonts w:ascii="Arial" w:cs="Arial" w:eastAsia="Arial" w:hAnsi="Arial"/>
                <w:sz w:val="18"/>
                <w:szCs w:val="18"/>
                <w:color w:val="auto"/>
              </w:rPr>
              <w:t>    </w:t>
            </w:r>
          </w:p>
        </w:tc>
      </w:tr>
      <w:tr>
        <w:trPr>
          <w:trHeight w:val="288"/>
        </w:trPr>
        <w:tc>
          <w:tcPr>
            <w:tcW w:w="8040" w:type="dxa"/>
            <w:vAlign w:val="bottom"/>
            <w:tcBorders>
              <w:bottom w:val="single" w:sz="8" w:color="023C5B"/>
            </w:tcBorders>
          </w:tcPr>
          <w:p>
            <w:pPr>
              <w:ind w:left="60"/>
              <w:spacing w:after="0"/>
              <w:rPr>
                <w:sz w:val="20"/>
                <w:szCs w:val="20"/>
                <w:color w:val="auto"/>
              </w:rPr>
            </w:pPr>
            <w:r>
              <w:rPr>
                <w:rFonts w:ascii="Arial" w:cs="Arial" w:eastAsia="Arial" w:hAnsi="Arial"/>
                <w:sz w:val="18"/>
                <w:szCs w:val="18"/>
                <w:color w:val="auto"/>
              </w:rPr>
              <w:t>Eli Leenaars</w:t>
            </w:r>
          </w:p>
        </w:tc>
        <w:tc>
          <w:tcPr>
            <w:tcW w:w="80" w:type="dxa"/>
            <w:vAlign w:val="bottom"/>
            <w:tcBorders>
              <w:bottom w:val="single" w:sz="8" w:color="E5EBEE"/>
            </w:tcBorders>
          </w:tcPr>
          <w:p>
            <w:pPr>
              <w:spacing w:after="0"/>
              <w:rPr>
                <w:sz w:val="24"/>
                <w:szCs w:val="24"/>
                <w:color w:val="auto"/>
              </w:rPr>
            </w:pPr>
          </w:p>
        </w:tc>
        <w:tc>
          <w:tcPr>
            <w:tcW w:w="1680" w:type="dxa"/>
            <w:vAlign w:val="bottom"/>
            <w:tcBorders>
              <w:bottom w:val="single" w:sz="8" w:color="023C5B"/>
            </w:tcBorders>
          </w:tcPr>
          <w:p>
            <w:pPr>
              <w:jc w:val="center"/>
              <w:ind w:left="952"/>
              <w:spacing w:after="0"/>
              <w:rPr>
                <w:sz w:val="20"/>
                <w:szCs w:val="20"/>
                <w:color w:val="auto"/>
              </w:rPr>
            </w:pPr>
            <w:r>
              <w:rPr>
                <w:rFonts w:ascii="Arial" w:cs="Arial" w:eastAsia="Arial" w:hAnsi="Arial"/>
                <w:sz w:val="18"/>
                <w:szCs w:val="18"/>
                <w:color w:val="auto"/>
                <w:w w:val="82"/>
              </w:rPr>
              <w:t>13,898 </w:t>
            </w:r>
          </w:p>
        </w:tc>
        <w:tc>
          <w:tcPr>
            <w:tcW w:w="160" w:type="dxa"/>
            <w:vAlign w:val="bottom"/>
            <w:tcBorders>
              <w:bottom w:val="single" w:sz="8" w:color="023C5B"/>
            </w:tcBorders>
          </w:tcPr>
          <w:p>
            <w:pPr>
              <w:ind w:left="100"/>
              <w:spacing w:after="0"/>
              <w:rPr>
                <w:sz w:val="20"/>
                <w:szCs w:val="20"/>
                <w:color w:val="auto"/>
              </w:rPr>
            </w:pPr>
            <w:r>
              <w:rPr>
                <w:rFonts w:ascii="Arial" w:cs="Arial" w:eastAsia="Arial" w:hAnsi="Arial"/>
                <w:sz w:val="4"/>
                <w:szCs w:val="4"/>
                <w:color w:val="auto"/>
                <w:w w:val="98"/>
              </w:rPr>
              <w:t> </w:t>
            </w:r>
          </w:p>
        </w:tc>
        <w:tc>
          <w:tcPr>
            <w:tcW w:w="960" w:type="dxa"/>
            <w:vAlign w:val="bottom"/>
            <w:tcBorders>
              <w:bottom w:val="single" w:sz="8" w:color="023C5B"/>
            </w:tcBorders>
          </w:tcPr>
          <w:p>
            <w:pPr>
              <w:ind w:left="120"/>
              <w:spacing w:after="0"/>
              <w:rPr>
                <w:sz w:val="20"/>
                <w:szCs w:val="20"/>
                <w:color w:val="auto"/>
              </w:rPr>
            </w:pPr>
            <w:r>
              <w:rPr>
                <w:rFonts w:ascii="Arial" w:cs="Arial" w:eastAsia="Arial" w:hAnsi="Arial"/>
                <w:sz w:val="18"/>
                <w:szCs w:val="18"/>
                <w:color w:val="auto"/>
              </w:rPr>
              <w:t>    </w:t>
            </w:r>
          </w:p>
        </w:tc>
      </w:tr>
      <w:tr>
        <w:trPr>
          <w:trHeight w:val="288"/>
        </w:trPr>
        <w:tc>
          <w:tcPr>
            <w:tcW w:w="8040" w:type="dxa"/>
            <w:vAlign w:val="bottom"/>
            <w:tcBorders>
              <w:bottom w:val="single" w:sz="8" w:color="023C5B"/>
            </w:tcBorders>
            <w:shd w:val="clear" w:color="auto" w:fill="E5EBEE"/>
          </w:tcPr>
          <w:p>
            <w:pPr>
              <w:ind w:left="60"/>
              <w:spacing w:after="0"/>
              <w:rPr>
                <w:sz w:val="20"/>
                <w:szCs w:val="20"/>
                <w:color w:val="auto"/>
              </w:rPr>
            </w:pPr>
            <w:r>
              <w:rPr>
                <w:rFonts w:ascii="Arial" w:cs="Arial" w:eastAsia="Arial" w:hAnsi="Arial"/>
                <w:sz w:val="18"/>
                <w:szCs w:val="18"/>
                <w:color w:val="auto"/>
              </w:rPr>
              <w:t>François Locoh-Donou</w:t>
            </w:r>
          </w:p>
        </w:tc>
        <w:tc>
          <w:tcPr>
            <w:tcW w:w="80" w:type="dxa"/>
            <w:vAlign w:val="bottom"/>
            <w:shd w:val="clear" w:color="auto" w:fill="E5EBEE"/>
          </w:tcPr>
          <w:p>
            <w:pPr>
              <w:spacing w:after="0"/>
              <w:rPr>
                <w:sz w:val="24"/>
                <w:szCs w:val="24"/>
                <w:color w:val="auto"/>
              </w:rPr>
            </w:pPr>
          </w:p>
        </w:tc>
        <w:tc>
          <w:tcPr>
            <w:tcW w:w="1680" w:type="dxa"/>
            <w:vAlign w:val="bottom"/>
            <w:tcBorders>
              <w:bottom w:val="single" w:sz="8" w:color="023C5B"/>
            </w:tcBorders>
            <w:shd w:val="clear" w:color="auto" w:fill="E5EBEE"/>
          </w:tcPr>
          <w:p>
            <w:pPr>
              <w:jc w:val="center"/>
              <w:ind w:left="932"/>
              <w:spacing w:after="0"/>
              <w:rPr>
                <w:sz w:val="20"/>
                <w:szCs w:val="20"/>
                <w:color w:val="auto"/>
              </w:rPr>
            </w:pPr>
            <w:r>
              <w:rPr>
                <w:rFonts w:ascii="Arial" w:cs="Arial" w:eastAsia="Arial" w:hAnsi="Arial"/>
                <w:sz w:val="18"/>
                <w:szCs w:val="18"/>
                <w:color w:val="auto"/>
                <w:w w:val="79"/>
              </w:rPr>
              <w:t>11,808 </w:t>
            </w:r>
          </w:p>
        </w:tc>
        <w:tc>
          <w:tcPr>
            <w:tcW w:w="160" w:type="dxa"/>
            <w:vAlign w:val="bottom"/>
            <w:tcBorders>
              <w:bottom w:val="single" w:sz="8" w:color="023C5B"/>
            </w:tcBorders>
            <w:shd w:val="clear" w:color="auto" w:fill="E5EBEE"/>
          </w:tcPr>
          <w:p>
            <w:pPr>
              <w:ind w:left="100"/>
              <w:spacing w:after="0"/>
              <w:rPr>
                <w:sz w:val="20"/>
                <w:szCs w:val="20"/>
                <w:color w:val="auto"/>
              </w:rPr>
            </w:pPr>
            <w:r>
              <w:rPr>
                <w:rFonts w:ascii="Arial" w:cs="Arial" w:eastAsia="Arial" w:hAnsi="Arial"/>
                <w:sz w:val="4"/>
                <w:szCs w:val="4"/>
                <w:color w:val="auto"/>
                <w:w w:val="98"/>
              </w:rPr>
              <w:t> </w:t>
            </w:r>
          </w:p>
        </w:tc>
        <w:tc>
          <w:tcPr>
            <w:tcW w:w="960" w:type="dxa"/>
            <w:vAlign w:val="bottom"/>
            <w:tcBorders>
              <w:bottom w:val="single" w:sz="8" w:color="023C5B"/>
            </w:tcBorders>
            <w:shd w:val="clear" w:color="auto" w:fill="E5EBEE"/>
          </w:tcPr>
          <w:p>
            <w:pPr>
              <w:ind w:left="120"/>
              <w:spacing w:after="0"/>
              <w:rPr>
                <w:sz w:val="20"/>
                <w:szCs w:val="20"/>
                <w:color w:val="auto"/>
              </w:rPr>
            </w:pPr>
            <w:r>
              <w:rPr>
                <w:rFonts w:ascii="Arial" w:cs="Arial" w:eastAsia="Arial" w:hAnsi="Arial"/>
                <w:sz w:val="18"/>
                <w:szCs w:val="18"/>
                <w:color w:val="auto"/>
              </w:rPr>
              <w:t>    </w:t>
            </w:r>
          </w:p>
        </w:tc>
      </w:tr>
      <w:tr>
        <w:trPr>
          <w:trHeight w:val="288"/>
        </w:trPr>
        <w:tc>
          <w:tcPr>
            <w:tcW w:w="8040" w:type="dxa"/>
            <w:vAlign w:val="bottom"/>
            <w:tcBorders>
              <w:bottom w:val="single" w:sz="8" w:color="023C5B"/>
            </w:tcBorders>
          </w:tcPr>
          <w:p>
            <w:pPr>
              <w:ind w:left="60"/>
              <w:spacing w:after="0" w:line="287" w:lineRule="exact"/>
              <w:rPr>
                <w:sz w:val="20"/>
                <w:szCs w:val="20"/>
                <w:color w:val="auto"/>
              </w:rPr>
            </w:pPr>
            <w:r>
              <w:rPr>
                <w:rFonts w:ascii="Arial" w:cs="Arial" w:eastAsia="Arial" w:hAnsi="Arial"/>
                <w:sz w:val="18"/>
                <w:szCs w:val="18"/>
                <w:color w:val="auto"/>
              </w:rPr>
              <w:t>Thomas G. Maheras</w:t>
            </w:r>
            <w:r>
              <w:rPr>
                <w:rFonts w:ascii="Arial" w:cs="Arial" w:eastAsia="Arial" w:hAnsi="Arial"/>
                <w:sz w:val="26"/>
                <w:szCs w:val="26"/>
                <w:color w:val="auto"/>
                <w:vertAlign w:val="superscript"/>
              </w:rPr>
              <w:t>(1)</w:t>
            </w:r>
          </w:p>
        </w:tc>
        <w:tc>
          <w:tcPr>
            <w:tcW w:w="80" w:type="dxa"/>
            <w:vAlign w:val="bottom"/>
            <w:tcBorders>
              <w:bottom w:val="single" w:sz="8" w:color="E5EBEE"/>
            </w:tcBorders>
          </w:tcPr>
          <w:p>
            <w:pPr>
              <w:spacing w:after="0"/>
              <w:rPr>
                <w:sz w:val="24"/>
                <w:szCs w:val="24"/>
                <w:color w:val="auto"/>
              </w:rPr>
            </w:pPr>
          </w:p>
        </w:tc>
        <w:tc>
          <w:tcPr>
            <w:tcW w:w="1680" w:type="dxa"/>
            <w:vAlign w:val="bottom"/>
            <w:tcBorders>
              <w:bottom w:val="single" w:sz="8" w:color="023C5B"/>
            </w:tcBorders>
          </w:tcPr>
          <w:p>
            <w:pPr>
              <w:jc w:val="center"/>
              <w:ind w:left="952"/>
              <w:spacing w:after="0"/>
              <w:rPr>
                <w:sz w:val="20"/>
                <w:szCs w:val="20"/>
                <w:color w:val="auto"/>
              </w:rPr>
            </w:pPr>
            <w:r>
              <w:rPr>
                <w:rFonts w:ascii="Arial" w:cs="Arial" w:eastAsia="Arial" w:hAnsi="Arial"/>
                <w:sz w:val="18"/>
                <w:szCs w:val="18"/>
                <w:color w:val="auto"/>
                <w:w w:val="82"/>
              </w:rPr>
              <w:t>51,751 </w:t>
            </w:r>
          </w:p>
        </w:tc>
        <w:tc>
          <w:tcPr>
            <w:tcW w:w="160" w:type="dxa"/>
            <w:vAlign w:val="bottom"/>
            <w:tcBorders>
              <w:bottom w:val="single" w:sz="8" w:color="023C5B"/>
            </w:tcBorders>
          </w:tcPr>
          <w:p>
            <w:pPr>
              <w:ind w:left="100"/>
              <w:spacing w:after="0"/>
              <w:rPr>
                <w:sz w:val="20"/>
                <w:szCs w:val="20"/>
                <w:color w:val="auto"/>
              </w:rPr>
            </w:pPr>
            <w:r>
              <w:rPr>
                <w:rFonts w:ascii="Arial" w:cs="Arial" w:eastAsia="Arial" w:hAnsi="Arial"/>
                <w:sz w:val="4"/>
                <w:szCs w:val="4"/>
                <w:color w:val="auto"/>
                <w:w w:val="98"/>
              </w:rPr>
              <w:t> </w:t>
            </w:r>
          </w:p>
        </w:tc>
        <w:tc>
          <w:tcPr>
            <w:tcW w:w="960" w:type="dxa"/>
            <w:vAlign w:val="bottom"/>
            <w:tcBorders>
              <w:bottom w:val="single" w:sz="8" w:color="023C5B"/>
            </w:tcBorders>
          </w:tcPr>
          <w:p>
            <w:pPr>
              <w:ind w:left="120"/>
              <w:spacing w:after="0"/>
              <w:rPr>
                <w:sz w:val="20"/>
                <w:szCs w:val="20"/>
                <w:color w:val="auto"/>
              </w:rPr>
            </w:pPr>
            <w:r>
              <w:rPr>
                <w:rFonts w:ascii="Arial" w:cs="Arial" w:eastAsia="Arial" w:hAnsi="Arial"/>
                <w:sz w:val="18"/>
                <w:szCs w:val="18"/>
                <w:color w:val="auto"/>
              </w:rPr>
              <w:t>    </w:t>
            </w:r>
          </w:p>
        </w:tc>
      </w:tr>
      <w:tr>
        <w:trPr>
          <w:trHeight w:val="288"/>
        </w:trPr>
        <w:tc>
          <w:tcPr>
            <w:tcW w:w="8040" w:type="dxa"/>
            <w:vAlign w:val="bottom"/>
            <w:tcBorders>
              <w:bottom w:val="single" w:sz="8" w:color="023C5B"/>
            </w:tcBorders>
            <w:shd w:val="clear" w:color="auto" w:fill="E5EBEE"/>
          </w:tcPr>
          <w:p>
            <w:pPr>
              <w:ind w:left="60"/>
              <w:spacing w:after="0"/>
              <w:rPr>
                <w:sz w:val="20"/>
                <w:szCs w:val="20"/>
                <w:color w:val="auto"/>
              </w:rPr>
            </w:pPr>
            <w:r>
              <w:rPr>
                <w:rFonts w:ascii="Arial" w:cs="Arial" w:eastAsia="Arial" w:hAnsi="Arial"/>
                <w:sz w:val="18"/>
                <w:szCs w:val="18"/>
                <w:color w:val="auto"/>
              </w:rPr>
              <w:t>Peter E. Raskind</w:t>
            </w:r>
          </w:p>
        </w:tc>
        <w:tc>
          <w:tcPr>
            <w:tcW w:w="80" w:type="dxa"/>
            <w:vAlign w:val="bottom"/>
            <w:shd w:val="clear" w:color="auto" w:fill="E5EBEE"/>
          </w:tcPr>
          <w:p>
            <w:pPr>
              <w:spacing w:after="0"/>
              <w:rPr>
                <w:sz w:val="24"/>
                <w:szCs w:val="24"/>
                <w:color w:val="auto"/>
              </w:rPr>
            </w:pPr>
          </w:p>
        </w:tc>
        <w:tc>
          <w:tcPr>
            <w:tcW w:w="1680" w:type="dxa"/>
            <w:vAlign w:val="bottom"/>
            <w:tcBorders>
              <w:bottom w:val="single" w:sz="8" w:color="023C5B"/>
            </w:tcBorders>
            <w:shd w:val="clear" w:color="auto" w:fill="E5EBEE"/>
          </w:tcPr>
          <w:p>
            <w:pPr>
              <w:jc w:val="center"/>
              <w:ind w:left="952"/>
              <w:spacing w:after="0"/>
              <w:rPr>
                <w:sz w:val="20"/>
                <w:szCs w:val="20"/>
                <w:color w:val="auto"/>
              </w:rPr>
            </w:pPr>
            <w:r>
              <w:rPr>
                <w:rFonts w:ascii="Arial" w:cs="Arial" w:eastAsia="Arial" w:hAnsi="Arial"/>
                <w:sz w:val="18"/>
                <w:szCs w:val="18"/>
                <w:color w:val="auto"/>
                <w:w w:val="82"/>
              </w:rPr>
              <w:t>29,402 </w:t>
            </w:r>
          </w:p>
        </w:tc>
        <w:tc>
          <w:tcPr>
            <w:tcW w:w="160" w:type="dxa"/>
            <w:vAlign w:val="bottom"/>
            <w:tcBorders>
              <w:bottom w:val="single" w:sz="8" w:color="023C5B"/>
            </w:tcBorders>
            <w:shd w:val="clear" w:color="auto" w:fill="E5EBEE"/>
          </w:tcPr>
          <w:p>
            <w:pPr>
              <w:ind w:left="100"/>
              <w:spacing w:after="0"/>
              <w:rPr>
                <w:sz w:val="20"/>
                <w:szCs w:val="20"/>
                <w:color w:val="auto"/>
              </w:rPr>
            </w:pPr>
            <w:r>
              <w:rPr>
                <w:rFonts w:ascii="Arial" w:cs="Arial" w:eastAsia="Arial" w:hAnsi="Arial"/>
                <w:sz w:val="4"/>
                <w:szCs w:val="4"/>
                <w:color w:val="auto"/>
                <w:w w:val="98"/>
              </w:rPr>
              <w:t> </w:t>
            </w:r>
          </w:p>
        </w:tc>
        <w:tc>
          <w:tcPr>
            <w:tcW w:w="960" w:type="dxa"/>
            <w:vAlign w:val="bottom"/>
            <w:tcBorders>
              <w:bottom w:val="single" w:sz="8" w:color="023C5B"/>
            </w:tcBorders>
            <w:shd w:val="clear" w:color="auto" w:fill="E5EBEE"/>
          </w:tcPr>
          <w:p>
            <w:pPr>
              <w:ind w:left="120"/>
              <w:spacing w:after="0"/>
              <w:rPr>
                <w:sz w:val="20"/>
                <w:szCs w:val="20"/>
                <w:color w:val="auto"/>
              </w:rPr>
            </w:pPr>
            <w:r>
              <w:rPr>
                <w:rFonts w:ascii="Arial" w:cs="Arial" w:eastAsia="Arial" w:hAnsi="Arial"/>
                <w:sz w:val="18"/>
                <w:szCs w:val="18"/>
                <w:color w:val="auto"/>
              </w:rPr>
              <w:t>    </w:t>
            </w:r>
          </w:p>
        </w:tc>
      </w:tr>
      <w:tr>
        <w:trPr>
          <w:trHeight w:val="288"/>
        </w:trPr>
        <w:tc>
          <w:tcPr>
            <w:tcW w:w="8040" w:type="dxa"/>
            <w:vAlign w:val="bottom"/>
            <w:tcBorders>
              <w:bottom w:val="single" w:sz="8" w:color="023C5B"/>
            </w:tcBorders>
          </w:tcPr>
          <w:p>
            <w:pPr>
              <w:ind w:left="60"/>
              <w:spacing w:after="0"/>
              <w:rPr>
                <w:sz w:val="20"/>
                <w:szCs w:val="20"/>
                <w:color w:val="auto"/>
              </w:rPr>
            </w:pPr>
            <w:r>
              <w:rPr>
                <w:rFonts w:ascii="Arial" w:cs="Arial" w:eastAsia="Arial" w:hAnsi="Arial"/>
                <w:sz w:val="18"/>
                <w:szCs w:val="18"/>
                <w:color w:val="auto"/>
              </w:rPr>
              <w:t>Eileen Serra</w:t>
            </w:r>
          </w:p>
        </w:tc>
        <w:tc>
          <w:tcPr>
            <w:tcW w:w="80" w:type="dxa"/>
            <w:vAlign w:val="bottom"/>
            <w:tcBorders>
              <w:bottom w:val="single" w:sz="8" w:color="E5EBEE"/>
            </w:tcBorders>
          </w:tcPr>
          <w:p>
            <w:pPr>
              <w:spacing w:after="0"/>
              <w:rPr>
                <w:sz w:val="24"/>
                <w:szCs w:val="24"/>
                <w:color w:val="auto"/>
              </w:rPr>
            </w:pPr>
          </w:p>
        </w:tc>
        <w:tc>
          <w:tcPr>
            <w:tcW w:w="1680" w:type="dxa"/>
            <w:vAlign w:val="bottom"/>
            <w:tcBorders>
              <w:bottom w:val="single" w:sz="8" w:color="023C5B"/>
            </w:tcBorders>
          </w:tcPr>
          <w:p>
            <w:pPr>
              <w:jc w:val="center"/>
              <w:ind w:left="932"/>
              <w:spacing w:after="0"/>
              <w:rPr>
                <w:sz w:val="20"/>
                <w:szCs w:val="20"/>
                <w:color w:val="auto"/>
              </w:rPr>
            </w:pPr>
            <w:r>
              <w:rPr>
                <w:rFonts w:ascii="Arial" w:cs="Arial" w:eastAsia="Arial" w:hAnsi="Arial"/>
                <w:sz w:val="18"/>
                <w:szCs w:val="18"/>
                <w:color w:val="auto"/>
                <w:w w:val="79"/>
              </w:rPr>
              <w:t>9,850 </w:t>
            </w:r>
          </w:p>
        </w:tc>
        <w:tc>
          <w:tcPr>
            <w:tcW w:w="160" w:type="dxa"/>
            <w:vAlign w:val="bottom"/>
            <w:tcBorders>
              <w:bottom w:val="single" w:sz="8" w:color="023C5B"/>
            </w:tcBorders>
          </w:tcPr>
          <w:p>
            <w:pPr>
              <w:ind w:left="60"/>
              <w:spacing w:after="0"/>
              <w:rPr>
                <w:sz w:val="20"/>
                <w:szCs w:val="20"/>
                <w:color w:val="auto"/>
              </w:rPr>
            </w:pPr>
            <w:r>
              <w:rPr>
                <w:rFonts w:ascii="Arial" w:cs="Arial" w:eastAsia="Arial" w:hAnsi="Arial"/>
                <w:sz w:val="11"/>
                <w:szCs w:val="11"/>
                <w:color w:val="auto"/>
                <w:w w:val="72"/>
              </w:rPr>
              <w:t> </w:t>
            </w:r>
          </w:p>
        </w:tc>
        <w:tc>
          <w:tcPr>
            <w:tcW w:w="960" w:type="dxa"/>
            <w:vAlign w:val="bottom"/>
            <w:tcBorders>
              <w:bottom w:val="single" w:sz="8" w:color="023C5B"/>
            </w:tcBorders>
          </w:tcPr>
          <w:p>
            <w:pPr>
              <w:ind w:left="80"/>
              <w:spacing w:after="0"/>
              <w:rPr>
                <w:sz w:val="20"/>
                <w:szCs w:val="20"/>
                <w:color w:val="auto"/>
              </w:rPr>
            </w:pPr>
            <w:r>
              <w:rPr>
                <w:rFonts w:ascii="Arial" w:cs="Arial" w:eastAsia="Arial" w:hAnsi="Arial"/>
                <w:sz w:val="18"/>
                <w:szCs w:val="18"/>
                <w:color w:val="auto"/>
              </w:rPr>
              <w:t>    </w:t>
            </w:r>
          </w:p>
        </w:tc>
      </w:tr>
      <w:tr>
        <w:trPr>
          <w:trHeight w:val="288"/>
        </w:trPr>
        <w:tc>
          <w:tcPr>
            <w:tcW w:w="8040" w:type="dxa"/>
            <w:vAlign w:val="bottom"/>
            <w:tcBorders>
              <w:bottom w:val="single" w:sz="8" w:color="023C5B"/>
            </w:tcBorders>
            <w:shd w:val="clear" w:color="auto" w:fill="E5EBEE"/>
          </w:tcPr>
          <w:p>
            <w:pPr>
              <w:ind w:left="60"/>
              <w:spacing w:after="0"/>
              <w:rPr>
                <w:sz w:val="20"/>
                <w:szCs w:val="20"/>
                <w:color w:val="auto"/>
              </w:rPr>
            </w:pPr>
            <w:r>
              <w:rPr>
                <w:rFonts w:ascii="Arial" w:cs="Arial" w:eastAsia="Arial" w:hAnsi="Arial"/>
                <w:sz w:val="18"/>
                <w:szCs w:val="18"/>
                <w:color w:val="auto"/>
              </w:rPr>
              <w:t>Mayo A. Shattuck III</w:t>
            </w:r>
          </w:p>
        </w:tc>
        <w:tc>
          <w:tcPr>
            <w:tcW w:w="80" w:type="dxa"/>
            <w:vAlign w:val="bottom"/>
            <w:shd w:val="clear" w:color="auto" w:fill="E5EBEE"/>
          </w:tcPr>
          <w:p>
            <w:pPr>
              <w:spacing w:after="0"/>
              <w:rPr>
                <w:sz w:val="24"/>
                <w:szCs w:val="24"/>
                <w:color w:val="auto"/>
              </w:rPr>
            </w:pPr>
          </w:p>
        </w:tc>
        <w:tc>
          <w:tcPr>
            <w:tcW w:w="1680" w:type="dxa"/>
            <w:vAlign w:val="bottom"/>
            <w:tcBorders>
              <w:bottom w:val="single" w:sz="8" w:color="023C5B"/>
            </w:tcBorders>
            <w:shd w:val="clear" w:color="auto" w:fill="E5EBEE"/>
          </w:tcPr>
          <w:p>
            <w:pPr>
              <w:jc w:val="center"/>
              <w:ind w:left="952"/>
              <w:spacing w:after="0"/>
              <w:rPr>
                <w:sz w:val="20"/>
                <w:szCs w:val="20"/>
                <w:color w:val="auto"/>
              </w:rPr>
            </w:pPr>
            <w:r>
              <w:rPr>
                <w:rFonts w:ascii="Arial" w:cs="Arial" w:eastAsia="Arial" w:hAnsi="Arial"/>
                <w:sz w:val="18"/>
                <w:szCs w:val="18"/>
                <w:color w:val="auto"/>
                <w:w w:val="82"/>
              </w:rPr>
              <w:t>55,571 </w:t>
            </w:r>
          </w:p>
        </w:tc>
        <w:tc>
          <w:tcPr>
            <w:tcW w:w="160" w:type="dxa"/>
            <w:vAlign w:val="bottom"/>
            <w:tcBorders>
              <w:bottom w:val="single" w:sz="8" w:color="023C5B"/>
            </w:tcBorders>
            <w:shd w:val="clear" w:color="auto" w:fill="E5EBEE"/>
          </w:tcPr>
          <w:p>
            <w:pPr>
              <w:ind w:left="100"/>
              <w:spacing w:after="0"/>
              <w:rPr>
                <w:sz w:val="20"/>
                <w:szCs w:val="20"/>
                <w:color w:val="auto"/>
              </w:rPr>
            </w:pPr>
            <w:r>
              <w:rPr>
                <w:rFonts w:ascii="Arial" w:cs="Arial" w:eastAsia="Arial" w:hAnsi="Arial"/>
                <w:sz w:val="4"/>
                <w:szCs w:val="4"/>
                <w:color w:val="auto"/>
                <w:w w:val="98"/>
              </w:rPr>
              <w:t> </w:t>
            </w:r>
          </w:p>
        </w:tc>
        <w:tc>
          <w:tcPr>
            <w:tcW w:w="960" w:type="dxa"/>
            <w:vAlign w:val="bottom"/>
            <w:tcBorders>
              <w:bottom w:val="single" w:sz="8" w:color="023C5B"/>
            </w:tcBorders>
            <w:shd w:val="clear" w:color="auto" w:fill="E5EBEE"/>
          </w:tcPr>
          <w:p>
            <w:pPr>
              <w:ind w:left="120"/>
              <w:spacing w:after="0"/>
              <w:rPr>
                <w:sz w:val="20"/>
                <w:szCs w:val="20"/>
                <w:color w:val="auto"/>
              </w:rPr>
            </w:pPr>
            <w:r>
              <w:rPr>
                <w:rFonts w:ascii="Arial" w:cs="Arial" w:eastAsia="Arial" w:hAnsi="Arial"/>
                <w:sz w:val="18"/>
                <w:szCs w:val="18"/>
                <w:color w:val="auto"/>
              </w:rPr>
              <w:t>    </w:t>
            </w:r>
          </w:p>
        </w:tc>
      </w:tr>
      <w:tr>
        <w:trPr>
          <w:trHeight w:val="288"/>
        </w:trPr>
        <w:tc>
          <w:tcPr>
            <w:tcW w:w="8040" w:type="dxa"/>
            <w:vAlign w:val="bottom"/>
            <w:tcBorders>
              <w:bottom w:val="single" w:sz="8" w:color="023C5B"/>
            </w:tcBorders>
          </w:tcPr>
          <w:p>
            <w:pPr>
              <w:ind w:left="60"/>
              <w:spacing w:after="0" w:line="287" w:lineRule="exact"/>
              <w:rPr>
                <w:sz w:val="20"/>
                <w:szCs w:val="20"/>
                <w:color w:val="auto"/>
              </w:rPr>
            </w:pPr>
            <w:r>
              <w:rPr>
                <w:rFonts w:ascii="Arial" w:cs="Arial" w:eastAsia="Arial" w:hAnsi="Arial"/>
                <w:sz w:val="18"/>
                <w:szCs w:val="18"/>
                <w:color w:val="auto"/>
              </w:rPr>
              <w:t>J. Michael Shepherd</w:t>
            </w:r>
            <w:r>
              <w:rPr>
                <w:rFonts w:ascii="Arial" w:cs="Arial" w:eastAsia="Arial" w:hAnsi="Arial"/>
                <w:sz w:val="26"/>
                <w:szCs w:val="26"/>
                <w:color w:val="auto"/>
                <w:vertAlign w:val="superscript"/>
              </w:rPr>
              <w:t>(1)</w:t>
            </w:r>
          </w:p>
        </w:tc>
        <w:tc>
          <w:tcPr>
            <w:tcW w:w="80" w:type="dxa"/>
            <w:vAlign w:val="bottom"/>
            <w:tcBorders>
              <w:bottom w:val="single" w:sz="8" w:color="E5EBEE"/>
            </w:tcBorders>
          </w:tcPr>
          <w:p>
            <w:pPr>
              <w:spacing w:after="0"/>
              <w:rPr>
                <w:sz w:val="24"/>
                <w:szCs w:val="24"/>
                <w:color w:val="auto"/>
              </w:rPr>
            </w:pPr>
          </w:p>
        </w:tc>
        <w:tc>
          <w:tcPr>
            <w:tcW w:w="1680" w:type="dxa"/>
            <w:vAlign w:val="bottom"/>
            <w:tcBorders>
              <w:bottom w:val="single" w:sz="8" w:color="023C5B"/>
            </w:tcBorders>
          </w:tcPr>
          <w:p>
            <w:pPr>
              <w:jc w:val="center"/>
              <w:ind w:left="932"/>
              <w:spacing w:after="0"/>
              <w:rPr>
                <w:sz w:val="20"/>
                <w:szCs w:val="20"/>
                <w:color w:val="auto"/>
              </w:rPr>
            </w:pPr>
            <w:r>
              <w:rPr>
                <w:rFonts w:ascii="Arial" w:cs="Arial" w:eastAsia="Arial" w:hAnsi="Arial"/>
                <w:sz w:val="18"/>
                <w:szCs w:val="18"/>
                <w:color w:val="auto"/>
                <w:w w:val="79"/>
              </w:rPr>
              <w:t>2,426 </w:t>
            </w:r>
          </w:p>
        </w:tc>
        <w:tc>
          <w:tcPr>
            <w:tcW w:w="160" w:type="dxa"/>
            <w:vAlign w:val="bottom"/>
            <w:tcBorders>
              <w:bottom w:val="single" w:sz="8" w:color="023C5B"/>
            </w:tcBorders>
          </w:tcPr>
          <w:p>
            <w:pPr>
              <w:ind w:left="60"/>
              <w:spacing w:after="0"/>
              <w:rPr>
                <w:sz w:val="20"/>
                <w:szCs w:val="20"/>
                <w:color w:val="auto"/>
              </w:rPr>
            </w:pPr>
            <w:r>
              <w:rPr>
                <w:rFonts w:ascii="Arial" w:cs="Arial" w:eastAsia="Arial" w:hAnsi="Arial"/>
                <w:sz w:val="11"/>
                <w:szCs w:val="11"/>
                <w:color w:val="auto"/>
                <w:w w:val="72"/>
              </w:rPr>
              <w:t> </w:t>
            </w:r>
          </w:p>
        </w:tc>
        <w:tc>
          <w:tcPr>
            <w:tcW w:w="960" w:type="dxa"/>
            <w:vAlign w:val="bottom"/>
            <w:tcBorders>
              <w:bottom w:val="single" w:sz="8" w:color="023C5B"/>
            </w:tcBorders>
          </w:tcPr>
          <w:p>
            <w:pPr>
              <w:ind w:left="80"/>
              <w:spacing w:after="0"/>
              <w:rPr>
                <w:sz w:val="20"/>
                <w:szCs w:val="20"/>
                <w:color w:val="auto"/>
              </w:rPr>
            </w:pPr>
            <w:r>
              <w:rPr>
                <w:rFonts w:ascii="Arial" w:cs="Arial" w:eastAsia="Arial" w:hAnsi="Arial"/>
                <w:sz w:val="18"/>
                <w:szCs w:val="18"/>
                <w:color w:val="auto"/>
              </w:rPr>
              <w:t>    </w:t>
            </w:r>
          </w:p>
        </w:tc>
      </w:tr>
      <w:tr>
        <w:trPr>
          <w:trHeight w:val="288"/>
        </w:trPr>
        <w:tc>
          <w:tcPr>
            <w:tcW w:w="8040" w:type="dxa"/>
            <w:vAlign w:val="bottom"/>
            <w:tcBorders>
              <w:bottom w:val="single" w:sz="8" w:color="023C5B"/>
            </w:tcBorders>
            <w:shd w:val="clear" w:color="auto" w:fill="E5EBEE"/>
          </w:tcPr>
          <w:p>
            <w:pPr>
              <w:ind w:left="60"/>
              <w:spacing w:after="0"/>
              <w:rPr>
                <w:sz w:val="20"/>
                <w:szCs w:val="20"/>
                <w:color w:val="auto"/>
              </w:rPr>
            </w:pPr>
            <w:r>
              <w:rPr>
                <w:rFonts w:ascii="Arial" w:cs="Arial" w:eastAsia="Arial" w:hAnsi="Arial"/>
                <w:sz w:val="18"/>
                <w:szCs w:val="18"/>
                <w:color w:val="auto"/>
              </w:rPr>
              <w:t>Craig Anthony Williams</w:t>
            </w:r>
          </w:p>
        </w:tc>
        <w:tc>
          <w:tcPr>
            <w:tcW w:w="80" w:type="dxa"/>
            <w:vAlign w:val="bottom"/>
            <w:shd w:val="clear" w:color="auto" w:fill="E5EBEE"/>
          </w:tcPr>
          <w:p>
            <w:pPr>
              <w:spacing w:after="0"/>
              <w:rPr>
                <w:sz w:val="24"/>
                <w:szCs w:val="24"/>
                <w:color w:val="auto"/>
              </w:rPr>
            </w:pPr>
          </w:p>
        </w:tc>
        <w:tc>
          <w:tcPr>
            <w:tcW w:w="1680" w:type="dxa"/>
            <w:vAlign w:val="bottom"/>
            <w:tcBorders>
              <w:bottom w:val="single" w:sz="8" w:color="023C5B"/>
            </w:tcBorders>
            <w:shd w:val="clear" w:color="auto" w:fill="E5EBEE"/>
          </w:tcPr>
          <w:p>
            <w:pPr>
              <w:jc w:val="center"/>
              <w:ind w:left="932"/>
              <w:spacing w:after="0"/>
              <w:rPr>
                <w:sz w:val="20"/>
                <w:szCs w:val="20"/>
                <w:color w:val="auto"/>
              </w:rPr>
            </w:pPr>
            <w:r>
              <w:rPr>
                <w:rFonts w:ascii="Arial" w:cs="Arial" w:eastAsia="Arial" w:hAnsi="Arial"/>
                <w:sz w:val="18"/>
                <w:szCs w:val="18"/>
                <w:color w:val="auto"/>
                <w:w w:val="79"/>
              </w:rPr>
              <w:t>6,960 </w:t>
            </w:r>
          </w:p>
        </w:tc>
        <w:tc>
          <w:tcPr>
            <w:tcW w:w="160" w:type="dxa"/>
            <w:vAlign w:val="bottom"/>
            <w:tcBorders>
              <w:bottom w:val="single" w:sz="8" w:color="023C5B"/>
            </w:tcBorders>
            <w:shd w:val="clear" w:color="auto" w:fill="E5EBEE"/>
          </w:tcPr>
          <w:p>
            <w:pPr>
              <w:ind w:left="60"/>
              <w:spacing w:after="0"/>
              <w:rPr>
                <w:sz w:val="20"/>
                <w:szCs w:val="20"/>
                <w:color w:val="auto"/>
              </w:rPr>
            </w:pPr>
            <w:r>
              <w:rPr>
                <w:rFonts w:ascii="Arial" w:cs="Arial" w:eastAsia="Arial" w:hAnsi="Arial"/>
                <w:sz w:val="11"/>
                <w:szCs w:val="11"/>
                <w:color w:val="auto"/>
                <w:w w:val="72"/>
              </w:rPr>
              <w:t> </w:t>
            </w:r>
          </w:p>
        </w:tc>
        <w:tc>
          <w:tcPr>
            <w:tcW w:w="960" w:type="dxa"/>
            <w:vAlign w:val="bottom"/>
            <w:tcBorders>
              <w:bottom w:val="single" w:sz="8" w:color="023C5B"/>
            </w:tcBorders>
            <w:shd w:val="clear" w:color="auto" w:fill="E5EBEE"/>
          </w:tcPr>
          <w:p>
            <w:pPr>
              <w:ind w:left="80"/>
              <w:spacing w:after="0"/>
              <w:rPr>
                <w:sz w:val="20"/>
                <w:szCs w:val="20"/>
                <w:color w:val="auto"/>
              </w:rPr>
            </w:pPr>
            <w:r>
              <w:rPr>
                <w:rFonts w:ascii="Arial" w:cs="Arial" w:eastAsia="Arial" w:hAnsi="Arial"/>
                <w:sz w:val="18"/>
                <w:szCs w:val="18"/>
                <w:color w:val="auto"/>
              </w:rPr>
              <w:t>    </w:t>
            </w:r>
          </w:p>
        </w:tc>
      </w:tr>
      <w:tr>
        <w:trPr>
          <w:trHeight w:val="288"/>
        </w:trPr>
        <w:tc>
          <w:tcPr>
            <w:tcW w:w="8040" w:type="dxa"/>
            <w:vAlign w:val="bottom"/>
            <w:tcBorders>
              <w:bottom w:val="single" w:sz="8" w:color="023C5B"/>
            </w:tcBorders>
          </w:tcPr>
          <w:p>
            <w:pPr>
              <w:ind w:left="60"/>
              <w:spacing w:after="0" w:line="287" w:lineRule="exact"/>
              <w:rPr>
                <w:sz w:val="20"/>
                <w:szCs w:val="20"/>
                <w:color w:val="auto"/>
              </w:rPr>
            </w:pPr>
            <w:r>
              <w:rPr>
                <w:rFonts w:ascii="Arial" w:cs="Arial" w:eastAsia="Arial" w:hAnsi="Arial"/>
                <w:sz w:val="18"/>
                <w:szCs w:val="18"/>
                <w:color w:val="auto"/>
              </w:rPr>
              <w:t>Jennifer L. Wong</w:t>
            </w:r>
            <w:r>
              <w:rPr>
                <w:rFonts w:ascii="Arial" w:cs="Arial" w:eastAsia="Arial" w:hAnsi="Arial"/>
                <w:sz w:val="26"/>
                <w:szCs w:val="26"/>
                <w:color w:val="auto"/>
                <w:vertAlign w:val="superscript"/>
              </w:rPr>
              <w:t>(1)</w:t>
            </w:r>
          </w:p>
        </w:tc>
        <w:tc>
          <w:tcPr>
            <w:tcW w:w="80" w:type="dxa"/>
            <w:vAlign w:val="bottom"/>
          </w:tcPr>
          <w:p>
            <w:pPr>
              <w:spacing w:after="0"/>
              <w:rPr>
                <w:sz w:val="24"/>
                <w:szCs w:val="24"/>
                <w:color w:val="auto"/>
              </w:rPr>
            </w:pPr>
          </w:p>
        </w:tc>
        <w:tc>
          <w:tcPr>
            <w:tcW w:w="1680" w:type="dxa"/>
            <w:vAlign w:val="bottom"/>
            <w:tcBorders>
              <w:bottom w:val="single" w:sz="8" w:color="023C5B"/>
            </w:tcBorders>
          </w:tcPr>
          <w:p>
            <w:pPr>
              <w:jc w:val="center"/>
              <w:ind w:left="952"/>
              <w:spacing w:after="0"/>
              <w:rPr>
                <w:sz w:val="20"/>
                <w:szCs w:val="20"/>
                <w:color w:val="auto"/>
              </w:rPr>
            </w:pPr>
            <w:r>
              <w:rPr>
                <w:rFonts w:ascii="Arial" w:cs="Arial" w:eastAsia="Arial" w:hAnsi="Arial"/>
                <w:sz w:val="18"/>
                <w:szCs w:val="18"/>
                <w:color w:val="auto"/>
                <w:w w:val="82"/>
              </w:rPr>
              <w:t>12,966 </w:t>
            </w:r>
          </w:p>
        </w:tc>
        <w:tc>
          <w:tcPr>
            <w:tcW w:w="160" w:type="dxa"/>
            <w:vAlign w:val="bottom"/>
            <w:tcBorders>
              <w:bottom w:val="single" w:sz="8" w:color="023C5B"/>
            </w:tcBorders>
          </w:tcPr>
          <w:p>
            <w:pPr>
              <w:ind w:left="100"/>
              <w:spacing w:after="0"/>
              <w:rPr>
                <w:sz w:val="20"/>
                <w:szCs w:val="20"/>
                <w:color w:val="auto"/>
              </w:rPr>
            </w:pPr>
            <w:r>
              <w:rPr>
                <w:rFonts w:ascii="Arial" w:cs="Arial" w:eastAsia="Arial" w:hAnsi="Arial"/>
                <w:sz w:val="4"/>
                <w:szCs w:val="4"/>
                <w:color w:val="auto"/>
                <w:w w:val="98"/>
              </w:rPr>
              <w:t> </w:t>
            </w:r>
          </w:p>
        </w:tc>
        <w:tc>
          <w:tcPr>
            <w:tcW w:w="960" w:type="dxa"/>
            <w:vAlign w:val="bottom"/>
            <w:tcBorders>
              <w:bottom w:val="single" w:sz="8" w:color="023C5B"/>
            </w:tcBorders>
          </w:tcPr>
          <w:p>
            <w:pPr>
              <w:ind w:left="12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Messrs. Maheras, Shepherd, and Ms. Wong were appointed to the Board effective May 18, 2025.</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Stock Ownership Requirements</w:t>
      </w:r>
    </w:p>
    <w:p>
      <w:pPr>
        <w:spacing w:after="0" w:line="22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Capital One requires non-management directors to hold a number of shares of Capital One common stock with a fair market value of at least five times the director’s annual cash retainer for Board service. The Board may grant an exception for any case where this requirement would impose a financial hardship on a director. In 2025, no directors were granted an exception to this requirement. Directors are given five years from the date of appointment as a director to comply with our stock ownership requirements. For purposes of this policy, shares owned without restriction, unvested RSUs and vested deferred RSUs held by a Board member are counted as shares when determining the number of shares owned. All of the directors are currently in compliance with this requirement.</w:t>
      </w:r>
    </w:p>
    <w:p>
      <w:pPr>
        <w:spacing w:after="0" w:line="106"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0920"/>
        <w:spacing w:after="0"/>
        <w:rPr>
          <w:sz w:val="20"/>
          <w:szCs w:val="20"/>
          <w:color w:val="auto"/>
        </w:rPr>
      </w:pPr>
      <w:r>
        <w:rPr>
          <w:rFonts w:ascii="Arial" w:cs="Arial" w:eastAsia="Arial" w:hAnsi="Arial"/>
          <w:sz w:val="16"/>
          <w:szCs w:val="16"/>
          <w:b w:val="1"/>
          <w:bCs w:val="1"/>
          <w:color w:val="023C5B"/>
        </w:rPr>
        <w:t> </w:t>
      </w:r>
    </w:p>
    <w:p>
      <w:pPr>
        <w:spacing w:after="0" w:line="136" w:lineRule="exact"/>
        <w:rPr>
          <w:sz w:val="20"/>
          <w:szCs w:val="20"/>
          <w:color w:val="auto"/>
        </w:rPr>
      </w:pPr>
    </w:p>
    <w:p>
      <w:pPr>
        <w:ind w:left="160" w:right="1920"/>
        <w:spacing w:after="0" w:line="292" w:lineRule="auto"/>
        <w:rPr>
          <w:sz w:val="20"/>
          <w:szCs w:val="20"/>
          <w:color w:val="auto"/>
        </w:rPr>
      </w:pPr>
      <w:r>
        <w:rPr>
          <w:rFonts w:ascii="Arial" w:cs="Arial" w:eastAsia="Arial" w:hAnsi="Arial"/>
          <w:sz w:val="32"/>
          <w:szCs w:val="32"/>
          <w:b w:val="1"/>
          <w:bCs w:val="1"/>
          <w:color w:val="auto"/>
        </w:rPr>
        <w:t>Section IV - Advisory Vote on Our Named Executive Officer Compensation (“Say On Pay”) (Item 2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43815</wp:posOffset>
            </wp:positionV>
            <wp:extent cx="69297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77"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We are offering to our stockholders a non-binding advisory vote to approve our 2025 NEO compensation, pursuant to Section 14A of the Exchange Act. While the vote is non-binding, the Board values the opinions that stockholders express through their votes and in any additional dialogue. The Board will consider the outcome of the vote when making future compensation decisions.</w:t>
      </w:r>
    </w:p>
    <w:p>
      <w:pPr>
        <w:spacing w:after="0" w:line="172"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As discussed in the “Compensation Discussion and Analysis” section beginning on page 54, our Board has provided compensation programs for the CEO and the other NEOs that are competitive with the market, performance-based, and transparent and that align with our stockholders’ interests over multiple time horizons. Our CEO’s and other NEOs’ compensation programs have consisted primarily of performance-based incentive opportunities, including multiple types of equity instruments with multi-year vesting schedules. The ultimate value of these equity-based awards is subject to Capital One’s sustained performance over time, both on an absolute basis and relative to our peers.</w:t>
      </w:r>
    </w:p>
    <w:p>
      <w:pPr>
        <w:spacing w:after="0" w:line="18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For 2025, approximately 83% of the CEO’s total performance year compensation is equity-based and at-risk to the Company’s performance and 100% of his compensation is deferred for a three-year period. As discussed under “NEO Compensation” beginning on page 81, under the 2025 NEO compensation program applicable to our other NEOs, approximately 50% of performance year compensation is provided through equity-based vehicles, which were all at-risk based on the Company’s performance and subject to vesting over multiple time horizons.</w:t>
      </w:r>
    </w:p>
    <w:p>
      <w:pPr>
        <w:spacing w:after="0" w:line="182"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Additional information relevant to your vote can be found in the “Compensation Discussion and Analysis” section on pages 54 to 96 and the “Named Executive Officer Compensation” section on pages 98 to 119.</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ask for your approval of the following resolution:</w:t>
      </w:r>
    </w:p>
    <w:p>
      <w:pPr>
        <w:spacing w:after="0" w:line="315"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b w:val="1"/>
          <w:bCs w:val="1"/>
          <w:color w:val="auto"/>
        </w:rPr>
        <w:t>“Resolved, that Capital One’s stockholders hereby provide their advisory approval of the 2025 Named Executive Officer compensation as disclosed pursuant to the rules of the SEC in the Compensation Discussion and Analysis, the Summary Compensation Table, the other compensation tables and the related notes and narratives in this proxy statement.”</w:t>
      </w:r>
    </w:p>
    <w:p>
      <w:pPr>
        <w:spacing w:after="0" w:line="159"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Board has resolved to hold annual advisory votes to approve executive compensation. Accordingly, the next advisory vote to approve executive compensation will occur at the 2027 Annual Stockholder Meeting, unless the Board modifies its policy on the frequency of holding such advisory votes.</w:t>
      </w:r>
    </w:p>
    <w:p>
      <w:pPr>
        <w:spacing w:after="0" w:line="17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Board unanimously recommends that you vote “FOR” the approval, on an advisory basis, of our 2025 Named Executive</w:t>
      </w:r>
    </w:p>
    <w:p>
      <w:pPr>
        <w:spacing w:after="0" w:line="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Officer compensation as disclosed in this proxy statement.</w:t>
      </w:r>
    </w:p>
    <w:p>
      <w:pPr>
        <w:spacing w:after="0" w:line="123"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V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140970</wp:posOffset>
            </wp:positionV>
            <wp:extent cx="69297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Key Topics Covered in our Compensation Discussion and Analysis</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0000EE"/>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59055</wp:posOffset>
            </wp:positionV>
            <wp:extent cx="69297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0000EE"/>
        </w:rPr>
        <w:t>Our Compensation Principles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59055</wp:posOffset>
            </wp:positionV>
            <wp:extent cx="69297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0000EE"/>
        </w:rPr>
        <w:t>Our Compensation Governance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59055</wp:posOffset>
            </wp:positionV>
            <wp:extent cx="69297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0000EE"/>
        </w:rPr>
        <w:t>Chief Executive Officer Compensation</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2025 CEO Compensation Program and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69297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2025 CEO Compensation Decisions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CEO Compensation by Performance Year</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Additional Pay Elements</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0000EE"/>
        </w:rPr>
        <w:t>NEO Compensation</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2025 NEO Compensation Program and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69297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2025 NEO Year-End Incentive Compensation Decisions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NEO Compensation by Performance Year</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Additional Pay Elements</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0000EE"/>
        </w:rPr>
        <w:t>Discover-Related Special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59055</wp:posOffset>
            </wp:positionV>
            <wp:extent cx="69297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0000EE"/>
        </w:rPr>
        <w:t>2026 Compensation Program</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2026 CEO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69297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2026 NEO Compensation Program</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0000EE"/>
        </w:rPr>
        <w:t>Additional Performance Conditions and Recovery Provisions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Performance-Based Vesting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69297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Performance Share Reduction</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Misconduct Clawback</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Financial Restatement Clawback</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0000EE"/>
        </w:rPr>
        <w:t>Process and Criteria for Compensation Decisions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Use of Outside Consultants for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69297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Peer Groups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Tally Sheets</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0000EE"/>
        </w:rPr>
        <w:t>Other Compensation Arrangements</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Pension and Non-Qualified Deferred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69297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Employment Agreements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Change of Control Plan</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Post-Employment Compensation Practices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Executive Cash Severance Policy</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0000EE"/>
        </w:rPr>
        <w:t>Other Aspects of Executive Compensation</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Stock Ownership and Retention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69297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Prohibition of Hedging, Speculative Trading Activities, and Pledging</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Insider Trading Policy</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Equity Grant Practices</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00EE"/>
        </w:rPr>
        <w:t>Tax Considerations</w:t>
      </w:r>
    </w:p>
    <w:p>
      <w:pPr>
        <w:spacing w:after="0" w:line="186"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023C5B"/>
        </w:rPr>
        <w:t>55</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23C5B"/>
        </w:rPr>
        <w:t>64</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23C5B"/>
        </w:rPr>
        <w:t>66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23C5B"/>
        </w:rPr>
        <w:t>67</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67</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73</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79</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81</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023C5B"/>
        </w:rPr>
        <w:t>81</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81</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84</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85</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86</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023C5B"/>
        </w:rPr>
        <w:t>86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23C5B"/>
        </w:rPr>
        <w:t>87</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87</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88</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023C5B"/>
        </w:rPr>
        <w:t>88</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89</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90</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90</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90</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023C5B"/>
        </w:rPr>
        <w:t>91</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91</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91</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92</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023C5B"/>
        </w:rPr>
        <w:t>93</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93</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93</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93</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94</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94</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023C5B"/>
        </w:rPr>
        <w:t>94</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94</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96</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96</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96</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96</w:t>
      </w:r>
    </w:p>
    <w:p>
      <w:pPr>
        <w:sectPr>
          <w:pgSz w:w="11900" w:h="16838" w:orient="portrait"/>
          <w:cols w:equalWidth="0" w:num="2">
            <w:col w:w="10100" w:space="720"/>
            <w:col w:w="200"/>
          </w:cols>
          <w:pgMar w:left="320" w:top="478" w:right="5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Executive Summary</w:t>
      </w:r>
    </w:p>
    <w:p>
      <w:pPr>
        <w:spacing w:after="0" w:line="22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Capital One’s executive compensation program is designed to attract, retain, motivate, and reward leaders who deliver strong business results, drive growth and innovation, and facilitate the long-term success of the Company. The Committee is responsible for, among other matters, developing, approving, monitoring, and managing the compensation of all our executive officers, including the named executive officers defined below. Final decisions regarding the compensation of our executive officers, including our CEO, are made by the Committee and the Independent Directors. This Compensation Discussion and Analysis will review the compensation of the following executive officers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6929755" cy="11461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29755" cy="1146175"/>
                    </a:xfrm>
                    <a:prstGeom prst="rect">
                      <a:avLst/>
                    </a:prstGeom>
                    <a:noFill/>
                  </pic:spPr>
                </pic:pic>
              </a:graphicData>
            </a:graphic>
          </wp:anchor>
        </w:drawing>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3400" w:type="dxa"/>
            <w:vAlign w:val="bottom"/>
            <w:tcBorders>
              <w:bottom w:val="single" w:sz="8" w:color="023C5B"/>
            </w:tcBorders>
            <w:shd w:val="clear" w:color="auto" w:fill="023C5B"/>
          </w:tcPr>
          <w:p>
            <w:pPr>
              <w:ind w:left="80"/>
              <w:spacing w:after="0"/>
              <w:rPr>
                <w:sz w:val="20"/>
                <w:szCs w:val="20"/>
                <w:color w:val="auto"/>
              </w:rPr>
            </w:pPr>
            <w:r>
              <w:rPr>
                <w:rFonts w:ascii="Arial" w:cs="Arial" w:eastAsia="Arial" w:hAnsi="Arial"/>
                <w:sz w:val="16"/>
                <w:szCs w:val="16"/>
                <w:b w:val="1"/>
                <w:bCs w:val="1"/>
                <w:color w:val="FFFFFF"/>
              </w:rPr>
              <w:t>Named Executive Officer</w:t>
            </w:r>
          </w:p>
        </w:tc>
        <w:tc>
          <w:tcPr>
            <w:tcW w:w="7520" w:type="dxa"/>
            <w:vAlign w:val="bottom"/>
            <w:tcBorders>
              <w:bottom w:val="single" w:sz="8" w:color="023C5B"/>
            </w:tcBorders>
            <w:shd w:val="clear" w:color="auto" w:fill="023C5B"/>
          </w:tcPr>
          <w:p>
            <w:pPr>
              <w:ind w:left="3500"/>
              <w:spacing w:after="0"/>
              <w:rPr>
                <w:sz w:val="20"/>
                <w:szCs w:val="20"/>
                <w:color w:val="auto"/>
              </w:rPr>
            </w:pPr>
            <w:r>
              <w:rPr>
                <w:rFonts w:ascii="Arial" w:cs="Arial" w:eastAsia="Arial" w:hAnsi="Arial"/>
                <w:sz w:val="16"/>
                <w:szCs w:val="16"/>
                <w:b w:val="1"/>
                <w:bCs w:val="1"/>
                <w:color w:val="FFFFFF"/>
              </w:rPr>
              <w:t>Position</w:t>
            </w:r>
          </w:p>
        </w:tc>
      </w:tr>
      <w:tr>
        <w:trPr>
          <w:trHeight w:val="288"/>
        </w:trPr>
        <w:tc>
          <w:tcPr>
            <w:tcW w:w="3400" w:type="dxa"/>
            <w:vAlign w:val="bottom"/>
            <w:tcBorders>
              <w:bottom w:val="single" w:sz="8" w:color="E5EBEE"/>
            </w:tcBorders>
            <w:shd w:val="clear" w:color="auto" w:fill="E5EBEE"/>
          </w:tcPr>
          <w:p>
            <w:pPr>
              <w:ind w:left="80"/>
              <w:spacing w:after="0"/>
              <w:rPr>
                <w:sz w:val="20"/>
                <w:szCs w:val="20"/>
                <w:color w:val="auto"/>
              </w:rPr>
            </w:pPr>
            <w:r>
              <w:rPr>
                <w:rFonts w:ascii="Arial" w:cs="Arial" w:eastAsia="Arial" w:hAnsi="Arial"/>
                <w:sz w:val="18"/>
                <w:szCs w:val="18"/>
                <w:color w:val="auto"/>
              </w:rPr>
              <w:t>Richard D. Fairbank</w:t>
            </w:r>
          </w:p>
        </w:tc>
        <w:tc>
          <w:tcPr>
            <w:tcW w:w="7520" w:type="dxa"/>
            <w:vAlign w:val="bottom"/>
            <w:tcBorders>
              <w:bottom w:val="single" w:sz="8" w:color="E5EBEE"/>
            </w:tcBorders>
            <w:shd w:val="clear" w:color="auto" w:fill="E5EBEE"/>
          </w:tcPr>
          <w:p>
            <w:pPr>
              <w:ind w:left="120"/>
              <w:spacing w:after="0"/>
              <w:rPr>
                <w:sz w:val="20"/>
                <w:szCs w:val="20"/>
                <w:color w:val="auto"/>
              </w:rPr>
            </w:pPr>
            <w:r>
              <w:rPr>
                <w:rFonts w:ascii="Arial" w:cs="Arial" w:eastAsia="Arial" w:hAnsi="Arial"/>
                <w:sz w:val="18"/>
                <w:szCs w:val="18"/>
                <w:color w:val="auto"/>
              </w:rPr>
              <w:t>Chairman and Chief Executive Officer</w:t>
            </w:r>
          </w:p>
        </w:tc>
      </w:tr>
      <w:tr>
        <w:trPr>
          <w:trHeight w:val="257"/>
        </w:trPr>
        <w:tc>
          <w:tcPr>
            <w:tcW w:w="3400" w:type="dxa"/>
            <w:vAlign w:val="bottom"/>
          </w:tcPr>
          <w:p>
            <w:pPr>
              <w:ind w:left="80"/>
              <w:spacing w:after="0"/>
              <w:rPr>
                <w:sz w:val="20"/>
                <w:szCs w:val="20"/>
                <w:color w:val="auto"/>
              </w:rPr>
            </w:pPr>
            <w:r>
              <w:rPr>
                <w:rFonts w:ascii="Arial" w:cs="Arial" w:eastAsia="Arial" w:hAnsi="Arial"/>
                <w:sz w:val="18"/>
                <w:szCs w:val="18"/>
                <w:color w:val="auto"/>
              </w:rPr>
              <w:t>Andrew M. Young</w:t>
            </w:r>
          </w:p>
        </w:tc>
        <w:tc>
          <w:tcPr>
            <w:tcW w:w="75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r>
        <w:trPr>
          <w:trHeight w:val="38"/>
        </w:trPr>
        <w:tc>
          <w:tcPr>
            <w:tcW w:w="3400" w:type="dxa"/>
            <w:vAlign w:val="bottom"/>
          </w:tcPr>
          <w:p>
            <w:pPr>
              <w:spacing w:after="0"/>
              <w:rPr>
                <w:sz w:val="3"/>
                <w:szCs w:val="3"/>
                <w:color w:val="auto"/>
              </w:rPr>
            </w:pPr>
          </w:p>
        </w:tc>
        <w:tc>
          <w:tcPr>
            <w:tcW w:w="7520" w:type="dxa"/>
            <w:vAlign w:val="bottom"/>
          </w:tcPr>
          <w:p>
            <w:pPr>
              <w:spacing w:after="0"/>
              <w:rPr>
                <w:sz w:val="3"/>
                <w:szCs w:val="3"/>
                <w:color w:val="auto"/>
              </w:rPr>
            </w:pPr>
          </w:p>
        </w:tc>
      </w:tr>
      <w:tr>
        <w:trPr>
          <w:trHeight w:val="288"/>
        </w:trPr>
        <w:tc>
          <w:tcPr>
            <w:tcW w:w="3400" w:type="dxa"/>
            <w:vAlign w:val="bottom"/>
            <w:tcBorders>
              <w:bottom w:val="single" w:sz="8" w:color="E5EBEE"/>
            </w:tcBorders>
            <w:shd w:val="clear" w:color="auto" w:fill="E5EBEE"/>
          </w:tcPr>
          <w:p>
            <w:pPr>
              <w:ind w:left="80"/>
              <w:spacing w:after="0"/>
              <w:rPr>
                <w:sz w:val="20"/>
                <w:szCs w:val="20"/>
                <w:color w:val="auto"/>
              </w:rPr>
            </w:pPr>
            <w:r>
              <w:rPr>
                <w:rFonts w:ascii="Arial" w:cs="Arial" w:eastAsia="Arial" w:hAnsi="Arial"/>
                <w:sz w:val="18"/>
                <w:szCs w:val="18"/>
                <w:color w:val="auto"/>
              </w:rPr>
              <w:t>Matthew W. Cooper</w:t>
            </w:r>
          </w:p>
        </w:tc>
        <w:tc>
          <w:tcPr>
            <w:tcW w:w="7520" w:type="dxa"/>
            <w:vAlign w:val="bottom"/>
            <w:tcBorders>
              <w:bottom w:val="single" w:sz="8" w:color="E5EBEE"/>
            </w:tcBorders>
            <w:shd w:val="clear" w:color="auto" w:fill="E5EBEE"/>
          </w:tcPr>
          <w:p>
            <w:pPr>
              <w:ind w:left="120"/>
              <w:spacing w:after="0"/>
              <w:rPr>
                <w:sz w:val="20"/>
                <w:szCs w:val="20"/>
                <w:color w:val="auto"/>
              </w:rPr>
            </w:pPr>
            <w:r>
              <w:rPr>
                <w:rFonts w:ascii="Arial" w:cs="Arial" w:eastAsia="Arial" w:hAnsi="Arial"/>
                <w:sz w:val="18"/>
                <w:szCs w:val="18"/>
                <w:color w:val="auto"/>
              </w:rPr>
              <w:t>General Counsel and Corporate Secretary; President, Discover Integration</w:t>
            </w:r>
          </w:p>
        </w:tc>
      </w:tr>
      <w:tr>
        <w:trPr>
          <w:trHeight w:val="257"/>
        </w:trPr>
        <w:tc>
          <w:tcPr>
            <w:tcW w:w="3400" w:type="dxa"/>
            <w:vAlign w:val="bottom"/>
          </w:tcPr>
          <w:p>
            <w:pPr>
              <w:ind w:left="80"/>
              <w:spacing w:after="0"/>
              <w:rPr>
                <w:sz w:val="20"/>
                <w:szCs w:val="20"/>
                <w:color w:val="auto"/>
              </w:rPr>
            </w:pPr>
            <w:r>
              <w:rPr>
                <w:rFonts w:ascii="Arial" w:cs="Arial" w:eastAsia="Arial" w:hAnsi="Arial"/>
                <w:sz w:val="18"/>
                <w:szCs w:val="18"/>
                <w:color w:val="auto"/>
              </w:rPr>
              <w:t>Mark Daniel Mouadeb</w:t>
            </w:r>
          </w:p>
        </w:tc>
        <w:tc>
          <w:tcPr>
            <w:tcW w:w="7520" w:type="dxa"/>
            <w:vAlign w:val="bottom"/>
          </w:tcPr>
          <w:p>
            <w:pPr>
              <w:ind w:left="120"/>
              <w:spacing w:after="0"/>
              <w:rPr>
                <w:sz w:val="20"/>
                <w:szCs w:val="20"/>
                <w:color w:val="auto"/>
              </w:rPr>
            </w:pPr>
            <w:r>
              <w:rPr>
                <w:rFonts w:ascii="Arial" w:cs="Arial" w:eastAsia="Arial" w:hAnsi="Arial"/>
                <w:sz w:val="18"/>
                <w:szCs w:val="18"/>
                <w:color w:val="auto"/>
              </w:rPr>
              <w:t>President, Card</w:t>
            </w:r>
          </w:p>
        </w:tc>
      </w:tr>
      <w:tr>
        <w:trPr>
          <w:trHeight w:val="38"/>
        </w:trPr>
        <w:tc>
          <w:tcPr>
            <w:tcW w:w="3400" w:type="dxa"/>
            <w:vAlign w:val="bottom"/>
          </w:tcPr>
          <w:p>
            <w:pPr>
              <w:spacing w:after="0"/>
              <w:rPr>
                <w:sz w:val="3"/>
                <w:szCs w:val="3"/>
                <w:color w:val="auto"/>
              </w:rPr>
            </w:pPr>
          </w:p>
        </w:tc>
        <w:tc>
          <w:tcPr>
            <w:tcW w:w="7520" w:type="dxa"/>
            <w:vAlign w:val="bottom"/>
          </w:tcPr>
          <w:p>
            <w:pPr>
              <w:spacing w:after="0"/>
              <w:rPr>
                <w:sz w:val="3"/>
                <w:szCs w:val="3"/>
                <w:color w:val="auto"/>
              </w:rPr>
            </w:pPr>
          </w:p>
        </w:tc>
      </w:tr>
      <w:tr>
        <w:trPr>
          <w:trHeight w:val="270"/>
        </w:trPr>
        <w:tc>
          <w:tcPr>
            <w:tcW w:w="3400" w:type="dxa"/>
            <w:vAlign w:val="bottom"/>
            <w:shd w:val="clear" w:color="auto" w:fill="E5EBEE"/>
          </w:tcPr>
          <w:p>
            <w:pPr>
              <w:ind w:left="80"/>
              <w:spacing w:after="0"/>
              <w:rPr>
                <w:sz w:val="20"/>
                <w:szCs w:val="20"/>
                <w:color w:val="auto"/>
              </w:rPr>
            </w:pPr>
            <w:r>
              <w:rPr>
                <w:rFonts w:ascii="Arial" w:cs="Arial" w:eastAsia="Arial" w:hAnsi="Arial"/>
                <w:sz w:val="18"/>
                <w:szCs w:val="18"/>
                <w:color w:val="auto"/>
              </w:rPr>
              <w:t>Frank G. LaPrade, III</w:t>
            </w:r>
          </w:p>
        </w:tc>
        <w:tc>
          <w:tcPr>
            <w:tcW w:w="7520" w:type="dxa"/>
            <w:vAlign w:val="bottom"/>
            <w:shd w:val="clear" w:color="auto" w:fill="E5EBEE"/>
          </w:tcPr>
          <w:p>
            <w:pPr>
              <w:ind w:left="120"/>
              <w:spacing w:after="0"/>
              <w:rPr>
                <w:sz w:val="20"/>
                <w:szCs w:val="20"/>
                <w:color w:val="auto"/>
              </w:rPr>
            </w:pPr>
            <w:r>
              <w:rPr>
                <w:rFonts w:ascii="Arial" w:cs="Arial" w:eastAsia="Arial" w:hAnsi="Arial"/>
                <w:sz w:val="18"/>
                <w:szCs w:val="18"/>
                <w:color w:val="auto"/>
              </w:rPr>
              <w:t>Chief Enterprise Services Officer and Chief of Staff to the CEO</w:t>
            </w:r>
          </w:p>
        </w:tc>
      </w:tr>
      <w:tr>
        <w:trPr>
          <w:trHeight w:val="38"/>
        </w:trPr>
        <w:tc>
          <w:tcPr>
            <w:tcW w:w="3400" w:type="dxa"/>
            <w:vAlign w:val="bottom"/>
            <w:shd w:val="clear" w:color="auto" w:fill="E5EBEE"/>
          </w:tcPr>
          <w:p>
            <w:pPr>
              <w:spacing w:after="0"/>
              <w:rPr>
                <w:sz w:val="3"/>
                <w:szCs w:val="3"/>
                <w:color w:val="auto"/>
              </w:rPr>
            </w:pPr>
          </w:p>
        </w:tc>
        <w:tc>
          <w:tcPr>
            <w:tcW w:w="7520" w:type="dxa"/>
            <w:vAlign w:val="bottom"/>
            <w:shd w:val="clear" w:color="auto" w:fill="E5EBEE"/>
          </w:tcPr>
          <w:p>
            <w:pPr>
              <w:spacing w:after="0"/>
              <w:rPr>
                <w:sz w:val="3"/>
                <w:szCs w:val="3"/>
                <w:color w:val="auto"/>
              </w:rPr>
            </w:pPr>
          </w:p>
        </w:tc>
      </w:tr>
    </w:tbl>
    <w:p>
      <w:pPr>
        <w:spacing w:after="0" w:line="195"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Unless otherwise indicated, “NEOs” will be used throughout this proxy statement to mean the CEO and the four executive officers listed above, collectively.</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2025 Company Performance and Compensation Highlights</w:t>
      </w:r>
    </w:p>
    <w:p>
      <w:pPr>
        <w:spacing w:after="0" w:line="221" w:lineRule="exact"/>
        <w:rPr>
          <w:sz w:val="20"/>
          <w:szCs w:val="20"/>
          <w:color w:val="auto"/>
        </w:rPr>
      </w:pPr>
    </w:p>
    <w:p>
      <w:pPr>
        <w:jc w:val="both"/>
        <w:ind w:left="160"/>
        <w:spacing w:after="0" w:line="270" w:lineRule="auto"/>
        <w:rPr>
          <w:sz w:val="20"/>
          <w:szCs w:val="20"/>
          <w:color w:val="auto"/>
        </w:rPr>
      </w:pPr>
      <w:r>
        <w:rPr>
          <w:rFonts w:ascii="Arial" w:cs="Arial" w:eastAsia="Arial" w:hAnsi="Arial"/>
          <w:sz w:val="17"/>
          <w:szCs w:val="17"/>
          <w:color w:val="auto"/>
        </w:rPr>
        <w:t>Each year the Committee and the Independent Directors review and evaluate the Company’s qualitative and quantitative performance to make determinations regarding the compensation of our NEOs based on Capital One’s pay-for-performance philosophy. The Committee seeks to link the compensation of the NEOs directly to the Company’s performance and the executives’ contributions to that performance.</w:t>
      </w:r>
    </w:p>
    <w:p>
      <w:pPr>
        <w:spacing w:after="0" w:line="15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In 2025, Capital One delivered strong financial results and made significant progress on its long-term strategic initiatives, enabled by years of transformation and growth and key investments in talent, technology, and risk management. The Company also completed the Discover Transaction on May 18, bringing together two companies with histories of delivering strong organic growth, attractive and resilient financial results, and award-winning customer experiences. The Discover Transaction further positions Capital One as a diversified bank and to operate a global payment network, a rare and valuable asset at a time of significant disruption and innovation across the payments landscape.</w:t>
      </w:r>
    </w:p>
    <w:p>
      <w:pPr>
        <w:spacing w:after="0" w:line="18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In 2025, Capital One’s financial, operating, and business line results were strong. When excluding certain adjusting items related to the Discover Transaction, the Company delivered strong revenue, profit, and earnings per share growth, driven by solid underlying business performance and the addition of Discover. Net revenue rose 37%, total deposits grew 31%, and Total Loans increased 38% to $453.6 billion. Our Domestic Card business delivered strong and resilient returns and record account originations. We continued to expand our digital-first national retail bank, grow insured deposits, and drive very strong growth in checking accounts. Our Auto business continued to deliver strong returns and credit performance. Our Commercial Bank delivered solid results, maintaining conservative credit posture and demonstrating resilience. Across all lending businesses, Capital One’s ability to monitor and analyze evolving portfolio and competitive trends, as well as management’s actions in response to these trends, has enabled the successful navigation of the post-pandemic credit environment and resulted in favorable credit results compared to peers.</w:t>
      </w:r>
    </w:p>
    <w:p>
      <w:pPr>
        <w:spacing w:after="0" w:line="180" w:lineRule="exact"/>
        <w:rPr>
          <w:sz w:val="20"/>
          <w:szCs w:val="20"/>
          <w:color w:val="auto"/>
        </w:rPr>
      </w:pPr>
    </w:p>
    <w:p>
      <w:pPr>
        <w:jc w:val="both"/>
        <w:ind w:left="160"/>
        <w:spacing w:after="0" w:line="198" w:lineRule="auto"/>
        <w:rPr>
          <w:sz w:val="20"/>
          <w:szCs w:val="20"/>
          <w:color w:val="auto"/>
        </w:rPr>
      </w:pPr>
      <w:r>
        <w:rPr>
          <w:rFonts w:ascii="Arial" w:cs="Arial" w:eastAsia="Arial" w:hAnsi="Arial"/>
          <w:sz w:val="18"/>
          <w:szCs w:val="18"/>
          <w:color w:val="auto"/>
        </w:rPr>
        <w:t>Capital One’s net revenue increased 37% to $53.4 billion, driven by the acquisition of Discover and solid growth and margins across legacy Capital One business lines. Our operating efficiency ratio</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was 46.1%, compared to 43.3% in 2024, while adjusted operating efficiency ratio</w:t>
      </w:r>
      <w:r>
        <w:rPr>
          <w:rFonts w:ascii="Arial" w:cs="Arial" w:eastAsia="Arial" w:hAnsi="Arial"/>
          <w:sz w:val="26"/>
          <w:szCs w:val="26"/>
          <w:color w:val="auto"/>
          <w:vertAlign w:val="superscript"/>
        </w:rPr>
        <w:t>(1)(4)</w:t>
      </w:r>
      <w:r>
        <w:rPr>
          <w:rFonts w:ascii="Arial" w:cs="Arial" w:eastAsia="Arial" w:hAnsi="Arial"/>
          <w:sz w:val="18"/>
          <w:szCs w:val="18"/>
          <w:color w:val="auto"/>
        </w:rPr>
        <w:t xml:space="preserve"> improved 151 bps to 40.8%. We seized investment opportunities across marketing channels and programs to support attractive and resilient long-term growth,</w:t>
      </w:r>
    </w:p>
    <w:p>
      <w:pPr>
        <w:spacing w:after="0" w:line="115"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spacing w:after="0" w:line="189" w:lineRule="auto"/>
        <w:rPr>
          <w:sz w:val="20"/>
          <w:szCs w:val="20"/>
          <w:color w:val="auto"/>
        </w:rPr>
      </w:pPr>
      <w:r>
        <w:rPr>
          <w:rFonts w:ascii="Arial" w:cs="Arial" w:eastAsia="Arial" w:hAnsi="Arial"/>
          <w:sz w:val="18"/>
          <w:szCs w:val="18"/>
          <w:color w:val="auto"/>
        </w:rPr>
        <w:t>particularly in Card and Retail Bank. Our efficiency ratio</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was 57.1% in 2025, compared to 54.9% in 2024, while our adjusted efficiency ratio</w:t>
      </w:r>
      <w:r>
        <w:rPr>
          <w:rFonts w:ascii="Arial" w:cs="Arial" w:eastAsia="Arial" w:hAnsi="Arial"/>
          <w:sz w:val="26"/>
          <w:szCs w:val="26"/>
          <w:color w:val="auto"/>
          <w:vertAlign w:val="superscript"/>
        </w:rPr>
        <w:t>(1)(4)</w:t>
      </w:r>
      <w:r>
        <w:rPr>
          <w:rFonts w:ascii="Arial" w:cs="Arial" w:eastAsia="Arial" w:hAnsi="Arial"/>
          <w:sz w:val="18"/>
          <w:szCs w:val="18"/>
          <w:color w:val="auto"/>
        </w:rPr>
        <w:t xml:space="preserve"> improved 219 bps to 51.8% as compared to 2024. Our diluted EPS for the year was $4.03, which reflected purchase accounting and non-recurring expenses related to the closing and integration of Discover. Adjusted diluted EPS of $19.61</w:t>
      </w:r>
      <w:r>
        <w:rPr>
          <w:rFonts w:ascii="Arial" w:cs="Arial" w:eastAsia="Arial" w:hAnsi="Arial"/>
          <w:sz w:val="26"/>
          <w:szCs w:val="26"/>
          <w:color w:val="auto"/>
          <w:vertAlign w:val="superscript"/>
        </w:rPr>
        <w:t>(1)(4)</w:t>
      </w:r>
      <w:r>
        <w:rPr>
          <w:rFonts w:ascii="Arial" w:cs="Arial" w:eastAsia="Arial" w:hAnsi="Arial"/>
          <w:sz w:val="18"/>
          <w:szCs w:val="18"/>
          <w:color w:val="auto"/>
        </w:rPr>
        <w:t xml:space="preserve"> increased 40% from $13.96 in 2024. We returned $5.3 billion of capital to stockholders, including $3.8 billion in common stock repurchases and $1.5 billion in common dividends.</w:t>
      </w:r>
    </w:p>
    <w:p>
      <w:pPr>
        <w:spacing w:after="0" w:line="185"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Capital One’s stock price ended the year at $242.36, up 36% from year-end 2024, outperforming the KBW Bank Index by 7.1 percentage points. Capital One’s total shareholder return, which includes the combined effect of share price change and common dividends, was 37.7%, outpacing the KBW Bank Index by 5.1 percentage points and doubling the total return of the broader S&amp;P 500 stock index.</w:t>
      </w:r>
    </w:p>
    <w:p>
      <w:pPr>
        <w:spacing w:after="0" w:line="172"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Capital One has a wealth of opportunities that put the Company in a position to deliver sustained growth and strong performance in a changing marketplace, and the Company continued to make investments in future growth and capabilities. In 2025, Capital One launched new products, signed new partners, and expanded its suite of innovative digital tools and customer experiences. We spent $5.9 billion on marketing to attract new customers and deepen customer relationships. We invested in technology, infrastructure, and data capabilities that are enabling Capital One’s ability to drive growth and leverage AI.</w:t>
      </w:r>
    </w:p>
    <w:p>
      <w:pPr>
        <w:spacing w:after="0" w:line="182"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Capital One earned a number of external awards and accolades related to our products and customer experiences, including flagship banking awards for excellence in customer experience and satisfaction. We substantially completed the reissuance of legacy Capital One debit cards onto the Global Payment Network, all while maintaining customer sentiment in line with expectations. Net Promoter Scores, which measure how likely our customers are to recommend Capital One products and services to others, remained high across all of our major businesses.</w:t>
      </w:r>
    </w:p>
    <w:p>
      <w:pPr>
        <w:spacing w:after="0" w:line="18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We maintained strong associate morale and engagement as measured through our internal surveys, and we invested heavily in recruiting, developing, and retaining exceptional talent. In 2025, we welcomed thousands of new associates, further expanding the skills, experiences, and backgrounds among campus and professional hires. We also successfully onboarded legacy Discover associates to our technology and HR systems.</w:t>
      </w:r>
    </w:p>
    <w:p>
      <w:pPr>
        <w:spacing w:after="0" w:line="17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In 2025, we continued to invest in the communities in which we live and work, including through significant grants and philanthropic support, as well as the combination of general and skills-based associate volunteerism to serve and support nonprofits across our footprint. Most notably, we launched and began implementing our historic $265 billion Community Benefits Plan, which expands lending, investment, and services that advance economic opportunity and financial well-being across the country. This five-year plan is twice as large as any other acquisition-related community commitment in the history of the U.S. banking system.</w:t>
      </w:r>
    </w:p>
    <w:p>
      <w:pPr>
        <w:spacing w:after="0" w:line="107"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Company Performance Highlights</w:t>
      </w:r>
    </w:p>
    <w:p>
      <w:pPr>
        <w:spacing w:after="0" w:line="208"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tables below show our reported year-over-year performance across select financial metrics (dollar amounts in billions other than per share amounts):</w:t>
      </w:r>
    </w:p>
    <w:p>
      <w:pPr>
        <w:spacing w:after="0" w:line="185" w:lineRule="exact"/>
        <w:rPr>
          <w:sz w:val="20"/>
          <w:szCs w:val="20"/>
          <w:color w:val="auto"/>
        </w:rPr>
      </w:pPr>
    </w:p>
    <w:p>
      <w:pPr>
        <w:ind w:left="2280"/>
        <w:spacing w:after="0"/>
        <w:tabs>
          <w:tab w:leader="none" w:pos="6960" w:val="left"/>
        </w:tabs>
        <w:rPr>
          <w:sz w:val="20"/>
          <w:szCs w:val="20"/>
          <w:color w:val="auto"/>
        </w:rPr>
      </w:pPr>
      <w:r>
        <w:rPr>
          <w:rFonts w:ascii="Arial" w:cs="Arial" w:eastAsia="Arial" w:hAnsi="Arial"/>
          <w:sz w:val="18"/>
          <w:szCs w:val="18"/>
          <w:b w:val="1"/>
          <w:bCs w:val="1"/>
          <w:color w:val="auto"/>
        </w:rPr>
        <w:t>Diluted EPS</w:t>
      </w: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7"/>
          <w:szCs w:val="17"/>
          <w:b w:val="1"/>
          <w:bCs w:val="1"/>
          <w:color w:val="auto"/>
        </w:rPr>
        <w:t>Average Loans Held for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195580</wp:posOffset>
            </wp:positionV>
            <wp:extent cx="5817235" cy="15373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817235" cy="153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420"/>
        <w:spacing w:after="0"/>
        <w:tabs>
          <w:tab w:leader="none" w:pos="7080" w:val="left"/>
        </w:tabs>
        <w:rPr>
          <w:sz w:val="20"/>
          <w:szCs w:val="20"/>
          <w:color w:val="auto"/>
        </w:rPr>
      </w:pPr>
      <w:r>
        <w:rPr>
          <w:rFonts w:ascii="Arial" w:cs="Arial" w:eastAsia="Arial" w:hAnsi="Arial"/>
          <w:sz w:val="18"/>
          <w:szCs w:val="18"/>
          <w:b w:val="1"/>
          <w:bCs w:val="1"/>
          <w:color w:val="auto"/>
        </w:rPr>
        <w:t>Net Revenue</w:t>
      </w:r>
      <w:r>
        <w:rPr>
          <w:sz w:val="20"/>
          <w:szCs w:val="20"/>
          <w:color w:val="auto"/>
        </w:rPr>
        <w:tab/>
      </w:r>
      <w:r>
        <w:rPr>
          <w:rFonts w:ascii="Arial" w:cs="Arial" w:eastAsia="Arial" w:hAnsi="Arial"/>
          <w:sz w:val="17"/>
          <w:szCs w:val="17"/>
          <w:b w:val="1"/>
          <w:bCs w:val="1"/>
          <w:color w:val="auto"/>
        </w:rPr>
        <w:t>Operating Efficiency Ratio</w:t>
      </w:r>
      <w:r>
        <w:rPr>
          <w:rFonts w:ascii="Arial" w:cs="Arial" w:eastAsia="Arial" w:hAnsi="Arial"/>
          <w:sz w:val="24"/>
          <w:szCs w:val="24"/>
          <w:b w:val="1"/>
          <w:bCs w:val="1"/>
          <w:color w:val="auto"/>
          <w:vertAlign w:val="superscript"/>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219075</wp:posOffset>
            </wp:positionV>
            <wp:extent cx="5817235" cy="15963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1723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80"/>
        <w:spacing w:after="0"/>
        <w:tabs>
          <w:tab w:leader="none" w:pos="6660" w:val="left"/>
        </w:tabs>
        <w:rPr>
          <w:sz w:val="20"/>
          <w:szCs w:val="20"/>
          <w:color w:val="auto"/>
        </w:rPr>
      </w:pPr>
      <w:r>
        <w:rPr>
          <w:rFonts w:ascii="Arial" w:cs="Arial" w:eastAsia="Arial" w:hAnsi="Arial"/>
          <w:sz w:val="18"/>
          <w:szCs w:val="18"/>
          <w:b w:val="1"/>
          <w:bCs w:val="1"/>
          <w:color w:val="auto"/>
        </w:rPr>
        <w:t>ROTCE</w:t>
      </w:r>
      <w:r>
        <w:rPr>
          <w:rFonts w:ascii="Arial" w:cs="Arial" w:eastAsia="Arial" w:hAnsi="Arial"/>
          <w:sz w:val="26"/>
          <w:szCs w:val="26"/>
          <w:b w:val="1"/>
          <w:bCs w:val="1"/>
          <w:color w:val="auto"/>
          <w:vertAlign w:val="superscript"/>
        </w:rPr>
        <w:t>(1)(5)</w:t>
      </w:r>
      <w:r>
        <w:rPr>
          <w:sz w:val="20"/>
          <w:szCs w:val="20"/>
          <w:color w:val="auto"/>
        </w:rPr>
        <w:tab/>
      </w:r>
      <w:r>
        <w:rPr>
          <w:rFonts w:ascii="Arial" w:cs="Arial" w:eastAsia="Arial" w:hAnsi="Arial"/>
          <w:sz w:val="17"/>
          <w:szCs w:val="17"/>
          <w:b w:val="1"/>
          <w:bCs w:val="1"/>
          <w:color w:val="auto"/>
        </w:rPr>
        <w:t>Tangible Book Value per Common Share</w:t>
      </w:r>
      <w:r>
        <w:rPr>
          <w:rFonts w:ascii="Arial" w:cs="Arial" w:eastAsia="Arial" w:hAnsi="Arial"/>
          <w:sz w:val="25"/>
          <w:szCs w:val="25"/>
          <w:b w:val="1"/>
          <w:bCs w:val="1"/>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204470</wp:posOffset>
            </wp:positionV>
            <wp:extent cx="5817235" cy="15030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17235" cy="150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0"/>
        <w:spacing w:after="0" w:line="286" w:lineRule="auto"/>
        <w:rPr>
          <w:sz w:val="20"/>
          <w:szCs w:val="20"/>
          <w:color w:val="auto"/>
        </w:rPr>
      </w:pPr>
      <w:r>
        <w:rPr>
          <w:rFonts w:ascii="Arial" w:cs="Arial" w:eastAsia="Arial" w:hAnsi="Arial"/>
          <w:sz w:val="18"/>
          <w:szCs w:val="18"/>
          <w:color w:val="auto"/>
        </w:rPr>
        <w:t>When awarding NEO compensation for the 2025 performance year, the Committee and the Independent Directors specifically considered the following quantitative</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and qualitative results:</w:t>
      </w:r>
    </w:p>
    <w:p>
      <w:pPr>
        <w:spacing w:after="0" w:line="39" w:lineRule="exact"/>
        <w:rPr>
          <w:sz w:val="20"/>
          <w:szCs w:val="20"/>
          <w:color w:val="auto"/>
        </w:rPr>
      </w:pPr>
    </w:p>
    <w:p>
      <w:pPr>
        <w:ind w:left="1020" w:hanging="425"/>
        <w:spacing w:after="0" w:line="210" w:lineRule="auto"/>
        <w:tabs>
          <w:tab w:leader="none" w:pos="1020" w:val="left"/>
        </w:tabs>
        <w:numPr>
          <w:ilvl w:val="0"/>
          <w:numId w:val="63"/>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Net Revenue </w:t>
      </w:r>
      <w:r>
        <w:rPr>
          <w:rFonts w:ascii="Arial" w:cs="Arial" w:eastAsia="Arial" w:hAnsi="Arial"/>
          <w:sz w:val="18"/>
          <w:szCs w:val="18"/>
          <w:color w:val="000000"/>
        </w:rPr>
        <w:t>of $53.4 billion, an increase of 37% from 2024, driven by strong line of business results as well as the acquisition</w:t>
      </w:r>
      <w:r>
        <w:rPr>
          <w:rFonts w:ascii="Arial" w:cs="Arial" w:eastAsia="Arial" w:hAnsi="Arial"/>
          <w:sz w:val="18"/>
          <w:szCs w:val="18"/>
          <w:b w:val="1"/>
          <w:bCs w:val="1"/>
          <w:color w:val="023C5B"/>
        </w:rPr>
        <w:t xml:space="preserve"> </w:t>
      </w:r>
      <w:r>
        <w:rPr>
          <w:rFonts w:ascii="Arial" w:cs="Arial" w:eastAsia="Arial" w:hAnsi="Arial"/>
          <w:sz w:val="18"/>
          <w:szCs w:val="18"/>
          <w:color w:val="000000"/>
        </w:rPr>
        <w:t>of Discover. Total Loans as of December 31, 2025 were $453.6 billion, an increase of 38% from 2024.</w:t>
      </w:r>
    </w:p>
    <w:p>
      <w:pPr>
        <w:spacing w:after="0" w:line="113"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ind w:left="1020" w:hanging="425"/>
        <w:spacing w:after="0"/>
        <w:tabs>
          <w:tab w:leader="none" w:pos="1020" w:val="left"/>
        </w:tabs>
        <w:numPr>
          <w:ilvl w:val="0"/>
          <w:numId w:val="6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Net Interest Margin</w:t>
      </w:r>
      <w:r>
        <w:rPr>
          <w:rFonts w:ascii="Arial" w:cs="Arial" w:eastAsia="Arial" w:hAnsi="Arial"/>
          <w:sz w:val="26"/>
          <w:szCs w:val="26"/>
          <w:b w:val="1"/>
          <w:bCs w:val="1"/>
          <w:color w:val="023C5B"/>
          <w:vertAlign w:val="superscript"/>
        </w:rPr>
        <w:t>(2)</w:t>
      </w:r>
      <w:r>
        <w:rPr>
          <w:rFonts w:ascii="Arial" w:cs="Arial" w:eastAsia="Arial" w:hAnsi="Arial"/>
          <w:sz w:val="18"/>
          <w:szCs w:val="18"/>
          <w:b w:val="1"/>
          <w:bCs w:val="1"/>
          <w:color w:val="023C5B"/>
        </w:rPr>
        <w:t xml:space="preserve"> </w:t>
      </w:r>
      <w:r>
        <w:rPr>
          <w:rFonts w:ascii="Arial" w:cs="Arial" w:eastAsia="Arial" w:hAnsi="Arial"/>
          <w:sz w:val="18"/>
          <w:szCs w:val="18"/>
          <w:color w:val="000000"/>
        </w:rPr>
        <w:t>of 7.8%, a 96 bps increase from 2024.</w:t>
      </w:r>
    </w:p>
    <w:p>
      <w:pPr>
        <w:spacing w:after="0" w:line="137" w:lineRule="exact"/>
        <w:rPr>
          <w:rFonts w:ascii="MS PGothic" w:cs="MS PGothic" w:eastAsia="MS PGothic" w:hAnsi="MS PGothic"/>
          <w:sz w:val="29"/>
          <w:szCs w:val="29"/>
          <w:color w:val="023C5B"/>
          <w:vertAlign w:val="superscript"/>
        </w:rPr>
      </w:pPr>
    </w:p>
    <w:p>
      <w:pPr>
        <w:ind w:left="1020" w:hanging="425"/>
        <w:spacing w:after="0" w:line="204" w:lineRule="auto"/>
        <w:tabs>
          <w:tab w:leader="none" w:pos="1020" w:val="left"/>
        </w:tabs>
        <w:numPr>
          <w:ilvl w:val="0"/>
          <w:numId w:val="6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Operating Efficiency Ratio</w:t>
      </w:r>
      <w:r>
        <w:rPr>
          <w:rFonts w:ascii="Arial" w:cs="Arial" w:eastAsia="Arial" w:hAnsi="Arial"/>
          <w:sz w:val="26"/>
          <w:szCs w:val="26"/>
          <w:b w:val="1"/>
          <w:bCs w:val="1"/>
          <w:color w:val="023C5B"/>
          <w:vertAlign w:val="superscript"/>
        </w:rPr>
        <w:t>(3)</w:t>
      </w:r>
      <w:r>
        <w:rPr>
          <w:rFonts w:ascii="Arial" w:cs="Arial" w:eastAsia="Arial" w:hAnsi="Arial"/>
          <w:sz w:val="18"/>
          <w:szCs w:val="18"/>
          <w:b w:val="1"/>
          <w:bCs w:val="1"/>
          <w:color w:val="023C5B"/>
        </w:rPr>
        <w:t xml:space="preserve"> </w:t>
      </w:r>
      <w:r>
        <w:rPr>
          <w:rFonts w:ascii="Arial" w:cs="Arial" w:eastAsia="Arial" w:hAnsi="Arial"/>
          <w:sz w:val="18"/>
          <w:szCs w:val="18"/>
          <w:color w:val="000000"/>
        </w:rPr>
        <w:t>of 46.1%, compared to 43.3% in 2024. Adjusted operating efficiency ratio</w:t>
      </w:r>
      <w:r>
        <w:rPr>
          <w:rFonts w:ascii="Arial" w:cs="Arial" w:eastAsia="Arial" w:hAnsi="Arial"/>
          <w:sz w:val="26"/>
          <w:szCs w:val="26"/>
          <w:color w:val="000000"/>
          <w:vertAlign w:val="superscript"/>
        </w:rPr>
        <w:t>(1)(4)</w:t>
      </w:r>
      <w:r>
        <w:rPr>
          <w:rFonts w:ascii="Arial" w:cs="Arial" w:eastAsia="Arial" w:hAnsi="Arial"/>
          <w:sz w:val="18"/>
          <w:szCs w:val="18"/>
          <w:b w:val="1"/>
          <w:bCs w:val="1"/>
          <w:color w:val="023C5B"/>
        </w:rPr>
        <w:t xml:space="preserve"> </w:t>
      </w:r>
      <w:r>
        <w:rPr>
          <w:rFonts w:ascii="Arial" w:cs="Arial" w:eastAsia="Arial" w:hAnsi="Arial"/>
          <w:sz w:val="18"/>
          <w:szCs w:val="18"/>
          <w:color w:val="000000"/>
        </w:rPr>
        <w:t>improved 151 bps</w:t>
      </w:r>
      <w:r>
        <w:rPr>
          <w:rFonts w:ascii="Arial" w:cs="Arial" w:eastAsia="Arial" w:hAnsi="Arial"/>
          <w:sz w:val="18"/>
          <w:szCs w:val="18"/>
          <w:b w:val="1"/>
          <w:bCs w:val="1"/>
          <w:color w:val="023C5B"/>
        </w:rPr>
        <w:t xml:space="preserve"> </w:t>
      </w:r>
      <w:r>
        <w:rPr>
          <w:rFonts w:ascii="Arial" w:cs="Arial" w:eastAsia="Arial" w:hAnsi="Arial"/>
          <w:sz w:val="18"/>
          <w:szCs w:val="18"/>
          <w:color w:val="000000"/>
        </w:rPr>
        <w:t>to 40.8%, from 42.4% in 2024.</w:t>
      </w:r>
    </w:p>
    <w:p>
      <w:pPr>
        <w:spacing w:after="0" w:line="207" w:lineRule="exact"/>
        <w:rPr>
          <w:rFonts w:ascii="MS PGothic" w:cs="MS PGothic" w:eastAsia="MS PGothic" w:hAnsi="MS PGothic"/>
          <w:sz w:val="29"/>
          <w:szCs w:val="29"/>
          <w:color w:val="023C5B"/>
          <w:vertAlign w:val="superscript"/>
        </w:rPr>
      </w:pPr>
    </w:p>
    <w:p>
      <w:pPr>
        <w:jc w:val="both"/>
        <w:ind w:left="1020" w:hanging="425"/>
        <w:spacing w:after="0" w:line="188" w:lineRule="auto"/>
        <w:tabs>
          <w:tab w:leader="none" w:pos="1020" w:val="left"/>
        </w:tabs>
        <w:numPr>
          <w:ilvl w:val="0"/>
          <w:numId w:val="6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Efficiency Ratio</w:t>
      </w:r>
      <w:r>
        <w:rPr>
          <w:rFonts w:ascii="Arial" w:cs="Arial" w:eastAsia="Arial" w:hAnsi="Arial"/>
          <w:sz w:val="26"/>
          <w:szCs w:val="26"/>
          <w:b w:val="1"/>
          <w:bCs w:val="1"/>
          <w:color w:val="023C5B"/>
          <w:vertAlign w:val="superscript"/>
        </w:rPr>
        <w:t>(3)</w:t>
      </w:r>
      <w:r>
        <w:rPr>
          <w:rFonts w:ascii="Arial" w:cs="Arial" w:eastAsia="Arial" w:hAnsi="Arial"/>
          <w:sz w:val="18"/>
          <w:szCs w:val="18"/>
          <w:b w:val="1"/>
          <w:bCs w:val="1"/>
          <w:color w:val="023C5B"/>
        </w:rPr>
        <w:t xml:space="preserve"> </w:t>
      </w:r>
      <w:r>
        <w:rPr>
          <w:rFonts w:ascii="Arial" w:cs="Arial" w:eastAsia="Arial" w:hAnsi="Arial"/>
          <w:sz w:val="18"/>
          <w:szCs w:val="18"/>
          <w:color w:val="000000"/>
        </w:rPr>
        <w:t>of 57.1%, compared to 54.9% in 2024, due primarily to integration expenses as well as investments in</w:t>
      </w:r>
      <w:r>
        <w:rPr>
          <w:rFonts w:ascii="Arial" w:cs="Arial" w:eastAsia="Arial" w:hAnsi="Arial"/>
          <w:sz w:val="18"/>
          <w:szCs w:val="18"/>
          <w:b w:val="1"/>
          <w:bCs w:val="1"/>
          <w:color w:val="023C5B"/>
        </w:rPr>
        <w:t xml:space="preserve"> </w:t>
      </w:r>
      <w:r>
        <w:rPr>
          <w:rFonts w:ascii="Arial" w:cs="Arial" w:eastAsia="Arial" w:hAnsi="Arial"/>
          <w:sz w:val="18"/>
          <w:szCs w:val="18"/>
          <w:color w:val="000000"/>
        </w:rPr>
        <w:t>future growth and capabilities. Adjusted efficiency ratio</w:t>
      </w:r>
      <w:r>
        <w:rPr>
          <w:rFonts w:ascii="Arial" w:cs="Arial" w:eastAsia="Arial" w:hAnsi="Arial"/>
          <w:sz w:val="26"/>
          <w:szCs w:val="26"/>
          <w:color w:val="000000"/>
          <w:vertAlign w:val="superscript"/>
        </w:rPr>
        <w:t>(1)(4)</w:t>
      </w:r>
      <w:r>
        <w:rPr>
          <w:rFonts w:ascii="Arial" w:cs="Arial" w:eastAsia="Arial" w:hAnsi="Arial"/>
          <w:sz w:val="18"/>
          <w:szCs w:val="18"/>
          <w:color w:val="000000"/>
        </w:rPr>
        <w:t xml:space="preserve"> improved to 51.8% in 2025 from 54.0% in 2024, due primarily to impacts from the Discover Transaction.</w:t>
      </w:r>
    </w:p>
    <w:p>
      <w:pPr>
        <w:spacing w:after="0" w:line="207" w:lineRule="exact"/>
        <w:rPr>
          <w:rFonts w:ascii="MS PGothic" w:cs="MS PGothic" w:eastAsia="MS PGothic" w:hAnsi="MS PGothic"/>
          <w:sz w:val="29"/>
          <w:szCs w:val="29"/>
          <w:color w:val="023C5B"/>
          <w:vertAlign w:val="superscript"/>
        </w:rPr>
      </w:pPr>
    </w:p>
    <w:p>
      <w:pPr>
        <w:ind w:left="1020" w:hanging="425"/>
        <w:spacing w:after="0" w:line="204" w:lineRule="auto"/>
        <w:tabs>
          <w:tab w:leader="none" w:pos="1020" w:val="left"/>
        </w:tabs>
        <w:numPr>
          <w:ilvl w:val="0"/>
          <w:numId w:val="6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Diluted EPS </w:t>
      </w:r>
      <w:r>
        <w:rPr>
          <w:rFonts w:ascii="Arial" w:cs="Arial" w:eastAsia="Arial" w:hAnsi="Arial"/>
          <w:sz w:val="18"/>
          <w:szCs w:val="18"/>
          <w:color w:val="000000"/>
        </w:rPr>
        <w:t>of $4.03, compared to $11.59 in 2024. Adjusted diluted EPS</w:t>
      </w:r>
      <w:r>
        <w:rPr>
          <w:rFonts w:ascii="Arial" w:cs="Arial" w:eastAsia="Arial" w:hAnsi="Arial"/>
          <w:sz w:val="26"/>
          <w:szCs w:val="26"/>
          <w:color w:val="000000"/>
          <w:vertAlign w:val="superscript"/>
        </w:rPr>
        <w:t>(1)(4)</w:t>
      </w:r>
      <w:r>
        <w:rPr>
          <w:rFonts w:ascii="Arial" w:cs="Arial" w:eastAsia="Arial" w:hAnsi="Arial"/>
          <w:sz w:val="18"/>
          <w:szCs w:val="18"/>
          <w:b w:val="1"/>
          <w:bCs w:val="1"/>
          <w:color w:val="023C5B"/>
        </w:rPr>
        <w:t xml:space="preserve"> </w:t>
      </w:r>
      <w:r>
        <w:rPr>
          <w:rFonts w:ascii="Arial" w:cs="Arial" w:eastAsia="Arial" w:hAnsi="Arial"/>
          <w:sz w:val="18"/>
          <w:szCs w:val="18"/>
          <w:color w:val="000000"/>
        </w:rPr>
        <w:t>of $19.61, an increase of 40% from $13.96 in</w:t>
      </w:r>
      <w:r>
        <w:rPr>
          <w:rFonts w:ascii="Arial" w:cs="Arial" w:eastAsia="Arial" w:hAnsi="Arial"/>
          <w:sz w:val="18"/>
          <w:szCs w:val="18"/>
          <w:b w:val="1"/>
          <w:bCs w:val="1"/>
          <w:color w:val="023C5B"/>
        </w:rPr>
        <w:t xml:space="preserve"> </w:t>
      </w:r>
      <w:r>
        <w:rPr>
          <w:rFonts w:ascii="Arial" w:cs="Arial" w:eastAsia="Arial" w:hAnsi="Arial"/>
          <w:sz w:val="18"/>
          <w:szCs w:val="18"/>
          <w:color w:val="000000"/>
        </w:rPr>
        <w:t>2024.</w:t>
      </w:r>
    </w:p>
    <w:p>
      <w:pPr>
        <w:spacing w:after="0" w:line="207" w:lineRule="exact"/>
        <w:rPr>
          <w:rFonts w:ascii="MS PGothic" w:cs="MS PGothic" w:eastAsia="MS PGothic" w:hAnsi="MS PGothic"/>
          <w:sz w:val="29"/>
          <w:szCs w:val="29"/>
          <w:color w:val="023C5B"/>
          <w:vertAlign w:val="superscript"/>
        </w:rPr>
      </w:pPr>
    </w:p>
    <w:p>
      <w:pPr>
        <w:ind w:left="1020" w:hanging="425"/>
        <w:spacing w:after="0"/>
        <w:tabs>
          <w:tab w:leader="none" w:pos="1020" w:val="left"/>
        </w:tabs>
        <w:numPr>
          <w:ilvl w:val="0"/>
          <w:numId w:val="6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ROTCE</w:t>
      </w:r>
      <w:r>
        <w:rPr>
          <w:rFonts w:ascii="Arial" w:cs="Arial" w:eastAsia="Arial" w:hAnsi="Arial"/>
          <w:sz w:val="26"/>
          <w:szCs w:val="26"/>
          <w:b w:val="1"/>
          <w:bCs w:val="1"/>
          <w:color w:val="023C5B"/>
          <w:vertAlign w:val="superscript"/>
        </w:rPr>
        <w:t>(1)(5)</w:t>
      </w:r>
      <w:r>
        <w:rPr>
          <w:rFonts w:ascii="Arial" w:cs="Arial" w:eastAsia="Arial" w:hAnsi="Arial"/>
          <w:sz w:val="18"/>
          <w:szCs w:val="18"/>
          <w:b w:val="1"/>
          <w:bCs w:val="1"/>
          <w:color w:val="023C5B"/>
        </w:rPr>
        <w:t xml:space="preserve"> </w:t>
      </w:r>
      <w:r>
        <w:rPr>
          <w:rFonts w:ascii="Arial" w:cs="Arial" w:eastAsia="Arial" w:hAnsi="Arial"/>
          <w:sz w:val="18"/>
          <w:szCs w:val="18"/>
          <w:color w:val="000000"/>
        </w:rPr>
        <w:t>of 3.2%, compared to 11.2% in 2024. Adjusted ROTCE</w:t>
      </w:r>
      <w:r>
        <w:rPr>
          <w:rFonts w:ascii="Arial" w:cs="Arial" w:eastAsia="Arial" w:hAnsi="Arial"/>
          <w:sz w:val="26"/>
          <w:szCs w:val="26"/>
          <w:color w:val="000000"/>
          <w:vertAlign w:val="superscript"/>
        </w:rPr>
        <w:t>(1)(5)</w:t>
      </w:r>
      <w:r>
        <w:rPr>
          <w:rFonts w:ascii="Arial" w:cs="Arial" w:eastAsia="Arial" w:hAnsi="Arial"/>
          <w:sz w:val="18"/>
          <w:szCs w:val="18"/>
          <w:b w:val="1"/>
          <w:bCs w:val="1"/>
          <w:color w:val="023C5B"/>
        </w:rPr>
        <w:t xml:space="preserve"> </w:t>
      </w:r>
      <w:r>
        <w:rPr>
          <w:rFonts w:ascii="Arial" w:cs="Arial" w:eastAsia="Arial" w:hAnsi="Arial"/>
          <w:sz w:val="18"/>
          <w:szCs w:val="18"/>
          <w:color w:val="000000"/>
        </w:rPr>
        <w:t>of 18.5%, an increase from 13.5% in 2024.</w:t>
      </w:r>
    </w:p>
    <w:p>
      <w:pPr>
        <w:spacing w:after="0" w:line="137" w:lineRule="exact"/>
        <w:rPr>
          <w:rFonts w:ascii="MS PGothic" w:cs="MS PGothic" w:eastAsia="MS PGothic" w:hAnsi="MS PGothic"/>
          <w:sz w:val="29"/>
          <w:szCs w:val="29"/>
          <w:color w:val="023C5B"/>
          <w:vertAlign w:val="superscript"/>
        </w:rPr>
      </w:pPr>
    </w:p>
    <w:p>
      <w:pPr>
        <w:jc w:val="both"/>
        <w:ind w:left="1020" w:hanging="425"/>
        <w:spacing w:after="0" w:line="217" w:lineRule="auto"/>
        <w:tabs>
          <w:tab w:leader="none" w:pos="1020" w:val="left"/>
        </w:tabs>
        <w:numPr>
          <w:ilvl w:val="0"/>
          <w:numId w:val="6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The Closing of the Discover Transaction. </w:t>
      </w:r>
      <w:r>
        <w:rPr>
          <w:rFonts w:ascii="Arial" w:cs="Arial" w:eastAsia="Arial" w:hAnsi="Arial"/>
          <w:sz w:val="18"/>
          <w:szCs w:val="18"/>
          <w:color w:val="000000"/>
        </w:rPr>
        <w:t>We received regulatory approval for the acquisition of Discover in April of 2025 and</w:t>
      </w:r>
      <w:r>
        <w:rPr>
          <w:rFonts w:ascii="Arial" w:cs="Arial" w:eastAsia="Arial" w:hAnsi="Arial"/>
          <w:sz w:val="18"/>
          <w:szCs w:val="18"/>
          <w:b w:val="1"/>
          <w:bCs w:val="1"/>
          <w:color w:val="023C5B"/>
        </w:rPr>
        <w:t xml:space="preserve"> </w:t>
      </w:r>
      <w:r>
        <w:rPr>
          <w:rFonts w:ascii="Arial" w:cs="Arial" w:eastAsia="Arial" w:hAnsi="Arial"/>
          <w:sz w:val="18"/>
          <w:szCs w:val="18"/>
          <w:color w:val="000000"/>
        </w:rPr>
        <w:t>completed the transaction on May 18, 2025. The successful closing marked 15 months since the announcement of the deal in February of 2024, and reflected significant effort and investment across leadership and line of business teams.</w:t>
      </w:r>
    </w:p>
    <w:p>
      <w:pPr>
        <w:spacing w:after="0" w:line="206" w:lineRule="exact"/>
        <w:rPr>
          <w:rFonts w:ascii="MS PGothic" w:cs="MS PGothic" w:eastAsia="MS PGothic" w:hAnsi="MS PGothic"/>
          <w:sz w:val="29"/>
          <w:szCs w:val="29"/>
          <w:color w:val="023C5B"/>
          <w:vertAlign w:val="superscript"/>
        </w:rPr>
      </w:pPr>
    </w:p>
    <w:p>
      <w:pPr>
        <w:jc w:val="both"/>
        <w:ind w:left="1020" w:hanging="425"/>
        <w:spacing w:after="0" w:line="220" w:lineRule="auto"/>
        <w:tabs>
          <w:tab w:leader="none" w:pos="1020" w:val="left"/>
        </w:tabs>
        <w:numPr>
          <w:ilvl w:val="0"/>
          <w:numId w:val="6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Initial Integration of Discover </w:t>
      </w:r>
      <w:r>
        <w:rPr>
          <w:rFonts w:ascii="Arial" w:cs="Arial" w:eastAsia="Arial" w:hAnsi="Arial"/>
          <w:sz w:val="18"/>
          <w:szCs w:val="18"/>
          <w:color w:val="000000"/>
        </w:rPr>
        <w:t>included successful closing day activities across critical financial and risk management</w:t>
      </w:r>
      <w:r>
        <w:rPr>
          <w:rFonts w:ascii="Arial" w:cs="Arial" w:eastAsia="Arial" w:hAnsi="Arial"/>
          <w:sz w:val="18"/>
          <w:szCs w:val="18"/>
          <w:b w:val="1"/>
          <w:bCs w:val="1"/>
          <w:color w:val="023C5B"/>
        </w:rPr>
        <w:t xml:space="preserve"> </w:t>
      </w:r>
      <w:r>
        <w:rPr>
          <w:rFonts w:ascii="Arial" w:cs="Arial" w:eastAsia="Arial" w:hAnsi="Arial"/>
          <w:sz w:val="18"/>
          <w:szCs w:val="18"/>
          <w:color w:val="000000"/>
        </w:rPr>
        <w:t>systems, the conversion of key HR experiences and programs, and the substantial completion of the reissuance of legacy Capital One customer debit cards onto the Global Payment Network. Successful early integration activities during the year kept the Company on track to deliver expected deal synergies.</w:t>
      </w:r>
    </w:p>
    <w:p>
      <w:pPr>
        <w:spacing w:after="0" w:line="208" w:lineRule="exact"/>
        <w:rPr>
          <w:rFonts w:ascii="MS PGothic" w:cs="MS PGothic" w:eastAsia="MS PGothic" w:hAnsi="MS PGothic"/>
          <w:sz w:val="29"/>
          <w:szCs w:val="29"/>
          <w:color w:val="023C5B"/>
          <w:vertAlign w:val="superscript"/>
        </w:rPr>
      </w:pPr>
    </w:p>
    <w:p>
      <w:pPr>
        <w:jc w:val="both"/>
        <w:ind w:left="1020" w:hanging="425"/>
        <w:spacing w:after="0" w:line="191" w:lineRule="auto"/>
        <w:tabs>
          <w:tab w:leader="none" w:pos="1020" w:val="left"/>
        </w:tabs>
        <w:numPr>
          <w:ilvl w:val="0"/>
          <w:numId w:val="6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Strong Liquidity and Capital Management </w:t>
      </w:r>
      <w:r>
        <w:rPr>
          <w:rFonts w:ascii="Arial" w:cs="Arial" w:eastAsia="Arial" w:hAnsi="Arial"/>
          <w:sz w:val="18"/>
          <w:szCs w:val="18"/>
          <w:color w:val="000000"/>
        </w:rPr>
        <w:t>with continued balance sheet strength. As of year end: (i) total deposits were</w:t>
      </w:r>
      <w:r>
        <w:rPr>
          <w:rFonts w:ascii="Arial" w:cs="Arial" w:eastAsia="Arial" w:hAnsi="Arial"/>
          <w:sz w:val="18"/>
          <w:szCs w:val="18"/>
          <w:b w:val="1"/>
          <w:bCs w:val="1"/>
          <w:color w:val="023C5B"/>
        </w:rPr>
        <w:t xml:space="preserve"> </w:t>
      </w:r>
      <w:r>
        <w:rPr>
          <w:rFonts w:ascii="Arial" w:cs="Arial" w:eastAsia="Arial" w:hAnsi="Arial"/>
          <w:sz w:val="18"/>
          <w:szCs w:val="18"/>
          <w:color w:val="000000"/>
        </w:rPr>
        <w:t>$475.8 billion, an increase of 31% from 2024, driven by both organic growth and the addition of Discover; (ii) approximately 85% of Capital One’s total deposits were FDIC insured; (iii) common equity Tier 1 capital ratio</w:t>
      </w:r>
      <w:r>
        <w:rPr>
          <w:rFonts w:ascii="Arial" w:cs="Arial" w:eastAsia="Arial" w:hAnsi="Arial"/>
          <w:sz w:val="26"/>
          <w:szCs w:val="26"/>
          <w:color w:val="000000"/>
          <w:vertAlign w:val="superscript"/>
        </w:rPr>
        <w:t>(6)</w:t>
      </w:r>
      <w:r>
        <w:rPr>
          <w:rFonts w:ascii="Arial" w:cs="Arial" w:eastAsia="Arial" w:hAnsi="Arial"/>
          <w:sz w:val="18"/>
          <w:szCs w:val="18"/>
          <w:color w:val="000000"/>
        </w:rPr>
        <w:t xml:space="preserve"> was 14.3%, an increase from 13.5% at year end 2024 and significantly above regulatory requirements; and (iv) Capital One’s fourth quarter average LCR</w:t>
      </w:r>
      <w:r>
        <w:rPr>
          <w:rFonts w:ascii="Arial" w:cs="Arial" w:eastAsia="Arial" w:hAnsi="Arial"/>
          <w:sz w:val="26"/>
          <w:szCs w:val="26"/>
          <w:color w:val="000000"/>
          <w:vertAlign w:val="superscript"/>
        </w:rPr>
        <w:t>(7)</w:t>
      </w:r>
      <w:r>
        <w:rPr>
          <w:rFonts w:ascii="Arial" w:cs="Arial" w:eastAsia="Arial" w:hAnsi="Arial"/>
          <w:sz w:val="18"/>
          <w:szCs w:val="18"/>
          <w:color w:val="000000"/>
        </w:rPr>
        <w:t xml:space="preserve"> was 173%.</w:t>
      </w:r>
    </w:p>
    <w:p>
      <w:pPr>
        <w:spacing w:after="0" w:line="207" w:lineRule="exact"/>
        <w:rPr>
          <w:rFonts w:ascii="MS PGothic" w:cs="MS PGothic" w:eastAsia="MS PGothic" w:hAnsi="MS PGothic"/>
          <w:sz w:val="29"/>
          <w:szCs w:val="29"/>
          <w:color w:val="023C5B"/>
          <w:vertAlign w:val="superscript"/>
        </w:rPr>
      </w:pPr>
    </w:p>
    <w:p>
      <w:pPr>
        <w:jc w:val="both"/>
        <w:ind w:left="1020" w:hanging="425"/>
        <w:spacing w:after="0" w:line="217" w:lineRule="auto"/>
        <w:tabs>
          <w:tab w:leader="none" w:pos="1020" w:val="left"/>
        </w:tabs>
        <w:numPr>
          <w:ilvl w:val="0"/>
          <w:numId w:val="6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Strong Credit Risk Management </w:t>
      </w:r>
      <w:r>
        <w:rPr>
          <w:rFonts w:ascii="Arial" w:cs="Arial" w:eastAsia="Arial" w:hAnsi="Arial"/>
          <w:sz w:val="18"/>
          <w:szCs w:val="18"/>
          <w:color w:val="000000"/>
        </w:rPr>
        <w:t>with a net charge-off rate of 3.3%, versus 3.4% in 2024. Business line credit trends in Card,</w:t>
      </w:r>
      <w:r>
        <w:rPr>
          <w:rFonts w:ascii="Arial" w:cs="Arial" w:eastAsia="Arial" w:hAnsi="Arial"/>
          <w:sz w:val="18"/>
          <w:szCs w:val="18"/>
          <w:b w:val="1"/>
          <w:bCs w:val="1"/>
          <w:color w:val="023C5B"/>
        </w:rPr>
        <w:t xml:space="preserve"> </w:t>
      </w:r>
      <w:r>
        <w:rPr>
          <w:rFonts w:ascii="Arial" w:cs="Arial" w:eastAsia="Arial" w:hAnsi="Arial"/>
          <w:sz w:val="18"/>
          <w:szCs w:val="18"/>
          <w:color w:val="000000"/>
        </w:rPr>
        <w:t>Auto, and Commercial were favorable to market and industry peers, primarily the result of modern technology and analytics, as well as strategic choices and actions to manage evolving credit risks.</w:t>
      </w:r>
    </w:p>
    <w:p>
      <w:pPr>
        <w:spacing w:after="0" w:line="206" w:lineRule="exact"/>
        <w:rPr>
          <w:rFonts w:ascii="MS PGothic" w:cs="MS PGothic" w:eastAsia="MS PGothic" w:hAnsi="MS PGothic"/>
          <w:sz w:val="29"/>
          <w:szCs w:val="29"/>
          <w:color w:val="023C5B"/>
          <w:vertAlign w:val="superscript"/>
        </w:rPr>
      </w:pPr>
    </w:p>
    <w:p>
      <w:pPr>
        <w:ind w:left="1020" w:hanging="425"/>
        <w:spacing w:after="0"/>
        <w:tabs>
          <w:tab w:leader="none" w:pos="1020" w:val="left"/>
        </w:tabs>
        <w:numPr>
          <w:ilvl w:val="0"/>
          <w:numId w:val="6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Tangible Book Value Per Common Share</w:t>
      </w:r>
      <w:r>
        <w:rPr>
          <w:rFonts w:ascii="Arial" w:cs="Arial" w:eastAsia="Arial" w:hAnsi="Arial"/>
          <w:sz w:val="26"/>
          <w:szCs w:val="26"/>
          <w:b w:val="1"/>
          <w:bCs w:val="1"/>
          <w:color w:val="023C5B"/>
          <w:vertAlign w:val="superscript"/>
        </w:rPr>
        <w:t>(8)</w:t>
      </w:r>
      <w:r>
        <w:rPr>
          <w:rFonts w:ascii="Arial" w:cs="Arial" w:eastAsia="Arial" w:hAnsi="Arial"/>
          <w:sz w:val="18"/>
          <w:szCs w:val="18"/>
          <w:b w:val="1"/>
          <w:bCs w:val="1"/>
          <w:color w:val="023C5B"/>
        </w:rPr>
        <w:t xml:space="preserve"> </w:t>
      </w:r>
      <w:r>
        <w:rPr>
          <w:rFonts w:ascii="Arial" w:cs="Arial" w:eastAsia="Arial" w:hAnsi="Arial"/>
          <w:sz w:val="18"/>
          <w:szCs w:val="18"/>
          <w:color w:val="000000"/>
        </w:rPr>
        <w:t>was $107.72, an increase of 0.7% from $106.97 in 2024.</w:t>
      </w:r>
    </w:p>
    <w:p>
      <w:pPr>
        <w:spacing w:after="0" w:line="137" w:lineRule="exact"/>
        <w:rPr>
          <w:rFonts w:ascii="MS PGothic" w:cs="MS PGothic" w:eastAsia="MS PGothic" w:hAnsi="MS PGothic"/>
          <w:sz w:val="29"/>
          <w:szCs w:val="29"/>
          <w:color w:val="023C5B"/>
          <w:vertAlign w:val="superscript"/>
        </w:rPr>
      </w:pPr>
    </w:p>
    <w:p>
      <w:pPr>
        <w:jc w:val="both"/>
        <w:ind w:left="1020" w:hanging="425"/>
        <w:spacing w:after="0" w:line="220" w:lineRule="auto"/>
        <w:tabs>
          <w:tab w:leader="none" w:pos="1020" w:val="left"/>
        </w:tabs>
        <w:numPr>
          <w:ilvl w:val="0"/>
          <w:numId w:val="6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TSR </w:t>
      </w:r>
      <w:r>
        <w:rPr>
          <w:rFonts w:ascii="Arial" w:cs="Arial" w:eastAsia="Arial" w:hAnsi="Arial"/>
          <w:sz w:val="18"/>
          <w:szCs w:val="18"/>
          <w:color w:val="000000"/>
        </w:rPr>
        <w:t>of 37.7% for the one-year period ended December 31, 2025, outpacing both the KBW Bank Index total return of 32.6%,</w:t>
      </w:r>
      <w:r>
        <w:rPr>
          <w:rFonts w:ascii="Arial" w:cs="Arial" w:eastAsia="Arial" w:hAnsi="Arial"/>
          <w:sz w:val="18"/>
          <w:szCs w:val="18"/>
          <w:b w:val="1"/>
          <w:bCs w:val="1"/>
          <w:color w:val="023C5B"/>
        </w:rPr>
        <w:t xml:space="preserve"> </w:t>
      </w:r>
      <w:r>
        <w:rPr>
          <w:rFonts w:ascii="Arial" w:cs="Arial" w:eastAsia="Arial" w:hAnsi="Arial"/>
          <w:sz w:val="18"/>
          <w:szCs w:val="18"/>
          <w:color w:val="000000"/>
        </w:rPr>
        <w:t>and the S&amp;P 500 total return of 17.9%. Capital One’s three-year and five-year TSR for the periods ended December 31, 2025 were 174.7%, and 168.0%, respectively, significantly outperforming the total return of the KBW Bank Index, which was 80.3%, and 96.0% over the same time periods.</w:t>
      </w:r>
    </w:p>
    <w:p>
      <w:pPr>
        <w:spacing w:after="0" w:line="208"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6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Strong Enterprise Risk Management. </w:t>
      </w:r>
      <w:r>
        <w:rPr>
          <w:rFonts w:ascii="Arial" w:cs="Arial" w:eastAsia="Arial" w:hAnsi="Arial"/>
          <w:sz w:val="18"/>
          <w:szCs w:val="18"/>
          <w:color w:val="000000"/>
        </w:rPr>
        <w:t>Capital One continued to deliver high-quality foundational risk management activities</w:t>
      </w:r>
      <w:r>
        <w:rPr>
          <w:rFonts w:ascii="Arial" w:cs="Arial" w:eastAsia="Arial" w:hAnsi="Arial"/>
          <w:sz w:val="18"/>
          <w:szCs w:val="18"/>
          <w:b w:val="1"/>
          <w:bCs w:val="1"/>
          <w:color w:val="023C5B"/>
        </w:rPr>
        <w:t xml:space="preserve"> </w:t>
      </w:r>
      <w:r>
        <w:rPr>
          <w:rFonts w:ascii="Arial" w:cs="Arial" w:eastAsia="Arial" w:hAnsi="Arial"/>
          <w:sz w:val="18"/>
          <w:szCs w:val="18"/>
          <w:color w:val="000000"/>
        </w:rPr>
        <w:t>and achieved strong results on its critical regulatory exams and engagements.</w:t>
      </w:r>
    </w:p>
    <w:p>
      <w:pPr>
        <w:spacing w:after="0" w:line="207" w:lineRule="exact"/>
        <w:rPr>
          <w:rFonts w:ascii="MS PGothic" w:cs="MS PGothic" w:eastAsia="MS PGothic" w:hAnsi="MS PGothic"/>
          <w:sz w:val="29"/>
          <w:szCs w:val="29"/>
          <w:color w:val="023C5B"/>
          <w:vertAlign w:val="superscript"/>
        </w:rPr>
      </w:pPr>
    </w:p>
    <w:p>
      <w:pPr>
        <w:jc w:val="both"/>
        <w:ind w:left="1020" w:hanging="425"/>
        <w:spacing w:after="0" w:line="217" w:lineRule="auto"/>
        <w:tabs>
          <w:tab w:leader="none" w:pos="1020" w:val="left"/>
        </w:tabs>
        <w:numPr>
          <w:ilvl w:val="0"/>
          <w:numId w:val="64"/>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Customer Service and Advocacy. </w:t>
      </w:r>
      <w:r>
        <w:rPr>
          <w:rFonts w:ascii="Arial" w:cs="Arial" w:eastAsia="Arial" w:hAnsi="Arial"/>
          <w:sz w:val="18"/>
          <w:szCs w:val="18"/>
          <w:color w:val="000000"/>
        </w:rPr>
        <w:t>The Company enjoyed strong customer advocacy; achieved high Net Promoter Scores</w:t>
      </w:r>
      <w:r>
        <w:rPr>
          <w:rFonts w:ascii="Arial" w:cs="Arial" w:eastAsia="Arial" w:hAnsi="Arial"/>
          <w:sz w:val="18"/>
          <w:szCs w:val="18"/>
          <w:b w:val="1"/>
          <w:bCs w:val="1"/>
          <w:color w:val="023C5B"/>
        </w:rPr>
        <w:t xml:space="preserve"> </w:t>
      </w:r>
      <w:r>
        <w:rPr>
          <w:rFonts w:ascii="Arial" w:cs="Arial" w:eastAsia="Arial" w:hAnsi="Arial"/>
          <w:sz w:val="18"/>
          <w:szCs w:val="18"/>
          <w:color w:val="000000"/>
        </w:rPr>
        <w:t>across lines of business, products, and digital experiences; and earned external accolades for our products and customer service.</w:t>
      </w:r>
    </w:p>
    <w:p>
      <w:pPr>
        <w:spacing w:after="0" w:line="105"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020" w:hanging="425"/>
        <w:spacing w:after="0" w:line="217" w:lineRule="auto"/>
        <w:tabs>
          <w:tab w:leader="none" w:pos="1020" w:val="left"/>
        </w:tabs>
        <w:numPr>
          <w:ilvl w:val="1"/>
          <w:numId w:val="65"/>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Continued Investments in Our Long-term Future. </w:t>
      </w:r>
      <w:r>
        <w:rPr>
          <w:rFonts w:ascii="Arial" w:cs="Arial" w:eastAsia="Arial" w:hAnsi="Arial"/>
          <w:sz w:val="18"/>
          <w:szCs w:val="18"/>
          <w:color w:val="000000"/>
        </w:rPr>
        <w:t>The Company invested in: (i) marketing and product innovation to support</w:t>
      </w:r>
      <w:r>
        <w:rPr>
          <w:rFonts w:ascii="Arial" w:cs="Arial" w:eastAsia="Arial" w:hAnsi="Arial"/>
          <w:sz w:val="18"/>
          <w:szCs w:val="18"/>
          <w:b w:val="1"/>
          <w:bCs w:val="1"/>
          <w:color w:val="023C5B"/>
        </w:rPr>
        <w:t xml:space="preserve"> </w:t>
      </w:r>
      <w:r>
        <w:rPr>
          <w:rFonts w:ascii="Arial" w:cs="Arial" w:eastAsia="Arial" w:hAnsi="Arial"/>
          <w:sz w:val="18"/>
          <w:szCs w:val="18"/>
          <w:color w:val="000000"/>
        </w:rPr>
        <w:t>growth; (ii) technology, data, and modern infrastructure to support innovation; and (iii) talent and tools to deliver top tier software development, rigorous risk management, and AI capabilities.</w:t>
      </w:r>
    </w:p>
    <w:p>
      <w:pPr>
        <w:spacing w:after="0" w:line="162" w:lineRule="exact"/>
        <w:rPr>
          <w:rFonts w:ascii="MS PGothic" w:cs="MS PGothic" w:eastAsia="MS PGothic" w:hAnsi="MS PGothic"/>
          <w:sz w:val="29"/>
          <w:szCs w:val="29"/>
          <w:color w:val="023C5B"/>
          <w:vertAlign w:val="superscript"/>
        </w:rPr>
      </w:pPr>
    </w:p>
    <w:p>
      <w:pPr>
        <w:jc w:val="both"/>
        <w:ind w:left="600" w:hanging="433"/>
        <w:spacing w:after="0" w:line="244" w:lineRule="auto"/>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Committee considers these metrics to be key financial performance measures in its assessment of the Company’s performance, including certain non-GAAP measures. We believe our non-GAAP measures help investors and other users of our financial information understand the effect of adjusting items on our selected reported results. These measures may not be comparable to similarly titled measures reported by other companies. See Appendix A for our definition and reconciliation of these non-GAAP measures to the applicable amounts measured in accordance with GAAP.</w:t>
      </w:r>
    </w:p>
    <w:p>
      <w:pPr>
        <w:spacing w:after="0" w:line="1" w:lineRule="exact"/>
        <w:rPr>
          <w:rFonts w:ascii="Arial" w:cs="Arial" w:eastAsia="Arial" w:hAnsi="Arial"/>
          <w:sz w:val="14"/>
          <w:szCs w:val="14"/>
          <w:color w:val="auto"/>
        </w:rPr>
      </w:pPr>
    </w:p>
    <w:p>
      <w:pPr>
        <w:ind w:left="600" w:hanging="433"/>
        <w:spacing w:after="0"/>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Net interest margin is calculated based on net interest income for the period divided by average interest-earning assets for the period.</w:t>
      </w:r>
    </w:p>
    <w:p>
      <w:pPr>
        <w:jc w:val="both"/>
        <w:ind w:left="600" w:hanging="433"/>
        <w:spacing w:after="0" w:line="239" w:lineRule="auto"/>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Operating efficiency ratio is calculated based on operating expense for the period divided by total net revenue for the period, and reflects as-reported results in accordance with GAAP. Efficiency ratio is calculated based on total non-interest expense for the period divided by total net revenue for the period, and reflects as-reported results in accordance with GAAP.</w:t>
      </w:r>
    </w:p>
    <w:p>
      <w:pPr>
        <w:ind w:left="600" w:hanging="433"/>
        <w:spacing w:after="0" w:line="239" w:lineRule="auto"/>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Adjusted diluted EPS, adjusted operating efficiency ratio, and adjusted efficiency ratio are non-GAAP measures. See Appendix A for our reconciliation of these non-GAAP measures to the applicable amounts measured in accordance with GAAP.</w:t>
      </w:r>
    </w:p>
    <w:p>
      <w:pPr>
        <w:jc w:val="both"/>
        <w:ind w:left="600" w:hanging="433"/>
        <w:spacing w:after="0" w:line="239" w:lineRule="auto"/>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ROTCE and adjusted ROTCE are non-GAAP measures. ROTCE is calculated based on net income (loss) available to common stockholders less income (loss) from discontinued operations, net of tax, for the period, divided by average tangible common equity. Adjusted ROTCE is calculated based on adjusted net income available to common stockholders less discontinued operations (non-GAAP) (as disclosed in Appendix A) divided by average tangible common equity. Average tangible common equity is not adjusted. We consider these metrics to be part of the key financial performance measures that management uses when assessing returns and capital management over time. While these non-GAAP measures are widely used by investors, analysts, and bank regulatory agencies to assess the operating performance and capital position of financial services companies, they may not be comparable to similarly-titled measures reported by other companies. See Appendix A for our reconciliation of non-GAAP measures to the applicable amounts measured in accordance with GAAP. Adjusted ROTCE is not the same as PSU Adjusted ROTCE referenced within this proxy statement.</w:t>
      </w:r>
    </w:p>
    <w:p>
      <w:pPr>
        <w:spacing w:after="0" w:line="1" w:lineRule="exact"/>
        <w:rPr>
          <w:rFonts w:ascii="Arial" w:cs="Arial" w:eastAsia="Arial" w:hAnsi="Arial"/>
          <w:sz w:val="14"/>
          <w:szCs w:val="14"/>
          <w:color w:val="auto"/>
        </w:rPr>
      </w:pPr>
    </w:p>
    <w:p>
      <w:pPr>
        <w:ind w:left="600" w:hanging="433"/>
        <w:spacing w:after="0"/>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Common equity Tier 1 capital ratio is a regulatory capital measure calculated based on common equity Tier 1 capital divided by risk-weighted assets.</w:t>
      </w:r>
    </w:p>
    <w:p>
      <w:pPr>
        <w:ind w:left="600" w:hanging="433"/>
        <w:spacing w:after="0" w:line="239" w:lineRule="auto"/>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LCR is a regulatory liquidity measure calculated by dividing the amount of an institution’s high quality, unencumbered liquid assets by its estimated net cash outflow, as defined and calculated in accordance with the LCR Rule.</w:t>
      </w:r>
    </w:p>
    <w:p>
      <w:pPr>
        <w:jc w:val="both"/>
        <w:ind w:left="600" w:hanging="433"/>
        <w:spacing w:after="0" w:line="244" w:lineRule="auto"/>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Tangible book value per common share is a non-GAAP measure calculated based on tangible common equity divided by common shares outstanding. We consider this metric to be part of the key financial performance measures that management uses when assessing returns and capital management over time. While this non-GAAP measure is widely used by investors, analysts and bank regulatory agencies to assess the operating performance and capital position of financial services companies, it may not be comparable to similarly-titled measures reported by other companies. See Appendix A for our reconciliation of this non-GAAP measure to the applicable amounts measured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-2696210</wp:posOffset>
            </wp:positionV>
            <wp:extent cx="76454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88"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Compensation Highlights</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We believe that our NEO compensation programs balance risk and financial results, reward NEOs for their achievements, promote our overall compensation objectives, and encourage appropriate but not excessive risk-taking. Our compensation programs are structured to encourage our executives to deliver strong results over the short term while making decisions that create sustained value for our stockholders over the long term.</w:t>
      </w:r>
    </w:p>
    <w:p>
      <w:pPr>
        <w:spacing w:after="0" w:line="205" w:lineRule="exact"/>
        <w:rPr>
          <w:sz w:val="20"/>
          <w:szCs w:val="20"/>
          <w:color w:val="auto"/>
        </w:rPr>
      </w:pPr>
    </w:p>
    <w:p>
      <w:pPr>
        <w:ind w:left="1080"/>
        <w:spacing w:after="0"/>
        <w:tabs>
          <w:tab w:leader="none" w:pos="6500" w:val="left"/>
        </w:tabs>
        <w:rPr>
          <w:sz w:val="20"/>
          <w:szCs w:val="20"/>
          <w:color w:val="auto"/>
        </w:rPr>
      </w:pPr>
      <w:r>
        <w:rPr>
          <w:rFonts w:ascii="Arial" w:cs="Arial" w:eastAsia="Arial" w:hAnsi="Arial"/>
          <w:sz w:val="18"/>
          <w:szCs w:val="18"/>
          <w:b w:val="1"/>
          <w:bCs w:val="1"/>
          <w:color w:val="auto"/>
        </w:rPr>
        <w:t>CEO 2025 Performance Year Compensation*</w:t>
      </w:r>
      <w:r>
        <w:rPr>
          <w:sz w:val="20"/>
          <w:szCs w:val="20"/>
          <w:color w:val="auto"/>
        </w:rPr>
        <w:tab/>
      </w:r>
      <w:r>
        <w:rPr>
          <w:rFonts w:ascii="Arial" w:cs="Arial" w:eastAsia="Arial" w:hAnsi="Arial"/>
          <w:sz w:val="17"/>
          <w:szCs w:val="17"/>
          <w:b w:val="1"/>
          <w:bCs w:val="1"/>
          <w:color w:val="auto"/>
        </w:rPr>
        <w:t>NEO (other than CEO) 2025 Performance Year</w:t>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149225</wp:posOffset>
            </wp:positionV>
            <wp:extent cx="6097270" cy="11976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97270" cy="119761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Does not include the Discover-Related Special Award</w:t>
      </w:r>
    </w:p>
    <w:p>
      <w:pPr>
        <w:spacing w:after="0" w:line="110" w:lineRule="exact"/>
        <w:rPr>
          <w:sz w:val="20"/>
          <w:szCs w:val="20"/>
          <w:color w:val="auto"/>
        </w:rPr>
      </w:pPr>
    </w:p>
    <w:p>
      <w:pPr>
        <w:jc w:val="both"/>
        <w:ind w:left="560" w:hanging="393"/>
        <w:spacing w:after="0" w:line="249" w:lineRule="auto"/>
        <w:tabs>
          <w:tab w:leader="none" w:pos="560" w:val="left"/>
        </w:tabs>
        <w:numPr>
          <w:ilvl w:val="0"/>
          <w:numId w:val="66"/>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No CEO Cash Salary. </w:t>
      </w:r>
      <w:r>
        <w:rPr>
          <w:rFonts w:ascii="Arial" w:cs="Arial" w:eastAsia="Arial" w:hAnsi="Arial"/>
          <w:sz w:val="18"/>
          <w:szCs w:val="18"/>
          <w:color w:val="000000"/>
        </w:rPr>
        <w:t>Our CEO does not receive a cash salary</w:t>
      </w:r>
      <w:r>
        <w:rPr>
          <w:rFonts w:ascii="Arial" w:cs="Arial" w:eastAsia="Arial" w:hAnsi="Arial"/>
          <w:sz w:val="18"/>
          <w:szCs w:val="18"/>
          <w:b w:val="1"/>
          <w:bCs w:val="1"/>
          <w:color w:val="023C5B"/>
        </w:rPr>
        <w:t xml:space="preserve"> </w:t>
      </w:r>
      <w:r>
        <w:rPr>
          <w:rFonts w:ascii="Arial" w:cs="Arial" w:eastAsia="Arial" w:hAnsi="Arial"/>
          <w:sz w:val="18"/>
          <w:szCs w:val="18"/>
          <w:color w:val="000000"/>
        </w:rPr>
        <w:t>and 100% of his compensation is deferred for at least three years.</w:t>
      </w:r>
    </w:p>
    <w:p>
      <w:pPr>
        <w:spacing w:after="0" w:line="77" w:lineRule="exact"/>
        <w:rPr>
          <w:rFonts w:ascii="MS PGothic" w:cs="MS PGothic" w:eastAsia="MS PGothic" w:hAnsi="MS PGothic"/>
          <w:sz w:val="14"/>
          <w:szCs w:val="14"/>
          <w:color w:val="023C5B"/>
        </w:rPr>
      </w:pPr>
    </w:p>
    <w:p>
      <w:pPr>
        <w:jc w:val="both"/>
        <w:ind w:left="560" w:hanging="393"/>
        <w:spacing w:after="0" w:line="238" w:lineRule="auto"/>
        <w:tabs>
          <w:tab w:leader="none" w:pos="560" w:val="left"/>
        </w:tabs>
        <w:numPr>
          <w:ilvl w:val="0"/>
          <w:numId w:val="66"/>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The Payout of a Majority of CEO Year-End Incentive Compensation Determined by Formula. </w:t>
      </w:r>
      <w:r>
        <w:rPr>
          <w:rFonts w:ascii="Arial" w:cs="Arial" w:eastAsia="Arial" w:hAnsi="Arial"/>
          <w:sz w:val="18"/>
          <w:szCs w:val="18"/>
          <w:color w:val="000000"/>
        </w:rPr>
        <w:t>A majority of our</w:t>
      </w:r>
      <w:r>
        <w:rPr>
          <w:rFonts w:ascii="Arial" w:cs="Arial" w:eastAsia="Arial" w:hAnsi="Arial"/>
          <w:sz w:val="18"/>
          <w:szCs w:val="18"/>
          <w:b w:val="1"/>
          <w:bCs w:val="1"/>
          <w:color w:val="023C5B"/>
        </w:rPr>
        <w:t xml:space="preserve"> </w:t>
      </w:r>
      <w:r>
        <w:rPr>
          <w:rFonts w:ascii="Arial" w:cs="Arial" w:eastAsia="Arial" w:hAnsi="Arial"/>
          <w:sz w:val="18"/>
          <w:szCs w:val="18"/>
          <w:color w:val="000000"/>
        </w:rPr>
        <w:t>CEO’s year-end incentive compensation for the 2025 performance year was awarded in the form of performance share awards that vest based entirely on the Company’s performance on an absolute basis and/or relative to the Performance Share Peers over a three-year period.</w:t>
      </w:r>
    </w:p>
    <w:p>
      <w:pPr>
        <w:spacing w:after="0" w:line="87" w:lineRule="exact"/>
        <w:rPr>
          <w:rFonts w:ascii="MS PGothic" w:cs="MS PGothic" w:eastAsia="MS PGothic" w:hAnsi="MS PGothic"/>
          <w:sz w:val="14"/>
          <w:szCs w:val="14"/>
          <w:color w:val="023C5B"/>
        </w:rPr>
      </w:pPr>
    </w:p>
    <w:p>
      <w:pPr>
        <w:jc w:val="both"/>
        <w:ind w:left="560" w:hanging="393"/>
        <w:spacing w:after="0"/>
        <w:tabs>
          <w:tab w:leader="none" w:pos="560" w:val="left"/>
        </w:tabs>
        <w:numPr>
          <w:ilvl w:val="0"/>
          <w:numId w:val="66"/>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A Portion of CEO 2025 Performance Share Awards Linked to Relative TSR. </w:t>
      </w:r>
      <w:r>
        <w:rPr>
          <w:rFonts w:ascii="Arial" w:cs="Arial" w:eastAsia="Arial" w:hAnsi="Arial"/>
          <w:sz w:val="18"/>
          <w:szCs w:val="18"/>
          <w:color w:val="000000"/>
        </w:rPr>
        <w:t>A portion of our CEO year-end incentive</w:t>
      </w:r>
      <w:r>
        <w:rPr>
          <w:rFonts w:ascii="Arial" w:cs="Arial" w:eastAsia="Arial" w:hAnsi="Arial"/>
          <w:sz w:val="18"/>
          <w:szCs w:val="18"/>
          <w:b w:val="1"/>
          <w:bCs w:val="1"/>
          <w:color w:val="023C5B"/>
        </w:rPr>
        <w:t xml:space="preserve"> </w:t>
      </w:r>
      <w:r>
        <w:rPr>
          <w:rFonts w:ascii="Arial" w:cs="Arial" w:eastAsia="Arial" w:hAnsi="Arial"/>
          <w:sz w:val="18"/>
          <w:szCs w:val="18"/>
          <w:color w:val="000000"/>
        </w:rPr>
        <w:t>performance share awards will vest based entirely on the Company’s TSR performance relative to the Performance Share Peers over a three-year period.</w:t>
      </w:r>
    </w:p>
    <w:p>
      <w:pPr>
        <w:spacing w:after="0" w:line="88" w:lineRule="exact"/>
        <w:rPr>
          <w:rFonts w:ascii="MS PGothic" w:cs="MS PGothic" w:eastAsia="MS PGothic" w:hAnsi="MS PGothic"/>
          <w:sz w:val="14"/>
          <w:szCs w:val="14"/>
          <w:color w:val="023C5B"/>
        </w:rPr>
      </w:pPr>
    </w:p>
    <w:p>
      <w:pPr>
        <w:jc w:val="both"/>
        <w:ind w:left="560" w:hanging="393"/>
        <w:spacing w:after="0"/>
        <w:tabs>
          <w:tab w:leader="none" w:pos="560" w:val="left"/>
        </w:tabs>
        <w:numPr>
          <w:ilvl w:val="0"/>
          <w:numId w:val="66"/>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Awards Based on Company and Individual Performance. </w:t>
      </w:r>
      <w:r>
        <w:rPr>
          <w:rFonts w:ascii="Arial" w:cs="Arial" w:eastAsia="Arial" w:hAnsi="Arial"/>
          <w:sz w:val="18"/>
          <w:szCs w:val="18"/>
          <w:color w:val="000000"/>
        </w:rPr>
        <w:t>All</w:t>
      </w:r>
      <w:r>
        <w:rPr>
          <w:rFonts w:ascii="Arial" w:cs="Arial" w:eastAsia="Arial" w:hAnsi="Arial"/>
          <w:sz w:val="18"/>
          <w:szCs w:val="18"/>
          <w:b w:val="1"/>
          <w:bCs w:val="1"/>
          <w:color w:val="023C5B"/>
        </w:rPr>
        <w:t xml:space="preserve"> </w:t>
      </w:r>
      <w:r>
        <w:rPr>
          <w:rFonts w:ascii="Arial" w:cs="Arial" w:eastAsia="Arial" w:hAnsi="Arial"/>
          <w:sz w:val="18"/>
          <w:szCs w:val="18"/>
          <w:color w:val="000000"/>
        </w:rPr>
        <w:t>NEOs receive incentive awards based on Company and/or individual performance. For 2025, 100% of CEO compensation and 83% of the compensation for the other NEOs was based on Company and/or individual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
        <w:spacing w:after="0"/>
        <w:rPr>
          <w:sz w:val="20"/>
          <w:szCs w:val="20"/>
          <w:color w:val="auto"/>
        </w:rPr>
      </w:pPr>
      <w:r>
        <w:rPr>
          <w:rFonts w:ascii="Arial" w:cs="Arial" w:eastAsia="Arial" w:hAnsi="Arial"/>
          <w:sz w:val="14"/>
          <w:szCs w:val="14"/>
          <w:color w:val="auto"/>
        </w:rPr>
        <w:t>*      Does not include the Discover-Related Special Awards</w:t>
      </w:r>
    </w:p>
    <w:p>
      <w:pPr>
        <w:spacing w:after="0" w:line="110" w:lineRule="exact"/>
        <w:rPr>
          <w:sz w:val="20"/>
          <w:szCs w:val="20"/>
          <w:color w:val="auto"/>
        </w:rPr>
      </w:pPr>
    </w:p>
    <w:p>
      <w:pPr>
        <w:jc w:val="both"/>
        <w:ind w:left="389" w:hanging="389"/>
        <w:spacing w:after="0" w:line="237" w:lineRule="auto"/>
        <w:tabs>
          <w:tab w:leader="none" w:pos="389" w:val="left"/>
        </w:tabs>
        <w:numPr>
          <w:ilvl w:val="0"/>
          <w:numId w:val="67"/>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The Majority of CEO Compensation and Half of NEO Compensation is Equity-Based and Determined After Performance Year-End. </w:t>
      </w:r>
      <w:r>
        <w:rPr>
          <w:rFonts w:ascii="Arial" w:cs="Arial" w:eastAsia="Arial" w:hAnsi="Arial"/>
          <w:sz w:val="18"/>
          <w:szCs w:val="18"/>
          <w:color w:val="000000"/>
        </w:rPr>
        <w:t>83% of our CEO’s and 50% of all</w:t>
      </w:r>
      <w:r>
        <w:rPr>
          <w:rFonts w:ascii="Arial" w:cs="Arial" w:eastAsia="Arial" w:hAnsi="Arial"/>
          <w:sz w:val="18"/>
          <w:szCs w:val="18"/>
          <w:b w:val="1"/>
          <w:bCs w:val="1"/>
          <w:color w:val="023C5B"/>
        </w:rPr>
        <w:t xml:space="preserve"> </w:t>
      </w:r>
      <w:r>
        <w:rPr>
          <w:rFonts w:ascii="Arial" w:cs="Arial" w:eastAsia="Arial" w:hAnsi="Arial"/>
          <w:sz w:val="18"/>
          <w:szCs w:val="18"/>
          <w:color w:val="000000"/>
        </w:rPr>
        <w:t>other NEOs’ total compensation for the 2025 performance year was equity-based to align with stockholder interests. 94% of CEO compensation and the majority of all other NEO compensation was determined after the performance year-end.</w:t>
      </w:r>
    </w:p>
    <w:p>
      <w:pPr>
        <w:spacing w:after="0" w:line="90" w:lineRule="exact"/>
        <w:rPr>
          <w:rFonts w:ascii="MS PGothic" w:cs="MS PGothic" w:eastAsia="MS PGothic" w:hAnsi="MS PGothic"/>
          <w:sz w:val="14"/>
          <w:szCs w:val="14"/>
          <w:color w:val="023C5B"/>
        </w:rPr>
      </w:pPr>
    </w:p>
    <w:p>
      <w:pPr>
        <w:jc w:val="both"/>
        <w:ind w:left="389" w:hanging="389"/>
        <w:spacing w:after="0" w:line="237" w:lineRule="auto"/>
        <w:tabs>
          <w:tab w:leader="none" w:pos="389" w:val="left"/>
        </w:tabs>
        <w:numPr>
          <w:ilvl w:val="0"/>
          <w:numId w:val="67"/>
        </w:numPr>
        <w:rPr>
          <w:rFonts w:ascii="MS PGothic" w:cs="MS PGothic" w:eastAsia="MS PGothic" w:hAnsi="MS PGothic"/>
          <w:sz w:val="14"/>
          <w:szCs w:val="14"/>
          <w:color w:val="023C5B"/>
        </w:rPr>
      </w:pPr>
      <w:r>
        <w:rPr>
          <w:rFonts w:ascii="Arial" w:cs="Arial" w:eastAsia="Arial" w:hAnsi="Arial"/>
          <w:sz w:val="18"/>
          <w:szCs w:val="18"/>
          <w:b w:val="1"/>
          <w:bCs w:val="1"/>
          <w:color w:val="023C5B"/>
        </w:rPr>
        <w:t xml:space="preserve">All Equity and Equity-Based Awards Contain Performance and Recovery Provisions. </w:t>
      </w:r>
      <w:r>
        <w:rPr>
          <w:rFonts w:ascii="Arial" w:cs="Arial" w:eastAsia="Arial" w:hAnsi="Arial"/>
          <w:sz w:val="18"/>
          <w:szCs w:val="18"/>
          <w:color w:val="000000"/>
        </w:rPr>
        <w:t>All equity awards</w:t>
      </w:r>
      <w:r>
        <w:rPr>
          <w:rFonts w:ascii="Arial" w:cs="Arial" w:eastAsia="Arial" w:hAnsi="Arial"/>
          <w:sz w:val="18"/>
          <w:szCs w:val="18"/>
          <w:b w:val="1"/>
          <w:bCs w:val="1"/>
          <w:color w:val="023C5B"/>
        </w:rPr>
        <w:t xml:space="preserve"> </w:t>
      </w:r>
      <w:r>
        <w:rPr>
          <w:rFonts w:ascii="Arial" w:cs="Arial" w:eastAsia="Arial" w:hAnsi="Arial"/>
          <w:sz w:val="18"/>
          <w:szCs w:val="18"/>
          <w:color w:val="000000"/>
        </w:rPr>
        <w:t>contain performance and recovery provisions that are designed to further enhance alignment between pay and performance, balance appropriate risk-taking, and align with the best interest of stockholders. See “Additional Performance Conditions and Recovery Provisions” beginning on page 88 for more information.</w:t>
      </w:r>
    </w:p>
    <w:p>
      <w:pPr>
        <w:spacing w:after="0" w:line="1226" w:lineRule="exact"/>
        <w:rPr>
          <w:sz w:val="20"/>
          <w:szCs w:val="20"/>
          <w:color w:val="auto"/>
        </w:rPr>
      </w:pPr>
    </w:p>
    <w:p>
      <w:pPr>
        <w:sectPr>
          <w:pgSz w:w="11900" w:h="16838" w:orient="portrait"/>
          <w:cols w:equalWidth="0" w:num="2">
            <w:col w:w="5740" w:space="111"/>
            <w:col w:w="5229"/>
          </w:cols>
          <w:pgMar w:left="320" w:top="478" w:right="499" w:bottom="1440" w:gutter="0" w:footer="0" w:header="0"/>
          <w:type w:val="continuous"/>
        </w:sectPr>
      </w:pPr>
    </w:p>
    <w:p>
      <w:pPr>
        <w:jc w:val="both"/>
        <w:ind w:left="160" w:right="20"/>
        <w:spacing w:after="0" w:line="249" w:lineRule="auto"/>
        <w:rPr>
          <w:sz w:val="20"/>
          <w:szCs w:val="20"/>
          <w:color w:val="auto"/>
        </w:rPr>
      </w:pPr>
      <w:r>
        <w:rPr>
          <w:rFonts w:ascii="Arial" w:cs="Arial" w:eastAsia="Arial" w:hAnsi="Arial"/>
          <w:sz w:val="18"/>
          <w:szCs w:val="18"/>
          <w:color w:val="auto"/>
        </w:rPr>
        <w:t>All references in this Proxy Statement to our compensation “programs” and to “performance year” compensation refer to our regular recurring annual compensation programs and exclude Discover-Related Special Awards. See “Discover-Related Special Awards” beginning on page 86 for further information.</w:t>
      </w:r>
    </w:p>
    <w:p>
      <w:pPr>
        <w:spacing w:after="0" w:line="97"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8"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023C5B"/>
        </w:rPr>
        <w:t>2025 Performance Year Compensation Decisions</w:t>
      </w:r>
    </w:p>
    <w:p>
      <w:pPr>
        <w:spacing w:after="0" w:line="20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information below is presented to show how the Committee and the Independent Directors viewed performance year compensation awarded for 2025 and is not intended as a substitute for the Summary Compensation Table, which is required by the SEC. See “2025 Summary Compensation Table” beginning on page 98 for a description of how the information below differs from the Summary Compensation Table. The Committee and the Independent Directors approved the following awards attributable to the 2025 performance year for our NEOs:</w:t>
      </w:r>
    </w:p>
    <w:p>
      <w:pPr>
        <w:spacing w:after="0" w:line="182" w:lineRule="exact"/>
        <w:rPr>
          <w:sz w:val="20"/>
          <w:szCs w:val="20"/>
          <w:color w:val="auto"/>
        </w:rPr>
      </w:pPr>
    </w:p>
    <w:p>
      <w:pPr>
        <w:jc w:val="both"/>
        <w:ind w:left="160" w:firstLine="873"/>
        <w:spacing w:after="0" w:line="265" w:lineRule="auto"/>
        <w:rPr>
          <w:sz w:val="20"/>
          <w:szCs w:val="20"/>
          <w:color w:val="auto"/>
        </w:rPr>
      </w:pPr>
      <w:r>
        <w:rPr>
          <w:rFonts w:ascii="Arial" w:cs="Arial" w:eastAsia="Arial" w:hAnsi="Arial"/>
          <w:sz w:val="18"/>
          <w:szCs w:val="18"/>
          <w:b w:val="1"/>
          <w:bCs w:val="1"/>
          <w:i w:val="1"/>
          <w:iCs w:val="1"/>
          <w:color w:val="023C5B"/>
        </w:rPr>
        <w:t xml:space="preserve">2025 CEO Performance Year Compensation. </w:t>
      </w:r>
      <w:r>
        <w:rPr>
          <w:rFonts w:ascii="Arial" w:cs="Arial" w:eastAsia="Arial" w:hAnsi="Arial"/>
          <w:sz w:val="18"/>
          <w:szCs w:val="18"/>
          <w:color w:val="000000"/>
        </w:rPr>
        <w:t>Mr. Fairbank’s total compensation for performance year 2025 was</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approximately $40 million and consisted of:</w:t>
      </w:r>
    </w:p>
    <w:p>
      <w:pPr>
        <w:spacing w:after="0" w:line="185" w:lineRule="exact"/>
        <w:rPr>
          <w:sz w:val="20"/>
          <w:szCs w:val="20"/>
          <w:color w:val="auto"/>
        </w:rPr>
      </w:pPr>
    </w:p>
    <w:p>
      <w:pPr>
        <w:jc w:val="both"/>
        <w:ind w:left="1020" w:hanging="425"/>
        <w:spacing w:after="0" w:line="220" w:lineRule="auto"/>
        <w:tabs>
          <w:tab w:leader="none" w:pos="1020" w:val="left"/>
        </w:tabs>
        <w:numPr>
          <w:ilvl w:val="0"/>
          <w:numId w:val="68"/>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RSUs </w:t>
      </w:r>
      <w:r>
        <w:rPr>
          <w:rFonts w:ascii="Arial" w:cs="Arial" w:eastAsia="Arial" w:hAnsi="Arial"/>
          <w:sz w:val="18"/>
          <w:szCs w:val="18"/>
          <w:color w:val="000000"/>
        </w:rPr>
        <w:t>granted in February 2025, which had a grant date value of approximately $2.5 million, totaling 12,493 RSUs. The RSUs</w:t>
      </w:r>
      <w:r>
        <w:rPr>
          <w:rFonts w:ascii="Arial" w:cs="Arial" w:eastAsia="Arial" w:hAnsi="Arial"/>
          <w:sz w:val="18"/>
          <w:szCs w:val="18"/>
          <w:b w:val="1"/>
          <w:bCs w:val="1"/>
          <w:color w:val="023C5B"/>
        </w:rPr>
        <w:t xml:space="preserve"> </w:t>
      </w:r>
      <w:r>
        <w:rPr>
          <w:rFonts w:ascii="Arial" w:cs="Arial" w:eastAsia="Arial" w:hAnsi="Arial"/>
          <w:sz w:val="18"/>
          <w:szCs w:val="18"/>
          <w:color w:val="000000"/>
        </w:rPr>
        <w:t>will vest in full on February 15, 2028, settle in cash based on the Company’s average stock price over the 15 trading days preceding the vesting date, and are subject to performance-based vesting provisions. See “Performance-Based Vesting Provisions” on page 89 for a description of the performance-based vesting provisions.</w:t>
      </w:r>
    </w:p>
    <w:p>
      <w:pPr>
        <w:spacing w:after="0" w:line="208"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68"/>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Year-End Incentive Award </w:t>
      </w:r>
      <w:r>
        <w:rPr>
          <w:rFonts w:ascii="Arial" w:cs="Arial" w:eastAsia="Arial" w:hAnsi="Arial"/>
          <w:sz w:val="18"/>
          <w:szCs w:val="18"/>
          <w:color w:val="000000"/>
        </w:rPr>
        <w:t>totaling approximately $37.5 million granted in February 2026 in recognition of the Company’s and</w:t>
      </w:r>
      <w:r>
        <w:rPr>
          <w:rFonts w:ascii="Arial" w:cs="Arial" w:eastAsia="Arial" w:hAnsi="Arial"/>
          <w:sz w:val="18"/>
          <w:szCs w:val="18"/>
          <w:b w:val="1"/>
          <w:bCs w:val="1"/>
          <w:color w:val="023C5B"/>
        </w:rPr>
        <w:t xml:space="preserve"> </w:t>
      </w:r>
      <w:r>
        <w:rPr>
          <w:rFonts w:ascii="Arial" w:cs="Arial" w:eastAsia="Arial" w:hAnsi="Arial"/>
          <w:sz w:val="18"/>
          <w:szCs w:val="18"/>
          <w:color w:val="000000"/>
        </w:rPr>
        <w:t>the CEO’s performance in 2025 and consisting of:</w:t>
      </w:r>
    </w:p>
    <w:p>
      <w:pPr>
        <w:spacing w:after="0" w:line="207" w:lineRule="exact"/>
        <w:rPr>
          <w:rFonts w:ascii="MS PGothic" w:cs="MS PGothic" w:eastAsia="MS PGothic" w:hAnsi="MS PGothic"/>
          <w:sz w:val="29"/>
          <w:szCs w:val="29"/>
          <w:color w:val="023C5B"/>
          <w:vertAlign w:val="superscript"/>
        </w:rPr>
      </w:pPr>
    </w:p>
    <w:p>
      <w:pPr>
        <w:jc w:val="both"/>
        <w:ind w:left="1580" w:hanging="436"/>
        <w:spacing w:after="0" w:line="222" w:lineRule="auto"/>
        <w:tabs>
          <w:tab w:leader="none" w:pos="1580" w:val="left"/>
        </w:tabs>
        <w:numPr>
          <w:ilvl w:val="1"/>
          <w:numId w:val="68"/>
        </w:numPr>
        <w:rPr>
          <w:rFonts w:ascii="MS PGothic" w:cs="MS PGothic" w:eastAsia="MS PGothic" w:hAnsi="MS PGothic"/>
          <w:sz w:val="29"/>
          <w:szCs w:val="29"/>
          <w:color w:val="023C5B"/>
          <w:vertAlign w:val="superscript"/>
        </w:rPr>
      </w:pPr>
      <w:r>
        <w:rPr>
          <w:rFonts w:ascii="Arial" w:cs="Arial" w:eastAsia="Arial" w:hAnsi="Arial"/>
          <w:sz w:val="18"/>
          <w:szCs w:val="18"/>
          <w:b w:val="1"/>
          <w:bCs w:val="1"/>
          <w:i w:val="1"/>
          <w:iCs w:val="1"/>
          <w:color w:val="023C5B"/>
        </w:rPr>
        <w:t>Performance Shares</w:t>
      </w:r>
      <w:r>
        <w:rPr>
          <w:rFonts w:ascii="Arial" w:cs="Arial" w:eastAsia="Arial" w:hAnsi="Arial"/>
          <w:sz w:val="18"/>
          <w:szCs w:val="18"/>
          <w:b w:val="1"/>
          <w:bCs w:val="1"/>
          <w:color w:val="023C5B"/>
        </w:rPr>
        <w:t>.</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Performance share awards with an aggregate value of approximately $24.8 million, for which the</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CEO may receive from 0% to 150% of a total target number of 111,043 shares of the Company’s common stock based on the Company’s financial performance (with respect to 98,953 shares, or approximately $22.1 million of the awards) and TSR (with respect to 12,090 shares, or approximately $2.7 million of the awards) over a three-year period from January 1, 2026 through December 31, 2028.</w:t>
      </w:r>
    </w:p>
    <w:p>
      <w:pPr>
        <w:spacing w:after="0" w:line="209" w:lineRule="exact"/>
        <w:rPr>
          <w:rFonts w:ascii="MS PGothic" w:cs="MS PGothic" w:eastAsia="MS PGothic" w:hAnsi="MS PGothic"/>
          <w:sz w:val="29"/>
          <w:szCs w:val="29"/>
          <w:color w:val="023C5B"/>
          <w:vertAlign w:val="superscript"/>
        </w:rPr>
      </w:pPr>
    </w:p>
    <w:p>
      <w:pPr>
        <w:jc w:val="both"/>
        <w:ind w:left="1580" w:hanging="436"/>
        <w:spacing w:after="0" w:line="217" w:lineRule="auto"/>
        <w:tabs>
          <w:tab w:leader="none" w:pos="1580" w:val="left"/>
        </w:tabs>
        <w:numPr>
          <w:ilvl w:val="1"/>
          <w:numId w:val="68"/>
        </w:numPr>
        <w:rPr>
          <w:rFonts w:ascii="MS PGothic" w:cs="MS PGothic" w:eastAsia="MS PGothic" w:hAnsi="MS PGothic"/>
          <w:sz w:val="29"/>
          <w:szCs w:val="29"/>
          <w:color w:val="023C5B"/>
          <w:vertAlign w:val="superscript"/>
        </w:rPr>
      </w:pPr>
      <w:r>
        <w:rPr>
          <w:rFonts w:ascii="Arial" w:cs="Arial" w:eastAsia="Arial" w:hAnsi="Arial"/>
          <w:sz w:val="18"/>
          <w:szCs w:val="18"/>
          <w:b w:val="1"/>
          <w:bCs w:val="1"/>
          <w:i w:val="1"/>
          <w:iCs w:val="1"/>
          <w:color w:val="023C5B"/>
        </w:rPr>
        <w:t>RSUs</w:t>
      </w:r>
      <w:r>
        <w:rPr>
          <w:rFonts w:ascii="Arial" w:cs="Arial" w:eastAsia="Arial" w:hAnsi="Arial"/>
          <w:sz w:val="18"/>
          <w:szCs w:val="18"/>
          <w:b w:val="1"/>
          <w:bCs w:val="1"/>
          <w:color w:val="023C5B"/>
        </w:rPr>
        <w:t>.</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26,865 RSUs (“Year-End Incentive RSUs”) valued at $6.0 million, which vest in full on February 15, 2029 and</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settle in cash based on the Company’s average stock price over the 15 trading days preceding the vesting date, and are subject to performance-based vesting provisions.</w:t>
      </w:r>
    </w:p>
    <w:p>
      <w:pPr>
        <w:spacing w:after="0" w:line="206" w:lineRule="exact"/>
        <w:rPr>
          <w:rFonts w:ascii="MS PGothic" w:cs="MS PGothic" w:eastAsia="MS PGothic" w:hAnsi="MS PGothic"/>
          <w:sz w:val="29"/>
          <w:szCs w:val="29"/>
          <w:color w:val="023C5B"/>
          <w:vertAlign w:val="superscript"/>
        </w:rPr>
      </w:pPr>
    </w:p>
    <w:p>
      <w:pPr>
        <w:jc w:val="both"/>
        <w:ind w:left="1580" w:hanging="436"/>
        <w:spacing w:after="0" w:line="217" w:lineRule="auto"/>
        <w:tabs>
          <w:tab w:leader="none" w:pos="1580" w:val="left"/>
        </w:tabs>
        <w:numPr>
          <w:ilvl w:val="1"/>
          <w:numId w:val="68"/>
        </w:numPr>
        <w:rPr>
          <w:rFonts w:ascii="MS PGothic" w:cs="MS PGothic" w:eastAsia="MS PGothic" w:hAnsi="MS PGothic"/>
          <w:sz w:val="29"/>
          <w:szCs w:val="29"/>
          <w:color w:val="023C5B"/>
          <w:vertAlign w:val="superscript"/>
        </w:rPr>
      </w:pPr>
      <w:r>
        <w:rPr>
          <w:rFonts w:ascii="Arial" w:cs="Arial" w:eastAsia="Arial" w:hAnsi="Arial"/>
          <w:sz w:val="18"/>
          <w:szCs w:val="18"/>
          <w:b w:val="1"/>
          <w:bCs w:val="1"/>
          <w:i w:val="1"/>
          <w:iCs w:val="1"/>
          <w:color w:val="023C5B"/>
        </w:rPr>
        <w:t>Deferred Cash Bonus</w:t>
      </w:r>
      <w:r>
        <w:rPr>
          <w:rFonts w:ascii="Arial" w:cs="Arial" w:eastAsia="Arial" w:hAnsi="Arial"/>
          <w:sz w:val="18"/>
          <w:szCs w:val="18"/>
          <w:b w:val="1"/>
          <w:bCs w:val="1"/>
          <w:color w:val="023C5B"/>
        </w:rPr>
        <w:t>.</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A deferred cash bonus of $6.7 million, which is mandatorily deferred for three years into the</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Company’s Voluntary Non-Qualified Deferred Compensation Plan (“VNQDCP”) and will pay out in the first calendar quarter of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142875</wp:posOffset>
            </wp:positionV>
            <wp:extent cx="6946900" cy="6286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46900" cy="628650"/>
                    </a:xfrm>
                    <a:prstGeom prst="rect">
                      <a:avLst/>
                    </a:prstGeom>
                    <a:noFill/>
                  </pic:spPr>
                </pic:pic>
              </a:graphicData>
            </a:graphic>
          </wp:anchor>
        </w:drawing>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2800" w:type="dxa"/>
            <w:vAlign w:val="bottom"/>
            <w:shd w:val="clear" w:color="auto" w:fill="023C5B"/>
          </w:tcPr>
          <w:p>
            <w:pPr>
              <w:spacing w:after="0"/>
              <w:rPr>
                <w:sz w:val="22"/>
                <w:szCs w:val="22"/>
                <w:color w:val="auto"/>
              </w:rPr>
            </w:pPr>
          </w:p>
        </w:tc>
        <w:tc>
          <w:tcPr>
            <w:tcW w:w="700" w:type="dxa"/>
            <w:vAlign w:val="bottom"/>
            <w:shd w:val="clear" w:color="auto" w:fill="023C5B"/>
          </w:tcPr>
          <w:p>
            <w:pPr>
              <w:spacing w:after="0"/>
              <w:rPr>
                <w:sz w:val="22"/>
                <w:szCs w:val="22"/>
                <w:color w:val="auto"/>
              </w:rPr>
            </w:pPr>
          </w:p>
        </w:tc>
        <w:tc>
          <w:tcPr>
            <w:tcW w:w="380" w:type="dxa"/>
            <w:vAlign w:val="bottom"/>
            <w:shd w:val="clear" w:color="auto" w:fill="023C5B"/>
          </w:tcPr>
          <w:p>
            <w:pPr>
              <w:spacing w:after="0"/>
              <w:rPr>
                <w:sz w:val="22"/>
                <w:szCs w:val="22"/>
                <w:color w:val="auto"/>
              </w:rPr>
            </w:pPr>
          </w:p>
        </w:tc>
        <w:tc>
          <w:tcPr>
            <w:tcW w:w="1640" w:type="dxa"/>
            <w:vAlign w:val="bottom"/>
            <w:shd w:val="clear" w:color="auto" w:fill="023C5B"/>
          </w:tcPr>
          <w:p>
            <w:pPr>
              <w:spacing w:after="0"/>
              <w:rPr>
                <w:sz w:val="22"/>
                <w:szCs w:val="22"/>
                <w:color w:val="auto"/>
              </w:rPr>
            </w:pPr>
          </w:p>
        </w:tc>
        <w:tc>
          <w:tcPr>
            <w:tcW w:w="1300" w:type="dxa"/>
            <w:vAlign w:val="bottom"/>
            <w:shd w:val="clear" w:color="auto" w:fill="023C5B"/>
          </w:tcPr>
          <w:p>
            <w:pPr>
              <w:spacing w:after="0"/>
              <w:rPr>
                <w:sz w:val="22"/>
                <w:szCs w:val="22"/>
                <w:color w:val="auto"/>
              </w:rPr>
            </w:pPr>
          </w:p>
        </w:tc>
        <w:tc>
          <w:tcPr>
            <w:tcW w:w="152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8"/>
              </w:rPr>
              <w:t>Year-End Incentive</w:t>
            </w:r>
          </w:p>
        </w:tc>
        <w:tc>
          <w:tcPr>
            <w:tcW w:w="1080" w:type="dxa"/>
            <w:vAlign w:val="bottom"/>
            <w:shd w:val="clear" w:color="auto" w:fill="023C5B"/>
          </w:tcPr>
          <w:p>
            <w:pPr>
              <w:spacing w:after="0"/>
              <w:rPr>
                <w:sz w:val="22"/>
                <w:szCs w:val="22"/>
                <w:color w:val="auto"/>
              </w:rPr>
            </w:pPr>
          </w:p>
        </w:tc>
        <w:tc>
          <w:tcPr>
            <w:tcW w:w="140" w:type="dxa"/>
            <w:vAlign w:val="bottom"/>
            <w:shd w:val="clear" w:color="auto" w:fill="023C5B"/>
          </w:tcPr>
          <w:p>
            <w:pPr>
              <w:spacing w:after="0"/>
              <w:rPr>
                <w:sz w:val="22"/>
                <w:szCs w:val="22"/>
                <w:color w:val="auto"/>
              </w:rPr>
            </w:pPr>
          </w:p>
        </w:tc>
        <w:tc>
          <w:tcPr>
            <w:tcW w:w="40" w:type="dxa"/>
            <w:vAlign w:val="bottom"/>
            <w:shd w:val="clear" w:color="auto" w:fill="023C5B"/>
          </w:tcPr>
          <w:p>
            <w:pPr>
              <w:spacing w:after="0"/>
              <w:rPr>
                <w:sz w:val="22"/>
                <w:szCs w:val="22"/>
                <w:color w:val="auto"/>
              </w:rPr>
            </w:pPr>
          </w:p>
        </w:tc>
        <w:tc>
          <w:tcPr>
            <w:tcW w:w="1300" w:type="dxa"/>
            <w:vAlign w:val="bottom"/>
            <w:shd w:val="clear" w:color="auto" w:fill="023C5B"/>
          </w:tcPr>
          <w:p>
            <w:pPr>
              <w:spacing w:after="0"/>
              <w:rPr>
                <w:sz w:val="22"/>
                <w:szCs w:val="22"/>
                <w:color w:val="auto"/>
              </w:rPr>
            </w:pPr>
          </w:p>
        </w:tc>
        <w:tc>
          <w:tcPr>
            <w:tcW w:w="20" w:type="dxa"/>
            <w:vAlign w:val="bottom"/>
            <w:shd w:val="clear" w:color="auto" w:fill="023C5B"/>
          </w:tcPr>
          <w:p>
            <w:pPr>
              <w:spacing w:after="0"/>
              <w:rPr>
                <w:sz w:val="22"/>
                <w:szCs w:val="22"/>
                <w:color w:val="auto"/>
              </w:rPr>
            </w:pPr>
          </w:p>
        </w:tc>
      </w:tr>
      <w:tr>
        <w:trPr>
          <w:trHeight w:val="260"/>
        </w:trPr>
        <w:tc>
          <w:tcPr>
            <w:tcW w:w="2800" w:type="dxa"/>
            <w:vAlign w:val="bottom"/>
            <w:shd w:val="clear" w:color="auto" w:fill="023C5B"/>
          </w:tcPr>
          <w:p>
            <w:pPr>
              <w:spacing w:after="0"/>
              <w:rPr>
                <w:sz w:val="22"/>
                <w:szCs w:val="22"/>
                <w:color w:val="auto"/>
              </w:rPr>
            </w:pPr>
          </w:p>
        </w:tc>
        <w:tc>
          <w:tcPr>
            <w:tcW w:w="700" w:type="dxa"/>
            <w:vAlign w:val="bottom"/>
            <w:shd w:val="clear" w:color="auto" w:fill="023C5B"/>
          </w:tcPr>
          <w:p>
            <w:pPr>
              <w:jc w:val="center"/>
              <w:ind w:left="140"/>
              <w:spacing w:after="0"/>
              <w:rPr>
                <w:sz w:val="20"/>
                <w:szCs w:val="20"/>
                <w:color w:val="auto"/>
              </w:rPr>
            </w:pPr>
            <w:r>
              <w:rPr>
                <w:rFonts w:ascii="Arial" w:cs="Arial" w:eastAsia="Arial" w:hAnsi="Arial"/>
                <w:sz w:val="16"/>
                <w:szCs w:val="16"/>
                <w:b w:val="1"/>
                <w:bCs w:val="1"/>
                <w:color w:val="FFFFFF"/>
                <w:w w:val="79"/>
              </w:rPr>
              <w:t>Cash </w:t>
            </w:r>
          </w:p>
        </w:tc>
        <w:tc>
          <w:tcPr>
            <w:tcW w:w="380" w:type="dxa"/>
            <w:vAlign w:val="bottom"/>
            <w:shd w:val="clear" w:color="auto" w:fill="023C5B"/>
          </w:tcPr>
          <w:p>
            <w:pPr>
              <w:ind w:left="100"/>
              <w:spacing w:after="0"/>
              <w:rPr>
                <w:sz w:val="20"/>
                <w:szCs w:val="20"/>
                <w:color w:val="auto"/>
              </w:rPr>
            </w:pPr>
            <w:r>
              <w:rPr>
                <w:rFonts w:ascii="Arial" w:cs="Arial" w:eastAsia="Arial" w:hAnsi="Arial"/>
                <w:sz w:val="16"/>
                <w:szCs w:val="16"/>
                <w:b w:val="1"/>
                <w:bCs w:val="1"/>
                <w:color w:val="FFFFFF"/>
              </w:rPr>
              <w:t> </w:t>
            </w:r>
          </w:p>
        </w:tc>
        <w:tc>
          <w:tcPr>
            <w:tcW w:w="1640" w:type="dxa"/>
            <w:vAlign w:val="bottom"/>
            <w:shd w:val="clear" w:color="auto" w:fill="023C5B"/>
          </w:tcPr>
          <w:p>
            <w:pPr>
              <w:jc w:val="center"/>
              <w:ind w:right="20"/>
              <w:spacing w:after="0"/>
              <w:rPr>
                <w:sz w:val="20"/>
                <w:szCs w:val="20"/>
                <w:color w:val="auto"/>
              </w:rPr>
            </w:pPr>
            <w:r>
              <w:rPr>
                <w:rFonts w:ascii="Arial" w:cs="Arial" w:eastAsia="Arial" w:hAnsi="Arial"/>
                <w:sz w:val="16"/>
                <w:szCs w:val="16"/>
                <w:b w:val="1"/>
                <w:bCs w:val="1"/>
                <w:color w:val="FFFFFF"/>
              </w:rPr>
              <w:t xml:space="preserve">  Cash-Settled      </w:t>
            </w:r>
          </w:p>
        </w:tc>
        <w:tc>
          <w:tcPr>
            <w:tcW w:w="130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 xml:space="preserve">Deferred Cash    </w:t>
            </w:r>
          </w:p>
        </w:tc>
        <w:tc>
          <w:tcPr>
            <w:tcW w:w="1240" w:type="dxa"/>
            <w:vAlign w:val="bottom"/>
            <w:shd w:val="clear" w:color="auto" w:fill="023C5B"/>
          </w:tcPr>
          <w:p>
            <w:pPr>
              <w:jc w:val="center"/>
              <w:ind w:left="100"/>
              <w:spacing w:after="0"/>
              <w:rPr>
                <w:sz w:val="20"/>
                <w:szCs w:val="20"/>
                <w:color w:val="auto"/>
              </w:rPr>
            </w:pPr>
            <w:r>
              <w:rPr>
                <w:rFonts w:ascii="Arial" w:cs="Arial" w:eastAsia="Arial" w:hAnsi="Arial"/>
                <w:sz w:val="16"/>
                <w:szCs w:val="16"/>
                <w:b w:val="1"/>
                <w:bCs w:val="1"/>
                <w:color w:val="FFFFFF"/>
                <w:w w:val="89"/>
              </w:rPr>
              <w:t>Cash-Settled </w:t>
            </w:r>
          </w:p>
        </w:tc>
        <w:tc>
          <w:tcPr>
            <w:tcW w:w="280" w:type="dxa"/>
            <w:vAlign w:val="bottom"/>
            <w:shd w:val="clear" w:color="auto" w:fill="023C5B"/>
          </w:tcPr>
          <w:p>
            <w:pPr>
              <w:ind w:left="100"/>
              <w:spacing w:after="0"/>
              <w:rPr>
                <w:sz w:val="20"/>
                <w:szCs w:val="20"/>
                <w:color w:val="auto"/>
              </w:rPr>
            </w:pPr>
            <w:r>
              <w:rPr>
                <w:rFonts w:ascii="Arial" w:cs="Arial" w:eastAsia="Arial" w:hAnsi="Arial"/>
                <w:sz w:val="16"/>
                <w:szCs w:val="16"/>
                <w:b w:val="1"/>
                <w:bCs w:val="1"/>
                <w:color w:val="FFFFFF"/>
              </w:rPr>
              <w:t> </w:t>
            </w: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1"/>
              </w:rPr>
              <w:t>Performance </w:t>
            </w:r>
          </w:p>
        </w:tc>
        <w:tc>
          <w:tcPr>
            <w:tcW w:w="40" w:type="dxa"/>
            <w:vAlign w:val="bottom"/>
            <w:shd w:val="clear" w:color="auto" w:fill="023C5B"/>
          </w:tcPr>
          <w:p>
            <w:pPr>
              <w:spacing w:after="0"/>
              <w:rPr>
                <w:sz w:val="20"/>
                <w:szCs w:val="20"/>
                <w:color w:val="auto"/>
              </w:rPr>
            </w:pPr>
            <w:r>
              <w:rPr>
                <w:rFonts w:ascii="Arial" w:cs="Arial" w:eastAsia="Arial" w:hAnsi="Arial"/>
                <w:sz w:val="16"/>
                <w:szCs w:val="16"/>
                <w:b w:val="1"/>
                <w:bCs w:val="1"/>
                <w:color w:val="FFFFFF"/>
              </w:rPr>
              <w:t> </w:t>
            </w:r>
          </w:p>
        </w:tc>
        <w:tc>
          <w:tcPr>
            <w:tcW w:w="1300" w:type="dxa"/>
            <w:vAlign w:val="bottom"/>
            <w:shd w:val="clear" w:color="auto" w:fill="023C5B"/>
          </w:tcPr>
          <w:p>
            <w:pPr>
              <w:spacing w:after="0"/>
              <w:rPr>
                <w:sz w:val="22"/>
                <w:szCs w:val="22"/>
                <w:color w:val="auto"/>
              </w:rPr>
            </w:pPr>
          </w:p>
        </w:tc>
        <w:tc>
          <w:tcPr>
            <w:tcW w:w="20" w:type="dxa"/>
            <w:vAlign w:val="bottom"/>
            <w:shd w:val="clear" w:color="auto" w:fill="023C5B"/>
          </w:tcPr>
          <w:p>
            <w:pPr>
              <w:spacing w:after="0"/>
              <w:rPr>
                <w:sz w:val="22"/>
                <w:szCs w:val="22"/>
                <w:color w:val="auto"/>
              </w:rPr>
            </w:pPr>
          </w:p>
        </w:tc>
      </w:tr>
      <w:tr>
        <w:trPr>
          <w:trHeight w:val="255"/>
        </w:trPr>
        <w:tc>
          <w:tcPr>
            <w:tcW w:w="2800" w:type="dxa"/>
            <w:vAlign w:val="bottom"/>
            <w:shd w:val="clear" w:color="auto" w:fill="023C5B"/>
          </w:tcPr>
          <w:p>
            <w:pPr>
              <w:spacing w:after="0"/>
              <w:rPr>
                <w:sz w:val="20"/>
                <w:szCs w:val="20"/>
                <w:color w:val="auto"/>
              </w:rPr>
            </w:pPr>
            <w:r>
              <w:rPr>
                <w:rFonts w:ascii="Arial" w:cs="Arial" w:eastAsia="Arial" w:hAnsi="Arial"/>
                <w:sz w:val="16"/>
                <w:szCs w:val="16"/>
                <w:b w:val="1"/>
                <w:bCs w:val="1"/>
                <w:color w:val="FFFFFF"/>
              </w:rPr>
              <w:t> Name</w:t>
            </w:r>
          </w:p>
        </w:tc>
        <w:tc>
          <w:tcPr>
            <w:tcW w:w="1080" w:type="dxa"/>
            <w:vAlign w:val="bottom"/>
            <w:gridSpan w:val="2"/>
            <w:shd w:val="clear" w:color="auto" w:fill="023C5B"/>
          </w:tcPr>
          <w:p>
            <w:pPr>
              <w:ind w:left="120"/>
              <w:spacing w:after="0"/>
              <w:rPr>
                <w:sz w:val="20"/>
                <w:szCs w:val="20"/>
                <w:color w:val="auto"/>
              </w:rPr>
            </w:pPr>
            <w:r>
              <w:rPr>
                <w:rFonts w:ascii="Arial" w:cs="Arial" w:eastAsia="Arial" w:hAnsi="Arial"/>
                <w:sz w:val="16"/>
                <w:szCs w:val="16"/>
                <w:b w:val="1"/>
                <w:bCs w:val="1"/>
                <w:color w:val="FFFFFF"/>
              </w:rPr>
              <w:t xml:space="preserve">  Salary      </w:t>
            </w:r>
          </w:p>
        </w:tc>
        <w:tc>
          <w:tcPr>
            <w:tcW w:w="1640" w:type="dxa"/>
            <w:vAlign w:val="bottom"/>
            <w:shd w:val="clear" w:color="auto" w:fill="023C5B"/>
          </w:tcPr>
          <w:p>
            <w:pPr>
              <w:jc w:val="center"/>
              <w:ind w:right="40"/>
              <w:spacing w:after="0"/>
              <w:rPr>
                <w:sz w:val="20"/>
                <w:szCs w:val="20"/>
                <w:color w:val="auto"/>
              </w:rPr>
            </w:pPr>
            <w:r>
              <w:rPr>
                <w:rFonts w:ascii="Arial" w:cs="Arial" w:eastAsia="Arial" w:hAnsi="Arial"/>
                <w:sz w:val="16"/>
                <w:szCs w:val="16"/>
                <w:b w:val="1"/>
                <w:bCs w:val="1"/>
                <w:color w:val="FFFFFF"/>
              </w:rPr>
              <w:t xml:space="preserve">RSUs    </w:t>
            </w:r>
          </w:p>
        </w:tc>
        <w:tc>
          <w:tcPr>
            <w:tcW w:w="130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 xml:space="preserve">Bonus    </w:t>
            </w:r>
          </w:p>
        </w:tc>
        <w:tc>
          <w:tcPr>
            <w:tcW w:w="1240" w:type="dxa"/>
            <w:vAlign w:val="bottom"/>
            <w:shd w:val="clear" w:color="auto" w:fill="023C5B"/>
          </w:tcPr>
          <w:p>
            <w:pPr>
              <w:ind w:left="480"/>
              <w:spacing w:after="0"/>
              <w:rPr>
                <w:sz w:val="20"/>
                <w:szCs w:val="20"/>
                <w:color w:val="auto"/>
              </w:rPr>
            </w:pPr>
            <w:r>
              <w:rPr>
                <w:rFonts w:ascii="Arial" w:cs="Arial" w:eastAsia="Arial" w:hAnsi="Arial"/>
                <w:sz w:val="16"/>
                <w:szCs w:val="16"/>
                <w:b w:val="1"/>
                <w:bCs w:val="1"/>
                <w:color w:val="FFFFFF"/>
              </w:rPr>
              <w:t xml:space="preserve">RSUs    </w:t>
            </w:r>
          </w:p>
        </w:tc>
        <w:tc>
          <w:tcPr>
            <w:tcW w:w="280" w:type="dxa"/>
            <w:vAlign w:val="bottom"/>
            <w:shd w:val="clear" w:color="auto" w:fill="023C5B"/>
          </w:tcPr>
          <w:p>
            <w:pPr>
              <w:spacing w:after="0"/>
              <w:rPr>
                <w:sz w:val="22"/>
                <w:szCs w:val="22"/>
                <w:color w:val="auto"/>
              </w:rPr>
            </w:pPr>
          </w:p>
        </w:tc>
        <w:tc>
          <w:tcPr>
            <w:tcW w:w="1080" w:type="dxa"/>
            <w:vAlign w:val="bottom"/>
            <w:shd w:val="clear" w:color="auto" w:fill="023C5B"/>
          </w:tcPr>
          <w:p>
            <w:pPr>
              <w:jc w:val="center"/>
              <w:ind w:left="40"/>
              <w:spacing w:after="0" w:line="255" w:lineRule="exact"/>
              <w:rPr>
                <w:sz w:val="20"/>
                <w:szCs w:val="20"/>
                <w:color w:val="auto"/>
              </w:rPr>
            </w:pPr>
            <w:r>
              <w:rPr>
                <w:rFonts w:ascii="Arial" w:cs="Arial" w:eastAsia="Arial" w:hAnsi="Arial"/>
                <w:sz w:val="16"/>
                <w:szCs w:val="16"/>
                <w:b w:val="1"/>
                <w:bCs w:val="1"/>
                <w:color w:val="FFFFFF"/>
                <w:w w:val="98"/>
              </w:rPr>
              <w:t>Shares</w:t>
            </w:r>
            <w:r>
              <w:rPr>
                <w:rFonts w:ascii="Arial" w:cs="Arial" w:eastAsia="Arial" w:hAnsi="Arial"/>
                <w:sz w:val="24"/>
                <w:szCs w:val="24"/>
                <w:b w:val="1"/>
                <w:bCs w:val="1"/>
                <w:color w:val="FFFFFF"/>
                <w:w w:val="98"/>
                <w:vertAlign w:val="superscript"/>
              </w:rPr>
              <w:t>(1)</w:t>
            </w:r>
            <w:r>
              <w:rPr>
                <w:rFonts w:ascii="Arial" w:cs="Arial" w:eastAsia="Arial" w:hAnsi="Arial"/>
                <w:sz w:val="16"/>
                <w:szCs w:val="16"/>
                <w:b w:val="1"/>
                <w:bCs w:val="1"/>
                <w:color w:val="FFFFFF"/>
                <w:w w:val="98"/>
              </w:rPr>
              <w:t xml:space="preserve"> </w:t>
            </w:r>
          </w:p>
        </w:tc>
        <w:tc>
          <w:tcPr>
            <w:tcW w:w="140" w:type="dxa"/>
            <w:vAlign w:val="bottom"/>
            <w:shd w:val="clear" w:color="auto" w:fill="023C5B"/>
          </w:tcPr>
          <w:p>
            <w:pPr>
              <w:spacing w:after="0"/>
              <w:rPr>
                <w:sz w:val="20"/>
                <w:szCs w:val="20"/>
                <w:color w:val="auto"/>
              </w:rPr>
            </w:pPr>
            <w:r>
              <w:rPr>
                <w:rFonts w:ascii="Arial" w:cs="Arial" w:eastAsia="Arial" w:hAnsi="Arial"/>
                <w:sz w:val="16"/>
                <w:szCs w:val="16"/>
                <w:b w:val="1"/>
                <w:bCs w:val="1"/>
                <w:color w:val="FFFFFF"/>
              </w:rPr>
              <w:t> </w:t>
            </w:r>
          </w:p>
        </w:tc>
        <w:tc>
          <w:tcPr>
            <w:tcW w:w="40" w:type="dxa"/>
            <w:vAlign w:val="bottom"/>
            <w:shd w:val="clear" w:color="auto" w:fill="023C5B"/>
          </w:tcPr>
          <w:p>
            <w:pPr>
              <w:spacing w:after="0"/>
              <w:rPr>
                <w:sz w:val="22"/>
                <w:szCs w:val="22"/>
                <w:color w:val="auto"/>
              </w:rPr>
            </w:pPr>
          </w:p>
        </w:tc>
        <w:tc>
          <w:tcPr>
            <w:tcW w:w="1320" w:type="dxa"/>
            <w:vAlign w:val="bottom"/>
            <w:gridSpan w:val="2"/>
            <w:shd w:val="clear" w:color="auto" w:fill="023C5B"/>
          </w:tcPr>
          <w:p>
            <w:pPr>
              <w:jc w:val="center"/>
              <w:ind w:left="120"/>
              <w:spacing w:after="0" w:line="255" w:lineRule="exact"/>
              <w:rPr>
                <w:sz w:val="20"/>
                <w:szCs w:val="20"/>
                <w:color w:val="auto"/>
              </w:rPr>
            </w:pPr>
            <w:r>
              <w:rPr>
                <w:rFonts w:ascii="Arial" w:cs="Arial" w:eastAsia="Arial" w:hAnsi="Arial"/>
                <w:sz w:val="16"/>
                <w:szCs w:val="16"/>
                <w:b w:val="1"/>
                <w:bCs w:val="1"/>
                <w:color w:val="FFFFFF"/>
              </w:rPr>
              <w:t>Total</w:t>
            </w:r>
            <w:r>
              <w:rPr>
                <w:rFonts w:ascii="Arial" w:cs="Arial" w:eastAsia="Arial" w:hAnsi="Arial"/>
                <w:sz w:val="24"/>
                <w:szCs w:val="24"/>
                <w:b w:val="1"/>
                <w:bCs w:val="1"/>
                <w:color w:val="FFFFFF"/>
                <w:vertAlign w:val="superscript"/>
              </w:rPr>
              <w:t>(2)</w:t>
            </w:r>
            <w:r>
              <w:rPr>
                <w:rFonts w:ascii="Arial" w:cs="Arial" w:eastAsia="Arial" w:hAnsi="Arial"/>
                <w:sz w:val="16"/>
                <w:szCs w:val="16"/>
                <w:b w:val="1"/>
                <w:bCs w:val="1"/>
                <w:color w:val="FFFFFF"/>
              </w:rPr>
              <w:t xml:space="preserve">    </w:t>
            </w:r>
          </w:p>
        </w:tc>
      </w:tr>
      <w:tr>
        <w:trPr>
          <w:trHeight w:val="201"/>
        </w:trPr>
        <w:tc>
          <w:tcPr>
            <w:tcW w:w="2800" w:type="dxa"/>
            <w:vAlign w:val="bottom"/>
            <w:shd w:val="clear" w:color="auto" w:fill="E5EBEE"/>
          </w:tcPr>
          <w:p>
            <w:pPr>
              <w:spacing w:after="0"/>
              <w:rPr>
                <w:sz w:val="20"/>
                <w:szCs w:val="20"/>
                <w:color w:val="auto"/>
              </w:rPr>
            </w:pPr>
            <w:r>
              <w:rPr>
                <w:rFonts w:ascii="Arial" w:cs="Arial" w:eastAsia="Arial" w:hAnsi="Arial"/>
                <w:sz w:val="16"/>
                <w:szCs w:val="16"/>
                <w:color w:val="auto"/>
              </w:rPr>
              <w:t> Richard D. Fairbank</w:t>
            </w:r>
          </w:p>
        </w:tc>
        <w:tc>
          <w:tcPr>
            <w:tcW w:w="700" w:type="dxa"/>
            <w:vAlign w:val="bottom"/>
            <w:shd w:val="clear" w:color="auto" w:fill="E5EBEE"/>
          </w:tcPr>
          <w:p>
            <w:pPr>
              <w:jc w:val="center"/>
              <w:ind w:left="160"/>
              <w:spacing w:after="0"/>
              <w:rPr>
                <w:sz w:val="20"/>
                <w:szCs w:val="20"/>
                <w:color w:val="auto"/>
              </w:rPr>
            </w:pPr>
            <w:r>
              <w:rPr>
                <w:rFonts w:ascii="Arial" w:cs="Arial" w:eastAsia="Arial" w:hAnsi="Arial"/>
                <w:sz w:val="16"/>
                <w:szCs w:val="16"/>
                <w:color w:val="auto"/>
                <w:w w:val="73"/>
              </w:rPr>
              <w:t>$— </w:t>
            </w:r>
          </w:p>
        </w:tc>
        <w:tc>
          <w:tcPr>
            <w:tcW w:w="380" w:type="dxa"/>
            <w:vAlign w:val="bottom"/>
            <w:shd w:val="clear" w:color="auto" w:fill="E5EBEE"/>
          </w:tcPr>
          <w:p>
            <w:pPr>
              <w:ind w:left="40"/>
              <w:spacing w:after="0"/>
              <w:rPr>
                <w:sz w:val="20"/>
                <w:szCs w:val="20"/>
                <w:color w:val="auto"/>
              </w:rPr>
            </w:pPr>
            <w:r>
              <w:rPr>
                <w:rFonts w:ascii="Arial" w:cs="Arial" w:eastAsia="Arial" w:hAnsi="Arial"/>
                <w:sz w:val="16"/>
                <w:szCs w:val="16"/>
                <w:color w:val="auto"/>
              </w:rPr>
              <w:t> </w:t>
            </w:r>
          </w:p>
        </w:tc>
        <w:tc>
          <w:tcPr>
            <w:tcW w:w="1640" w:type="dxa"/>
            <w:vAlign w:val="bottom"/>
            <w:shd w:val="clear" w:color="auto" w:fill="E5EBEE"/>
          </w:tcPr>
          <w:p>
            <w:pPr>
              <w:jc w:val="center"/>
              <w:ind w:right="40"/>
              <w:spacing w:after="0"/>
              <w:rPr>
                <w:sz w:val="20"/>
                <w:szCs w:val="20"/>
                <w:color w:val="auto"/>
              </w:rPr>
            </w:pPr>
            <w:r>
              <w:rPr>
                <w:rFonts w:ascii="Arial" w:cs="Arial" w:eastAsia="Arial" w:hAnsi="Arial"/>
                <w:sz w:val="16"/>
                <w:szCs w:val="16"/>
                <w:color w:val="auto"/>
              </w:rPr>
              <w:t xml:space="preserve">$2,500,099    </w:t>
            </w:r>
          </w:p>
        </w:tc>
        <w:tc>
          <w:tcPr>
            <w:tcW w:w="130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 xml:space="preserve">$6,700,000    </w:t>
            </w:r>
          </w:p>
        </w:tc>
        <w:tc>
          <w:tcPr>
            <w:tcW w:w="1240" w:type="dxa"/>
            <w:vAlign w:val="bottom"/>
            <w:shd w:val="clear" w:color="auto" w:fill="E5EBEE"/>
          </w:tcPr>
          <w:p>
            <w:pPr>
              <w:jc w:val="center"/>
              <w:ind w:left="120"/>
              <w:spacing w:after="0"/>
              <w:rPr>
                <w:sz w:val="20"/>
                <w:szCs w:val="20"/>
                <w:color w:val="auto"/>
              </w:rPr>
            </w:pPr>
            <w:r>
              <w:rPr>
                <w:rFonts w:ascii="Arial" w:cs="Arial" w:eastAsia="Arial" w:hAnsi="Arial"/>
                <w:sz w:val="16"/>
                <w:szCs w:val="16"/>
                <w:color w:val="auto"/>
                <w:w w:val="87"/>
              </w:rPr>
              <w:t>$6,000,029 </w:t>
            </w:r>
          </w:p>
        </w:tc>
        <w:tc>
          <w:tcPr>
            <w:tcW w:w="280" w:type="dxa"/>
            <w:vAlign w:val="bottom"/>
            <w:shd w:val="clear" w:color="auto" w:fill="E5EBEE"/>
          </w:tcPr>
          <w:p>
            <w:pPr>
              <w:ind w:left="20"/>
              <w:spacing w:after="0"/>
              <w:rPr>
                <w:sz w:val="20"/>
                <w:szCs w:val="20"/>
                <w:color w:val="auto"/>
              </w:rPr>
            </w:pPr>
            <w:r>
              <w:rPr>
                <w:rFonts w:ascii="Arial" w:cs="Arial" w:eastAsia="Arial" w:hAnsi="Arial"/>
                <w:sz w:val="16"/>
                <w:szCs w:val="16"/>
                <w:color w:val="auto"/>
              </w:rPr>
              <w:t> </w:t>
            </w:r>
          </w:p>
        </w:tc>
        <w:tc>
          <w:tcPr>
            <w:tcW w:w="1080" w:type="dxa"/>
            <w:vAlign w:val="bottom"/>
            <w:shd w:val="clear" w:color="auto" w:fill="E5EBEE"/>
          </w:tcPr>
          <w:p>
            <w:pPr>
              <w:jc w:val="center"/>
              <w:ind w:left="40"/>
              <w:spacing w:after="0"/>
              <w:rPr>
                <w:sz w:val="20"/>
                <w:szCs w:val="20"/>
                <w:color w:val="auto"/>
              </w:rPr>
            </w:pPr>
            <w:r>
              <w:rPr>
                <w:rFonts w:ascii="Arial" w:cs="Arial" w:eastAsia="Arial" w:hAnsi="Arial"/>
                <w:sz w:val="16"/>
                <w:szCs w:val="16"/>
                <w:color w:val="auto"/>
                <w:w w:val="87"/>
              </w:rPr>
              <w:t>$24,800,344 </w:t>
            </w:r>
          </w:p>
        </w:tc>
        <w:tc>
          <w:tcPr>
            <w:tcW w:w="140" w:type="dxa"/>
            <w:vAlign w:val="bottom"/>
            <w:shd w:val="clear" w:color="auto" w:fill="E5EBEE"/>
          </w:tcPr>
          <w:p>
            <w:pPr>
              <w:ind w:left="100"/>
              <w:spacing w:after="0"/>
              <w:rPr>
                <w:sz w:val="20"/>
                <w:szCs w:val="20"/>
                <w:color w:val="auto"/>
              </w:rPr>
            </w:pPr>
            <w:r>
              <w:rPr>
                <w:rFonts w:ascii="Arial" w:cs="Arial" w:eastAsia="Arial" w:hAnsi="Arial"/>
                <w:sz w:val="16"/>
                <w:szCs w:val="16"/>
                <w:color w:val="auto"/>
              </w:rPr>
              <w:t> </w:t>
            </w:r>
          </w:p>
        </w:tc>
        <w:tc>
          <w:tcPr>
            <w:tcW w:w="40" w:type="dxa"/>
            <w:vAlign w:val="bottom"/>
            <w:shd w:val="clear" w:color="auto" w:fill="E5EBEE"/>
          </w:tcPr>
          <w:p>
            <w:pPr>
              <w:spacing w:after="0"/>
              <w:rPr>
                <w:sz w:val="17"/>
                <w:szCs w:val="17"/>
                <w:color w:val="auto"/>
              </w:rPr>
            </w:pPr>
          </w:p>
        </w:tc>
        <w:tc>
          <w:tcPr>
            <w:tcW w:w="1320" w:type="dxa"/>
            <w:vAlign w:val="bottom"/>
            <w:gridSpan w:val="2"/>
            <w:shd w:val="clear" w:color="auto" w:fill="E5EBEE"/>
          </w:tcPr>
          <w:p>
            <w:pPr>
              <w:jc w:val="center"/>
              <w:ind w:left="140"/>
              <w:spacing w:after="0"/>
              <w:rPr>
                <w:sz w:val="20"/>
                <w:szCs w:val="20"/>
                <w:color w:val="auto"/>
              </w:rPr>
            </w:pPr>
            <w:r>
              <w:rPr>
                <w:rFonts w:ascii="Arial" w:cs="Arial" w:eastAsia="Arial" w:hAnsi="Arial"/>
                <w:sz w:val="16"/>
                <w:szCs w:val="16"/>
                <w:color w:val="auto"/>
              </w:rPr>
              <w:t xml:space="preserve">$40,000,472    </w:t>
            </w:r>
          </w:p>
        </w:tc>
      </w:tr>
      <w:tr>
        <w:trPr>
          <w:trHeight w:val="20"/>
        </w:trPr>
        <w:tc>
          <w:tcPr>
            <w:tcW w:w="2800" w:type="dxa"/>
            <w:vAlign w:val="bottom"/>
            <w:shd w:val="clear" w:color="auto" w:fill="023C5B"/>
          </w:tcPr>
          <w:p>
            <w:pPr>
              <w:spacing w:after="0" w:line="20" w:lineRule="exact"/>
              <w:rPr>
                <w:sz w:val="1"/>
                <w:szCs w:val="1"/>
                <w:color w:val="auto"/>
              </w:rPr>
            </w:pPr>
          </w:p>
        </w:tc>
        <w:tc>
          <w:tcPr>
            <w:tcW w:w="700" w:type="dxa"/>
            <w:vAlign w:val="bottom"/>
            <w:shd w:val="clear" w:color="auto" w:fill="023C5B"/>
          </w:tcPr>
          <w:p>
            <w:pPr>
              <w:spacing w:after="0" w:line="20" w:lineRule="exact"/>
              <w:rPr>
                <w:sz w:val="1"/>
                <w:szCs w:val="1"/>
                <w:color w:val="auto"/>
              </w:rPr>
            </w:pPr>
          </w:p>
        </w:tc>
        <w:tc>
          <w:tcPr>
            <w:tcW w:w="380" w:type="dxa"/>
            <w:vAlign w:val="bottom"/>
            <w:shd w:val="clear" w:color="auto" w:fill="023C5B"/>
          </w:tcPr>
          <w:p>
            <w:pPr>
              <w:spacing w:after="0" w:line="20" w:lineRule="exact"/>
              <w:rPr>
                <w:sz w:val="1"/>
                <w:szCs w:val="1"/>
                <w:color w:val="auto"/>
              </w:rPr>
            </w:pPr>
          </w:p>
        </w:tc>
        <w:tc>
          <w:tcPr>
            <w:tcW w:w="1640" w:type="dxa"/>
            <w:vAlign w:val="bottom"/>
            <w:shd w:val="clear" w:color="auto" w:fill="023C5B"/>
          </w:tcPr>
          <w:p>
            <w:pPr>
              <w:spacing w:after="0" w:line="20" w:lineRule="exact"/>
              <w:rPr>
                <w:sz w:val="1"/>
                <w:szCs w:val="1"/>
                <w:color w:val="auto"/>
              </w:rPr>
            </w:pPr>
          </w:p>
        </w:tc>
        <w:tc>
          <w:tcPr>
            <w:tcW w:w="1300" w:type="dxa"/>
            <w:vAlign w:val="bottom"/>
            <w:shd w:val="clear" w:color="auto" w:fill="023C5B"/>
          </w:tcPr>
          <w:p>
            <w:pPr>
              <w:spacing w:after="0" w:line="20" w:lineRule="exact"/>
              <w:rPr>
                <w:sz w:val="1"/>
                <w:szCs w:val="1"/>
                <w:color w:val="auto"/>
              </w:rPr>
            </w:pPr>
          </w:p>
        </w:tc>
        <w:tc>
          <w:tcPr>
            <w:tcW w:w="1240" w:type="dxa"/>
            <w:vAlign w:val="bottom"/>
            <w:shd w:val="clear" w:color="auto" w:fill="023C5B"/>
          </w:tcPr>
          <w:p>
            <w:pPr>
              <w:spacing w:after="0" w:line="20" w:lineRule="exact"/>
              <w:rPr>
                <w:sz w:val="1"/>
                <w:szCs w:val="1"/>
                <w:color w:val="auto"/>
              </w:rPr>
            </w:pPr>
          </w:p>
        </w:tc>
        <w:tc>
          <w:tcPr>
            <w:tcW w:w="280" w:type="dxa"/>
            <w:vAlign w:val="bottom"/>
            <w:shd w:val="clear" w:color="auto" w:fill="023C5B"/>
          </w:tcPr>
          <w:p>
            <w:pPr>
              <w:spacing w:after="0" w:line="20" w:lineRule="exact"/>
              <w:rPr>
                <w:sz w:val="1"/>
                <w:szCs w:val="1"/>
                <w:color w:val="auto"/>
              </w:rPr>
            </w:pPr>
          </w:p>
        </w:tc>
        <w:tc>
          <w:tcPr>
            <w:tcW w:w="1080" w:type="dxa"/>
            <w:vAlign w:val="bottom"/>
            <w:shd w:val="clear" w:color="auto" w:fill="023C5B"/>
          </w:tcPr>
          <w:p>
            <w:pPr>
              <w:spacing w:after="0" w:line="20" w:lineRule="exact"/>
              <w:rPr>
                <w:sz w:val="1"/>
                <w:szCs w:val="1"/>
                <w:color w:val="auto"/>
              </w:rPr>
            </w:pPr>
          </w:p>
        </w:tc>
        <w:tc>
          <w:tcPr>
            <w:tcW w:w="140" w:type="dxa"/>
            <w:vAlign w:val="bottom"/>
            <w:shd w:val="clear" w:color="auto" w:fill="023C5B"/>
          </w:tcPr>
          <w:p>
            <w:pPr>
              <w:spacing w:after="0" w:line="20" w:lineRule="exact"/>
              <w:rPr>
                <w:sz w:val="1"/>
                <w:szCs w:val="1"/>
                <w:color w:val="auto"/>
              </w:rPr>
            </w:pPr>
          </w:p>
        </w:tc>
        <w:tc>
          <w:tcPr>
            <w:tcW w:w="40" w:type="dxa"/>
            <w:vAlign w:val="bottom"/>
            <w:shd w:val="clear" w:color="auto" w:fill="023C5B"/>
          </w:tcPr>
          <w:p>
            <w:pPr>
              <w:spacing w:after="0" w:line="20" w:lineRule="exact"/>
              <w:rPr>
                <w:sz w:val="1"/>
                <w:szCs w:val="1"/>
                <w:color w:val="auto"/>
              </w:rPr>
            </w:pPr>
          </w:p>
        </w:tc>
        <w:tc>
          <w:tcPr>
            <w:tcW w:w="1300" w:type="dxa"/>
            <w:vAlign w:val="bottom"/>
            <w:shd w:val="clear" w:color="auto" w:fill="023C5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See “Performance Share Award Formula” on page 71 for a description of the vesting criteria applicable to the performance share awards.</w:t>
      </w:r>
    </w:p>
    <w:p>
      <w:pPr>
        <w:spacing w:after="0" w:line="13" w:lineRule="exact"/>
        <w:rPr>
          <w:rFonts w:ascii="Arial" w:cs="Arial" w:eastAsia="Arial" w:hAnsi="Arial"/>
          <w:sz w:val="14"/>
          <w:szCs w:val="14"/>
          <w:color w:val="auto"/>
        </w:rPr>
      </w:pPr>
    </w:p>
    <w:p>
      <w:pPr>
        <w:ind w:left="600" w:hanging="433"/>
        <w:spacing w:after="0"/>
        <w:tabs>
          <w:tab w:leader="none" w:pos="6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Does not include Mr. Fairbank’s Discover-Related Special Award.</w:t>
      </w:r>
    </w:p>
    <w:p>
      <w:pPr>
        <w:spacing w:after="0" w:line="123"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firstLine="873"/>
        <w:spacing w:after="0" w:line="239" w:lineRule="auto"/>
        <w:rPr>
          <w:sz w:val="20"/>
          <w:szCs w:val="20"/>
          <w:color w:val="auto"/>
        </w:rPr>
      </w:pPr>
      <w:r>
        <w:rPr>
          <w:rFonts w:ascii="Arial" w:cs="Arial" w:eastAsia="Arial" w:hAnsi="Arial"/>
          <w:sz w:val="18"/>
          <w:szCs w:val="18"/>
          <w:b w:val="1"/>
          <w:bCs w:val="1"/>
          <w:i w:val="1"/>
          <w:iCs w:val="1"/>
          <w:color w:val="023C5B"/>
        </w:rPr>
        <w:t xml:space="preserve">2025 NEO Performance Year Compensation. </w:t>
      </w:r>
      <w:r>
        <w:rPr>
          <w:rFonts w:ascii="Arial" w:cs="Arial" w:eastAsia="Arial" w:hAnsi="Arial"/>
          <w:sz w:val="18"/>
          <w:szCs w:val="18"/>
          <w:color w:val="000000"/>
        </w:rPr>
        <w:t>The compensation for our NEOs (other than the CEO) for performance year</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2025 is set forth below. The performance year compensation received by these NEOs consisted of: (i) cash salary and (ii) a year-end incentive granted in February 2026 in recognition of the Company’s and each executive’s performance in 2025. The year-end incentive consisted of a cash incentive and a long-term incentive comprised of stock-settled RSUs and performance shares. The performance shares provide an opportunity for the executive to receive from 0% to 150% of a target number of shares of the Company’s common stock based on the Company’s performance over a three-year period beginning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6929755" cy="15284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29755" cy="1528445"/>
                    </a:xfrm>
                    <a:prstGeom prst="rect">
                      <a:avLst/>
                    </a:prstGeom>
                    <a:noFill/>
                  </pic:spPr>
                </pic:pic>
              </a:graphicData>
            </a:graphic>
          </wp:anchor>
        </w:drawing>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3360" w:type="dxa"/>
            <w:vAlign w:val="bottom"/>
            <w:shd w:val="clear" w:color="auto" w:fill="023C5B"/>
          </w:tcPr>
          <w:p>
            <w:pPr>
              <w:spacing w:after="0"/>
              <w:rPr>
                <w:sz w:val="22"/>
                <w:szCs w:val="22"/>
                <w:color w:val="auto"/>
              </w:rPr>
            </w:pPr>
          </w:p>
        </w:tc>
        <w:tc>
          <w:tcPr>
            <w:tcW w:w="40" w:type="dxa"/>
            <w:vAlign w:val="bottom"/>
            <w:shd w:val="clear" w:color="auto" w:fill="023C5B"/>
          </w:tcPr>
          <w:p>
            <w:pPr>
              <w:spacing w:after="0"/>
              <w:rPr>
                <w:sz w:val="22"/>
                <w:szCs w:val="22"/>
                <w:color w:val="auto"/>
              </w:rPr>
            </w:pPr>
          </w:p>
        </w:tc>
        <w:tc>
          <w:tcPr>
            <w:tcW w:w="880" w:type="dxa"/>
            <w:vAlign w:val="bottom"/>
            <w:shd w:val="clear" w:color="auto" w:fill="023C5B"/>
          </w:tcPr>
          <w:p>
            <w:pPr>
              <w:spacing w:after="0"/>
              <w:rPr>
                <w:sz w:val="22"/>
                <w:szCs w:val="22"/>
                <w:color w:val="auto"/>
              </w:rPr>
            </w:pPr>
          </w:p>
        </w:tc>
        <w:tc>
          <w:tcPr>
            <w:tcW w:w="280" w:type="dxa"/>
            <w:vAlign w:val="bottom"/>
            <w:shd w:val="clear" w:color="auto" w:fill="023C5B"/>
          </w:tcPr>
          <w:p>
            <w:pPr>
              <w:spacing w:after="0"/>
              <w:rPr>
                <w:sz w:val="22"/>
                <w:szCs w:val="22"/>
                <w:color w:val="auto"/>
              </w:rPr>
            </w:pPr>
          </w:p>
        </w:tc>
        <w:tc>
          <w:tcPr>
            <w:tcW w:w="60" w:type="dxa"/>
            <w:vAlign w:val="bottom"/>
            <w:shd w:val="clear" w:color="auto" w:fill="023C5B"/>
          </w:tcPr>
          <w:p>
            <w:pPr>
              <w:spacing w:after="0"/>
              <w:rPr>
                <w:sz w:val="22"/>
                <w:szCs w:val="22"/>
                <w:color w:val="auto"/>
              </w:rPr>
            </w:pPr>
          </w:p>
        </w:tc>
        <w:tc>
          <w:tcPr>
            <w:tcW w:w="140" w:type="dxa"/>
            <w:vAlign w:val="bottom"/>
            <w:shd w:val="clear" w:color="auto" w:fill="023C5B"/>
          </w:tcPr>
          <w:p>
            <w:pPr>
              <w:spacing w:after="0"/>
              <w:rPr>
                <w:sz w:val="22"/>
                <w:szCs w:val="22"/>
                <w:color w:val="auto"/>
              </w:rPr>
            </w:pPr>
          </w:p>
        </w:tc>
        <w:tc>
          <w:tcPr>
            <w:tcW w:w="1100" w:type="dxa"/>
            <w:vAlign w:val="bottom"/>
            <w:shd w:val="clear" w:color="auto" w:fill="023C5B"/>
          </w:tcPr>
          <w:p>
            <w:pPr>
              <w:spacing w:after="0"/>
              <w:rPr>
                <w:sz w:val="22"/>
                <w:szCs w:val="22"/>
                <w:color w:val="auto"/>
              </w:rPr>
            </w:pPr>
          </w:p>
        </w:tc>
        <w:tc>
          <w:tcPr>
            <w:tcW w:w="60" w:type="dxa"/>
            <w:vAlign w:val="bottom"/>
            <w:shd w:val="clear" w:color="auto" w:fill="023C5B"/>
          </w:tcPr>
          <w:p>
            <w:pPr>
              <w:spacing w:after="0"/>
              <w:rPr>
                <w:sz w:val="22"/>
                <w:szCs w:val="22"/>
                <w:color w:val="auto"/>
              </w:rPr>
            </w:pPr>
          </w:p>
        </w:tc>
        <w:tc>
          <w:tcPr>
            <w:tcW w:w="180" w:type="dxa"/>
            <w:vAlign w:val="bottom"/>
            <w:shd w:val="clear" w:color="auto" w:fill="023C5B"/>
          </w:tcPr>
          <w:p>
            <w:pPr>
              <w:spacing w:after="0"/>
              <w:rPr>
                <w:sz w:val="22"/>
                <w:szCs w:val="22"/>
                <w:color w:val="auto"/>
              </w:rPr>
            </w:pPr>
          </w:p>
        </w:tc>
        <w:tc>
          <w:tcPr>
            <w:tcW w:w="2460" w:type="dxa"/>
            <w:vAlign w:val="bottom"/>
            <w:gridSpan w:val="5"/>
            <w:shd w:val="clear" w:color="auto" w:fill="023C5B"/>
          </w:tcPr>
          <w:p>
            <w:pPr>
              <w:ind w:left="360"/>
              <w:spacing w:after="0"/>
              <w:rPr>
                <w:sz w:val="20"/>
                <w:szCs w:val="20"/>
                <w:color w:val="auto"/>
              </w:rPr>
            </w:pPr>
            <w:r>
              <w:rPr>
                <w:rFonts w:ascii="Arial" w:cs="Arial" w:eastAsia="Arial" w:hAnsi="Arial"/>
                <w:sz w:val="16"/>
                <w:szCs w:val="16"/>
                <w:b w:val="1"/>
                <w:bCs w:val="1"/>
                <w:color w:val="FFFFFF"/>
              </w:rPr>
              <w:t xml:space="preserve">Long-Term Incentive    </w:t>
            </w:r>
          </w:p>
        </w:tc>
        <w:tc>
          <w:tcPr>
            <w:tcW w:w="60" w:type="dxa"/>
            <w:vAlign w:val="bottom"/>
            <w:shd w:val="clear" w:color="auto" w:fill="023C5B"/>
          </w:tcPr>
          <w:p>
            <w:pPr>
              <w:spacing w:after="0"/>
              <w:rPr>
                <w:sz w:val="22"/>
                <w:szCs w:val="22"/>
                <w:color w:val="auto"/>
              </w:rPr>
            </w:pPr>
          </w:p>
        </w:tc>
        <w:tc>
          <w:tcPr>
            <w:tcW w:w="2300" w:type="dxa"/>
            <w:vAlign w:val="bottom"/>
            <w:shd w:val="clear" w:color="auto" w:fill="023C5B"/>
          </w:tcPr>
          <w:p>
            <w:pPr>
              <w:spacing w:after="0"/>
              <w:rPr>
                <w:sz w:val="22"/>
                <w:szCs w:val="22"/>
                <w:color w:val="auto"/>
              </w:rPr>
            </w:pPr>
          </w:p>
        </w:tc>
      </w:tr>
      <w:tr>
        <w:trPr>
          <w:trHeight w:val="300"/>
        </w:trPr>
        <w:tc>
          <w:tcPr>
            <w:tcW w:w="3360" w:type="dxa"/>
            <w:vAlign w:val="bottom"/>
            <w:shd w:val="clear" w:color="auto" w:fill="023C5B"/>
          </w:tcPr>
          <w:p>
            <w:pPr>
              <w:spacing w:after="0"/>
              <w:rPr>
                <w:sz w:val="24"/>
                <w:szCs w:val="24"/>
                <w:color w:val="auto"/>
              </w:rPr>
            </w:pPr>
          </w:p>
        </w:tc>
        <w:tc>
          <w:tcPr>
            <w:tcW w:w="40" w:type="dxa"/>
            <w:vAlign w:val="bottom"/>
            <w:shd w:val="clear" w:color="auto" w:fill="023C5B"/>
          </w:tcPr>
          <w:p>
            <w:pPr>
              <w:spacing w:after="0"/>
              <w:rPr>
                <w:sz w:val="24"/>
                <w:szCs w:val="24"/>
                <w:color w:val="auto"/>
              </w:rPr>
            </w:pPr>
          </w:p>
        </w:tc>
        <w:tc>
          <w:tcPr>
            <w:tcW w:w="880" w:type="dxa"/>
            <w:vAlign w:val="bottom"/>
            <w:shd w:val="clear" w:color="auto" w:fill="023C5B"/>
          </w:tcPr>
          <w:p>
            <w:pPr>
              <w:spacing w:after="0"/>
              <w:rPr>
                <w:sz w:val="24"/>
                <w:szCs w:val="24"/>
                <w:color w:val="auto"/>
              </w:rPr>
            </w:pPr>
          </w:p>
        </w:tc>
        <w:tc>
          <w:tcPr>
            <w:tcW w:w="280" w:type="dxa"/>
            <w:vAlign w:val="bottom"/>
            <w:shd w:val="clear" w:color="auto" w:fill="023C5B"/>
          </w:tcPr>
          <w:p>
            <w:pPr>
              <w:spacing w:after="0"/>
              <w:rPr>
                <w:sz w:val="24"/>
                <w:szCs w:val="24"/>
                <w:color w:val="auto"/>
              </w:rPr>
            </w:pPr>
          </w:p>
        </w:tc>
        <w:tc>
          <w:tcPr>
            <w:tcW w:w="60" w:type="dxa"/>
            <w:vAlign w:val="bottom"/>
            <w:shd w:val="clear" w:color="auto" w:fill="023C5B"/>
          </w:tcPr>
          <w:p>
            <w:pPr>
              <w:spacing w:after="0"/>
              <w:rPr>
                <w:sz w:val="24"/>
                <w:szCs w:val="24"/>
                <w:color w:val="auto"/>
              </w:rPr>
            </w:pPr>
          </w:p>
        </w:tc>
        <w:tc>
          <w:tcPr>
            <w:tcW w:w="140" w:type="dxa"/>
            <w:vAlign w:val="bottom"/>
            <w:shd w:val="clear" w:color="auto" w:fill="023C5B"/>
          </w:tcPr>
          <w:p>
            <w:pPr>
              <w:spacing w:after="0"/>
              <w:rPr>
                <w:sz w:val="24"/>
                <w:szCs w:val="24"/>
                <w:color w:val="auto"/>
              </w:rPr>
            </w:pPr>
          </w:p>
        </w:tc>
        <w:tc>
          <w:tcPr>
            <w:tcW w:w="1100" w:type="dxa"/>
            <w:vAlign w:val="bottom"/>
            <w:shd w:val="clear" w:color="auto" w:fill="023C5B"/>
          </w:tcPr>
          <w:p>
            <w:pPr>
              <w:spacing w:after="0"/>
              <w:rPr>
                <w:sz w:val="24"/>
                <w:szCs w:val="24"/>
                <w:color w:val="auto"/>
              </w:rPr>
            </w:pPr>
          </w:p>
        </w:tc>
        <w:tc>
          <w:tcPr>
            <w:tcW w:w="60" w:type="dxa"/>
            <w:vAlign w:val="bottom"/>
            <w:shd w:val="clear" w:color="auto" w:fill="023C5B"/>
          </w:tcPr>
          <w:p>
            <w:pPr>
              <w:spacing w:after="0"/>
              <w:rPr>
                <w:sz w:val="24"/>
                <w:szCs w:val="24"/>
                <w:color w:val="auto"/>
              </w:rPr>
            </w:pPr>
          </w:p>
        </w:tc>
        <w:tc>
          <w:tcPr>
            <w:tcW w:w="180" w:type="dxa"/>
            <w:vAlign w:val="bottom"/>
            <w:shd w:val="clear" w:color="auto" w:fill="023C5B"/>
          </w:tcPr>
          <w:p>
            <w:pPr>
              <w:spacing w:after="0"/>
              <w:rPr>
                <w:sz w:val="24"/>
                <w:szCs w:val="24"/>
                <w:color w:val="auto"/>
              </w:rPr>
            </w:pPr>
          </w:p>
        </w:tc>
        <w:tc>
          <w:tcPr>
            <w:tcW w:w="800" w:type="dxa"/>
            <w:vAlign w:val="bottom"/>
            <w:shd w:val="clear" w:color="auto" w:fill="023C5B"/>
          </w:tcPr>
          <w:p>
            <w:pPr>
              <w:jc w:val="center"/>
              <w:ind w:left="55"/>
              <w:spacing w:after="0"/>
              <w:rPr>
                <w:sz w:val="20"/>
                <w:szCs w:val="20"/>
                <w:color w:val="auto"/>
              </w:rPr>
            </w:pPr>
            <w:r>
              <w:rPr>
                <w:rFonts w:ascii="Arial" w:cs="Arial" w:eastAsia="Arial" w:hAnsi="Arial"/>
                <w:sz w:val="16"/>
                <w:szCs w:val="16"/>
                <w:b w:val="1"/>
                <w:bCs w:val="1"/>
                <w:color w:val="FFFFFF"/>
              </w:rPr>
              <w:t xml:space="preserve">Stock- </w:t>
            </w:r>
          </w:p>
        </w:tc>
        <w:tc>
          <w:tcPr>
            <w:tcW w:w="460" w:type="dxa"/>
            <w:vAlign w:val="bottom"/>
            <w:gridSpan w:val="3"/>
            <w:shd w:val="clear" w:color="auto" w:fill="023C5B"/>
          </w:tcPr>
          <w:p>
            <w:pPr>
              <w:ind w:left="60"/>
              <w:spacing w:after="0"/>
              <w:rPr>
                <w:sz w:val="20"/>
                <w:szCs w:val="20"/>
                <w:color w:val="auto"/>
              </w:rPr>
            </w:pPr>
            <w:r>
              <w:rPr>
                <w:rFonts w:ascii="Arial" w:cs="Arial" w:eastAsia="Arial" w:hAnsi="Arial"/>
                <w:sz w:val="16"/>
                <w:szCs w:val="16"/>
                <w:b w:val="1"/>
                <w:bCs w:val="1"/>
                <w:color w:val="FFFFFF"/>
              </w:rPr>
              <w:t> </w:t>
            </w:r>
          </w:p>
        </w:tc>
        <w:tc>
          <w:tcPr>
            <w:tcW w:w="1200" w:type="dxa"/>
            <w:vAlign w:val="bottom"/>
            <w:shd w:val="clear" w:color="auto" w:fill="023C5B"/>
          </w:tcPr>
          <w:p>
            <w:pPr>
              <w:spacing w:after="0"/>
              <w:rPr>
                <w:sz w:val="24"/>
                <w:szCs w:val="24"/>
                <w:color w:val="auto"/>
              </w:rPr>
            </w:pPr>
          </w:p>
        </w:tc>
        <w:tc>
          <w:tcPr>
            <w:tcW w:w="60" w:type="dxa"/>
            <w:vAlign w:val="bottom"/>
            <w:shd w:val="clear" w:color="auto" w:fill="023C5B"/>
          </w:tcPr>
          <w:p>
            <w:pPr>
              <w:spacing w:after="0"/>
              <w:rPr>
                <w:sz w:val="24"/>
                <w:szCs w:val="24"/>
                <w:color w:val="auto"/>
              </w:rPr>
            </w:pPr>
          </w:p>
        </w:tc>
        <w:tc>
          <w:tcPr>
            <w:tcW w:w="2300" w:type="dxa"/>
            <w:vAlign w:val="bottom"/>
            <w:shd w:val="clear" w:color="auto" w:fill="023C5B"/>
          </w:tcPr>
          <w:p>
            <w:pPr>
              <w:spacing w:after="0"/>
              <w:rPr>
                <w:sz w:val="24"/>
                <w:szCs w:val="24"/>
                <w:color w:val="auto"/>
              </w:rPr>
            </w:pPr>
          </w:p>
        </w:tc>
      </w:tr>
      <w:tr>
        <w:trPr>
          <w:trHeight w:val="187"/>
        </w:trPr>
        <w:tc>
          <w:tcPr>
            <w:tcW w:w="3360" w:type="dxa"/>
            <w:vAlign w:val="bottom"/>
            <w:shd w:val="clear" w:color="auto" w:fill="023C5B"/>
          </w:tcPr>
          <w:p>
            <w:pPr>
              <w:spacing w:after="0"/>
              <w:rPr>
                <w:sz w:val="16"/>
                <w:szCs w:val="16"/>
                <w:color w:val="auto"/>
              </w:rPr>
            </w:pPr>
          </w:p>
        </w:tc>
        <w:tc>
          <w:tcPr>
            <w:tcW w:w="40" w:type="dxa"/>
            <w:vAlign w:val="bottom"/>
            <w:shd w:val="clear" w:color="auto" w:fill="023C5B"/>
          </w:tcPr>
          <w:p>
            <w:pPr>
              <w:spacing w:after="0"/>
              <w:rPr>
                <w:sz w:val="16"/>
                <w:szCs w:val="16"/>
                <w:color w:val="auto"/>
              </w:rPr>
            </w:pPr>
          </w:p>
        </w:tc>
        <w:tc>
          <w:tcPr>
            <w:tcW w:w="880" w:type="dxa"/>
            <w:vAlign w:val="bottom"/>
            <w:shd w:val="clear" w:color="auto" w:fill="023C5B"/>
          </w:tcPr>
          <w:p>
            <w:pPr>
              <w:ind w:left="360"/>
              <w:spacing w:after="0"/>
              <w:rPr>
                <w:sz w:val="20"/>
                <w:szCs w:val="20"/>
                <w:color w:val="auto"/>
              </w:rPr>
            </w:pPr>
            <w:r>
              <w:rPr>
                <w:rFonts w:ascii="Arial" w:cs="Arial" w:eastAsia="Arial" w:hAnsi="Arial"/>
                <w:sz w:val="16"/>
                <w:szCs w:val="16"/>
                <w:b w:val="1"/>
                <w:bCs w:val="1"/>
                <w:color w:val="FFFFFF"/>
                <w:w w:val="90"/>
              </w:rPr>
              <w:t>Cash </w:t>
            </w:r>
          </w:p>
        </w:tc>
        <w:tc>
          <w:tcPr>
            <w:tcW w:w="480" w:type="dxa"/>
            <w:vAlign w:val="bottom"/>
            <w:gridSpan w:val="3"/>
            <w:shd w:val="clear" w:color="auto" w:fill="023C5B"/>
          </w:tcPr>
          <w:p>
            <w:pPr>
              <w:ind w:left="40"/>
              <w:spacing w:after="0"/>
              <w:rPr>
                <w:sz w:val="20"/>
                <w:szCs w:val="20"/>
                <w:color w:val="auto"/>
              </w:rPr>
            </w:pPr>
            <w:r>
              <w:rPr>
                <w:rFonts w:ascii="Arial" w:cs="Arial" w:eastAsia="Arial" w:hAnsi="Arial"/>
                <w:sz w:val="16"/>
                <w:szCs w:val="16"/>
                <w:b w:val="1"/>
                <w:bCs w:val="1"/>
                <w:color w:val="FFFFFF"/>
              </w:rPr>
              <w:t> </w:t>
            </w:r>
          </w:p>
        </w:tc>
        <w:tc>
          <w:tcPr>
            <w:tcW w:w="1340" w:type="dxa"/>
            <w:vAlign w:val="bottom"/>
            <w:gridSpan w:val="3"/>
            <w:shd w:val="clear" w:color="auto" w:fill="023C5B"/>
          </w:tcPr>
          <w:p>
            <w:pPr>
              <w:ind w:left="300"/>
              <w:spacing w:after="0"/>
              <w:rPr>
                <w:sz w:val="20"/>
                <w:szCs w:val="20"/>
                <w:color w:val="auto"/>
              </w:rPr>
            </w:pPr>
            <w:r>
              <w:rPr>
                <w:rFonts w:ascii="Arial" w:cs="Arial" w:eastAsia="Arial" w:hAnsi="Arial"/>
                <w:sz w:val="16"/>
                <w:szCs w:val="16"/>
                <w:b w:val="1"/>
                <w:bCs w:val="1"/>
                <w:color w:val="FFFFFF"/>
              </w:rPr>
              <w:t xml:space="preserve">Cash    </w:t>
            </w:r>
          </w:p>
        </w:tc>
        <w:tc>
          <w:tcPr>
            <w:tcW w:w="800" w:type="dxa"/>
            <w:vAlign w:val="bottom"/>
            <w:shd w:val="clear" w:color="auto" w:fill="023C5B"/>
          </w:tcPr>
          <w:p>
            <w:pPr>
              <w:jc w:val="center"/>
              <w:ind w:left="55"/>
              <w:spacing w:after="0"/>
              <w:rPr>
                <w:sz w:val="20"/>
                <w:szCs w:val="20"/>
                <w:color w:val="auto"/>
              </w:rPr>
            </w:pPr>
            <w:r>
              <w:rPr>
                <w:rFonts w:ascii="Arial" w:cs="Arial" w:eastAsia="Arial" w:hAnsi="Arial"/>
                <w:sz w:val="16"/>
                <w:szCs w:val="16"/>
                <w:b w:val="1"/>
                <w:bCs w:val="1"/>
                <w:color w:val="FFFFFF"/>
                <w:w w:val="83"/>
              </w:rPr>
              <w:t>Settled </w:t>
            </w:r>
          </w:p>
        </w:tc>
        <w:tc>
          <w:tcPr>
            <w:tcW w:w="460" w:type="dxa"/>
            <w:vAlign w:val="bottom"/>
            <w:gridSpan w:val="3"/>
            <w:shd w:val="clear" w:color="auto" w:fill="023C5B"/>
          </w:tcPr>
          <w:p>
            <w:pPr>
              <w:ind w:left="80"/>
              <w:spacing w:after="0"/>
              <w:rPr>
                <w:sz w:val="20"/>
                <w:szCs w:val="20"/>
                <w:color w:val="auto"/>
              </w:rPr>
            </w:pPr>
            <w:r>
              <w:rPr>
                <w:rFonts w:ascii="Arial" w:cs="Arial" w:eastAsia="Arial" w:hAnsi="Arial"/>
                <w:sz w:val="16"/>
                <w:szCs w:val="16"/>
                <w:b w:val="1"/>
                <w:bCs w:val="1"/>
                <w:color w:val="FFFFFF"/>
              </w:rPr>
              <w:t> </w:t>
            </w:r>
          </w:p>
        </w:tc>
        <w:tc>
          <w:tcPr>
            <w:tcW w:w="1200" w:type="dxa"/>
            <w:vAlign w:val="bottom"/>
            <w:shd w:val="clear" w:color="auto" w:fill="023C5B"/>
          </w:tcPr>
          <w:p>
            <w:pPr>
              <w:ind w:left="40"/>
              <w:spacing w:after="0"/>
              <w:rPr>
                <w:sz w:val="20"/>
                <w:szCs w:val="20"/>
                <w:color w:val="auto"/>
              </w:rPr>
            </w:pPr>
            <w:r>
              <w:rPr>
                <w:rFonts w:ascii="Arial" w:cs="Arial" w:eastAsia="Arial" w:hAnsi="Arial"/>
                <w:sz w:val="16"/>
                <w:szCs w:val="16"/>
                <w:b w:val="1"/>
                <w:bCs w:val="1"/>
                <w:color w:val="FFFFFF"/>
              </w:rPr>
              <w:t>Performance </w:t>
            </w:r>
          </w:p>
        </w:tc>
        <w:tc>
          <w:tcPr>
            <w:tcW w:w="60" w:type="dxa"/>
            <w:vAlign w:val="bottom"/>
            <w:shd w:val="clear" w:color="auto" w:fill="023C5B"/>
          </w:tcPr>
          <w:p>
            <w:pPr>
              <w:spacing w:after="0"/>
              <w:rPr>
                <w:sz w:val="20"/>
                <w:szCs w:val="20"/>
                <w:color w:val="auto"/>
              </w:rPr>
            </w:pPr>
            <w:r>
              <w:rPr>
                <w:rFonts w:ascii="Arial" w:cs="Arial" w:eastAsia="Arial" w:hAnsi="Arial"/>
                <w:sz w:val="16"/>
                <w:szCs w:val="16"/>
                <w:b w:val="1"/>
                <w:bCs w:val="1"/>
                <w:color w:val="FFFFFF"/>
              </w:rPr>
              <w:t> </w:t>
            </w:r>
          </w:p>
        </w:tc>
        <w:tc>
          <w:tcPr>
            <w:tcW w:w="2300" w:type="dxa"/>
            <w:vAlign w:val="bottom"/>
            <w:shd w:val="clear" w:color="auto" w:fill="023C5B"/>
          </w:tcPr>
          <w:p>
            <w:pPr>
              <w:spacing w:after="0"/>
              <w:rPr>
                <w:sz w:val="16"/>
                <w:szCs w:val="16"/>
                <w:color w:val="auto"/>
              </w:rPr>
            </w:pPr>
          </w:p>
        </w:tc>
      </w:tr>
      <w:tr>
        <w:trPr>
          <w:trHeight w:val="255"/>
        </w:trPr>
        <w:tc>
          <w:tcPr>
            <w:tcW w:w="3400" w:type="dxa"/>
            <w:vAlign w:val="bottom"/>
            <w:gridSpan w:val="2"/>
            <w:shd w:val="clear" w:color="auto" w:fill="023C5B"/>
          </w:tcPr>
          <w:p>
            <w:pPr>
              <w:spacing w:after="0"/>
              <w:rPr>
                <w:sz w:val="20"/>
                <w:szCs w:val="20"/>
                <w:color w:val="auto"/>
              </w:rPr>
            </w:pPr>
            <w:r>
              <w:rPr>
                <w:rFonts w:ascii="Arial" w:cs="Arial" w:eastAsia="Arial" w:hAnsi="Arial"/>
                <w:sz w:val="16"/>
                <w:szCs w:val="16"/>
                <w:b w:val="1"/>
                <w:bCs w:val="1"/>
                <w:color w:val="FFFFFF"/>
              </w:rPr>
              <w:t> Name</w:t>
            </w:r>
          </w:p>
        </w:tc>
        <w:tc>
          <w:tcPr>
            <w:tcW w:w="880" w:type="dxa"/>
            <w:vAlign w:val="bottom"/>
            <w:shd w:val="clear" w:color="auto" w:fill="023C5B"/>
          </w:tcPr>
          <w:p>
            <w:pPr>
              <w:ind w:left="320"/>
              <w:spacing w:after="0"/>
              <w:rPr>
                <w:sz w:val="20"/>
                <w:szCs w:val="20"/>
                <w:color w:val="auto"/>
              </w:rPr>
            </w:pPr>
            <w:r>
              <w:rPr>
                <w:rFonts w:ascii="Arial" w:cs="Arial" w:eastAsia="Arial" w:hAnsi="Arial"/>
                <w:sz w:val="16"/>
                <w:szCs w:val="16"/>
                <w:b w:val="1"/>
                <w:bCs w:val="1"/>
                <w:color w:val="FFFFFF"/>
                <w:w w:val="84"/>
              </w:rPr>
              <w:t>Salary </w:t>
            </w:r>
          </w:p>
        </w:tc>
        <w:tc>
          <w:tcPr>
            <w:tcW w:w="480" w:type="dxa"/>
            <w:vAlign w:val="bottom"/>
            <w:gridSpan w:val="3"/>
            <w:shd w:val="clear" w:color="auto" w:fill="023C5B"/>
          </w:tcPr>
          <w:p>
            <w:pPr>
              <w:ind w:left="80"/>
              <w:spacing w:after="0"/>
              <w:rPr>
                <w:sz w:val="20"/>
                <w:szCs w:val="20"/>
                <w:color w:val="auto"/>
              </w:rPr>
            </w:pPr>
            <w:r>
              <w:rPr>
                <w:rFonts w:ascii="Arial" w:cs="Arial" w:eastAsia="Arial" w:hAnsi="Arial"/>
                <w:sz w:val="16"/>
                <w:szCs w:val="16"/>
                <w:b w:val="1"/>
                <w:bCs w:val="1"/>
                <w:color w:val="FFFFFF"/>
              </w:rPr>
              <w:t> </w:t>
            </w:r>
          </w:p>
        </w:tc>
        <w:tc>
          <w:tcPr>
            <w:tcW w:w="1340" w:type="dxa"/>
            <w:vAlign w:val="bottom"/>
            <w:gridSpan w:val="3"/>
            <w:shd w:val="clear" w:color="auto" w:fill="023C5B"/>
          </w:tcPr>
          <w:p>
            <w:pPr>
              <w:ind w:left="140"/>
              <w:spacing w:after="0"/>
              <w:rPr>
                <w:sz w:val="20"/>
                <w:szCs w:val="20"/>
                <w:color w:val="auto"/>
              </w:rPr>
            </w:pPr>
            <w:r>
              <w:rPr>
                <w:rFonts w:ascii="Arial" w:cs="Arial" w:eastAsia="Arial" w:hAnsi="Arial"/>
                <w:sz w:val="16"/>
                <w:szCs w:val="16"/>
                <w:b w:val="1"/>
                <w:bCs w:val="1"/>
                <w:color w:val="FFFFFF"/>
              </w:rPr>
              <w:t xml:space="preserve">Incentive    </w:t>
            </w:r>
          </w:p>
        </w:tc>
        <w:tc>
          <w:tcPr>
            <w:tcW w:w="800" w:type="dxa"/>
            <w:vAlign w:val="bottom"/>
            <w:shd w:val="clear" w:color="auto" w:fill="023C5B"/>
          </w:tcPr>
          <w:p>
            <w:pPr>
              <w:jc w:val="center"/>
              <w:ind w:left="55"/>
              <w:spacing w:after="0"/>
              <w:rPr>
                <w:sz w:val="20"/>
                <w:szCs w:val="20"/>
                <w:color w:val="auto"/>
              </w:rPr>
            </w:pPr>
            <w:r>
              <w:rPr>
                <w:rFonts w:ascii="Arial" w:cs="Arial" w:eastAsia="Arial" w:hAnsi="Arial"/>
                <w:sz w:val="16"/>
                <w:szCs w:val="16"/>
                <w:b w:val="1"/>
                <w:bCs w:val="1"/>
                <w:color w:val="FFFFFF"/>
                <w:w w:val="78"/>
              </w:rPr>
              <w:t>RSUs </w:t>
            </w:r>
          </w:p>
        </w:tc>
        <w:tc>
          <w:tcPr>
            <w:tcW w:w="460" w:type="dxa"/>
            <w:vAlign w:val="bottom"/>
            <w:gridSpan w:val="3"/>
            <w:shd w:val="clear" w:color="auto" w:fill="023C5B"/>
          </w:tcPr>
          <w:p>
            <w:pPr>
              <w:ind w:left="20"/>
              <w:spacing w:after="0"/>
              <w:rPr>
                <w:sz w:val="20"/>
                <w:szCs w:val="20"/>
                <w:color w:val="auto"/>
              </w:rPr>
            </w:pPr>
            <w:r>
              <w:rPr>
                <w:rFonts w:ascii="Arial" w:cs="Arial" w:eastAsia="Arial" w:hAnsi="Arial"/>
                <w:sz w:val="16"/>
                <w:szCs w:val="16"/>
                <w:b w:val="1"/>
                <w:bCs w:val="1"/>
                <w:color w:val="FFFFFF"/>
              </w:rPr>
              <w:t> </w:t>
            </w:r>
          </w:p>
        </w:tc>
        <w:tc>
          <w:tcPr>
            <w:tcW w:w="1200" w:type="dxa"/>
            <w:vAlign w:val="bottom"/>
            <w:shd w:val="clear" w:color="auto" w:fill="023C5B"/>
          </w:tcPr>
          <w:p>
            <w:pPr>
              <w:ind w:left="280"/>
              <w:spacing w:after="0"/>
              <w:rPr>
                <w:sz w:val="20"/>
                <w:szCs w:val="20"/>
                <w:color w:val="auto"/>
              </w:rPr>
            </w:pPr>
            <w:r>
              <w:rPr>
                <w:rFonts w:ascii="Arial" w:cs="Arial" w:eastAsia="Arial" w:hAnsi="Arial"/>
                <w:sz w:val="16"/>
                <w:szCs w:val="16"/>
                <w:b w:val="1"/>
                <w:bCs w:val="1"/>
                <w:color w:val="FFFFFF"/>
              </w:rPr>
              <w:t xml:space="preserve">Shares    </w:t>
            </w:r>
          </w:p>
        </w:tc>
        <w:tc>
          <w:tcPr>
            <w:tcW w:w="60" w:type="dxa"/>
            <w:vAlign w:val="bottom"/>
            <w:shd w:val="clear" w:color="auto" w:fill="023C5B"/>
          </w:tcPr>
          <w:p>
            <w:pPr>
              <w:spacing w:after="0"/>
              <w:rPr>
                <w:sz w:val="22"/>
                <w:szCs w:val="22"/>
                <w:color w:val="auto"/>
              </w:rPr>
            </w:pPr>
          </w:p>
        </w:tc>
        <w:tc>
          <w:tcPr>
            <w:tcW w:w="2300" w:type="dxa"/>
            <w:vAlign w:val="bottom"/>
            <w:shd w:val="clear" w:color="auto" w:fill="023C5B"/>
          </w:tcPr>
          <w:p>
            <w:pPr>
              <w:jc w:val="center"/>
              <w:ind w:left="133"/>
              <w:spacing w:after="0" w:line="255" w:lineRule="exact"/>
              <w:rPr>
                <w:sz w:val="20"/>
                <w:szCs w:val="20"/>
                <w:color w:val="auto"/>
              </w:rPr>
            </w:pPr>
            <w:r>
              <w:rPr>
                <w:rFonts w:ascii="Arial" w:cs="Arial" w:eastAsia="Arial" w:hAnsi="Arial"/>
                <w:sz w:val="16"/>
                <w:szCs w:val="16"/>
                <w:b w:val="1"/>
                <w:bCs w:val="1"/>
                <w:color w:val="FFFFFF"/>
              </w:rPr>
              <w:t>Total</w:t>
            </w:r>
            <w:r>
              <w:rPr>
                <w:rFonts w:ascii="Arial" w:cs="Arial" w:eastAsia="Arial" w:hAnsi="Arial"/>
                <w:sz w:val="24"/>
                <w:szCs w:val="24"/>
                <w:b w:val="1"/>
                <w:bCs w:val="1"/>
                <w:color w:val="FFFFFF"/>
                <w:vertAlign w:val="superscript"/>
              </w:rPr>
              <w:t>(1)</w:t>
            </w:r>
            <w:r>
              <w:rPr>
                <w:rFonts w:ascii="Arial" w:cs="Arial" w:eastAsia="Arial" w:hAnsi="Arial"/>
                <w:sz w:val="16"/>
                <w:szCs w:val="16"/>
                <w:b w:val="1"/>
                <w:bCs w:val="1"/>
                <w:color w:val="FFFFFF"/>
              </w:rPr>
              <w:t xml:space="preserve">    </w:t>
            </w:r>
          </w:p>
        </w:tc>
      </w:tr>
      <w:tr>
        <w:trPr>
          <w:trHeight w:val="348"/>
        </w:trPr>
        <w:tc>
          <w:tcPr>
            <w:tcW w:w="3360" w:type="dxa"/>
            <w:vAlign w:val="bottom"/>
            <w:shd w:val="clear" w:color="auto" w:fill="E5EBEE"/>
          </w:tcPr>
          <w:p>
            <w:pPr>
              <w:spacing w:after="0"/>
              <w:rPr>
                <w:sz w:val="20"/>
                <w:szCs w:val="20"/>
                <w:color w:val="auto"/>
              </w:rPr>
            </w:pPr>
            <w:r>
              <w:rPr>
                <w:rFonts w:ascii="Arial" w:cs="Arial" w:eastAsia="Arial" w:hAnsi="Arial"/>
                <w:sz w:val="18"/>
                <w:szCs w:val="18"/>
                <w:color w:val="auto"/>
              </w:rPr>
              <w:t> Andrew M. Young</w:t>
            </w:r>
          </w:p>
        </w:tc>
        <w:tc>
          <w:tcPr>
            <w:tcW w:w="40" w:type="dxa"/>
            <w:vAlign w:val="bottom"/>
            <w:shd w:val="clear" w:color="auto" w:fill="E5EBEE"/>
          </w:tcPr>
          <w:p>
            <w:pPr>
              <w:spacing w:after="0"/>
              <w:rPr>
                <w:sz w:val="24"/>
                <w:szCs w:val="24"/>
                <w:color w:val="auto"/>
              </w:rPr>
            </w:pPr>
          </w:p>
        </w:tc>
        <w:tc>
          <w:tcPr>
            <w:tcW w:w="1360" w:type="dxa"/>
            <w:vAlign w:val="bottom"/>
            <w:gridSpan w:val="4"/>
            <w:shd w:val="clear" w:color="auto" w:fill="E5EBEE"/>
          </w:tcPr>
          <w:p>
            <w:pPr>
              <w:ind w:left="120"/>
              <w:spacing w:after="0"/>
              <w:rPr>
                <w:sz w:val="20"/>
                <w:szCs w:val="20"/>
                <w:color w:val="auto"/>
              </w:rPr>
            </w:pPr>
            <w:r>
              <w:rPr>
                <w:rFonts w:ascii="Arial" w:cs="Arial" w:eastAsia="Arial" w:hAnsi="Arial"/>
                <w:sz w:val="18"/>
                <w:szCs w:val="18"/>
                <w:color w:val="auto"/>
              </w:rPr>
              <w:t xml:space="preserve">$1,091,308      </w:t>
            </w:r>
          </w:p>
        </w:tc>
        <w:tc>
          <w:tcPr>
            <w:tcW w:w="1340" w:type="dxa"/>
            <w:vAlign w:val="bottom"/>
            <w:gridSpan w:val="3"/>
            <w:shd w:val="clear" w:color="auto" w:fill="E5EBEE"/>
          </w:tcPr>
          <w:p>
            <w:pPr>
              <w:ind w:left="60"/>
              <w:spacing w:after="0"/>
              <w:rPr>
                <w:sz w:val="20"/>
                <w:szCs w:val="20"/>
                <w:color w:val="auto"/>
              </w:rPr>
            </w:pPr>
            <w:r>
              <w:rPr>
                <w:rFonts w:ascii="Arial" w:cs="Arial" w:eastAsia="Arial" w:hAnsi="Arial"/>
                <w:sz w:val="18"/>
                <w:szCs w:val="18"/>
                <w:color w:val="auto"/>
              </w:rPr>
              <w:t xml:space="preserve">$2,059,500      </w:t>
            </w:r>
          </w:p>
        </w:tc>
        <w:tc>
          <w:tcPr>
            <w:tcW w:w="1260" w:type="dxa"/>
            <w:vAlign w:val="bottom"/>
            <w:gridSpan w:val="4"/>
            <w:shd w:val="clear" w:color="auto" w:fill="E5EBEE"/>
          </w:tcPr>
          <w:p>
            <w:pPr>
              <w:spacing w:after="0"/>
              <w:rPr>
                <w:sz w:val="20"/>
                <w:szCs w:val="20"/>
                <w:color w:val="auto"/>
              </w:rPr>
            </w:pPr>
            <w:r>
              <w:rPr>
                <w:rFonts w:ascii="Arial" w:cs="Arial" w:eastAsia="Arial" w:hAnsi="Arial"/>
                <w:sz w:val="18"/>
                <w:szCs w:val="18"/>
                <w:color w:val="auto"/>
              </w:rPr>
              <w:t xml:space="preserve">$1,509,555      </w:t>
            </w:r>
          </w:p>
        </w:tc>
        <w:tc>
          <w:tcPr>
            <w:tcW w:w="1200" w:type="dxa"/>
            <w:vAlign w:val="bottom"/>
            <w:shd w:val="clear" w:color="auto" w:fill="E5EBEE"/>
          </w:tcPr>
          <w:p>
            <w:pPr>
              <w:jc w:val="center"/>
              <w:ind w:left="14"/>
              <w:spacing w:after="0"/>
              <w:rPr>
                <w:sz w:val="20"/>
                <w:szCs w:val="20"/>
                <w:color w:val="auto"/>
              </w:rPr>
            </w:pPr>
            <w:r>
              <w:rPr>
                <w:rFonts w:ascii="Arial" w:cs="Arial" w:eastAsia="Arial" w:hAnsi="Arial"/>
                <w:sz w:val="18"/>
                <w:szCs w:val="18"/>
                <w:color w:val="auto"/>
                <w:w w:val="94"/>
              </w:rPr>
              <w:t>$1,811,511    </w:t>
            </w:r>
          </w:p>
        </w:tc>
        <w:tc>
          <w:tcPr>
            <w:tcW w:w="60" w:type="dxa"/>
            <w:vAlign w:val="bottom"/>
            <w:shd w:val="clear" w:color="auto" w:fill="E5EBEE"/>
          </w:tcPr>
          <w:p>
            <w:pPr>
              <w:spacing w:after="0"/>
              <w:rPr>
                <w:sz w:val="24"/>
                <w:szCs w:val="24"/>
                <w:color w:val="auto"/>
              </w:rPr>
            </w:pPr>
          </w:p>
        </w:tc>
        <w:tc>
          <w:tcPr>
            <w:tcW w:w="2300" w:type="dxa"/>
            <w:vAlign w:val="bottom"/>
            <w:shd w:val="clear" w:color="auto" w:fill="E5EBEE"/>
          </w:tcPr>
          <w:p>
            <w:pPr>
              <w:jc w:val="center"/>
              <w:ind w:left="133"/>
              <w:spacing w:after="0"/>
              <w:rPr>
                <w:sz w:val="20"/>
                <w:szCs w:val="20"/>
                <w:color w:val="auto"/>
              </w:rPr>
            </w:pPr>
            <w:r>
              <w:rPr>
                <w:rFonts w:ascii="Arial" w:cs="Arial" w:eastAsia="Arial" w:hAnsi="Arial"/>
                <w:sz w:val="18"/>
                <w:szCs w:val="18"/>
                <w:color w:val="auto"/>
                <w:w w:val="96"/>
              </w:rPr>
              <w:t>$6,471,874    </w:t>
            </w:r>
          </w:p>
        </w:tc>
      </w:tr>
      <w:tr>
        <w:trPr>
          <w:trHeight w:val="20"/>
        </w:trPr>
        <w:tc>
          <w:tcPr>
            <w:tcW w:w="3360" w:type="dxa"/>
            <w:vAlign w:val="bottom"/>
            <w:shd w:val="clear" w:color="auto" w:fill="023C5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shd w:val="clear" w:color="auto" w:fill="023C5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23C5B"/>
          </w:tcPr>
          <w:p>
            <w:pPr>
              <w:spacing w:after="0" w:line="20" w:lineRule="exact"/>
              <w:rPr>
                <w:sz w:val="1"/>
                <w:szCs w:val="1"/>
                <w:color w:val="auto"/>
              </w:rPr>
            </w:pPr>
          </w:p>
        </w:tc>
        <w:tc>
          <w:tcPr>
            <w:tcW w:w="1100" w:type="dxa"/>
            <w:vAlign w:val="bottom"/>
            <w:shd w:val="clear" w:color="auto" w:fill="023C5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23C5B"/>
          </w:tcPr>
          <w:p>
            <w:pPr>
              <w:spacing w:after="0" w:line="20" w:lineRule="exact"/>
              <w:rPr>
                <w:sz w:val="1"/>
                <w:szCs w:val="1"/>
                <w:color w:val="auto"/>
              </w:rPr>
            </w:pPr>
          </w:p>
        </w:tc>
        <w:tc>
          <w:tcPr>
            <w:tcW w:w="1060" w:type="dxa"/>
            <w:vAlign w:val="bottom"/>
            <w:gridSpan w:val="2"/>
            <w:shd w:val="clear" w:color="auto" w:fill="023C5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23C5B"/>
          </w:tcPr>
          <w:p>
            <w:pPr>
              <w:spacing w:after="0" w:line="20" w:lineRule="exact"/>
              <w:rPr>
                <w:sz w:val="1"/>
                <w:szCs w:val="1"/>
                <w:color w:val="auto"/>
              </w:rPr>
            </w:pPr>
          </w:p>
        </w:tc>
        <w:tc>
          <w:tcPr>
            <w:tcW w:w="1200" w:type="dxa"/>
            <w:vAlign w:val="bottom"/>
            <w:shd w:val="clear" w:color="auto" w:fill="023C5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shd w:val="clear" w:color="auto" w:fill="023C5B"/>
          </w:tcPr>
          <w:p>
            <w:pPr>
              <w:spacing w:after="0" w:line="20" w:lineRule="exact"/>
              <w:rPr>
                <w:sz w:val="1"/>
                <w:szCs w:val="1"/>
                <w:color w:val="auto"/>
              </w:rPr>
            </w:pPr>
          </w:p>
        </w:tc>
      </w:tr>
      <w:tr>
        <w:trPr>
          <w:trHeight w:val="328"/>
        </w:trPr>
        <w:tc>
          <w:tcPr>
            <w:tcW w:w="3360" w:type="dxa"/>
            <w:vAlign w:val="bottom"/>
          </w:tcPr>
          <w:p>
            <w:pPr>
              <w:spacing w:after="0"/>
              <w:rPr>
                <w:sz w:val="20"/>
                <w:szCs w:val="20"/>
                <w:color w:val="auto"/>
              </w:rPr>
            </w:pPr>
            <w:r>
              <w:rPr>
                <w:rFonts w:ascii="Arial" w:cs="Arial" w:eastAsia="Arial" w:hAnsi="Arial"/>
                <w:sz w:val="18"/>
                <w:szCs w:val="18"/>
                <w:color w:val="auto"/>
              </w:rPr>
              <w:t> Matthew W. Cooper</w:t>
            </w:r>
          </w:p>
        </w:tc>
        <w:tc>
          <w:tcPr>
            <w:tcW w:w="40" w:type="dxa"/>
            <w:vAlign w:val="bottom"/>
          </w:tcPr>
          <w:p>
            <w:pPr>
              <w:spacing w:after="0"/>
              <w:rPr>
                <w:sz w:val="24"/>
                <w:szCs w:val="24"/>
                <w:color w:val="auto"/>
              </w:rPr>
            </w:pPr>
          </w:p>
        </w:tc>
        <w:tc>
          <w:tcPr>
            <w:tcW w:w="1360" w:type="dxa"/>
            <w:vAlign w:val="bottom"/>
            <w:gridSpan w:val="4"/>
          </w:tcPr>
          <w:p>
            <w:pPr>
              <w:ind w:left="120"/>
              <w:spacing w:after="0"/>
              <w:rPr>
                <w:sz w:val="20"/>
                <w:szCs w:val="20"/>
                <w:color w:val="auto"/>
              </w:rPr>
            </w:pPr>
            <w:r>
              <w:rPr>
                <w:rFonts w:ascii="Arial" w:cs="Arial" w:eastAsia="Arial" w:hAnsi="Arial"/>
                <w:sz w:val="18"/>
                <w:szCs w:val="18"/>
                <w:color w:val="auto"/>
              </w:rPr>
              <w:t xml:space="preserve">$1,260,846      </w:t>
            </w: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 xml:space="preserve">$2,400,000      </w:t>
            </w:r>
          </w:p>
        </w:tc>
        <w:tc>
          <w:tcPr>
            <w:tcW w:w="1260" w:type="dxa"/>
            <w:vAlign w:val="bottom"/>
            <w:gridSpan w:val="4"/>
          </w:tcPr>
          <w:p>
            <w:pPr>
              <w:spacing w:after="0"/>
              <w:rPr>
                <w:sz w:val="20"/>
                <w:szCs w:val="20"/>
                <w:color w:val="auto"/>
              </w:rPr>
            </w:pPr>
            <w:r>
              <w:rPr>
                <w:rFonts w:ascii="Arial" w:cs="Arial" w:eastAsia="Arial" w:hAnsi="Arial"/>
                <w:sz w:val="18"/>
                <w:szCs w:val="18"/>
                <w:color w:val="auto"/>
              </w:rPr>
              <w:t xml:space="preserve">$1,840,098      </w:t>
            </w:r>
          </w:p>
        </w:tc>
        <w:tc>
          <w:tcPr>
            <w:tcW w:w="1200" w:type="dxa"/>
            <w:vAlign w:val="bottom"/>
          </w:tcPr>
          <w:p>
            <w:pPr>
              <w:jc w:val="center"/>
              <w:spacing w:after="0"/>
              <w:rPr>
                <w:sz w:val="20"/>
                <w:szCs w:val="20"/>
                <w:color w:val="auto"/>
              </w:rPr>
            </w:pPr>
            <w:r>
              <w:rPr>
                <w:rFonts w:ascii="Arial" w:cs="Arial" w:eastAsia="Arial" w:hAnsi="Arial"/>
                <w:sz w:val="18"/>
                <w:szCs w:val="18"/>
                <w:color w:val="auto"/>
                <w:w w:val="96"/>
              </w:rPr>
              <w:t>$2,208,163    </w:t>
            </w:r>
          </w:p>
        </w:tc>
        <w:tc>
          <w:tcPr>
            <w:tcW w:w="60" w:type="dxa"/>
            <w:vAlign w:val="bottom"/>
          </w:tcPr>
          <w:p>
            <w:pPr>
              <w:spacing w:after="0"/>
              <w:rPr>
                <w:sz w:val="24"/>
                <w:szCs w:val="24"/>
                <w:color w:val="auto"/>
              </w:rPr>
            </w:pPr>
          </w:p>
        </w:tc>
        <w:tc>
          <w:tcPr>
            <w:tcW w:w="2300" w:type="dxa"/>
            <w:vAlign w:val="bottom"/>
          </w:tcPr>
          <w:p>
            <w:pPr>
              <w:jc w:val="center"/>
              <w:ind w:left="133"/>
              <w:spacing w:after="0"/>
              <w:rPr>
                <w:sz w:val="20"/>
                <w:szCs w:val="20"/>
                <w:color w:val="auto"/>
              </w:rPr>
            </w:pPr>
            <w:r>
              <w:rPr>
                <w:rFonts w:ascii="Arial" w:cs="Arial" w:eastAsia="Arial" w:hAnsi="Arial"/>
                <w:sz w:val="18"/>
                <w:szCs w:val="18"/>
                <w:color w:val="auto"/>
                <w:w w:val="96"/>
              </w:rPr>
              <w:t>$7,709,107    </w:t>
            </w:r>
          </w:p>
        </w:tc>
      </w:tr>
      <w:tr>
        <w:trPr>
          <w:trHeight w:val="20"/>
        </w:trPr>
        <w:tc>
          <w:tcPr>
            <w:tcW w:w="3360" w:type="dxa"/>
            <w:vAlign w:val="bottom"/>
            <w:shd w:val="clear" w:color="auto" w:fill="023C5B"/>
          </w:tcPr>
          <w:p>
            <w:pPr>
              <w:spacing w:after="0" w:line="20" w:lineRule="exact"/>
              <w:rPr>
                <w:sz w:val="1"/>
                <w:szCs w:val="1"/>
                <w:color w:val="auto"/>
              </w:rPr>
            </w:pPr>
          </w:p>
        </w:tc>
        <w:tc>
          <w:tcPr>
            <w:tcW w:w="40" w:type="dxa"/>
            <w:vAlign w:val="bottom"/>
            <w:shd w:val="clear" w:color="auto" w:fill="E5EBEE"/>
          </w:tcPr>
          <w:p>
            <w:pPr>
              <w:spacing w:after="0" w:line="20" w:lineRule="exact"/>
              <w:rPr>
                <w:sz w:val="1"/>
                <w:szCs w:val="1"/>
                <w:color w:val="auto"/>
              </w:rPr>
            </w:pPr>
          </w:p>
        </w:tc>
        <w:tc>
          <w:tcPr>
            <w:tcW w:w="1160" w:type="dxa"/>
            <w:vAlign w:val="bottom"/>
            <w:gridSpan w:val="2"/>
            <w:shd w:val="clear" w:color="auto" w:fill="023C5B"/>
          </w:tcPr>
          <w:p>
            <w:pPr>
              <w:spacing w:after="0" w:line="20" w:lineRule="exact"/>
              <w:rPr>
                <w:sz w:val="1"/>
                <w:szCs w:val="1"/>
                <w:color w:val="auto"/>
              </w:rPr>
            </w:pPr>
          </w:p>
        </w:tc>
        <w:tc>
          <w:tcPr>
            <w:tcW w:w="60" w:type="dxa"/>
            <w:vAlign w:val="bottom"/>
            <w:shd w:val="clear" w:color="auto" w:fill="E5EBEE"/>
          </w:tcPr>
          <w:p>
            <w:pPr>
              <w:spacing w:after="0" w:line="20" w:lineRule="exact"/>
              <w:rPr>
                <w:sz w:val="1"/>
                <w:szCs w:val="1"/>
                <w:color w:val="auto"/>
              </w:rPr>
            </w:pPr>
          </w:p>
        </w:tc>
        <w:tc>
          <w:tcPr>
            <w:tcW w:w="140" w:type="dxa"/>
            <w:vAlign w:val="bottom"/>
            <w:shd w:val="clear" w:color="auto" w:fill="023C5B"/>
          </w:tcPr>
          <w:p>
            <w:pPr>
              <w:spacing w:after="0" w:line="20" w:lineRule="exact"/>
              <w:rPr>
                <w:sz w:val="1"/>
                <w:szCs w:val="1"/>
                <w:color w:val="auto"/>
              </w:rPr>
            </w:pPr>
          </w:p>
        </w:tc>
        <w:tc>
          <w:tcPr>
            <w:tcW w:w="1100" w:type="dxa"/>
            <w:vAlign w:val="bottom"/>
            <w:shd w:val="clear" w:color="auto" w:fill="023C5B"/>
          </w:tcPr>
          <w:p>
            <w:pPr>
              <w:spacing w:after="0" w:line="20" w:lineRule="exact"/>
              <w:rPr>
                <w:sz w:val="1"/>
                <w:szCs w:val="1"/>
                <w:color w:val="auto"/>
              </w:rPr>
            </w:pPr>
          </w:p>
        </w:tc>
        <w:tc>
          <w:tcPr>
            <w:tcW w:w="60" w:type="dxa"/>
            <w:vAlign w:val="bottom"/>
            <w:shd w:val="clear" w:color="auto" w:fill="E5EBEE"/>
          </w:tcPr>
          <w:p>
            <w:pPr>
              <w:spacing w:after="0" w:line="20" w:lineRule="exact"/>
              <w:rPr>
                <w:sz w:val="1"/>
                <w:szCs w:val="1"/>
                <w:color w:val="auto"/>
              </w:rPr>
            </w:pPr>
          </w:p>
        </w:tc>
        <w:tc>
          <w:tcPr>
            <w:tcW w:w="180" w:type="dxa"/>
            <w:vAlign w:val="bottom"/>
            <w:shd w:val="clear" w:color="auto" w:fill="023C5B"/>
          </w:tcPr>
          <w:p>
            <w:pPr>
              <w:spacing w:after="0" w:line="20" w:lineRule="exact"/>
              <w:rPr>
                <w:sz w:val="1"/>
                <w:szCs w:val="1"/>
                <w:color w:val="auto"/>
              </w:rPr>
            </w:pPr>
          </w:p>
        </w:tc>
        <w:tc>
          <w:tcPr>
            <w:tcW w:w="1060" w:type="dxa"/>
            <w:vAlign w:val="bottom"/>
            <w:gridSpan w:val="2"/>
            <w:shd w:val="clear" w:color="auto" w:fill="023C5B"/>
          </w:tcPr>
          <w:p>
            <w:pPr>
              <w:spacing w:after="0" w:line="20" w:lineRule="exact"/>
              <w:rPr>
                <w:sz w:val="1"/>
                <w:szCs w:val="1"/>
                <w:color w:val="auto"/>
              </w:rPr>
            </w:pPr>
          </w:p>
        </w:tc>
        <w:tc>
          <w:tcPr>
            <w:tcW w:w="60" w:type="dxa"/>
            <w:vAlign w:val="bottom"/>
            <w:shd w:val="clear" w:color="auto" w:fill="E5EBEE"/>
          </w:tcPr>
          <w:p>
            <w:pPr>
              <w:spacing w:after="0" w:line="20" w:lineRule="exact"/>
              <w:rPr>
                <w:sz w:val="1"/>
                <w:szCs w:val="1"/>
                <w:color w:val="auto"/>
              </w:rPr>
            </w:pPr>
          </w:p>
        </w:tc>
        <w:tc>
          <w:tcPr>
            <w:tcW w:w="140" w:type="dxa"/>
            <w:vAlign w:val="bottom"/>
            <w:shd w:val="clear" w:color="auto" w:fill="023C5B"/>
          </w:tcPr>
          <w:p>
            <w:pPr>
              <w:spacing w:after="0" w:line="20" w:lineRule="exact"/>
              <w:rPr>
                <w:sz w:val="1"/>
                <w:szCs w:val="1"/>
                <w:color w:val="auto"/>
              </w:rPr>
            </w:pPr>
          </w:p>
        </w:tc>
        <w:tc>
          <w:tcPr>
            <w:tcW w:w="1200" w:type="dxa"/>
            <w:vAlign w:val="bottom"/>
            <w:shd w:val="clear" w:color="auto" w:fill="023C5B"/>
          </w:tcPr>
          <w:p>
            <w:pPr>
              <w:spacing w:after="0" w:line="20" w:lineRule="exact"/>
              <w:rPr>
                <w:sz w:val="1"/>
                <w:szCs w:val="1"/>
                <w:color w:val="auto"/>
              </w:rPr>
            </w:pPr>
          </w:p>
        </w:tc>
        <w:tc>
          <w:tcPr>
            <w:tcW w:w="60" w:type="dxa"/>
            <w:vAlign w:val="bottom"/>
            <w:shd w:val="clear" w:color="auto" w:fill="E5EBEE"/>
          </w:tcPr>
          <w:p>
            <w:pPr>
              <w:spacing w:after="0" w:line="20" w:lineRule="exact"/>
              <w:rPr>
                <w:sz w:val="1"/>
                <w:szCs w:val="1"/>
                <w:color w:val="auto"/>
              </w:rPr>
            </w:pPr>
          </w:p>
        </w:tc>
        <w:tc>
          <w:tcPr>
            <w:tcW w:w="2300" w:type="dxa"/>
            <w:vAlign w:val="bottom"/>
            <w:shd w:val="clear" w:color="auto" w:fill="023C5B"/>
          </w:tcPr>
          <w:p>
            <w:pPr>
              <w:spacing w:after="0" w:line="20" w:lineRule="exact"/>
              <w:rPr>
                <w:sz w:val="1"/>
                <w:szCs w:val="1"/>
                <w:color w:val="auto"/>
              </w:rPr>
            </w:pPr>
          </w:p>
        </w:tc>
      </w:tr>
      <w:tr>
        <w:trPr>
          <w:trHeight w:val="328"/>
        </w:trPr>
        <w:tc>
          <w:tcPr>
            <w:tcW w:w="3360" w:type="dxa"/>
            <w:vAlign w:val="bottom"/>
            <w:shd w:val="clear" w:color="auto" w:fill="E5EBEE"/>
          </w:tcPr>
          <w:p>
            <w:pPr>
              <w:spacing w:after="0"/>
              <w:rPr>
                <w:sz w:val="20"/>
                <w:szCs w:val="20"/>
                <w:color w:val="auto"/>
              </w:rPr>
            </w:pPr>
            <w:r>
              <w:rPr>
                <w:rFonts w:ascii="Arial" w:cs="Arial" w:eastAsia="Arial" w:hAnsi="Arial"/>
                <w:sz w:val="18"/>
                <w:szCs w:val="18"/>
                <w:color w:val="auto"/>
              </w:rPr>
              <w:t> Mark Daniel Mouadeb</w:t>
            </w:r>
          </w:p>
        </w:tc>
        <w:tc>
          <w:tcPr>
            <w:tcW w:w="40" w:type="dxa"/>
            <w:vAlign w:val="bottom"/>
            <w:shd w:val="clear" w:color="auto" w:fill="E5EBEE"/>
          </w:tcPr>
          <w:p>
            <w:pPr>
              <w:spacing w:after="0"/>
              <w:rPr>
                <w:sz w:val="24"/>
                <w:szCs w:val="24"/>
                <w:color w:val="auto"/>
              </w:rPr>
            </w:pPr>
          </w:p>
        </w:tc>
        <w:tc>
          <w:tcPr>
            <w:tcW w:w="1360" w:type="dxa"/>
            <w:vAlign w:val="bottom"/>
            <w:gridSpan w:val="4"/>
            <w:shd w:val="clear" w:color="auto" w:fill="E5EBEE"/>
          </w:tcPr>
          <w:p>
            <w:pPr>
              <w:ind w:left="120"/>
              <w:spacing w:after="0"/>
              <w:rPr>
                <w:sz w:val="20"/>
                <w:szCs w:val="20"/>
                <w:color w:val="auto"/>
              </w:rPr>
            </w:pPr>
            <w:r>
              <w:rPr>
                <w:rFonts w:ascii="Arial" w:cs="Arial" w:eastAsia="Arial" w:hAnsi="Arial"/>
                <w:sz w:val="18"/>
                <w:szCs w:val="18"/>
                <w:color w:val="auto"/>
              </w:rPr>
              <w:t xml:space="preserve">$1,271,923      </w:t>
            </w:r>
          </w:p>
        </w:tc>
        <w:tc>
          <w:tcPr>
            <w:tcW w:w="1340" w:type="dxa"/>
            <w:vAlign w:val="bottom"/>
            <w:gridSpan w:val="3"/>
            <w:shd w:val="clear" w:color="auto" w:fill="E5EBEE"/>
          </w:tcPr>
          <w:p>
            <w:pPr>
              <w:ind w:left="60"/>
              <w:spacing w:after="0"/>
              <w:rPr>
                <w:sz w:val="20"/>
                <w:szCs w:val="20"/>
                <w:color w:val="auto"/>
              </w:rPr>
            </w:pPr>
            <w:r>
              <w:rPr>
                <w:rFonts w:ascii="Arial" w:cs="Arial" w:eastAsia="Arial" w:hAnsi="Arial"/>
                <w:sz w:val="18"/>
                <w:szCs w:val="18"/>
                <w:color w:val="auto"/>
              </w:rPr>
              <w:t xml:space="preserve">$2,457,000      </w:t>
            </w:r>
          </w:p>
        </w:tc>
        <w:tc>
          <w:tcPr>
            <w:tcW w:w="1260" w:type="dxa"/>
            <w:vAlign w:val="bottom"/>
            <w:gridSpan w:val="4"/>
            <w:shd w:val="clear" w:color="auto" w:fill="E5EBEE"/>
          </w:tcPr>
          <w:p>
            <w:pPr>
              <w:spacing w:after="0"/>
              <w:rPr>
                <w:sz w:val="20"/>
                <w:szCs w:val="20"/>
                <w:color w:val="auto"/>
              </w:rPr>
            </w:pPr>
            <w:r>
              <w:rPr>
                <w:rFonts w:ascii="Arial" w:cs="Arial" w:eastAsia="Arial" w:hAnsi="Arial"/>
                <w:sz w:val="18"/>
                <w:szCs w:val="18"/>
                <w:color w:val="auto"/>
              </w:rPr>
              <w:t xml:space="preserve">$1,637,306      </w:t>
            </w:r>
          </w:p>
        </w:tc>
        <w:tc>
          <w:tcPr>
            <w:tcW w:w="1200" w:type="dxa"/>
            <w:vAlign w:val="bottom"/>
            <w:shd w:val="clear" w:color="auto" w:fill="E5EBEE"/>
          </w:tcPr>
          <w:p>
            <w:pPr>
              <w:jc w:val="center"/>
              <w:spacing w:after="0"/>
              <w:rPr>
                <w:sz w:val="20"/>
                <w:szCs w:val="20"/>
                <w:color w:val="auto"/>
              </w:rPr>
            </w:pPr>
            <w:r>
              <w:rPr>
                <w:rFonts w:ascii="Arial" w:cs="Arial" w:eastAsia="Arial" w:hAnsi="Arial"/>
                <w:sz w:val="18"/>
                <w:szCs w:val="18"/>
                <w:color w:val="auto"/>
                <w:w w:val="96"/>
              </w:rPr>
              <w:t>$1,964,945    </w:t>
            </w:r>
          </w:p>
        </w:tc>
        <w:tc>
          <w:tcPr>
            <w:tcW w:w="60" w:type="dxa"/>
            <w:vAlign w:val="bottom"/>
            <w:shd w:val="clear" w:color="auto" w:fill="E5EBEE"/>
          </w:tcPr>
          <w:p>
            <w:pPr>
              <w:spacing w:after="0"/>
              <w:rPr>
                <w:sz w:val="24"/>
                <w:szCs w:val="24"/>
                <w:color w:val="auto"/>
              </w:rPr>
            </w:pPr>
          </w:p>
        </w:tc>
        <w:tc>
          <w:tcPr>
            <w:tcW w:w="2300" w:type="dxa"/>
            <w:vAlign w:val="bottom"/>
            <w:shd w:val="clear" w:color="auto" w:fill="E5EBEE"/>
          </w:tcPr>
          <w:p>
            <w:pPr>
              <w:jc w:val="center"/>
              <w:ind w:left="133"/>
              <w:spacing w:after="0"/>
              <w:rPr>
                <w:sz w:val="20"/>
                <w:szCs w:val="20"/>
                <w:color w:val="auto"/>
              </w:rPr>
            </w:pPr>
            <w:r>
              <w:rPr>
                <w:rFonts w:ascii="Arial" w:cs="Arial" w:eastAsia="Arial" w:hAnsi="Arial"/>
                <w:sz w:val="18"/>
                <w:szCs w:val="18"/>
                <w:color w:val="auto"/>
                <w:w w:val="96"/>
              </w:rPr>
              <w:t>$7,331,174    </w:t>
            </w:r>
          </w:p>
        </w:tc>
      </w:tr>
      <w:tr>
        <w:trPr>
          <w:trHeight w:val="20"/>
        </w:trPr>
        <w:tc>
          <w:tcPr>
            <w:tcW w:w="3360" w:type="dxa"/>
            <w:vAlign w:val="bottom"/>
            <w:shd w:val="clear" w:color="auto" w:fill="023C5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shd w:val="clear" w:color="auto" w:fill="023C5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23C5B"/>
          </w:tcPr>
          <w:p>
            <w:pPr>
              <w:spacing w:after="0" w:line="20" w:lineRule="exact"/>
              <w:rPr>
                <w:sz w:val="1"/>
                <w:szCs w:val="1"/>
                <w:color w:val="auto"/>
              </w:rPr>
            </w:pPr>
          </w:p>
        </w:tc>
        <w:tc>
          <w:tcPr>
            <w:tcW w:w="1100" w:type="dxa"/>
            <w:vAlign w:val="bottom"/>
            <w:shd w:val="clear" w:color="auto" w:fill="023C5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23C5B"/>
          </w:tcPr>
          <w:p>
            <w:pPr>
              <w:spacing w:after="0" w:line="20" w:lineRule="exact"/>
              <w:rPr>
                <w:sz w:val="1"/>
                <w:szCs w:val="1"/>
                <w:color w:val="auto"/>
              </w:rPr>
            </w:pPr>
          </w:p>
        </w:tc>
        <w:tc>
          <w:tcPr>
            <w:tcW w:w="1060" w:type="dxa"/>
            <w:vAlign w:val="bottom"/>
            <w:gridSpan w:val="2"/>
            <w:shd w:val="clear" w:color="auto" w:fill="023C5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23C5B"/>
          </w:tcPr>
          <w:p>
            <w:pPr>
              <w:spacing w:after="0" w:line="20" w:lineRule="exact"/>
              <w:rPr>
                <w:sz w:val="1"/>
                <w:szCs w:val="1"/>
                <w:color w:val="auto"/>
              </w:rPr>
            </w:pPr>
          </w:p>
        </w:tc>
        <w:tc>
          <w:tcPr>
            <w:tcW w:w="1200" w:type="dxa"/>
            <w:vAlign w:val="bottom"/>
            <w:shd w:val="clear" w:color="auto" w:fill="023C5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shd w:val="clear" w:color="auto" w:fill="023C5B"/>
          </w:tcPr>
          <w:p>
            <w:pPr>
              <w:spacing w:after="0" w:line="20" w:lineRule="exact"/>
              <w:rPr>
                <w:sz w:val="1"/>
                <w:szCs w:val="1"/>
                <w:color w:val="auto"/>
              </w:rPr>
            </w:pPr>
          </w:p>
        </w:tc>
      </w:tr>
      <w:tr>
        <w:trPr>
          <w:trHeight w:val="328"/>
        </w:trPr>
        <w:tc>
          <w:tcPr>
            <w:tcW w:w="3360" w:type="dxa"/>
            <w:vAlign w:val="bottom"/>
            <w:tcBorders>
              <w:bottom w:val="single" w:sz="8" w:color="023C5B"/>
            </w:tcBorders>
          </w:tcPr>
          <w:p>
            <w:pPr>
              <w:spacing w:after="0"/>
              <w:rPr>
                <w:sz w:val="20"/>
                <w:szCs w:val="20"/>
                <w:color w:val="auto"/>
              </w:rPr>
            </w:pPr>
            <w:r>
              <w:rPr>
                <w:rFonts w:ascii="Arial" w:cs="Arial" w:eastAsia="Arial" w:hAnsi="Arial"/>
                <w:sz w:val="18"/>
                <w:szCs w:val="18"/>
                <w:color w:val="auto"/>
              </w:rPr>
              <w:t> Frank G. LaPrade, III</w:t>
            </w:r>
          </w:p>
        </w:tc>
        <w:tc>
          <w:tcPr>
            <w:tcW w:w="40" w:type="dxa"/>
            <w:vAlign w:val="bottom"/>
            <w:tcBorders>
              <w:bottom w:val="single" w:sz="8" w:color="023C5B"/>
            </w:tcBorders>
          </w:tcPr>
          <w:p>
            <w:pPr>
              <w:spacing w:after="0"/>
              <w:rPr>
                <w:sz w:val="24"/>
                <w:szCs w:val="24"/>
                <w:color w:val="auto"/>
              </w:rPr>
            </w:pPr>
          </w:p>
        </w:tc>
        <w:tc>
          <w:tcPr>
            <w:tcW w:w="1360" w:type="dxa"/>
            <w:vAlign w:val="bottom"/>
            <w:tcBorders>
              <w:bottom w:val="single" w:sz="8" w:color="023C5B"/>
            </w:tcBorders>
            <w:gridSpan w:val="4"/>
          </w:tcPr>
          <w:p>
            <w:pPr>
              <w:ind w:left="120"/>
              <w:spacing w:after="0"/>
              <w:rPr>
                <w:sz w:val="20"/>
                <w:szCs w:val="20"/>
                <w:color w:val="auto"/>
              </w:rPr>
            </w:pPr>
            <w:r>
              <w:rPr>
                <w:rFonts w:ascii="Arial" w:cs="Arial" w:eastAsia="Arial" w:hAnsi="Arial"/>
                <w:sz w:val="18"/>
                <w:szCs w:val="18"/>
                <w:color w:val="auto"/>
              </w:rPr>
              <w:t xml:space="preserve">$1,448,154      </w:t>
            </w:r>
          </w:p>
        </w:tc>
        <w:tc>
          <w:tcPr>
            <w:tcW w:w="1340" w:type="dxa"/>
            <w:vAlign w:val="bottom"/>
            <w:tcBorders>
              <w:bottom w:val="single" w:sz="8" w:color="023C5B"/>
            </w:tcBorders>
            <w:gridSpan w:val="3"/>
          </w:tcPr>
          <w:p>
            <w:pPr>
              <w:ind w:left="60"/>
              <w:spacing w:after="0"/>
              <w:rPr>
                <w:sz w:val="20"/>
                <w:szCs w:val="20"/>
                <w:color w:val="auto"/>
              </w:rPr>
            </w:pPr>
            <w:r>
              <w:rPr>
                <w:rFonts w:ascii="Arial" w:cs="Arial" w:eastAsia="Arial" w:hAnsi="Arial"/>
                <w:sz w:val="18"/>
                <w:szCs w:val="18"/>
                <w:color w:val="auto"/>
              </w:rPr>
              <w:t xml:space="preserve">$2,730,000      </w:t>
            </w:r>
          </w:p>
        </w:tc>
        <w:tc>
          <w:tcPr>
            <w:tcW w:w="1260" w:type="dxa"/>
            <w:vAlign w:val="bottom"/>
            <w:tcBorders>
              <w:bottom w:val="single" w:sz="8" w:color="023C5B"/>
            </w:tcBorders>
            <w:gridSpan w:val="4"/>
          </w:tcPr>
          <w:p>
            <w:pPr>
              <w:spacing w:after="0"/>
              <w:rPr>
                <w:sz w:val="20"/>
                <w:szCs w:val="20"/>
                <w:color w:val="auto"/>
              </w:rPr>
            </w:pPr>
            <w:r>
              <w:rPr>
                <w:rFonts w:ascii="Arial" w:cs="Arial" w:eastAsia="Arial" w:hAnsi="Arial"/>
                <w:sz w:val="18"/>
                <w:szCs w:val="18"/>
                <w:color w:val="auto"/>
              </w:rPr>
              <w:t xml:space="preserve">$1,820,221      </w:t>
            </w:r>
          </w:p>
        </w:tc>
        <w:tc>
          <w:tcPr>
            <w:tcW w:w="1200" w:type="dxa"/>
            <w:vAlign w:val="bottom"/>
            <w:tcBorders>
              <w:bottom w:val="single" w:sz="8" w:color="023C5B"/>
            </w:tcBorders>
          </w:tcPr>
          <w:p>
            <w:pPr>
              <w:jc w:val="center"/>
              <w:spacing w:after="0"/>
              <w:rPr>
                <w:sz w:val="20"/>
                <w:szCs w:val="20"/>
                <w:color w:val="auto"/>
              </w:rPr>
            </w:pPr>
            <w:r>
              <w:rPr>
                <w:rFonts w:ascii="Arial" w:cs="Arial" w:eastAsia="Arial" w:hAnsi="Arial"/>
                <w:sz w:val="18"/>
                <w:szCs w:val="18"/>
                <w:color w:val="auto"/>
                <w:w w:val="96"/>
              </w:rPr>
              <w:t>$2,184,042    </w:t>
            </w:r>
          </w:p>
        </w:tc>
        <w:tc>
          <w:tcPr>
            <w:tcW w:w="60" w:type="dxa"/>
            <w:vAlign w:val="bottom"/>
            <w:tcBorders>
              <w:bottom w:val="single" w:sz="8" w:color="023C5B"/>
            </w:tcBorders>
          </w:tcPr>
          <w:p>
            <w:pPr>
              <w:spacing w:after="0"/>
              <w:rPr>
                <w:sz w:val="24"/>
                <w:szCs w:val="24"/>
                <w:color w:val="auto"/>
              </w:rPr>
            </w:pPr>
          </w:p>
        </w:tc>
        <w:tc>
          <w:tcPr>
            <w:tcW w:w="2300" w:type="dxa"/>
            <w:vAlign w:val="bottom"/>
            <w:tcBorders>
              <w:bottom w:val="single" w:sz="8" w:color="023C5B"/>
            </w:tcBorders>
          </w:tcPr>
          <w:p>
            <w:pPr>
              <w:jc w:val="center"/>
              <w:ind w:left="133"/>
              <w:spacing w:after="0"/>
              <w:rPr>
                <w:sz w:val="20"/>
                <w:szCs w:val="20"/>
                <w:color w:val="auto"/>
              </w:rPr>
            </w:pPr>
            <w:r>
              <w:rPr>
                <w:rFonts w:ascii="Arial" w:cs="Arial" w:eastAsia="Arial" w:hAnsi="Arial"/>
                <w:sz w:val="18"/>
                <w:szCs w:val="18"/>
                <w:color w:val="auto"/>
                <w:w w:val="96"/>
              </w:rPr>
              <w:t>$8,182,417 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ind w:left="600" w:hanging="433"/>
        <w:spacing w:after="0"/>
        <w:tabs>
          <w:tab w:leader="none" w:pos="6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Does not include the Discover-Related Special Awards.</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Consideration of Stockholder Feedback and 2025 Say on Pay Vote</w:t>
      </w:r>
    </w:p>
    <w:p>
      <w:pPr>
        <w:spacing w:after="0" w:line="22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The Committee and the Board value the input of our stockholders and strive to foster a constructive dialogue with stockholders on matters of executive compensation and corporate governance. At our 2025 Annual Stockholder Meeting, 96% of our stockholders supported our executive compensation program by approving our non-binding advisory vote on executive compensation (“2025 Say on Pay Vote”). Though the Committee recognized the 2025 Say on Pay Vote reflected strong support for the Company’s executive compensation programs, the Committee remains committed to stockholder engagement. In 2025, we continued to strengthen our outreach to stockholders to maintain strong lines of communication with our stockholders and shared stockholders’ perspectives with the Committee and the Board.</w:t>
      </w:r>
    </w:p>
    <w:p>
      <w:pPr>
        <w:spacing w:after="0" w:line="181"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Management and our Investor Relations team engaged in direct outreach and discussions with stockholders in a variety of forums. In 2025, our teams attended 14 investor conferences and hosted over 1,000 investor engagements. See “Stockholder Engagement Program” beginning on page 37 for more information. From this outreach, the Committee and the Board gained valuable insight into our investors’ views about the Company, including our executive compensation programs as set out below. The Committee and the Independent Directors considered these views and feedback in approving year-end incentive awards for 2025, and structuring and approving the 2026 compensation programs for the NEOs.</w:t>
      </w:r>
    </w:p>
    <w:p>
      <w:pPr>
        <w:spacing w:after="0" w:line="181"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color w:val="auto"/>
        </w:rPr>
        <w:t>In recent years, as a result of the feedback received from investors, the Committee made several enhancements to our executive compensation programs and disclosure, including:</w:t>
      </w:r>
    </w:p>
    <w:p>
      <w:pPr>
        <w:spacing w:after="0" w:line="185" w:lineRule="exact"/>
        <w:rPr>
          <w:sz w:val="20"/>
          <w:szCs w:val="20"/>
          <w:color w:val="auto"/>
        </w:rPr>
      </w:pPr>
    </w:p>
    <w:p>
      <w:pPr>
        <w:jc w:val="both"/>
        <w:ind w:left="1020" w:hanging="425"/>
        <w:spacing w:after="0" w:line="222" w:lineRule="auto"/>
        <w:tabs>
          <w:tab w:leader="none" w:pos="1020" w:val="left"/>
        </w:tabs>
        <w:numPr>
          <w:ilvl w:val="0"/>
          <w:numId w:val="71"/>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Adopted an Executive Cash Severance Policy. </w:t>
      </w:r>
      <w:r>
        <w:rPr>
          <w:rFonts w:ascii="Arial" w:cs="Arial" w:eastAsia="Arial" w:hAnsi="Arial"/>
          <w:sz w:val="18"/>
          <w:szCs w:val="18"/>
          <w:color w:val="000000"/>
        </w:rPr>
        <w:t>Some of our stockholders expressed a preference that the Company limit the</w:t>
      </w:r>
      <w:r>
        <w:rPr>
          <w:rFonts w:ascii="Arial" w:cs="Arial" w:eastAsia="Arial" w:hAnsi="Arial"/>
          <w:sz w:val="18"/>
          <w:szCs w:val="18"/>
          <w:b w:val="1"/>
          <w:bCs w:val="1"/>
          <w:color w:val="023C5B"/>
        </w:rPr>
        <w:t xml:space="preserve"> </w:t>
      </w:r>
      <w:r>
        <w:rPr>
          <w:rFonts w:ascii="Arial" w:cs="Arial" w:eastAsia="Arial" w:hAnsi="Arial"/>
          <w:sz w:val="18"/>
          <w:szCs w:val="18"/>
          <w:color w:val="000000"/>
        </w:rPr>
        <w:t>value of certain severance payments that our NEOs may receive. Effective March 1, 2026, the Company adopted an Executive Cash Severance Policy, under which we commit to seek stockholder ratification of cash severance payments to any NEO in excess of 2.99 times the sum of their base salary and annual target bonus. The Company also updated its severance and change of control arrangements to further align with those of our peers and the market.</w:t>
      </w:r>
    </w:p>
    <w:p>
      <w:pPr>
        <w:spacing w:after="0" w:line="209" w:lineRule="exact"/>
        <w:rPr>
          <w:rFonts w:ascii="MS PGothic" w:cs="MS PGothic" w:eastAsia="MS PGothic" w:hAnsi="MS PGothic"/>
          <w:sz w:val="29"/>
          <w:szCs w:val="29"/>
          <w:color w:val="023C5B"/>
          <w:vertAlign w:val="superscript"/>
        </w:rPr>
      </w:pPr>
    </w:p>
    <w:p>
      <w:pPr>
        <w:ind w:left="1020" w:right="20" w:hanging="425"/>
        <w:spacing w:after="0" w:line="210" w:lineRule="auto"/>
        <w:tabs>
          <w:tab w:leader="none" w:pos="1020" w:val="left"/>
        </w:tabs>
        <w:numPr>
          <w:ilvl w:val="0"/>
          <w:numId w:val="71"/>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Disclosure of Performance Share Awards Realized Compensation. </w:t>
      </w:r>
      <w:r>
        <w:rPr>
          <w:rFonts w:ascii="Arial" w:cs="Arial" w:eastAsia="Arial" w:hAnsi="Arial"/>
          <w:sz w:val="18"/>
          <w:szCs w:val="18"/>
          <w:color w:val="000000"/>
        </w:rPr>
        <w:t>Stockholders expressed a desire for clearer information</w:t>
      </w:r>
      <w:r>
        <w:rPr>
          <w:rFonts w:ascii="Arial" w:cs="Arial" w:eastAsia="Arial" w:hAnsi="Arial"/>
          <w:sz w:val="18"/>
          <w:szCs w:val="18"/>
          <w:b w:val="1"/>
          <w:bCs w:val="1"/>
          <w:color w:val="023C5B"/>
        </w:rPr>
        <w:t xml:space="preserve"> </w:t>
      </w:r>
      <w:r>
        <w:rPr>
          <w:rFonts w:ascii="Arial" w:cs="Arial" w:eastAsia="Arial" w:hAnsi="Arial"/>
          <w:sz w:val="18"/>
          <w:szCs w:val="18"/>
          <w:color w:val="000000"/>
        </w:rPr>
        <w:t>regarding the realized pay associated with the performance share awards granted to</w:t>
      </w:r>
    </w:p>
    <w:p>
      <w:pPr>
        <w:spacing w:after="0" w:line="106"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040"/>
        <w:spacing w:after="0" w:line="249" w:lineRule="auto"/>
        <w:rPr>
          <w:sz w:val="20"/>
          <w:szCs w:val="20"/>
          <w:color w:val="auto"/>
        </w:rPr>
      </w:pPr>
      <w:r>
        <w:rPr>
          <w:rFonts w:ascii="Arial" w:cs="Arial" w:eastAsia="Arial" w:hAnsi="Arial"/>
          <w:sz w:val="18"/>
          <w:szCs w:val="18"/>
          <w:color w:val="auto"/>
        </w:rPr>
        <w:t>the NEOs. We added disclosure regarding the settlement value resulting from the performance share awards that vested during the performance year based on the Company’s performance for the associated three-year performance period. See “Settlement of Performance Shares Granted in January 2023” on page 79.</w:t>
      </w:r>
    </w:p>
    <w:p>
      <w:pPr>
        <w:spacing w:after="0" w:line="198" w:lineRule="exact"/>
        <w:rPr>
          <w:sz w:val="20"/>
          <w:szCs w:val="20"/>
          <w:color w:val="auto"/>
        </w:rPr>
      </w:pPr>
    </w:p>
    <w:p>
      <w:pPr>
        <w:jc w:val="both"/>
        <w:ind w:left="1020" w:hanging="425"/>
        <w:spacing w:after="0" w:line="222" w:lineRule="auto"/>
        <w:tabs>
          <w:tab w:leader="none" w:pos="1020" w:val="left"/>
        </w:tabs>
        <w:numPr>
          <w:ilvl w:val="0"/>
          <w:numId w:val="72"/>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Linked a Portion of CEO Compensation to Relative TSR. </w:t>
      </w:r>
      <w:r>
        <w:rPr>
          <w:rFonts w:ascii="Arial" w:cs="Arial" w:eastAsia="Arial" w:hAnsi="Arial"/>
          <w:sz w:val="18"/>
          <w:szCs w:val="18"/>
          <w:color w:val="000000"/>
        </w:rPr>
        <w:t>Some stockholders asked that the Company consider a stronger</w:t>
      </w:r>
      <w:r>
        <w:rPr>
          <w:rFonts w:ascii="Arial" w:cs="Arial" w:eastAsia="Arial" w:hAnsi="Arial"/>
          <w:sz w:val="18"/>
          <w:szCs w:val="18"/>
          <w:b w:val="1"/>
          <w:bCs w:val="1"/>
          <w:color w:val="023C5B"/>
        </w:rPr>
        <w:t xml:space="preserve"> </w:t>
      </w:r>
      <w:r>
        <w:rPr>
          <w:rFonts w:ascii="Arial" w:cs="Arial" w:eastAsia="Arial" w:hAnsi="Arial"/>
          <w:sz w:val="18"/>
          <w:szCs w:val="18"/>
          <w:color w:val="000000"/>
        </w:rPr>
        <w:t>link between CEO compensation and the Company’s TSR over time. Beginning with the 2020 performance year, the Committee and the Independent Directors determined to award a portion of the CEO’s year-end incentive in the form of a performance share award that vests based on the Company’s TSR over a three-year performance period relative to the Performance Share Peers.</w:t>
      </w:r>
    </w:p>
    <w:p>
      <w:pPr>
        <w:spacing w:after="0" w:line="209" w:lineRule="exact"/>
        <w:rPr>
          <w:rFonts w:ascii="MS PGothic" w:cs="MS PGothic" w:eastAsia="MS PGothic" w:hAnsi="MS PGothic"/>
          <w:sz w:val="29"/>
          <w:szCs w:val="29"/>
          <w:color w:val="023C5B"/>
          <w:vertAlign w:val="superscript"/>
        </w:rPr>
      </w:pPr>
    </w:p>
    <w:p>
      <w:pPr>
        <w:jc w:val="both"/>
        <w:ind w:left="1020" w:hanging="425"/>
        <w:spacing w:after="0" w:line="222" w:lineRule="auto"/>
        <w:tabs>
          <w:tab w:leader="none" w:pos="1020" w:val="left"/>
        </w:tabs>
        <w:numPr>
          <w:ilvl w:val="0"/>
          <w:numId w:val="72"/>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Enhanced Disclosure of Committee Decision Processes. </w:t>
      </w:r>
      <w:r>
        <w:rPr>
          <w:rFonts w:ascii="Arial" w:cs="Arial" w:eastAsia="Arial" w:hAnsi="Arial"/>
          <w:sz w:val="18"/>
          <w:szCs w:val="18"/>
          <w:color w:val="000000"/>
        </w:rPr>
        <w:t>We received suggestions from stockholders that we provide</w:t>
      </w:r>
      <w:r>
        <w:rPr>
          <w:rFonts w:ascii="Arial" w:cs="Arial" w:eastAsia="Arial" w:hAnsi="Arial"/>
          <w:sz w:val="18"/>
          <w:szCs w:val="18"/>
          <w:b w:val="1"/>
          <w:bCs w:val="1"/>
          <w:color w:val="023C5B"/>
        </w:rPr>
        <w:t xml:space="preserve"> </w:t>
      </w:r>
      <w:r>
        <w:rPr>
          <w:rFonts w:ascii="Arial" w:cs="Arial" w:eastAsia="Arial" w:hAnsi="Arial"/>
          <w:sz w:val="18"/>
          <w:szCs w:val="18"/>
          <w:color w:val="000000"/>
        </w:rPr>
        <w:t>additional disclosure regarding the processes utilized by the Committee to make compensation decisions. We enhanced our description of the Committee and the Independent Directors’ processes for considering Company performance throughout the year and determining the year-end incentive awards granted to our NEOs. See “Compensation Committee Process to Determine Year-End Incentive” on page 73 and “Our Compensation Governance Cycle” on page 66 for more information.</w:t>
      </w:r>
    </w:p>
    <w:p>
      <w:pPr>
        <w:spacing w:after="0" w:line="209" w:lineRule="exact"/>
        <w:rPr>
          <w:rFonts w:ascii="MS PGothic" w:cs="MS PGothic" w:eastAsia="MS PGothic" w:hAnsi="MS PGothic"/>
          <w:sz w:val="29"/>
          <w:szCs w:val="29"/>
          <w:color w:val="023C5B"/>
          <w:vertAlign w:val="superscript"/>
        </w:rPr>
      </w:pPr>
    </w:p>
    <w:p>
      <w:pPr>
        <w:jc w:val="both"/>
        <w:ind w:left="1020" w:hanging="425"/>
        <w:spacing w:after="0" w:line="224" w:lineRule="auto"/>
        <w:tabs>
          <w:tab w:leader="none" w:pos="1020" w:val="left"/>
        </w:tabs>
        <w:numPr>
          <w:ilvl w:val="0"/>
          <w:numId w:val="72"/>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Increased the Size and Diversity of Our Peer Group. </w:t>
      </w:r>
      <w:r>
        <w:rPr>
          <w:rFonts w:ascii="Arial" w:cs="Arial" w:eastAsia="Arial" w:hAnsi="Arial"/>
          <w:sz w:val="18"/>
          <w:szCs w:val="18"/>
          <w:color w:val="000000"/>
        </w:rPr>
        <w:t>We received feedback from stockholders regarding the composition of</w:t>
      </w:r>
      <w:r>
        <w:rPr>
          <w:rFonts w:ascii="Arial" w:cs="Arial" w:eastAsia="Arial" w:hAnsi="Arial"/>
          <w:sz w:val="18"/>
          <w:szCs w:val="18"/>
          <w:b w:val="1"/>
          <w:bCs w:val="1"/>
          <w:color w:val="023C5B"/>
        </w:rPr>
        <w:t xml:space="preserve"> </w:t>
      </w:r>
      <w:r>
        <w:rPr>
          <w:rFonts w:ascii="Arial" w:cs="Arial" w:eastAsia="Arial" w:hAnsi="Arial"/>
          <w:sz w:val="18"/>
          <w:szCs w:val="18"/>
          <w:color w:val="000000"/>
        </w:rPr>
        <w:t>our Board-approved peer group used to determine the level and components of NEO compensation. The Committee and the Independent Directors increased the size and diversity of the Company’s peer group to add seven additional peers, including diversified financial institutions and payment companies with whom we compete for executive talent. Following the update to our peer group after the closing the Discover Transaction, our peer group continues to exhibit these characteristics. See “Peer Groups” beginning on page 91 for more information.</w:t>
      </w:r>
    </w:p>
    <w:p>
      <w:pPr>
        <w:spacing w:after="0" w:line="18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Committee remains committed to active and ongoing stockholder engagement and continues to engage with our stockholders with respect to executive compensation matters and other governance matters.</w:t>
      </w:r>
    </w:p>
    <w:p>
      <w:pPr>
        <w:spacing w:after="0" w:line="91"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Our Compensation Principles and Objectives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Highlights of Our 2025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56730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29755" cy="5673090"/>
                    </a:xfrm>
                    <a:prstGeom prst="rect">
                      <a:avLst/>
                    </a:prstGeom>
                    <a:noFill/>
                  </pic:spPr>
                </pic:pic>
              </a:graphicData>
            </a:graphic>
          </wp:anchor>
        </w:drawing>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267"/>
        </w:trPr>
        <w:tc>
          <w:tcPr>
            <w:tcW w:w="5460" w:type="dxa"/>
            <w:vAlign w:val="bottom"/>
            <w:shd w:val="clear" w:color="auto" w:fill="023C5B"/>
          </w:tcPr>
          <w:p>
            <w:pPr>
              <w:spacing w:after="0"/>
              <w:rPr>
                <w:sz w:val="20"/>
                <w:szCs w:val="20"/>
                <w:color w:val="auto"/>
              </w:rPr>
            </w:pPr>
            <w:r>
              <w:rPr>
                <w:rFonts w:ascii="Arial" w:cs="Arial" w:eastAsia="Arial" w:hAnsi="Arial"/>
                <w:sz w:val="16"/>
                <w:szCs w:val="16"/>
                <w:b w:val="1"/>
                <w:bCs w:val="1"/>
                <w:color w:val="FFFFFF"/>
              </w:rPr>
              <w:t>  What We Do</w:t>
            </w:r>
          </w:p>
        </w:tc>
        <w:tc>
          <w:tcPr>
            <w:tcW w:w="5460" w:type="dxa"/>
            <w:vAlign w:val="bottom"/>
            <w:shd w:val="clear" w:color="auto" w:fill="023C5B"/>
          </w:tcPr>
          <w:p>
            <w:pPr>
              <w:ind w:left="120"/>
              <w:spacing w:after="0"/>
              <w:rPr>
                <w:sz w:val="20"/>
                <w:szCs w:val="20"/>
                <w:color w:val="auto"/>
              </w:rPr>
            </w:pPr>
            <w:r>
              <w:rPr>
                <w:rFonts w:ascii="Arial" w:cs="Arial" w:eastAsia="Arial" w:hAnsi="Arial"/>
                <w:sz w:val="16"/>
                <w:szCs w:val="16"/>
                <w:b w:val="1"/>
                <w:bCs w:val="1"/>
                <w:color w:val="FFFFFF"/>
              </w:rPr>
              <w:t>What We Don’t Do</w:t>
            </w:r>
          </w:p>
        </w:tc>
        <w:tc>
          <w:tcPr>
            <w:tcW w:w="0" w:type="dxa"/>
            <w:vAlign w:val="bottom"/>
          </w:tcPr>
          <w:p>
            <w:pPr>
              <w:spacing w:after="0"/>
              <w:rPr>
                <w:sz w:val="1"/>
                <w:szCs w:val="1"/>
                <w:color w:val="auto"/>
              </w:rPr>
            </w:pPr>
          </w:p>
        </w:tc>
      </w:tr>
      <w:tr>
        <w:trPr>
          <w:trHeight w:val="275"/>
        </w:trPr>
        <w:tc>
          <w:tcPr>
            <w:tcW w:w="5460" w:type="dxa"/>
            <w:vAlign w:val="bottom"/>
            <w:shd w:val="clear" w:color="auto" w:fill="E5EBEE"/>
          </w:tcPr>
          <w:p>
            <w:pPr>
              <w:ind w:left="120"/>
              <w:spacing w:after="0" w:line="242" w:lineRule="exact"/>
              <w:rPr>
                <w:sz w:val="20"/>
                <w:szCs w:val="20"/>
                <w:color w:val="auto"/>
              </w:rPr>
            </w:pPr>
            <w:r>
              <w:rPr>
                <w:rFonts w:ascii="MS PGothic" w:cs="MS PGothic" w:eastAsia="MS PGothic" w:hAnsi="MS PGothic"/>
                <w:sz w:val="21"/>
                <w:szCs w:val="21"/>
                <w:color w:val="023C5B"/>
              </w:rPr>
              <w:t>✓</w:t>
            </w:r>
            <w:r>
              <w:rPr>
                <w:rFonts w:ascii="Arial" w:cs="Arial" w:eastAsia="Arial" w:hAnsi="Arial"/>
                <w:sz w:val="18"/>
                <w:szCs w:val="18"/>
                <w:color w:val="auto"/>
              </w:rPr>
              <w:t xml:space="preserve">    We provide the majority of NEO compensation as </w:t>
            </w:r>
            <w:r>
              <w:rPr>
                <w:rFonts w:ascii="Arial" w:cs="Arial" w:eastAsia="Arial" w:hAnsi="Arial"/>
                <w:sz w:val="18"/>
                <w:szCs w:val="18"/>
                <w:b w:val="1"/>
                <w:bCs w:val="1"/>
                <w:color w:val="auto"/>
              </w:rPr>
              <w:t>long-term,</w:t>
            </w:r>
          </w:p>
        </w:tc>
        <w:tc>
          <w:tcPr>
            <w:tcW w:w="5460" w:type="dxa"/>
            <w:vAlign w:val="bottom"/>
            <w:vMerge w:val="restart"/>
            <w:shd w:val="clear" w:color="auto" w:fill="E5EBEE"/>
          </w:tcPr>
          <w:p>
            <w:pPr>
              <w:ind w:left="120"/>
              <w:spacing w:after="0" w:line="454" w:lineRule="exact"/>
              <w:rPr>
                <w:sz w:val="20"/>
                <w:szCs w:val="20"/>
                <w:color w:val="auto"/>
              </w:rPr>
            </w:pPr>
            <w:r>
              <w:rPr>
                <w:rFonts w:ascii="Wingdings" w:cs="Wingdings" w:eastAsia="Wingdings" w:hAnsi="Wingdings"/>
                <w:sz w:val="49"/>
                <w:szCs w:val="49"/>
                <w:b w:val="1"/>
                <w:bCs w:val="1"/>
                <w:color w:val="023C5B"/>
                <w:vertAlign w:val="subscript"/>
              </w:rPr>
              <w:t>û</w:t>
            </w:r>
            <w:r>
              <w:rPr>
                <w:rFonts w:ascii="Arial" w:cs="Arial" w:eastAsia="Arial" w:hAnsi="Arial"/>
                <w:sz w:val="18"/>
                <w:szCs w:val="18"/>
                <w:color w:val="auto"/>
              </w:rPr>
              <w:t xml:space="preserve"> We do not pay a </w:t>
            </w:r>
            <w:r>
              <w:rPr>
                <w:rFonts w:ascii="Arial" w:cs="Arial" w:eastAsia="Arial" w:hAnsi="Arial"/>
                <w:sz w:val="18"/>
                <w:szCs w:val="18"/>
                <w:b w:val="1"/>
                <w:bCs w:val="1"/>
                <w:color w:val="auto"/>
              </w:rPr>
              <w:t>cash salary</w:t>
            </w:r>
            <w:r>
              <w:rPr>
                <w:rFonts w:ascii="Arial" w:cs="Arial" w:eastAsia="Arial" w:hAnsi="Arial"/>
                <w:sz w:val="18"/>
                <w:szCs w:val="18"/>
                <w:color w:val="auto"/>
              </w:rPr>
              <w:t xml:space="preserve"> to our CEO</w:t>
            </w:r>
          </w:p>
        </w:tc>
        <w:tc>
          <w:tcPr>
            <w:tcW w:w="0" w:type="dxa"/>
            <w:vAlign w:val="bottom"/>
          </w:tcPr>
          <w:p>
            <w:pPr>
              <w:spacing w:after="0"/>
              <w:rPr>
                <w:sz w:val="1"/>
                <w:szCs w:val="1"/>
                <w:color w:val="auto"/>
              </w:rPr>
            </w:pPr>
          </w:p>
        </w:tc>
      </w:tr>
      <w:tr>
        <w:trPr>
          <w:trHeight w:val="179"/>
        </w:trPr>
        <w:tc>
          <w:tcPr>
            <w:tcW w:w="5460" w:type="dxa"/>
            <w:vAlign w:val="bottom"/>
            <w:vMerge w:val="restart"/>
            <w:shd w:val="clear" w:color="auto" w:fill="E5EBEE"/>
          </w:tcPr>
          <w:p>
            <w:pPr>
              <w:ind w:left="440"/>
              <w:spacing w:after="0"/>
              <w:rPr>
                <w:sz w:val="20"/>
                <w:szCs w:val="20"/>
                <w:color w:val="auto"/>
              </w:rPr>
            </w:pPr>
            <w:r>
              <w:rPr>
                <w:rFonts w:ascii="Arial" w:cs="Arial" w:eastAsia="Arial" w:hAnsi="Arial"/>
                <w:sz w:val="18"/>
                <w:szCs w:val="18"/>
                <w:b w:val="1"/>
                <w:bCs w:val="1"/>
                <w:color w:val="auto"/>
              </w:rPr>
              <w:t>equity, or equity-based compensation</w:t>
            </w:r>
          </w:p>
        </w:tc>
        <w:tc>
          <w:tcPr>
            <w:tcW w:w="5460" w:type="dxa"/>
            <w:vAlign w:val="bottom"/>
            <w:vMerge w:val="continue"/>
            <w:shd w:val="clear" w:color="auto" w:fill="E5EBE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5460" w:type="dxa"/>
            <w:vAlign w:val="bottom"/>
            <w:vMerge w:val="continue"/>
            <w:shd w:val="clear" w:color="auto" w:fill="E5EBEE"/>
          </w:tcPr>
          <w:p>
            <w:pPr>
              <w:spacing w:after="0"/>
              <w:rPr>
                <w:sz w:val="5"/>
                <w:szCs w:val="5"/>
                <w:color w:val="auto"/>
              </w:rPr>
            </w:pPr>
          </w:p>
        </w:tc>
        <w:tc>
          <w:tcPr>
            <w:tcW w:w="5460" w:type="dxa"/>
            <w:vAlign w:val="bottom"/>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460" w:type="dxa"/>
            <w:vAlign w:val="bottom"/>
            <w:shd w:val="clear" w:color="auto" w:fill="E5EBEE"/>
          </w:tcPr>
          <w:p>
            <w:pPr>
              <w:spacing w:after="0"/>
              <w:rPr>
                <w:sz w:val="8"/>
                <w:szCs w:val="8"/>
                <w:color w:val="auto"/>
              </w:rPr>
            </w:pPr>
          </w:p>
        </w:tc>
        <w:tc>
          <w:tcPr>
            <w:tcW w:w="5460" w:type="dxa"/>
            <w:vAlign w:val="bottom"/>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5460" w:type="dxa"/>
            <w:vAlign w:val="bottom"/>
          </w:tcPr>
          <w:p>
            <w:pPr>
              <w:ind w:left="120"/>
              <w:spacing w:after="0" w:line="242" w:lineRule="exact"/>
              <w:rPr>
                <w:sz w:val="20"/>
                <w:szCs w:val="20"/>
                <w:color w:val="auto"/>
              </w:rPr>
            </w:pPr>
            <w:r>
              <w:rPr>
                <w:rFonts w:ascii="MS PGothic" w:cs="MS PGothic" w:eastAsia="MS PGothic" w:hAnsi="MS PGothic"/>
                <w:sz w:val="21"/>
                <w:szCs w:val="21"/>
                <w:color w:val="023C5B"/>
              </w:rPr>
              <w:t>✓</w:t>
            </w:r>
            <w:r>
              <w:rPr>
                <w:rFonts w:ascii="Arial" w:cs="Arial" w:eastAsia="Arial" w:hAnsi="Arial"/>
                <w:sz w:val="18"/>
                <w:szCs w:val="18"/>
                <w:color w:val="auto"/>
              </w:rPr>
              <w:t xml:space="preserve">    We provide our CEO with compensation consisting </w:t>
            </w:r>
            <w:r>
              <w:rPr>
                <w:rFonts w:ascii="Arial" w:cs="Arial" w:eastAsia="Arial" w:hAnsi="Arial"/>
                <w:sz w:val="18"/>
                <w:szCs w:val="18"/>
                <w:b w:val="1"/>
                <w:bCs w:val="1"/>
                <w:color w:val="auto"/>
              </w:rPr>
              <w:t>entirely</w:t>
            </w:r>
          </w:p>
        </w:tc>
        <w:tc>
          <w:tcPr>
            <w:tcW w:w="5460" w:type="dxa"/>
            <w:vAlign w:val="bottom"/>
            <w:vMerge w:val="restart"/>
          </w:tcPr>
          <w:p>
            <w:pPr>
              <w:ind w:left="120"/>
              <w:spacing w:after="0" w:line="440" w:lineRule="exact"/>
              <w:rPr>
                <w:sz w:val="20"/>
                <w:szCs w:val="20"/>
                <w:color w:val="auto"/>
              </w:rPr>
            </w:pPr>
            <w:r>
              <w:rPr>
                <w:rFonts w:ascii="Wingdings" w:cs="Wingdings" w:eastAsia="Wingdings" w:hAnsi="Wingdings"/>
                <w:sz w:val="49"/>
                <w:szCs w:val="49"/>
                <w:b w:val="1"/>
                <w:bCs w:val="1"/>
                <w:color w:val="023C5B"/>
                <w:vertAlign w:val="subscript"/>
              </w:rPr>
              <w:t>û</w:t>
            </w:r>
            <w:r>
              <w:rPr>
                <w:rFonts w:ascii="Arial" w:cs="Arial" w:eastAsia="Arial" w:hAnsi="Arial"/>
                <w:sz w:val="18"/>
                <w:szCs w:val="18"/>
                <w:color w:val="auto"/>
              </w:rPr>
              <w:t xml:space="preserve"> We </w:t>
            </w:r>
            <w:r>
              <w:rPr>
                <w:rFonts w:ascii="Arial" w:cs="Arial" w:eastAsia="Arial" w:hAnsi="Arial"/>
                <w:sz w:val="18"/>
                <w:szCs w:val="18"/>
                <w:b w:val="1"/>
                <w:bCs w:val="1"/>
                <w:color w:val="auto"/>
              </w:rPr>
              <w:t>do not guarantee</w:t>
            </w:r>
            <w:r>
              <w:rPr>
                <w:rFonts w:ascii="Arial" w:cs="Arial" w:eastAsia="Arial" w:hAnsi="Arial"/>
                <w:sz w:val="18"/>
                <w:szCs w:val="18"/>
                <w:color w:val="auto"/>
              </w:rPr>
              <w:t xml:space="preserve"> incentive awards</w:t>
            </w:r>
          </w:p>
        </w:tc>
        <w:tc>
          <w:tcPr>
            <w:tcW w:w="0" w:type="dxa"/>
            <w:vAlign w:val="bottom"/>
          </w:tcPr>
          <w:p>
            <w:pPr>
              <w:spacing w:after="0"/>
              <w:rPr>
                <w:sz w:val="1"/>
                <w:szCs w:val="1"/>
                <w:color w:val="auto"/>
              </w:rPr>
            </w:pPr>
          </w:p>
        </w:tc>
      </w:tr>
      <w:tr>
        <w:trPr>
          <w:trHeight w:val="179"/>
        </w:trPr>
        <w:tc>
          <w:tcPr>
            <w:tcW w:w="5460" w:type="dxa"/>
            <w:vAlign w:val="bottom"/>
            <w:vMerge w:val="restart"/>
          </w:tcPr>
          <w:p>
            <w:pPr>
              <w:ind w:left="440"/>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b w:val="1"/>
                <w:bCs w:val="1"/>
                <w:color w:val="auto"/>
              </w:rPr>
              <w:t>equity or equity-based awards</w:t>
            </w:r>
            <w:r>
              <w:rPr>
                <w:rFonts w:ascii="Arial" w:cs="Arial" w:eastAsia="Arial" w:hAnsi="Arial"/>
                <w:sz w:val="18"/>
                <w:szCs w:val="18"/>
                <w:color w:val="auto"/>
              </w:rPr>
              <w:t xml:space="preserve"> and </w:t>
            </w:r>
            <w:r>
              <w:rPr>
                <w:rFonts w:ascii="Arial" w:cs="Arial" w:eastAsia="Arial" w:hAnsi="Arial"/>
                <w:sz w:val="18"/>
                <w:szCs w:val="18"/>
                <w:b w:val="1"/>
                <w:bCs w:val="1"/>
                <w:color w:val="auto"/>
              </w:rPr>
              <w:t>deferred payouts</w:t>
            </w:r>
          </w:p>
        </w:tc>
        <w:tc>
          <w:tcPr>
            <w:tcW w:w="5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546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460" w:type="dxa"/>
            <w:vAlign w:val="bottom"/>
          </w:tcPr>
          <w:p>
            <w:pPr>
              <w:spacing w:after="0"/>
              <w:rPr>
                <w:sz w:val="7"/>
                <w:szCs w:val="7"/>
                <w:color w:val="auto"/>
              </w:rPr>
            </w:pPr>
          </w:p>
        </w:tc>
        <w:tc>
          <w:tcPr>
            <w:tcW w:w="5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460" w:type="dxa"/>
            <w:vAlign w:val="bottom"/>
            <w:shd w:val="clear" w:color="auto" w:fill="E5EBEE"/>
          </w:tcPr>
          <w:p>
            <w:pPr>
              <w:ind w:left="120"/>
              <w:spacing w:after="0" w:line="242" w:lineRule="exact"/>
              <w:rPr>
                <w:sz w:val="20"/>
                <w:szCs w:val="20"/>
                <w:color w:val="auto"/>
              </w:rPr>
            </w:pPr>
            <w:r>
              <w:rPr>
                <w:rFonts w:ascii="MS PGothic" w:cs="MS PGothic" w:eastAsia="MS PGothic" w:hAnsi="MS PGothic"/>
                <w:sz w:val="21"/>
                <w:szCs w:val="21"/>
                <w:color w:val="023C5B"/>
              </w:rPr>
              <w:t>✓</w:t>
            </w:r>
            <w:r>
              <w:rPr>
                <w:rFonts w:ascii="Arial" w:cs="Arial" w:eastAsia="Arial" w:hAnsi="Arial"/>
                <w:sz w:val="18"/>
                <w:szCs w:val="18"/>
                <w:color w:val="auto"/>
              </w:rPr>
              <w:t xml:space="preserve">    We link a portion of our CEO year-end incentive to relative</w:t>
            </w:r>
          </w:p>
        </w:tc>
        <w:tc>
          <w:tcPr>
            <w:tcW w:w="5460" w:type="dxa"/>
            <w:vAlign w:val="bottom"/>
            <w:vMerge w:val="restart"/>
            <w:shd w:val="clear" w:color="auto" w:fill="E5EBEE"/>
          </w:tcPr>
          <w:p>
            <w:pPr>
              <w:ind w:left="120"/>
              <w:spacing w:after="0" w:line="342" w:lineRule="exact"/>
              <w:rPr>
                <w:sz w:val="20"/>
                <w:szCs w:val="20"/>
                <w:color w:val="auto"/>
              </w:rPr>
            </w:pPr>
            <w:r>
              <w:rPr>
                <w:rFonts w:ascii="Wingdings" w:cs="Wingdings" w:eastAsia="Wingdings" w:hAnsi="Wingdings"/>
                <w:sz w:val="39"/>
                <w:szCs w:val="39"/>
                <w:b w:val="1"/>
                <w:bCs w:val="1"/>
                <w:color w:val="023C5B"/>
                <w:vertAlign w:val="subscript"/>
              </w:rPr>
              <w:t>û</w:t>
            </w:r>
            <w:r>
              <w:rPr>
                <w:rFonts w:ascii="Arial" w:cs="Arial" w:eastAsia="Arial" w:hAnsi="Arial"/>
                <w:sz w:val="16"/>
                <w:szCs w:val="16"/>
                <w:color w:val="auto"/>
              </w:rPr>
              <w:t xml:space="preserve"> We do not permit our NEOs to place their Company securities</w:t>
            </w:r>
          </w:p>
        </w:tc>
        <w:tc>
          <w:tcPr>
            <w:tcW w:w="0" w:type="dxa"/>
            <w:vAlign w:val="bottom"/>
          </w:tcPr>
          <w:p>
            <w:pPr>
              <w:spacing w:after="0"/>
              <w:rPr>
                <w:sz w:val="1"/>
                <w:szCs w:val="1"/>
                <w:color w:val="auto"/>
              </w:rPr>
            </w:pPr>
          </w:p>
        </w:tc>
      </w:tr>
      <w:tr>
        <w:trPr>
          <w:trHeight w:val="80"/>
        </w:trPr>
        <w:tc>
          <w:tcPr>
            <w:tcW w:w="5460" w:type="dxa"/>
            <w:vAlign w:val="bottom"/>
            <w:vMerge w:val="restart"/>
            <w:shd w:val="clear" w:color="auto" w:fill="E5EBEE"/>
          </w:tcPr>
          <w:p>
            <w:pPr>
              <w:ind w:left="440"/>
              <w:spacing w:after="0"/>
              <w:rPr>
                <w:sz w:val="20"/>
                <w:szCs w:val="20"/>
                <w:color w:val="auto"/>
              </w:rPr>
            </w:pPr>
            <w:r>
              <w:rPr>
                <w:rFonts w:ascii="Arial" w:cs="Arial" w:eastAsia="Arial" w:hAnsi="Arial"/>
                <w:sz w:val="18"/>
                <w:szCs w:val="18"/>
                <w:b w:val="1"/>
                <w:bCs w:val="1"/>
                <w:color w:val="auto"/>
              </w:rPr>
              <w:t>TSR</w:t>
            </w:r>
          </w:p>
        </w:tc>
        <w:tc>
          <w:tcPr>
            <w:tcW w:w="5460" w:type="dxa"/>
            <w:vAlign w:val="bottom"/>
            <w:vMerge w:val="continue"/>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5460" w:type="dxa"/>
            <w:vAlign w:val="bottom"/>
            <w:vMerge w:val="continue"/>
            <w:shd w:val="clear" w:color="auto" w:fill="E5EBEE"/>
          </w:tcPr>
          <w:p>
            <w:pPr>
              <w:spacing w:after="0"/>
              <w:rPr>
                <w:sz w:val="14"/>
                <w:szCs w:val="14"/>
                <w:color w:val="auto"/>
              </w:rPr>
            </w:pPr>
          </w:p>
        </w:tc>
        <w:tc>
          <w:tcPr>
            <w:tcW w:w="5460" w:type="dxa"/>
            <w:vAlign w:val="bottom"/>
            <w:vMerge w:val="restart"/>
            <w:shd w:val="clear" w:color="auto" w:fill="E5EBEE"/>
          </w:tcPr>
          <w:p>
            <w:pPr>
              <w:ind w:left="440"/>
              <w:spacing w:after="0" w:line="201" w:lineRule="exact"/>
              <w:rPr>
                <w:sz w:val="20"/>
                <w:szCs w:val="20"/>
                <w:color w:val="auto"/>
              </w:rPr>
            </w:pPr>
            <w:r>
              <w:rPr>
                <w:rFonts w:ascii="Arial" w:cs="Arial" w:eastAsia="Arial" w:hAnsi="Arial"/>
                <w:sz w:val="18"/>
                <w:szCs w:val="18"/>
                <w:color w:val="auto"/>
              </w:rPr>
              <w:t xml:space="preserve">in a </w:t>
            </w:r>
            <w:r>
              <w:rPr>
                <w:rFonts w:ascii="Arial" w:cs="Arial" w:eastAsia="Arial" w:hAnsi="Arial"/>
                <w:sz w:val="18"/>
                <w:szCs w:val="18"/>
                <w:b w:val="1"/>
                <w:bCs w:val="1"/>
                <w:color w:val="auto"/>
              </w:rPr>
              <w:t>margin</w:t>
            </w:r>
            <w:r>
              <w:rPr>
                <w:rFonts w:ascii="Arial" w:cs="Arial" w:eastAsia="Arial" w:hAnsi="Arial"/>
                <w:sz w:val="18"/>
                <w:szCs w:val="18"/>
                <w:color w:val="auto"/>
              </w:rPr>
              <w:t xml:space="preserve"> account or to </w:t>
            </w:r>
            <w:r>
              <w:rPr>
                <w:rFonts w:ascii="Arial" w:cs="Arial" w:eastAsia="Arial" w:hAnsi="Arial"/>
                <w:sz w:val="18"/>
                <w:szCs w:val="18"/>
                <w:b w:val="1"/>
                <w:bCs w:val="1"/>
                <w:color w:val="auto"/>
              </w:rPr>
              <w:t>pledge</w:t>
            </w:r>
            <w:r>
              <w:rPr>
                <w:rFonts w:ascii="Arial" w:cs="Arial" w:eastAsia="Arial" w:hAnsi="Arial"/>
                <w:sz w:val="18"/>
                <w:szCs w:val="18"/>
                <w:color w:val="auto"/>
              </w:rPr>
              <w:t xml:space="preserve"> their Company securities as</w:t>
            </w:r>
          </w:p>
        </w:tc>
        <w:tc>
          <w:tcPr>
            <w:tcW w:w="0" w:type="dxa"/>
            <w:vAlign w:val="bottom"/>
          </w:tcPr>
          <w:p>
            <w:pPr>
              <w:spacing w:after="0"/>
              <w:rPr>
                <w:sz w:val="1"/>
                <w:szCs w:val="1"/>
                <w:color w:val="auto"/>
              </w:rPr>
            </w:pPr>
          </w:p>
        </w:tc>
      </w:tr>
      <w:tr>
        <w:trPr>
          <w:trHeight w:val="36"/>
        </w:trPr>
        <w:tc>
          <w:tcPr>
            <w:tcW w:w="5460" w:type="dxa"/>
            <w:vAlign w:val="bottom"/>
            <w:shd w:val="clear" w:color="auto" w:fill="E5EBEE"/>
          </w:tcPr>
          <w:p>
            <w:pPr>
              <w:spacing w:after="0"/>
              <w:rPr>
                <w:sz w:val="3"/>
                <w:szCs w:val="3"/>
                <w:color w:val="auto"/>
              </w:rPr>
            </w:pPr>
          </w:p>
        </w:tc>
        <w:tc>
          <w:tcPr>
            <w:tcW w:w="5460" w:type="dxa"/>
            <w:vAlign w:val="bottom"/>
            <w:vMerge w:val="continue"/>
            <w:shd w:val="clear" w:color="auto" w:fill="E5EBE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460" w:type="dxa"/>
            <w:vAlign w:val="bottom"/>
            <w:shd w:val="clear" w:color="auto" w:fill="E5EBEE"/>
          </w:tcPr>
          <w:p>
            <w:pPr>
              <w:spacing w:after="0"/>
              <w:rPr>
                <w:sz w:val="20"/>
                <w:szCs w:val="20"/>
                <w:color w:val="auto"/>
              </w:rPr>
            </w:pPr>
          </w:p>
        </w:tc>
        <w:tc>
          <w:tcPr>
            <w:tcW w:w="5460" w:type="dxa"/>
            <w:vAlign w:val="bottom"/>
            <w:shd w:val="clear" w:color="auto" w:fill="E5EBEE"/>
          </w:tcPr>
          <w:p>
            <w:pPr>
              <w:ind w:left="440"/>
              <w:spacing w:after="0"/>
              <w:rPr>
                <w:sz w:val="20"/>
                <w:szCs w:val="20"/>
                <w:color w:val="auto"/>
              </w:rPr>
            </w:pPr>
            <w:r>
              <w:rPr>
                <w:rFonts w:ascii="Arial" w:cs="Arial" w:eastAsia="Arial" w:hAnsi="Arial"/>
                <w:sz w:val="18"/>
                <w:szCs w:val="18"/>
                <w:color w:val="auto"/>
              </w:rPr>
              <w:t>collateral for a loan</w:t>
            </w:r>
          </w:p>
        </w:tc>
        <w:tc>
          <w:tcPr>
            <w:tcW w:w="0" w:type="dxa"/>
            <w:vAlign w:val="bottom"/>
          </w:tcPr>
          <w:p>
            <w:pPr>
              <w:spacing w:after="0"/>
              <w:rPr>
                <w:sz w:val="1"/>
                <w:szCs w:val="1"/>
                <w:color w:val="auto"/>
              </w:rPr>
            </w:pPr>
          </w:p>
        </w:tc>
      </w:tr>
      <w:tr>
        <w:trPr>
          <w:trHeight w:val="104"/>
        </w:trPr>
        <w:tc>
          <w:tcPr>
            <w:tcW w:w="5460" w:type="dxa"/>
            <w:vAlign w:val="bottom"/>
            <w:shd w:val="clear" w:color="auto" w:fill="E5EBEE"/>
          </w:tcPr>
          <w:p>
            <w:pPr>
              <w:spacing w:after="0"/>
              <w:rPr>
                <w:sz w:val="9"/>
                <w:szCs w:val="9"/>
                <w:color w:val="auto"/>
              </w:rPr>
            </w:pPr>
          </w:p>
        </w:tc>
        <w:tc>
          <w:tcPr>
            <w:tcW w:w="5460" w:type="dxa"/>
            <w:vAlign w:val="bottom"/>
            <w:shd w:val="clear" w:color="auto" w:fill="E5EBEE"/>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5460" w:type="dxa"/>
            <w:vAlign w:val="bottom"/>
          </w:tcPr>
          <w:p>
            <w:pPr>
              <w:ind w:left="120"/>
              <w:spacing w:after="0" w:line="242" w:lineRule="exact"/>
              <w:rPr>
                <w:sz w:val="20"/>
                <w:szCs w:val="20"/>
                <w:color w:val="auto"/>
              </w:rPr>
            </w:pPr>
            <w:r>
              <w:rPr>
                <w:rFonts w:ascii="MS PGothic" w:cs="MS PGothic" w:eastAsia="MS PGothic" w:hAnsi="MS PGothic"/>
                <w:sz w:val="21"/>
                <w:szCs w:val="21"/>
                <w:color w:val="023C5B"/>
              </w:rPr>
              <w:t>✓</w:t>
            </w:r>
            <w:r>
              <w:rPr>
                <w:rFonts w:ascii="Arial" w:cs="Arial" w:eastAsia="Arial" w:hAnsi="Arial"/>
                <w:sz w:val="18"/>
                <w:szCs w:val="18"/>
                <w:color w:val="auto"/>
              </w:rPr>
              <w:t xml:space="preserve">    We grant our NEOs </w:t>
            </w:r>
            <w:r>
              <w:rPr>
                <w:rFonts w:ascii="Arial" w:cs="Arial" w:eastAsia="Arial" w:hAnsi="Arial"/>
                <w:sz w:val="18"/>
                <w:szCs w:val="18"/>
                <w:b w:val="1"/>
                <w:bCs w:val="1"/>
                <w:color w:val="auto"/>
              </w:rPr>
              <w:t>performance-based</w:t>
            </w:r>
            <w:r>
              <w:rPr>
                <w:rFonts w:ascii="Arial" w:cs="Arial" w:eastAsia="Arial" w:hAnsi="Arial"/>
                <w:sz w:val="18"/>
                <w:szCs w:val="18"/>
                <w:color w:val="auto"/>
              </w:rPr>
              <w:t xml:space="preserve"> cash incentive and</w:t>
            </w:r>
          </w:p>
        </w:tc>
        <w:tc>
          <w:tcPr>
            <w:tcW w:w="5460" w:type="dxa"/>
            <w:vAlign w:val="bottom"/>
            <w:vMerge w:val="restart"/>
          </w:tcPr>
          <w:p>
            <w:pPr>
              <w:ind w:left="120"/>
              <w:spacing w:after="0" w:line="342" w:lineRule="exact"/>
              <w:rPr>
                <w:sz w:val="20"/>
                <w:szCs w:val="20"/>
                <w:color w:val="auto"/>
              </w:rPr>
            </w:pPr>
            <w:r>
              <w:rPr>
                <w:rFonts w:ascii="Wingdings" w:cs="Wingdings" w:eastAsia="Wingdings" w:hAnsi="Wingdings"/>
                <w:sz w:val="39"/>
                <w:szCs w:val="39"/>
                <w:b w:val="1"/>
                <w:bCs w:val="1"/>
                <w:color w:val="023C5B"/>
                <w:vertAlign w:val="subscript"/>
              </w:rPr>
              <w:t>û</w:t>
            </w:r>
            <w:r>
              <w:rPr>
                <w:rFonts w:ascii="Arial" w:cs="Arial" w:eastAsia="Arial" w:hAnsi="Arial"/>
                <w:sz w:val="16"/>
                <w:szCs w:val="16"/>
                <w:color w:val="auto"/>
              </w:rPr>
              <w:t xml:space="preserve"> We </w:t>
            </w:r>
            <w:r>
              <w:rPr>
                <w:rFonts w:ascii="Arial" w:cs="Arial" w:eastAsia="Arial" w:hAnsi="Arial"/>
                <w:sz w:val="16"/>
                <w:szCs w:val="16"/>
                <w:b w:val="1"/>
                <w:bCs w:val="1"/>
                <w:color w:val="auto"/>
              </w:rPr>
              <w:t>do not</w:t>
            </w:r>
            <w:r>
              <w:rPr>
                <w:rFonts w:ascii="Arial" w:cs="Arial" w:eastAsia="Arial" w:hAnsi="Arial"/>
                <w:sz w:val="16"/>
                <w:szCs w:val="16"/>
                <w:color w:val="auto"/>
              </w:rPr>
              <w:t xml:space="preserve"> provide compensation or awards to our NEOs on</w:t>
            </w:r>
          </w:p>
        </w:tc>
        <w:tc>
          <w:tcPr>
            <w:tcW w:w="0" w:type="dxa"/>
            <w:vAlign w:val="bottom"/>
          </w:tcPr>
          <w:p>
            <w:pPr>
              <w:spacing w:after="0"/>
              <w:rPr>
                <w:sz w:val="1"/>
                <w:szCs w:val="1"/>
                <w:color w:val="auto"/>
              </w:rPr>
            </w:pPr>
          </w:p>
        </w:tc>
      </w:tr>
      <w:tr>
        <w:trPr>
          <w:trHeight w:val="80"/>
        </w:trPr>
        <w:tc>
          <w:tcPr>
            <w:tcW w:w="5460" w:type="dxa"/>
            <w:vAlign w:val="bottom"/>
            <w:vMerge w:val="restart"/>
          </w:tcPr>
          <w:p>
            <w:pPr>
              <w:ind w:left="440"/>
              <w:spacing w:after="0"/>
              <w:rPr>
                <w:sz w:val="20"/>
                <w:szCs w:val="20"/>
                <w:color w:val="auto"/>
              </w:rPr>
            </w:pPr>
            <w:r>
              <w:rPr>
                <w:rFonts w:ascii="Arial" w:cs="Arial" w:eastAsia="Arial" w:hAnsi="Arial"/>
                <w:sz w:val="18"/>
                <w:szCs w:val="18"/>
                <w:color w:val="auto"/>
              </w:rPr>
              <w:t>equity-based awards</w:t>
            </w:r>
          </w:p>
        </w:tc>
        <w:tc>
          <w:tcPr>
            <w:tcW w:w="5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5460" w:type="dxa"/>
            <w:vAlign w:val="bottom"/>
            <w:vMerge w:val="continue"/>
          </w:tcPr>
          <w:p>
            <w:pPr>
              <w:spacing w:after="0"/>
              <w:rPr>
                <w:sz w:val="13"/>
                <w:szCs w:val="13"/>
                <w:color w:val="auto"/>
              </w:rPr>
            </w:pPr>
          </w:p>
        </w:tc>
        <w:tc>
          <w:tcPr>
            <w:tcW w:w="546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 xml:space="preserve">terms and conditions that are </w:t>
            </w:r>
            <w:r>
              <w:rPr>
                <w:rFonts w:ascii="Arial" w:cs="Arial" w:eastAsia="Arial" w:hAnsi="Arial"/>
                <w:sz w:val="18"/>
                <w:szCs w:val="18"/>
                <w:b w:val="1"/>
                <w:bCs w:val="1"/>
                <w:color w:val="auto"/>
              </w:rPr>
              <w:t>more favorable</w:t>
            </w:r>
            <w:r>
              <w:rPr>
                <w:rFonts w:ascii="Arial" w:cs="Arial" w:eastAsia="Arial" w:hAnsi="Arial"/>
                <w:sz w:val="18"/>
                <w:szCs w:val="18"/>
                <w:color w:val="auto"/>
              </w:rPr>
              <w:t xml:space="preserve"> than</w:t>
            </w:r>
          </w:p>
        </w:tc>
        <w:tc>
          <w:tcPr>
            <w:tcW w:w="0" w:type="dxa"/>
            <w:vAlign w:val="bottom"/>
          </w:tcPr>
          <w:p>
            <w:pPr>
              <w:spacing w:after="0"/>
              <w:rPr>
                <w:sz w:val="1"/>
                <w:szCs w:val="1"/>
                <w:color w:val="auto"/>
              </w:rPr>
            </w:pPr>
          </w:p>
        </w:tc>
      </w:tr>
      <w:tr>
        <w:trPr>
          <w:trHeight w:val="46"/>
        </w:trPr>
        <w:tc>
          <w:tcPr>
            <w:tcW w:w="5460" w:type="dxa"/>
            <w:vAlign w:val="bottom"/>
          </w:tcPr>
          <w:p>
            <w:pPr>
              <w:spacing w:after="0"/>
              <w:rPr>
                <w:sz w:val="3"/>
                <w:szCs w:val="3"/>
                <w:color w:val="auto"/>
              </w:rPr>
            </w:pPr>
          </w:p>
        </w:tc>
        <w:tc>
          <w:tcPr>
            <w:tcW w:w="5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5460" w:type="dxa"/>
            <w:vAlign w:val="bottom"/>
          </w:tcPr>
          <w:p>
            <w:pPr>
              <w:spacing w:after="0"/>
              <w:rPr>
                <w:sz w:val="20"/>
                <w:szCs w:val="20"/>
                <w:color w:val="auto"/>
              </w:rPr>
            </w:pPr>
          </w:p>
        </w:tc>
        <w:tc>
          <w:tcPr>
            <w:tcW w:w="5460" w:type="dxa"/>
            <w:vAlign w:val="bottom"/>
          </w:tcPr>
          <w:p>
            <w:pPr>
              <w:ind w:left="440"/>
              <w:spacing w:after="0"/>
              <w:rPr>
                <w:sz w:val="20"/>
                <w:szCs w:val="20"/>
                <w:color w:val="auto"/>
              </w:rPr>
            </w:pPr>
            <w:r>
              <w:rPr>
                <w:rFonts w:ascii="Arial" w:cs="Arial" w:eastAsia="Arial" w:hAnsi="Arial"/>
                <w:sz w:val="18"/>
                <w:szCs w:val="18"/>
                <w:color w:val="auto"/>
              </w:rPr>
              <w:t>compensation and awards granted to other executive officers</w:t>
            </w:r>
          </w:p>
        </w:tc>
        <w:tc>
          <w:tcPr>
            <w:tcW w:w="0" w:type="dxa"/>
            <w:vAlign w:val="bottom"/>
          </w:tcPr>
          <w:p>
            <w:pPr>
              <w:spacing w:after="0"/>
              <w:rPr>
                <w:sz w:val="1"/>
                <w:szCs w:val="1"/>
                <w:color w:val="auto"/>
              </w:rPr>
            </w:pPr>
          </w:p>
        </w:tc>
      </w:tr>
      <w:tr>
        <w:trPr>
          <w:trHeight w:val="104"/>
        </w:trPr>
        <w:tc>
          <w:tcPr>
            <w:tcW w:w="5460" w:type="dxa"/>
            <w:vAlign w:val="bottom"/>
          </w:tcPr>
          <w:p>
            <w:pPr>
              <w:spacing w:after="0"/>
              <w:rPr>
                <w:sz w:val="9"/>
                <w:szCs w:val="9"/>
                <w:color w:val="auto"/>
              </w:rPr>
            </w:pPr>
          </w:p>
        </w:tc>
        <w:tc>
          <w:tcPr>
            <w:tcW w:w="5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5460" w:type="dxa"/>
            <w:vAlign w:val="bottom"/>
            <w:shd w:val="clear" w:color="auto" w:fill="E5EBEE"/>
          </w:tcPr>
          <w:p>
            <w:pPr>
              <w:ind w:left="120"/>
              <w:spacing w:after="0" w:line="242" w:lineRule="exact"/>
              <w:rPr>
                <w:sz w:val="20"/>
                <w:szCs w:val="20"/>
                <w:color w:val="auto"/>
              </w:rPr>
            </w:pPr>
            <w:r>
              <w:rPr>
                <w:rFonts w:ascii="MS PGothic" w:cs="MS PGothic" w:eastAsia="MS PGothic" w:hAnsi="MS PGothic"/>
                <w:sz w:val="21"/>
                <w:szCs w:val="21"/>
                <w:color w:val="023C5B"/>
              </w:rPr>
              <w:t>✓</w:t>
            </w:r>
            <w:r>
              <w:rPr>
                <w:rFonts w:ascii="Arial" w:cs="Arial" w:eastAsia="Arial" w:hAnsi="Arial"/>
                <w:sz w:val="18"/>
                <w:szCs w:val="18"/>
                <w:color w:val="auto"/>
              </w:rPr>
              <w:t xml:space="preserve">    We apply </w:t>
            </w:r>
            <w:r>
              <w:rPr>
                <w:rFonts w:ascii="Arial" w:cs="Arial" w:eastAsia="Arial" w:hAnsi="Arial"/>
                <w:sz w:val="18"/>
                <w:szCs w:val="18"/>
                <w:b w:val="1"/>
                <w:bCs w:val="1"/>
                <w:color w:val="auto"/>
              </w:rPr>
              <w:t>risk balancing</w:t>
            </w:r>
            <w:r>
              <w:rPr>
                <w:rFonts w:ascii="Arial" w:cs="Arial" w:eastAsia="Arial" w:hAnsi="Arial"/>
                <w:sz w:val="18"/>
                <w:szCs w:val="18"/>
                <w:color w:val="auto"/>
              </w:rPr>
              <w:t xml:space="preserve"> so as not to jeopardize the safety</w:t>
            </w:r>
          </w:p>
        </w:tc>
        <w:tc>
          <w:tcPr>
            <w:tcW w:w="5460" w:type="dxa"/>
            <w:vAlign w:val="bottom"/>
            <w:vMerge w:val="restart"/>
            <w:shd w:val="clear" w:color="auto" w:fill="E5EBEE"/>
          </w:tcPr>
          <w:p>
            <w:pPr>
              <w:ind w:left="120"/>
              <w:spacing w:after="0" w:line="342" w:lineRule="exact"/>
              <w:rPr>
                <w:sz w:val="20"/>
                <w:szCs w:val="20"/>
                <w:color w:val="auto"/>
              </w:rPr>
            </w:pPr>
            <w:r>
              <w:rPr>
                <w:rFonts w:ascii="Wingdings" w:cs="Wingdings" w:eastAsia="Wingdings" w:hAnsi="Wingdings"/>
                <w:sz w:val="39"/>
                <w:szCs w:val="39"/>
                <w:b w:val="1"/>
                <w:bCs w:val="1"/>
                <w:color w:val="023C5B"/>
                <w:vertAlign w:val="subscript"/>
              </w:rPr>
              <w:t>û</w:t>
            </w:r>
            <w:r>
              <w:rPr>
                <w:rFonts w:ascii="Arial" w:cs="Arial" w:eastAsia="Arial" w:hAnsi="Arial"/>
                <w:sz w:val="16"/>
                <w:szCs w:val="16"/>
                <w:color w:val="auto"/>
              </w:rPr>
              <w:t xml:space="preserve"> We do not permit our NEOs to engage in </w:t>
            </w:r>
            <w:r>
              <w:rPr>
                <w:rFonts w:ascii="Arial" w:cs="Arial" w:eastAsia="Arial" w:hAnsi="Arial"/>
                <w:sz w:val="16"/>
                <w:szCs w:val="16"/>
                <w:b w:val="1"/>
                <w:bCs w:val="1"/>
                <w:color w:val="auto"/>
              </w:rPr>
              <w:t>short sales,</w:t>
            </w:r>
          </w:p>
        </w:tc>
        <w:tc>
          <w:tcPr>
            <w:tcW w:w="0" w:type="dxa"/>
            <w:vAlign w:val="bottom"/>
          </w:tcPr>
          <w:p>
            <w:pPr>
              <w:spacing w:after="0"/>
              <w:rPr>
                <w:sz w:val="1"/>
                <w:szCs w:val="1"/>
                <w:color w:val="auto"/>
              </w:rPr>
            </w:pPr>
          </w:p>
        </w:tc>
      </w:tr>
      <w:tr>
        <w:trPr>
          <w:trHeight w:val="80"/>
        </w:trPr>
        <w:tc>
          <w:tcPr>
            <w:tcW w:w="5460" w:type="dxa"/>
            <w:vAlign w:val="bottom"/>
            <w:vMerge w:val="restart"/>
            <w:shd w:val="clear" w:color="auto" w:fill="E5EBEE"/>
          </w:tcPr>
          <w:p>
            <w:pPr>
              <w:ind w:left="440"/>
              <w:spacing w:after="0"/>
              <w:rPr>
                <w:sz w:val="20"/>
                <w:szCs w:val="20"/>
                <w:color w:val="auto"/>
              </w:rPr>
            </w:pPr>
            <w:r>
              <w:rPr>
                <w:rFonts w:ascii="Arial" w:cs="Arial" w:eastAsia="Arial" w:hAnsi="Arial"/>
                <w:sz w:val="18"/>
                <w:szCs w:val="18"/>
                <w:color w:val="auto"/>
              </w:rPr>
              <w:t>and soundness of Capital One</w:t>
            </w:r>
          </w:p>
        </w:tc>
        <w:tc>
          <w:tcPr>
            <w:tcW w:w="5460" w:type="dxa"/>
            <w:vAlign w:val="bottom"/>
            <w:vMerge w:val="continue"/>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5460" w:type="dxa"/>
            <w:vAlign w:val="bottom"/>
            <w:vMerge w:val="continue"/>
            <w:shd w:val="clear" w:color="auto" w:fill="E5EBEE"/>
          </w:tcPr>
          <w:p>
            <w:pPr>
              <w:spacing w:after="0"/>
              <w:rPr>
                <w:sz w:val="13"/>
                <w:szCs w:val="13"/>
                <w:color w:val="auto"/>
              </w:rPr>
            </w:pPr>
          </w:p>
        </w:tc>
        <w:tc>
          <w:tcPr>
            <w:tcW w:w="5460" w:type="dxa"/>
            <w:vAlign w:val="bottom"/>
            <w:vMerge w:val="restart"/>
            <w:shd w:val="clear" w:color="auto" w:fill="E5EBEE"/>
          </w:tcPr>
          <w:p>
            <w:pPr>
              <w:ind w:left="440"/>
              <w:spacing w:after="0" w:line="201" w:lineRule="exact"/>
              <w:rPr>
                <w:sz w:val="20"/>
                <w:szCs w:val="20"/>
                <w:color w:val="auto"/>
              </w:rPr>
            </w:pPr>
            <w:r>
              <w:rPr>
                <w:rFonts w:ascii="Arial" w:cs="Arial" w:eastAsia="Arial" w:hAnsi="Arial"/>
                <w:sz w:val="18"/>
                <w:szCs w:val="18"/>
                <w:b w:val="1"/>
                <w:bCs w:val="1"/>
                <w:color w:val="auto"/>
              </w:rPr>
              <w:t xml:space="preserve">hedging transactions, or speculative trading </w:t>
            </w:r>
            <w:r>
              <w:rPr>
                <w:rFonts w:ascii="Arial" w:cs="Arial" w:eastAsia="Arial" w:hAnsi="Arial"/>
                <w:sz w:val="18"/>
                <w:szCs w:val="18"/>
                <w:color w:val="auto"/>
              </w:rPr>
              <w:t>in derivatives</w:t>
            </w:r>
          </w:p>
        </w:tc>
        <w:tc>
          <w:tcPr>
            <w:tcW w:w="0" w:type="dxa"/>
            <w:vAlign w:val="bottom"/>
          </w:tcPr>
          <w:p>
            <w:pPr>
              <w:spacing w:after="0"/>
              <w:rPr>
                <w:sz w:val="1"/>
                <w:szCs w:val="1"/>
                <w:color w:val="auto"/>
              </w:rPr>
            </w:pPr>
          </w:p>
        </w:tc>
      </w:tr>
      <w:tr>
        <w:trPr>
          <w:trHeight w:val="46"/>
        </w:trPr>
        <w:tc>
          <w:tcPr>
            <w:tcW w:w="5460" w:type="dxa"/>
            <w:vAlign w:val="bottom"/>
            <w:shd w:val="clear" w:color="auto" w:fill="E5EBEE"/>
          </w:tcPr>
          <w:p>
            <w:pPr>
              <w:spacing w:after="0"/>
              <w:rPr>
                <w:sz w:val="3"/>
                <w:szCs w:val="3"/>
                <w:color w:val="auto"/>
              </w:rPr>
            </w:pPr>
          </w:p>
        </w:tc>
        <w:tc>
          <w:tcPr>
            <w:tcW w:w="5460" w:type="dxa"/>
            <w:vAlign w:val="bottom"/>
            <w:vMerge w:val="continue"/>
            <w:shd w:val="clear" w:color="auto" w:fill="E5EBEE"/>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5460" w:type="dxa"/>
            <w:vAlign w:val="bottom"/>
            <w:shd w:val="clear" w:color="auto" w:fill="E5EBEE"/>
          </w:tcPr>
          <w:p>
            <w:pPr>
              <w:spacing w:after="0"/>
              <w:rPr>
                <w:sz w:val="20"/>
                <w:szCs w:val="20"/>
                <w:color w:val="auto"/>
              </w:rPr>
            </w:pPr>
          </w:p>
        </w:tc>
        <w:tc>
          <w:tcPr>
            <w:tcW w:w="5460" w:type="dxa"/>
            <w:vAlign w:val="bottom"/>
            <w:shd w:val="clear" w:color="auto" w:fill="E5EBEE"/>
          </w:tcPr>
          <w:p>
            <w:pPr>
              <w:ind w:left="440"/>
              <w:spacing w:after="0"/>
              <w:rPr>
                <w:sz w:val="20"/>
                <w:szCs w:val="20"/>
                <w:color w:val="auto"/>
              </w:rPr>
            </w:pPr>
            <w:r>
              <w:rPr>
                <w:rFonts w:ascii="Arial" w:cs="Arial" w:eastAsia="Arial" w:hAnsi="Arial"/>
                <w:sz w:val="18"/>
                <w:szCs w:val="18"/>
                <w:color w:val="auto"/>
              </w:rPr>
              <w:t>of our securities</w:t>
            </w:r>
          </w:p>
        </w:tc>
        <w:tc>
          <w:tcPr>
            <w:tcW w:w="0" w:type="dxa"/>
            <w:vAlign w:val="bottom"/>
          </w:tcPr>
          <w:p>
            <w:pPr>
              <w:spacing w:after="0"/>
              <w:rPr>
                <w:sz w:val="1"/>
                <w:szCs w:val="1"/>
                <w:color w:val="auto"/>
              </w:rPr>
            </w:pPr>
          </w:p>
        </w:tc>
      </w:tr>
      <w:tr>
        <w:trPr>
          <w:trHeight w:val="104"/>
        </w:trPr>
        <w:tc>
          <w:tcPr>
            <w:tcW w:w="5460" w:type="dxa"/>
            <w:vAlign w:val="bottom"/>
            <w:shd w:val="clear" w:color="auto" w:fill="E5EBEE"/>
          </w:tcPr>
          <w:p>
            <w:pPr>
              <w:spacing w:after="0"/>
              <w:rPr>
                <w:sz w:val="9"/>
                <w:szCs w:val="9"/>
                <w:color w:val="auto"/>
              </w:rPr>
            </w:pPr>
          </w:p>
        </w:tc>
        <w:tc>
          <w:tcPr>
            <w:tcW w:w="5460" w:type="dxa"/>
            <w:vAlign w:val="bottom"/>
            <w:shd w:val="clear" w:color="auto" w:fill="E5EBEE"/>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5460" w:type="dxa"/>
            <w:vAlign w:val="bottom"/>
          </w:tcPr>
          <w:p>
            <w:pPr>
              <w:ind w:left="120"/>
              <w:spacing w:after="0" w:line="242" w:lineRule="exact"/>
              <w:rPr>
                <w:sz w:val="20"/>
                <w:szCs w:val="20"/>
                <w:color w:val="auto"/>
              </w:rPr>
            </w:pPr>
            <w:r>
              <w:rPr>
                <w:rFonts w:ascii="MS PGothic" w:cs="MS PGothic" w:eastAsia="MS PGothic" w:hAnsi="MS PGothic"/>
                <w:sz w:val="21"/>
                <w:szCs w:val="21"/>
                <w:color w:val="023C5B"/>
              </w:rPr>
              <w:t>✓</w:t>
            </w:r>
            <w:r>
              <w:rPr>
                <w:rFonts w:ascii="Arial" w:cs="Arial" w:eastAsia="Arial" w:hAnsi="Arial"/>
                <w:sz w:val="18"/>
                <w:szCs w:val="18"/>
                <w:color w:val="auto"/>
              </w:rPr>
              <w:t xml:space="preserve">    We apply </w:t>
            </w:r>
            <w:r>
              <w:rPr>
                <w:rFonts w:ascii="Arial" w:cs="Arial" w:eastAsia="Arial" w:hAnsi="Arial"/>
                <w:sz w:val="18"/>
                <w:szCs w:val="18"/>
                <w:b w:val="1"/>
                <w:bCs w:val="1"/>
                <w:color w:val="auto"/>
              </w:rPr>
              <w:t>performance thresholds</w:t>
            </w:r>
            <w:r>
              <w:rPr>
                <w:rFonts w:ascii="Arial" w:cs="Arial" w:eastAsia="Arial" w:hAnsi="Arial"/>
                <w:sz w:val="18"/>
                <w:szCs w:val="18"/>
                <w:color w:val="auto"/>
              </w:rPr>
              <w:t xml:space="preserve"> to NEO long-term</w:t>
            </w:r>
          </w:p>
        </w:tc>
        <w:tc>
          <w:tcPr>
            <w:tcW w:w="5460" w:type="dxa"/>
            <w:vAlign w:val="bottom"/>
            <w:vMerge w:val="restart"/>
          </w:tcPr>
          <w:p>
            <w:pPr>
              <w:ind w:left="120"/>
              <w:spacing w:after="0" w:line="463" w:lineRule="exact"/>
              <w:rPr>
                <w:sz w:val="20"/>
                <w:szCs w:val="20"/>
                <w:color w:val="auto"/>
              </w:rPr>
            </w:pPr>
            <w:r>
              <w:rPr>
                <w:rFonts w:ascii="Wingdings" w:cs="Wingdings" w:eastAsia="Wingdings" w:hAnsi="Wingdings"/>
                <w:sz w:val="49"/>
                <w:szCs w:val="49"/>
                <w:b w:val="1"/>
                <w:bCs w:val="1"/>
                <w:color w:val="023C5B"/>
                <w:vertAlign w:val="subscript"/>
              </w:rPr>
              <w:t>û</w:t>
            </w:r>
            <w:r>
              <w:rPr>
                <w:rFonts w:ascii="Arial" w:cs="Arial" w:eastAsia="Arial" w:hAnsi="Arial"/>
                <w:sz w:val="18"/>
                <w:szCs w:val="18"/>
                <w:color w:val="auto"/>
              </w:rPr>
              <w:t xml:space="preserve"> We </w:t>
            </w:r>
            <w:r>
              <w:rPr>
                <w:rFonts w:ascii="Arial" w:cs="Arial" w:eastAsia="Arial" w:hAnsi="Arial"/>
                <w:sz w:val="18"/>
                <w:szCs w:val="18"/>
                <w:b w:val="1"/>
                <w:bCs w:val="1"/>
                <w:color w:val="auto"/>
              </w:rPr>
              <w:t>do not reprice</w:t>
            </w:r>
            <w:r>
              <w:rPr>
                <w:rFonts w:ascii="Arial" w:cs="Arial" w:eastAsia="Arial" w:hAnsi="Arial"/>
                <w:sz w:val="18"/>
                <w:szCs w:val="18"/>
                <w:color w:val="auto"/>
              </w:rPr>
              <w:t xml:space="preserve"> stock options</w:t>
            </w:r>
          </w:p>
        </w:tc>
        <w:tc>
          <w:tcPr>
            <w:tcW w:w="0" w:type="dxa"/>
            <w:vAlign w:val="bottom"/>
          </w:tcPr>
          <w:p>
            <w:pPr>
              <w:spacing w:after="0"/>
              <w:rPr>
                <w:sz w:val="1"/>
                <w:szCs w:val="1"/>
                <w:color w:val="auto"/>
              </w:rPr>
            </w:pPr>
          </w:p>
        </w:tc>
      </w:tr>
      <w:tr>
        <w:trPr>
          <w:trHeight w:val="201"/>
        </w:trPr>
        <w:tc>
          <w:tcPr>
            <w:tcW w:w="5460" w:type="dxa"/>
            <w:vAlign w:val="bottom"/>
          </w:tcPr>
          <w:p>
            <w:pPr>
              <w:ind w:left="440"/>
              <w:spacing w:after="0" w:line="201" w:lineRule="exact"/>
              <w:rPr>
                <w:sz w:val="20"/>
                <w:szCs w:val="20"/>
                <w:color w:val="auto"/>
              </w:rPr>
            </w:pPr>
            <w:r>
              <w:rPr>
                <w:rFonts w:ascii="Arial" w:cs="Arial" w:eastAsia="Arial" w:hAnsi="Arial"/>
                <w:sz w:val="18"/>
                <w:szCs w:val="18"/>
                <w:color w:val="auto"/>
              </w:rPr>
              <w:t>incentive grants to determine the amount of equity delivered</w:t>
            </w:r>
          </w:p>
        </w:tc>
        <w:tc>
          <w:tcPr>
            <w:tcW w:w="5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60" w:type="dxa"/>
            <w:vAlign w:val="bottom"/>
          </w:tcPr>
          <w:p>
            <w:pPr>
              <w:ind w:left="440"/>
              <w:spacing w:after="0"/>
              <w:rPr>
                <w:sz w:val="20"/>
                <w:szCs w:val="20"/>
                <w:color w:val="auto"/>
              </w:rPr>
            </w:pPr>
            <w:r>
              <w:rPr>
                <w:rFonts w:ascii="Arial" w:cs="Arial" w:eastAsia="Arial" w:hAnsi="Arial"/>
                <w:sz w:val="18"/>
                <w:szCs w:val="18"/>
                <w:color w:val="auto"/>
              </w:rPr>
              <w:t>at vesting</w:t>
            </w: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5460" w:type="dxa"/>
            <w:vAlign w:val="bottom"/>
          </w:tcPr>
          <w:p>
            <w:pPr>
              <w:spacing w:after="0"/>
              <w:rPr>
                <w:sz w:val="7"/>
                <w:szCs w:val="7"/>
                <w:color w:val="auto"/>
              </w:rPr>
            </w:pPr>
          </w:p>
        </w:tc>
        <w:tc>
          <w:tcPr>
            <w:tcW w:w="5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460" w:type="dxa"/>
            <w:vAlign w:val="bottom"/>
            <w:shd w:val="clear" w:color="auto" w:fill="E5EBEE"/>
          </w:tcPr>
          <w:p>
            <w:pPr>
              <w:ind w:left="120"/>
              <w:spacing w:after="0" w:line="242" w:lineRule="exact"/>
              <w:rPr>
                <w:sz w:val="20"/>
                <w:szCs w:val="20"/>
                <w:color w:val="auto"/>
              </w:rPr>
            </w:pPr>
            <w:r>
              <w:rPr>
                <w:rFonts w:ascii="MS PGothic" w:cs="MS PGothic" w:eastAsia="MS PGothic" w:hAnsi="MS PGothic"/>
                <w:sz w:val="21"/>
                <w:szCs w:val="21"/>
                <w:color w:val="023C5B"/>
              </w:rPr>
              <w:t>✓</w:t>
            </w:r>
            <w:r>
              <w:rPr>
                <w:rFonts w:ascii="Arial" w:cs="Arial" w:eastAsia="Arial" w:hAnsi="Arial"/>
                <w:sz w:val="18"/>
                <w:szCs w:val="18"/>
                <w:color w:val="auto"/>
              </w:rPr>
              <w:t xml:space="preserve">    We reduce performance share award values at vesting if the</w:t>
            </w:r>
          </w:p>
        </w:tc>
        <w:tc>
          <w:tcPr>
            <w:tcW w:w="5460" w:type="dxa"/>
            <w:vAlign w:val="bottom"/>
            <w:vMerge w:val="restart"/>
            <w:shd w:val="clear" w:color="auto" w:fill="E5EBEE"/>
          </w:tcPr>
          <w:p>
            <w:pPr>
              <w:ind w:left="120"/>
              <w:spacing w:after="0" w:line="342" w:lineRule="exact"/>
              <w:rPr>
                <w:sz w:val="20"/>
                <w:szCs w:val="20"/>
                <w:color w:val="auto"/>
              </w:rPr>
            </w:pPr>
            <w:r>
              <w:rPr>
                <w:rFonts w:ascii="Wingdings" w:cs="Wingdings" w:eastAsia="Wingdings" w:hAnsi="Wingdings"/>
                <w:sz w:val="39"/>
                <w:szCs w:val="39"/>
                <w:b w:val="1"/>
                <w:bCs w:val="1"/>
                <w:color w:val="023C5B"/>
                <w:vertAlign w:val="subscript"/>
              </w:rPr>
              <w:t>û</w:t>
            </w:r>
            <w:r>
              <w:rPr>
                <w:rFonts w:ascii="Arial" w:cs="Arial" w:eastAsia="Arial" w:hAnsi="Arial"/>
                <w:sz w:val="16"/>
                <w:szCs w:val="16"/>
                <w:color w:val="auto"/>
              </w:rPr>
              <w:t xml:space="preserve"> Generally, we do not utilize </w:t>
            </w:r>
            <w:r>
              <w:rPr>
                <w:rFonts w:ascii="Arial" w:cs="Arial" w:eastAsia="Arial" w:hAnsi="Arial"/>
                <w:sz w:val="16"/>
                <w:szCs w:val="16"/>
                <w:b w:val="1"/>
                <w:bCs w:val="1"/>
                <w:color w:val="auto"/>
              </w:rPr>
              <w:t>employment agreements</w:t>
            </w:r>
            <w:r>
              <w:rPr>
                <w:rFonts w:ascii="Arial" w:cs="Arial" w:eastAsia="Arial" w:hAnsi="Arial"/>
                <w:sz w:val="16"/>
                <w:szCs w:val="16"/>
                <w:color w:val="auto"/>
              </w:rPr>
              <w:t>, and</w:t>
            </w:r>
          </w:p>
        </w:tc>
        <w:tc>
          <w:tcPr>
            <w:tcW w:w="0" w:type="dxa"/>
            <w:vAlign w:val="bottom"/>
          </w:tcPr>
          <w:p>
            <w:pPr>
              <w:spacing w:after="0"/>
              <w:rPr>
                <w:sz w:val="1"/>
                <w:szCs w:val="1"/>
                <w:color w:val="auto"/>
              </w:rPr>
            </w:pPr>
          </w:p>
        </w:tc>
      </w:tr>
      <w:tr>
        <w:trPr>
          <w:trHeight w:val="80"/>
        </w:trPr>
        <w:tc>
          <w:tcPr>
            <w:tcW w:w="5460" w:type="dxa"/>
            <w:vAlign w:val="bottom"/>
            <w:vMerge w:val="restart"/>
            <w:shd w:val="clear" w:color="auto" w:fill="E5EBEE"/>
          </w:tcPr>
          <w:p>
            <w:pPr>
              <w:ind w:left="440"/>
              <w:spacing w:after="0"/>
              <w:rPr>
                <w:sz w:val="20"/>
                <w:szCs w:val="20"/>
                <w:color w:val="auto"/>
              </w:rPr>
            </w:pPr>
            <w:r>
              <w:rPr>
                <w:rFonts w:ascii="Arial" w:cs="Arial" w:eastAsia="Arial" w:hAnsi="Arial"/>
                <w:sz w:val="18"/>
                <w:szCs w:val="18"/>
                <w:color w:val="auto"/>
              </w:rPr>
              <w:t xml:space="preserve">Company does not achieve </w:t>
            </w:r>
            <w:r>
              <w:rPr>
                <w:rFonts w:ascii="Arial" w:cs="Arial" w:eastAsia="Arial" w:hAnsi="Arial"/>
                <w:sz w:val="18"/>
                <w:szCs w:val="18"/>
                <w:b w:val="1"/>
                <w:bCs w:val="1"/>
                <w:color w:val="auto"/>
              </w:rPr>
              <w:t>positive PSU Adjusted ROTCE</w:t>
            </w:r>
          </w:p>
        </w:tc>
        <w:tc>
          <w:tcPr>
            <w:tcW w:w="5460" w:type="dxa"/>
            <w:vAlign w:val="bottom"/>
            <w:vMerge w:val="continue"/>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5460" w:type="dxa"/>
            <w:vAlign w:val="bottom"/>
            <w:vMerge w:val="continue"/>
            <w:shd w:val="clear" w:color="auto" w:fill="E5EBEE"/>
          </w:tcPr>
          <w:p>
            <w:pPr>
              <w:spacing w:after="0"/>
              <w:rPr>
                <w:sz w:val="14"/>
                <w:szCs w:val="14"/>
                <w:color w:val="auto"/>
              </w:rPr>
            </w:pPr>
          </w:p>
        </w:tc>
        <w:tc>
          <w:tcPr>
            <w:tcW w:w="5460" w:type="dxa"/>
            <w:vAlign w:val="bottom"/>
            <w:vMerge w:val="restart"/>
            <w:shd w:val="clear" w:color="auto" w:fill="E5EBEE"/>
          </w:tcPr>
          <w:p>
            <w:pPr>
              <w:ind w:left="440"/>
              <w:spacing w:after="0"/>
              <w:rPr>
                <w:sz w:val="20"/>
                <w:szCs w:val="20"/>
                <w:color w:val="auto"/>
              </w:rPr>
            </w:pPr>
            <w:r>
              <w:rPr>
                <w:rFonts w:ascii="Arial" w:cs="Arial" w:eastAsia="Arial" w:hAnsi="Arial"/>
                <w:sz w:val="18"/>
                <w:szCs w:val="18"/>
                <w:color w:val="auto"/>
              </w:rPr>
              <w:t>none of our current NEOs has an employment agreement</w:t>
            </w:r>
          </w:p>
        </w:tc>
        <w:tc>
          <w:tcPr>
            <w:tcW w:w="0" w:type="dxa"/>
            <w:vAlign w:val="bottom"/>
          </w:tcPr>
          <w:p>
            <w:pPr>
              <w:spacing w:after="0"/>
              <w:rPr>
                <w:sz w:val="1"/>
                <w:szCs w:val="1"/>
                <w:color w:val="auto"/>
              </w:rPr>
            </w:pPr>
          </w:p>
        </w:tc>
      </w:tr>
      <w:tr>
        <w:trPr>
          <w:trHeight w:val="70"/>
        </w:trPr>
        <w:tc>
          <w:tcPr>
            <w:tcW w:w="5460" w:type="dxa"/>
            <w:vAlign w:val="bottom"/>
            <w:shd w:val="clear" w:color="auto" w:fill="E5EBEE"/>
          </w:tcPr>
          <w:p>
            <w:pPr>
              <w:spacing w:after="0"/>
              <w:rPr>
                <w:sz w:val="6"/>
                <w:szCs w:val="6"/>
                <w:color w:val="auto"/>
              </w:rPr>
            </w:pPr>
          </w:p>
        </w:tc>
        <w:tc>
          <w:tcPr>
            <w:tcW w:w="5460" w:type="dxa"/>
            <w:vAlign w:val="bottom"/>
            <w:vMerge w:val="continue"/>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5460" w:type="dxa"/>
            <w:vAlign w:val="bottom"/>
            <w:shd w:val="clear" w:color="auto" w:fill="E5EBEE"/>
          </w:tcPr>
          <w:p>
            <w:pPr>
              <w:spacing w:after="0"/>
              <w:rPr>
                <w:sz w:val="9"/>
                <w:szCs w:val="9"/>
                <w:color w:val="auto"/>
              </w:rPr>
            </w:pPr>
          </w:p>
        </w:tc>
        <w:tc>
          <w:tcPr>
            <w:tcW w:w="5460" w:type="dxa"/>
            <w:vAlign w:val="bottom"/>
            <w:shd w:val="clear" w:color="auto" w:fill="E5EBEE"/>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5460" w:type="dxa"/>
            <w:vAlign w:val="bottom"/>
          </w:tcPr>
          <w:p>
            <w:pPr>
              <w:ind w:left="120"/>
              <w:spacing w:after="0" w:line="242" w:lineRule="exact"/>
              <w:rPr>
                <w:sz w:val="20"/>
                <w:szCs w:val="20"/>
                <w:color w:val="auto"/>
              </w:rPr>
            </w:pPr>
            <w:r>
              <w:rPr>
                <w:rFonts w:ascii="MS PGothic" w:cs="MS PGothic" w:eastAsia="MS PGothic" w:hAnsi="MS PGothic"/>
                <w:sz w:val="21"/>
                <w:szCs w:val="21"/>
                <w:color w:val="023C5B"/>
              </w:rPr>
              <w:t>✓</w:t>
            </w:r>
            <w:r>
              <w:rPr>
                <w:rFonts w:ascii="Arial" w:cs="Arial" w:eastAsia="Arial" w:hAnsi="Arial"/>
                <w:sz w:val="18"/>
                <w:szCs w:val="18"/>
                <w:color w:val="auto"/>
              </w:rPr>
              <w:t xml:space="preserve">    We have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provisions embedded in our incentive</w:t>
            </w:r>
          </w:p>
        </w:tc>
        <w:tc>
          <w:tcPr>
            <w:tcW w:w="5460" w:type="dxa"/>
            <w:vAlign w:val="bottom"/>
            <w:vMerge w:val="restart"/>
          </w:tcPr>
          <w:p>
            <w:pPr>
              <w:ind w:left="120"/>
              <w:spacing w:after="0" w:line="440" w:lineRule="exact"/>
              <w:rPr>
                <w:sz w:val="20"/>
                <w:szCs w:val="20"/>
                <w:color w:val="auto"/>
              </w:rPr>
            </w:pPr>
            <w:r>
              <w:rPr>
                <w:rFonts w:ascii="Wingdings" w:cs="Wingdings" w:eastAsia="Wingdings" w:hAnsi="Wingdings"/>
                <w:sz w:val="49"/>
                <w:szCs w:val="49"/>
                <w:b w:val="1"/>
                <w:bCs w:val="1"/>
                <w:color w:val="023C5B"/>
                <w:vertAlign w:val="subscript"/>
              </w:rPr>
              <w:t>û</w:t>
            </w:r>
            <w:r>
              <w:rPr>
                <w:rFonts w:ascii="Arial" w:cs="Arial" w:eastAsia="Arial" w:hAnsi="Arial"/>
                <w:sz w:val="18"/>
                <w:szCs w:val="18"/>
                <w:color w:val="auto"/>
              </w:rPr>
              <w:t xml:space="preserve"> We do not provide </w:t>
            </w:r>
            <w:r>
              <w:rPr>
                <w:rFonts w:ascii="Arial" w:cs="Arial" w:eastAsia="Arial" w:hAnsi="Arial"/>
                <w:sz w:val="18"/>
                <w:szCs w:val="18"/>
                <w:b w:val="1"/>
                <w:bCs w:val="1"/>
                <w:color w:val="auto"/>
              </w:rPr>
              <w:t>excise tax gross-up</w:t>
            </w:r>
            <w:r>
              <w:rPr>
                <w:rFonts w:ascii="Arial" w:cs="Arial" w:eastAsia="Arial" w:hAnsi="Arial"/>
                <w:sz w:val="18"/>
                <w:szCs w:val="18"/>
                <w:color w:val="auto"/>
              </w:rPr>
              <w:t xml:space="preserve"> payments</w:t>
            </w:r>
          </w:p>
        </w:tc>
        <w:tc>
          <w:tcPr>
            <w:tcW w:w="0" w:type="dxa"/>
            <w:vAlign w:val="bottom"/>
          </w:tcPr>
          <w:p>
            <w:pPr>
              <w:spacing w:after="0"/>
              <w:rPr>
                <w:sz w:val="1"/>
                <w:szCs w:val="1"/>
                <w:color w:val="auto"/>
              </w:rPr>
            </w:pPr>
          </w:p>
        </w:tc>
      </w:tr>
      <w:tr>
        <w:trPr>
          <w:trHeight w:val="179"/>
        </w:trPr>
        <w:tc>
          <w:tcPr>
            <w:tcW w:w="5460" w:type="dxa"/>
            <w:vAlign w:val="bottom"/>
            <w:vMerge w:val="restart"/>
          </w:tcPr>
          <w:p>
            <w:pPr>
              <w:ind w:left="440"/>
              <w:spacing w:after="0"/>
              <w:rPr>
                <w:sz w:val="20"/>
                <w:szCs w:val="20"/>
                <w:color w:val="auto"/>
              </w:rPr>
            </w:pPr>
            <w:r>
              <w:rPr>
                <w:rFonts w:ascii="Arial" w:cs="Arial" w:eastAsia="Arial" w:hAnsi="Arial"/>
                <w:sz w:val="18"/>
                <w:szCs w:val="18"/>
                <w:color w:val="auto"/>
              </w:rPr>
              <w:t>compensation program to promote accountability</w:t>
            </w:r>
          </w:p>
        </w:tc>
        <w:tc>
          <w:tcPr>
            <w:tcW w:w="5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5460" w:type="dxa"/>
            <w:vAlign w:val="bottom"/>
            <w:vMerge w:val="continue"/>
          </w:tcPr>
          <w:p>
            <w:pPr>
              <w:spacing w:after="0"/>
              <w:rPr>
                <w:sz w:val="4"/>
                <w:szCs w:val="4"/>
                <w:color w:val="auto"/>
              </w:rPr>
            </w:pPr>
          </w:p>
        </w:tc>
        <w:tc>
          <w:tcPr>
            <w:tcW w:w="5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5460" w:type="dxa"/>
            <w:vAlign w:val="bottom"/>
          </w:tcPr>
          <w:p>
            <w:pPr>
              <w:spacing w:after="0"/>
              <w:rPr>
                <w:sz w:val="7"/>
                <w:szCs w:val="7"/>
                <w:color w:val="auto"/>
              </w:rPr>
            </w:pPr>
          </w:p>
        </w:tc>
        <w:tc>
          <w:tcPr>
            <w:tcW w:w="5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460" w:type="dxa"/>
            <w:vAlign w:val="bottom"/>
            <w:shd w:val="clear" w:color="auto" w:fill="E5EBEE"/>
          </w:tcPr>
          <w:p>
            <w:pPr>
              <w:ind w:left="120"/>
              <w:spacing w:after="0" w:line="242" w:lineRule="exact"/>
              <w:rPr>
                <w:sz w:val="20"/>
                <w:szCs w:val="20"/>
                <w:color w:val="auto"/>
              </w:rPr>
            </w:pPr>
            <w:r>
              <w:rPr>
                <w:rFonts w:ascii="MS PGothic" w:cs="MS PGothic" w:eastAsia="MS PGothic" w:hAnsi="MS PGothic"/>
                <w:sz w:val="21"/>
                <w:szCs w:val="21"/>
                <w:color w:val="023C5B"/>
              </w:rPr>
              <w:t>✓</w:t>
            </w:r>
            <w:r>
              <w:rPr>
                <w:rFonts w:ascii="Arial" w:cs="Arial" w:eastAsia="Arial" w:hAnsi="Arial"/>
                <w:sz w:val="18"/>
                <w:szCs w:val="18"/>
                <w:color w:val="auto"/>
              </w:rPr>
              <w:t xml:space="preserve">    We have a </w:t>
            </w:r>
            <w:r>
              <w:rPr>
                <w:rFonts w:ascii="Arial" w:cs="Arial" w:eastAsia="Arial" w:hAnsi="Arial"/>
                <w:sz w:val="18"/>
                <w:szCs w:val="18"/>
                <w:b w:val="1"/>
                <w:bCs w:val="1"/>
                <w:color w:val="auto"/>
              </w:rPr>
              <w:t>policy requiring stockholder ratification</w:t>
            </w:r>
            <w:r>
              <w:rPr>
                <w:rFonts w:ascii="Arial" w:cs="Arial" w:eastAsia="Arial" w:hAnsi="Arial"/>
                <w:sz w:val="18"/>
                <w:szCs w:val="18"/>
                <w:color w:val="auto"/>
              </w:rPr>
              <w:t xml:space="preserve"> for</w:t>
            </w:r>
          </w:p>
        </w:tc>
        <w:tc>
          <w:tcPr>
            <w:tcW w:w="5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460" w:type="dxa"/>
            <w:vAlign w:val="bottom"/>
            <w:shd w:val="clear" w:color="auto" w:fill="E5EBEE"/>
          </w:tcPr>
          <w:p>
            <w:pPr>
              <w:ind w:left="440"/>
              <w:spacing w:after="0" w:line="201" w:lineRule="exact"/>
              <w:rPr>
                <w:sz w:val="20"/>
                <w:szCs w:val="20"/>
                <w:color w:val="auto"/>
              </w:rPr>
            </w:pPr>
            <w:r>
              <w:rPr>
                <w:rFonts w:ascii="Arial" w:cs="Arial" w:eastAsia="Arial" w:hAnsi="Arial"/>
                <w:sz w:val="18"/>
                <w:szCs w:val="18"/>
                <w:b w:val="1"/>
                <w:bCs w:val="1"/>
                <w:color w:val="auto"/>
              </w:rPr>
              <w:t xml:space="preserve">cash severance payments </w:t>
            </w:r>
            <w:r>
              <w:rPr>
                <w:rFonts w:ascii="Arial" w:cs="Arial" w:eastAsia="Arial" w:hAnsi="Arial"/>
                <w:sz w:val="18"/>
                <w:szCs w:val="18"/>
                <w:color w:val="auto"/>
              </w:rPr>
              <w:t>to NEOs exceeding</w:t>
            </w:r>
            <w:r>
              <w:rPr>
                <w:rFonts w:ascii="Arial" w:cs="Arial" w:eastAsia="Arial" w:hAnsi="Arial"/>
                <w:sz w:val="18"/>
                <w:szCs w:val="18"/>
                <w:b w:val="1"/>
                <w:bCs w:val="1"/>
                <w:color w:val="auto"/>
              </w:rPr>
              <w:t xml:space="preserve"> 2.99 times</w:t>
            </w:r>
          </w:p>
        </w:tc>
        <w:tc>
          <w:tcPr>
            <w:tcW w:w="5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60" w:type="dxa"/>
            <w:vAlign w:val="bottom"/>
            <w:shd w:val="clear" w:color="auto" w:fill="E5EBEE"/>
          </w:tcPr>
          <w:p>
            <w:pPr>
              <w:ind w:left="440"/>
              <w:spacing w:after="0"/>
              <w:rPr>
                <w:sz w:val="20"/>
                <w:szCs w:val="20"/>
                <w:color w:val="auto"/>
              </w:rPr>
            </w:pPr>
            <w:r>
              <w:rPr>
                <w:rFonts w:ascii="Arial" w:cs="Arial" w:eastAsia="Arial" w:hAnsi="Arial"/>
                <w:sz w:val="18"/>
                <w:szCs w:val="18"/>
                <w:color w:val="auto"/>
              </w:rPr>
              <w:t>the sum of base salary and target bonus</w:t>
            </w: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5460" w:type="dxa"/>
            <w:vAlign w:val="bottom"/>
            <w:shd w:val="clear" w:color="auto" w:fill="E5EBEE"/>
          </w:tcPr>
          <w:p>
            <w:pPr>
              <w:spacing w:after="0"/>
              <w:rPr>
                <w:sz w:val="7"/>
                <w:szCs w:val="7"/>
                <w:color w:val="auto"/>
              </w:rPr>
            </w:pPr>
          </w:p>
        </w:tc>
        <w:tc>
          <w:tcPr>
            <w:tcW w:w="5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460" w:type="dxa"/>
            <w:vAlign w:val="bottom"/>
          </w:tcPr>
          <w:p>
            <w:pPr>
              <w:ind w:left="120"/>
              <w:spacing w:after="0" w:line="242" w:lineRule="exact"/>
              <w:rPr>
                <w:sz w:val="20"/>
                <w:szCs w:val="20"/>
                <w:color w:val="auto"/>
              </w:rPr>
            </w:pPr>
            <w:r>
              <w:rPr>
                <w:rFonts w:ascii="MS PGothic" w:cs="MS PGothic" w:eastAsia="MS PGothic" w:hAnsi="MS PGothic"/>
                <w:sz w:val="21"/>
                <w:szCs w:val="21"/>
                <w:color w:val="023C5B"/>
              </w:rPr>
              <w:t>✓</w:t>
            </w:r>
            <w:r>
              <w:rPr>
                <w:rFonts w:ascii="Arial" w:cs="Arial" w:eastAsia="Arial" w:hAnsi="Arial"/>
                <w:sz w:val="18"/>
                <w:szCs w:val="18"/>
                <w:color w:val="auto"/>
              </w:rPr>
              <w:t xml:space="preserve">    We require both a change of control event and a termination</w:t>
            </w:r>
          </w:p>
        </w:tc>
        <w:tc>
          <w:tcPr>
            <w:tcW w:w="5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460" w:type="dxa"/>
            <w:vAlign w:val="bottom"/>
          </w:tcPr>
          <w:p>
            <w:pPr>
              <w:ind w:left="440"/>
              <w:spacing w:after="0" w:line="201" w:lineRule="exact"/>
              <w:rPr>
                <w:sz w:val="20"/>
                <w:szCs w:val="20"/>
                <w:color w:val="auto"/>
              </w:rPr>
            </w:pPr>
            <w:r>
              <w:rPr>
                <w:rFonts w:ascii="Arial" w:cs="Arial" w:eastAsia="Arial" w:hAnsi="Arial"/>
                <w:sz w:val="18"/>
                <w:szCs w:val="18"/>
                <w:color w:val="auto"/>
              </w:rPr>
              <w:t>before we accelerate the vesting of equity and equity-based</w:t>
            </w:r>
          </w:p>
        </w:tc>
        <w:tc>
          <w:tcPr>
            <w:tcW w:w="5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460" w:type="dxa"/>
            <w:vAlign w:val="bottom"/>
          </w:tcPr>
          <w:p>
            <w:pPr>
              <w:ind w:left="440"/>
              <w:spacing w:after="0"/>
              <w:rPr>
                <w:sz w:val="20"/>
                <w:szCs w:val="20"/>
                <w:color w:val="auto"/>
              </w:rPr>
            </w:pPr>
            <w:r>
              <w:rPr>
                <w:rFonts w:ascii="Arial" w:cs="Arial" w:eastAsia="Arial" w:hAnsi="Arial"/>
                <w:sz w:val="18"/>
                <w:szCs w:val="18"/>
                <w:color w:val="auto"/>
              </w:rPr>
              <w:t>awards (</w:t>
            </w:r>
            <w:r>
              <w:rPr>
                <w:rFonts w:ascii="Arial" w:cs="Arial" w:eastAsia="Arial" w:hAnsi="Arial"/>
                <w:sz w:val="18"/>
                <w:szCs w:val="18"/>
                <w:b w:val="1"/>
                <w:bCs w:val="1"/>
                <w:color w:val="auto"/>
              </w:rPr>
              <w:t>double trigger</w:t>
            </w:r>
            <w:r>
              <w:rPr>
                <w:rFonts w:ascii="Arial" w:cs="Arial" w:eastAsia="Arial" w:hAnsi="Arial"/>
                <w:sz w:val="18"/>
                <w:szCs w:val="18"/>
                <w:color w:val="auto"/>
              </w:rPr>
              <w:t>)</w:t>
            </w:r>
          </w:p>
        </w:tc>
        <w:tc>
          <w:tcPr>
            <w:tcW w:w="5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5460" w:type="dxa"/>
            <w:vAlign w:val="bottom"/>
          </w:tcPr>
          <w:p>
            <w:pPr>
              <w:spacing w:after="0"/>
              <w:rPr>
                <w:sz w:val="7"/>
                <w:szCs w:val="7"/>
                <w:color w:val="auto"/>
              </w:rPr>
            </w:pPr>
          </w:p>
        </w:tc>
        <w:tc>
          <w:tcPr>
            <w:tcW w:w="5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460" w:type="dxa"/>
            <w:vAlign w:val="bottom"/>
            <w:shd w:val="clear" w:color="auto" w:fill="E5EBEE"/>
          </w:tcPr>
          <w:p>
            <w:pPr>
              <w:ind w:left="120"/>
              <w:spacing w:after="0" w:line="242" w:lineRule="exact"/>
              <w:rPr>
                <w:sz w:val="20"/>
                <w:szCs w:val="20"/>
                <w:color w:val="auto"/>
              </w:rPr>
            </w:pPr>
            <w:r>
              <w:rPr>
                <w:rFonts w:ascii="MS PGothic" w:cs="MS PGothic" w:eastAsia="MS PGothic" w:hAnsi="MS PGothic"/>
                <w:sz w:val="21"/>
                <w:szCs w:val="21"/>
                <w:color w:val="023C5B"/>
              </w:rPr>
              <w:t>✓</w:t>
            </w:r>
            <w:r>
              <w:rPr>
                <w:rFonts w:ascii="Arial" w:cs="Arial" w:eastAsia="Arial" w:hAnsi="Arial"/>
                <w:sz w:val="18"/>
                <w:szCs w:val="18"/>
                <w:color w:val="auto"/>
              </w:rPr>
              <w:t xml:space="preserve">    We have an </w:t>
            </w:r>
            <w:r>
              <w:rPr>
                <w:rFonts w:ascii="Arial" w:cs="Arial" w:eastAsia="Arial" w:hAnsi="Arial"/>
                <w:sz w:val="18"/>
                <w:szCs w:val="18"/>
                <w:b w:val="1"/>
                <w:bCs w:val="1"/>
                <w:color w:val="auto"/>
              </w:rPr>
              <w:t>independent</w:t>
            </w:r>
            <w:r>
              <w:rPr>
                <w:rFonts w:ascii="Arial" w:cs="Arial" w:eastAsia="Arial" w:hAnsi="Arial"/>
                <w:sz w:val="18"/>
                <w:szCs w:val="18"/>
                <w:color w:val="auto"/>
              </w:rPr>
              <w:t xml:space="preserve"> compensation consultant advising</w:t>
            </w:r>
          </w:p>
        </w:tc>
        <w:tc>
          <w:tcPr>
            <w:tcW w:w="5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460" w:type="dxa"/>
            <w:vAlign w:val="bottom"/>
            <w:shd w:val="clear" w:color="auto" w:fill="E5EBEE"/>
          </w:tcPr>
          <w:p>
            <w:pPr>
              <w:ind w:left="440"/>
              <w:spacing w:after="0"/>
              <w:rPr>
                <w:sz w:val="20"/>
                <w:szCs w:val="20"/>
                <w:color w:val="auto"/>
              </w:rPr>
            </w:pPr>
            <w:r>
              <w:rPr>
                <w:rFonts w:ascii="Arial" w:cs="Arial" w:eastAsia="Arial" w:hAnsi="Arial"/>
                <w:sz w:val="18"/>
                <w:szCs w:val="18"/>
                <w:color w:val="auto"/>
              </w:rPr>
              <w:t>the Committee</w:t>
            </w: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5460" w:type="dxa"/>
            <w:vAlign w:val="bottom"/>
            <w:shd w:val="clear" w:color="auto" w:fill="E5EBEE"/>
          </w:tcPr>
          <w:p>
            <w:pPr>
              <w:spacing w:after="0"/>
              <w:rPr>
                <w:sz w:val="7"/>
                <w:szCs w:val="7"/>
                <w:color w:val="auto"/>
              </w:rPr>
            </w:pPr>
          </w:p>
        </w:tc>
        <w:tc>
          <w:tcPr>
            <w:tcW w:w="5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5460" w:type="dxa"/>
            <w:vAlign w:val="bottom"/>
          </w:tcPr>
          <w:p>
            <w:pPr>
              <w:ind w:left="120"/>
              <w:spacing w:after="0" w:line="242" w:lineRule="exact"/>
              <w:rPr>
                <w:sz w:val="20"/>
                <w:szCs w:val="20"/>
                <w:color w:val="auto"/>
              </w:rPr>
            </w:pPr>
            <w:r>
              <w:rPr>
                <w:rFonts w:ascii="MS PGothic" w:cs="MS PGothic" w:eastAsia="MS PGothic" w:hAnsi="MS PGothic"/>
                <w:sz w:val="21"/>
                <w:szCs w:val="21"/>
                <w:color w:val="023C5B"/>
              </w:rPr>
              <w:t>✓</w:t>
            </w:r>
            <w:r>
              <w:rPr>
                <w:rFonts w:ascii="Arial" w:cs="Arial" w:eastAsia="Arial" w:hAnsi="Arial"/>
                <w:sz w:val="18"/>
                <w:szCs w:val="18"/>
                <w:color w:val="auto"/>
              </w:rPr>
              <w:t xml:space="preserve">    We use a mix of </w:t>
            </w:r>
            <w:r>
              <w:rPr>
                <w:rFonts w:ascii="Arial" w:cs="Arial" w:eastAsia="Arial" w:hAnsi="Arial"/>
                <w:sz w:val="18"/>
                <w:szCs w:val="18"/>
                <w:b w:val="1"/>
                <w:bCs w:val="1"/>
                <w:color w:val="auto"/>
              </w:rPr>
              <w:t>pre-established relative and absolute</w:t>
            </w:r>
          </w:p>
        </w:tc>
        <w:tc>
          <w:tcPr>
            <w:tcW w:w="5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460" w:type="dxa"/>
            <w:vAlign w:val="bottom"/>
          </w:tcPr>
          <w:p>
            <w:pPr>
              <w:ind w:left="440"/>
              <w:spacing w:after="0"/>
              <w:rPr>
                <w:sz w:val="20"/>
                <w:szCs w:val="20"/>
                <w:color w:val="auto"/>
              </w:rPr>
            </w:pPr>
            <w:r>
              <w:rPr>
                <w:rFonts w:ascii="Arial" w:cs="Arial" w:eastAsia="Arial" w:hAnsi="Arial"/>
                <w:sz w:val="18"/>
                <w:szCs w:val="18"/>
                <w:b w:val="1"/>
                <w:bCs w:val="1"/>
                <w:color w:val="auto"/>
              </w:rPr>
              <w:t xml:space="preserve">performance </w:t>
            </w:r>
            <w:r>
              <w:rPr>
                <w:rFonts w:ascii="Arial" w:cs="Arial" w:eastAsia="Arial" w:hAnsi="Arial"/>
                <w:sz w:val="18"/>
                <w:szCs w:val="18"/>
                <w:color w:val="auto"/>
              </w:rPr>
              <w:t>metrics in our incentive awards</w:t>
            </w:r>
          </w:p>
        </w:tc>
        <w:tc>
          <w:tcPr>
            <w:tcW w:w="5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All of the terms and features described above, including the performance-based vesting and clawback provisions, apply to such awards granted to all executive officers and not just the NEOs.</w:t>
      </w:r>
    </w:p>
    <w:p>
      <w:pPr>
        <w:spacing w:after="0" w:line="83"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Compensation Program Objectives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Capital One’s executive compensation programs have four primary objectives.</w:t>
      </w:r>
    </w:p>
    <w:p>
      <w:pPr>
        <w:spacing w:after="0" w:line="208" w:lineRule="exact"/>
        <w:rPr>
          <w:sz w:val="20"/>
          <w:szCs w:val="20"/>
          <w:color w:val="auto"/>
        </w:rPr>
      </w:pPr>
    </w:p>
    <w:p>
      <w:pPr>
        <w:ind w:left="160" w:right="640"/>
        <w:spacing w:after="0" w:line="277" w:lineRule="auto"/>
        <w:rPr>
          <w:sz w:val="20"/>
          <w:szCs w:val="20"/>
          <w:color w:val="auto"/>
        </w:rPr>
      </w:pPr>
      <w:r>
        <w:rPr>
          <w:rFonts w:ascii="Arial" w:cs="Arial" w:eastAsia="Arial" w:hAnsi="Arial"/>
          <w:sz w:val="18"/>
          <w:szCs w:val="18"/>
          <w:b w:val="1"/>
          <w:bCs w:val="1"/>
          <w:color w:val="023C5B"/>
        </w:rPr>
        <w:t>Strongly link pay and performance by providing compensation based on both business and individual performance while appropriately balancing risk</w:t>
      </w:r>
    </w:p>
    <w:p>
      <w:pPr>
        <w:spacing w:after="0" w:line="137" w:lineRule="exact"/>
        <w:rPr>
          <w:sz w:val="20"/>
          <w:szCs w:val="20"/>
          <w:color w:val="auto"/>
        </w:rPr>
      </w:pPr>
    </w:p>
    <w:p>
      <w:pPr>
        <w:jc w:val="both"/>
        <w:ind w:left="160"/>
        <w:spacing w:after="0" w:line="252" w:lineRule="auto"/>
        <w:rPr>
          <w:sz w:val="20"/>
          <w:szCs w:val="20"/>
          <w:color w:val="auto"/>
        </w:rPr>
      </w:pPr>
      <w:r>
        <w:rPr>
          <w:rFonts w:ascii="Arial" w:cs="Arial" w:eastAsia="Arial" w:hAnsi="Arial"/>
          <w:sz w:val="17"/>
          <w:szCs w:val="17"/>
          <w:color w:val="auto"/>
        </w:rPr>
        <w:t>Capital One emphasizes pay-for-performance at all organizational levels. Typically, as an executive’s level of responsibility increases, so does the proportion of the executive’s pay that is subject to performance criteria. Therefore, the NEOs have the highest proportion of their pay directly linked to Company and individual performance, as compared to other associates. Awards made to the NEOs in February 2026 for the 2025 performance year were based on Company and individual performance, and on demonstrating specific leadership competencies assessed through a comprehensive performance management process that included an individual assessment specifically designed to evaluate the degree to which the executive balanced risks inherent to their role. The Chief Enterprise Risk Officer compiled these risk assessments and the Chief Human Resources Officer reviewed the assessments for the NEOs. Separately, the Chief Audit Officer compiled and reviewed the risk assessment for the Chief Enterprise Risk Officer and the Chief Credit and Financial Risk Officer. The Committee considered the assessments in making its determinations regarding individual performance and compensation levels.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Align our executives’ interests with those of our stockholders</w:t>
      </w:r>
    </w:p>
    <w:p>
      <w:pPr>
        <w:spacing w:after="0" w:line="20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Committee and the Independent Directors are committed to designing incentive compensation programs that reward individual and Company performance and that are aligned with the creation of stockholder value over the long term. A portion of the CEO’s performance share award is directly linked to the Company’s relative TSR over a three-year period. TSR also continues to be explicitly included in the financial and operating performance factors considered by the Committee and the Independent Directors to determine NEO year-end incentive awards. In addition, because about half of NEO compensation is delivered through deferred, equity-based vehicles that vest over multiple time horizons, the NEOs have a significant stake in the success of the Company. The Committee and the Independent Directors also have the flexibility to adjust compensation decisions from year to year to take into account the Company’s performance and evolving market practices. In addition, we have established specific stock ownership policies that the NEOs must meet and stock retention provisions applicable to certain equity awards.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Reward performance over multiple time horizons</w:t>
      </w:r>
    </w:p>
    <w:p>
      <w:pPr>
        <w:spacing w:after="0" w:line="20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Our compensation programs are structured to encourage our executives to deliver strong results over the short- term while making decisions that create sustained value for our stockholders over the long term. For 2025, approximately 83% of the CEO’s total compensation was equity-based and at-risk to the performance of the Company’s stock price, and 100% of his year-end incentive compensation was deferred for a three-year period. In addition, approximately 50% of total compensation for NEOs other than the CEO was provided through equity-based vehicles which were at-risk to the performance of the Company’s stock price and subject to vesting over multiple time horizons. The use of deferred, equity-based compensation vehicles with multi-year vesting terms advances our goal of aligning the ultimate value realized by the NEOs with the performance of the Company’s stock over time because the value of these compensation vehicles increases and decreases based on the performance of the Company’s stock price in both current and future periods.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Attract, retain, and motivate top executive talent</w:t>
      </w:r>
    </w:p>
    <w:p>
      <w:pPr>
        <w:spacing w:after="0" w:line="20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To attract, retain, and motivate exceptional leaders, we believe that compensation opportunities at Capital One must be competitive with the marketplace for talent. The Committee and the Independent Directors strive to preserve a competitive pay mix and total target compensation values in the executive compensation program, as well as provide competitive total rewards based on our selected peer group. See “Peer Groups” beginning on page 91 for information regarding how the Committee and the Independent Directors utilized the Company’s peer group in determining executive compensation.</w:t>
      </w:r>
    </w:p>
    <w:p>
      <w:pPr>
        <w:spacing w:after="0" w:line="115"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Use of Judgment</w:t>
      </w:r>
    </w:p>
    <w:p>
      <w:pPr>
        <w:spacing w:after="0" w:line="221"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Committee believes that exercising judgment is an important element in reaching balanced compensation decisions that align with our strategy and risk management, reward both current-year performance and sustained long-term value creation, and complement Capital One’s pay-for-performance philosophy. By applying informed judgment, the Committee seeks to mitigate the risks associated with a rigid and strictly formulaic compensation program, which could unintentionally create incentives for our executives to focus only on certain performance metrics, encourage imprudent risk-taking, and not provide the best long-term results for stockholders. In addition, the use of judgment allows the Committee to respond to changes in economic conditions, our operating environment, and other significant factors that may affect the long-term performance of Capital One or our lines of business. The use of judgment also allows the Committee to adjust compensation based on factors that would not be appropriately reflected by a strictly formulaic approach, such as risk management, championing Company values, and the discrepancies between absolute and relative performance levels or recognition of individual performance levels.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Our Compensation Governance Cycle</w:t>
      </w:r>
    </w:p>
    <w:p>
      <w:pPr>
        <w:spacing w:after="0" w:line="22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Committee is actively engaged throughout the year, and members of the Committee regularly meet with management, regarding the Company’s executive compensation programs and practices. In addition, the Committee and the Board receive regular updates regarding the Company’s financial and strategic performance, including information regarding the Company’s performance against the four categories of quantitative and qualitative performance factors related to: financial and operating performance, governance and risk management, strategic performance, and winning with our customers and associates (the “Performance Factors”) that are used by the Committee to determine the year-end incentive awards to the NEOs.</w:t>
      </w:r>
    </w:p>
    <w:p>
      <w:pPr>
        <w:spacing w:after="0" w:line="18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Committee met six times in 2025 with all of those meetings concluding with an executive session without management present. Among those six meetings, the Committee held three joint meetings with the Board in 2025, and held an additional joint meeting at the beginning of 2026 to assess Company and NEO performance and determine the year-end incentive awards for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137795</wp:posOffset>
            </wp:positionV>
            <wp:extent cx="6454140" cy="3966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454140" cy="3966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Chief Executive Officer Compensation</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2025 CEO Compensation Program and Components</w:t>
      </w:r>
    </w:p>
    <w:p>
      <w:pPr>
        <w:spacing w:after="0" w:line="22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Committee annually reviews and approves the form, timing, and amount of compensation for the CEO and makes recommendations regarding the CEO compensation structure to the Independent Directors for final approval. The Committee believes that the CEO’s compensation should be entirely at-risk based on his and the Company’s performance. The Committee considers the Company’s and the CEO’s historical performance and seeks to effectively align the CEO’s interests with the interests of our stockholders over time, support safety and soundness, and appropriately balance risk.</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2025 CEO Compensation Program</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When determining the structure of Mr. Fairbank’s compensation program for the 2025 performance year, the Committee and the</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Independent Directors considered:</w:t>
      </w:r>
    </w:p>
    <w:p>
      <w:pPr>
        <w:spacing w:after="0" w:line="162" w:lineRule="exact"/>
        <w:rPr>
          <w:sz w:val="20"/>
          <w:szCs w:val="20"/>
          <w:color w:val="auto"/>
        </w:rPr>
      </w:pPr>
    </w:p>
    <w:p>
      <w:pPr>
        <w:ind w:left="1020" w:hanging="425"/>
        <w:spacing w:after="0"/>
        <w:tabs>
          <w:tab w:leader="none" w:pos="1020" w:val="left"/>
        </w:tabs>
        <w:numPr>
          <w:ilvl w:val="0"/>
          <w:numId w:val="7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Company’s performance during the prior year and Mr. Fairbank’s contribution to that performance;</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7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Company’s performance in the prior year relative to the performance of peer comparator companies in that year;</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7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structure and amount of compensation awarded to the CEOs of the Company’s peers;</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7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structure and amount of Mr. Fairbank’s compensation awards in prior years;</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7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Company’s risk profile and the time horizon over which the deferred equity-based awards will vest;</w:t>
      </w:r>
    </w:p>
    <w:p>
      <w:pPr>
        <w:spacing w:after="0" w:line="206" w:lineRule="exact"/>
        <w:rPr>
          <w:rFonts w:ascii="MS PGothic" w:cs="MS PGothic" w:eastAsia="MS PGothic" w:hAnsi="MS PGothic"/>
          <w:sz w:val="29"/>
          <w:szCs w:val="29"/>
          <w:color w:val="023C5B"/>
          <w:vertAlign w:val="superscript"/>
        </w:rPr>
      </w:pPr>
    </w:p>
    <w:p>
      <w:pPr>
        <w:ind w:left="1020" w:right="20" w:hanging="425"/>
        <w:spacing w:after="0" w:line="210" w:lineRule="auto"/>
        <w:tabs>
          <w:tab w:leader="none" w:pos="1020" w:val="left"/>
        </w:tabs>
        <w:numPr>
          <w:ilvl w:val="0"/>
          <w:numId w:val="7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ultimate value of Mr. Fairbank’s deferred equity-based awards (which will depend on the Company’s and Mr. Fairbank’s performance over time as well as the value of Capital One common stock at the time the awards vest); and</w:t>
      </w:r>
    </w:p>
    <w:p>
      <w:pPr>
        <w:spacing w:after="0" w:line="207"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7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feedback received from stockholders regarding the Company’s executive compensation programs and the compensation awarded to Mr. Fairbank.</w:t>
      </w:r>
    </w:p>
    <w:p>
      <w:pPr>
        <w:spacing w:after="0" w:line="18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After considering these factors, in February 2025, the Committee and the Independent Directors determined that Mr. Fairbank’s 2025 compensation program would continue to consist of two components: (i) an equity or equity-based award granted at the beginning of the performance year; and (ii) an opportunity for a year-end incentive award, with the amount granted based on CEO and Company performance in 2025 (granted in February 2026). Any year-end incentive award granted to the CEO (i) would continue to consist primarily of a performance share award, under which he may receive 0% to 150% of a target number of shares of Capital One common stock based on the Company’s performance over a three-year period; and (ii) may also consist of deferred cash, an equity-based award, or both. In this manner, the CEO’s compensation will continue to be completely at-risk based on the Company’s and Mr. Fairbank’s performance, and all CEO compensation continues to be subject to a three-year deferred vesting or payout. As in prior years, Mr. Fairbank did not receive any cash salary in 2025.</w:t>
      </w:r>
    </w:p>
    <w:p>
      <w:pPr>
        <w:spacing w:after="0" w:line="180"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Committee and the Independent Directors determined not to establish a total target compensation amount for Mr. Fairbank’s 2025 compensation program to further align Mr. Fairbank’s compensation program with that of the Company’s peers and increase the Committee and the Independent Directors’ ability to directly link the CEO’s compensation to the Company’s performance as well as the CEO’s contributions to that performance over the short-, medium-, and long-term.</w:t>
      </w:r>
    </w:p>
    <w:p>
      <w:pPr>
        <w:spacing w:after="0" w:line="111"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2025 CEO Compensation Components</w:t>
      </w:r>
    </w:p>
    <w:p>
      <w:pPr>
        <w:spacing w:after="0" w:line="208"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color w:val="auto"/>
        </w:rPr>
        <w:t>For performance year 2025, the year-end incentive was delivered in the form of performance shares, deferred cash, and cash-settled RSUs, representing 62%, 17%, and 15%, respectively, of the CEO’s total performance year compensation.</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summarizes the components of the CEO’s compensation program for the 2025 performance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5337810</wp:posOffset>
            </wp:positionH>
            <wp:positionV relativeFrom="paragraph">
              <wp:posOffset>160655</wp:posOffset>
            </wp:positionV>
            <wp:extent cx="8255" cy="280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28003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160655</wp:posOffset>
            </wp:positionV>
            <wp:extent cx="8255" cy="280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28003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160655</wp:posOffset>
            </wp:positionV>
            <wp:extent cx="8255" cy="280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280035"/>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160655</wp:posOffset>
            </wp:positionV>
            <wp:extent cx="8255" cy="280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280035"/>
                    </a:xfrm>
                    <a:prstGeom prst="rect">
                      <a:avLst/>
                    </a:prstGeom>
                    <a:noFill/>
                  </pic:spPr>
                </pic:pic>
              </a:graphicData>
            </a:graphic>
          </wp:anchor>
        </w:drawing>
      </w:r>
    </w:p>
    <w:p>
      <w:pPr>
        <w:spacing w:after="0" w:line="233" w:lineRule="exact"/>
        <w:rPr>
          <w:sz w:val="20"/>
          <w:szCs w:val="20"/>
          <w:color w:val="auto"/>
        </w:rPr>
      </w:pPr>
    </w:p>
    <w:tbl>
      <w:tblPr>
        <w:tblLayout w:type="fixed"/>
        <w:tblInd w:w="290" w:type="dxa"/>
        <w:tblCellMar>
          <w:top w:w="0" w:type="dxa"/>
          <w:left w:w="0" w:type="dxa"/>
          <w:bottom w:w="0" w:type="dxa"/>
          <w:right w:w="0" w:type="dxa"/>
        </w:tblCellMar>
      </w:tblPr>
      <w:tr>
        <w:trPr>
          <w:trHeight w:val="53"/>
        </w:trPr>
        <w:tc>
          <w:tcPr>
            <w:tcW w:w="1940" w:type="dxa"/>
            <w:vAlign w:val="bottom"/>
            <w:tcBorders>
              <w:left w:val="single" w:sz="8" w:color="023C5B"/>
              <w:right w:val="single" w:sz="8" w:color="023C5B"/>
            </w:tcBorders>
            <w:shd w:val="clear" w:color="auto" w:fill="023C5B"/>
          </w:tcPr>
          <w:p>
            <w:pPr>
              <w:spacing w:after="0"/>
              <w:rPr>
                <w:sz w:val="4"/>
                <w:szCs w:val="4"/>
                <w:color w:val="auto"/>
              </w:rPr>
            </w:pPr>
          </w:p>
        </w:tc>
        <w:tc>
          <w:tcPr>
            <w:tcW w:w="1280" w:type="dxa"/>
            <w:vAlign w:val="bottom"/>
            <w:tcBorders>
              <w:right w:val="single" w:sz="8" w:color="023C5B"/>
            </w:tcBorders>
            <w:shd w:val="clear" w:color="auto" w:fill="023C5B"/>
          </w:tcPr>
          <w:p>
            <w:pPr>
              <w:spacing w:after="0"/>
              <w:rPr>
                <w:sz w:val="4"/>
                <w:szCs w:val="4"/>
                <w:color w:val="auto"/>
              </w:rPr>
            </w:pPr>
          </w:p>
        </w:tc>
        <w:tc>
          <w:tcPr>
            <w:tcW w:w="1600" w:type="dxa"/>
            <w:vAlign w:val="bottom"/>
            <w:tcBorders>
              <w:right w:val="single" w:sz="8" w:color="023C5B"/>
            </w:tcBorders>
            <w:vMerge w:val="restart"/>
            <w:shd w:val="clear" w:color="auto" w:fill="023C5B"/>
          </w:tcPr>
          <w:p>
            <w:pPr>
              <w:jc w:val="center"/>
              <w:spacing w:after="0"/>
              <w:rPr>
                <w:sz w:val="20"/>
                <w:szCs w:val="20"/>
                <w:color w:val="auto"/>
              </w:rPr>
            </w:pPr>
            <w:r>
              <w:rPr>
                <w:rFonts w:ascii="Arial" w:cs="Arial" w:eastAsia="Arial" w:hAnsi="Arial"/>
                <w:sz w:val="16"/>
                <w:szCs w:val="16"/>
                <w:b w:val="1"/>
                <w:bCs w:val="1"/>
                <w:color w:val="FFFFFF"/>
                <w:w w:val="98"/>
              </w:rPr>
              <w:t>Timing of Award</w:t>
            </w:r>
          </w:p>
        </w:tc>
        <w:tc>
          <w:tcPr>
            <w:tcW w:w="1720" w:type="dxa"/>
            <w:vAlign w:val="bottom"/>
            <w:tcBorders>
              <w:right w:val="single" w:sz="8" w:color="023C5B"/>
            </w:tcBorders>
            <w:shd w:val="clear" w:color="auto" w:fill="023C5B"/>
          </w:tcPr>
          <w:p>
            <w:pPr>
              <w:spacing w:after="0"/>
              <w:rPr>
                <w:sz w:val="4"/>
                <w:szCs w:val="4"/>
                <w:color w:val="auto"/>
              </w:rPr>
            </w:pPr>
          </w:p>
        </w:tc>
        <w:tc>
          <w:tcPr>
            <w:tcW w:w="1600" w:type="dxa"/>
            <w:vAlign w:val="bottom"/>
            <w:tcBorders>
              <w:right w:val="single" w:sz="8" w:color="023C5B"/>
            </w:tcBorders>
            <w:vMerge w:val="restart"/>
            <w:shd w:val="clear" w:color="auto" w:fill="023C5B"/>
          </w:tcPr>
          <w:p>
            <w:pPr>
              <w:ind w:left="560"/>
              <w:spacing w:after="0"/>
              <w:rPr>
                <w:sz w:val="20"/>
                <w:szCs w:val="20"/>
                <w:color w:val="auto"/>
              </w:rPr>
            </w:pPr>
            <w:r>
              <w:rPr>
                <w:rFonts w:ascii="Arial" w:cs="Arial" w:eastAsia="Arial" w:hAnsi="Arial"/>
                <w:sz w:val="16"/>
                <w:szCs w:val="16"/>
                <w:b w:val="1"/>
                <w:bCs w:val="1"/>
                <w:color w:val="FFFFFF"/>
              </w:rPr>
              <w:t>Vesting</w:t>
            </w:r>
          </w:p>
        </w:tc>
        <w:tc>
          <w:tcPr>
            <w:tcW w:w="320" w:type="dxa"/>
            <w:vAlign w:val="bottom"/>
            <w:shd w:val="clear" w:color="auto" w:fill="023C5B"/>
          </w:tcPr>
          <w:p>
            <w:pPr>
              <w:spacing w:after="0"/>
              <w:rPr>
                <w:sz w:val="4"/>
                <w:szCs w:val="4"/>
                <w:color w:val="auto"/>
              </w:rPr>
            </w:pPr>
          </w:p>
        </w:tc>
        <w:tc>
          <w:tcPr>
            <w:tcW w:w="2240" w:type="dxa"/>
            <w:vAlign w:val="bottom"/>
            <w:vMerge w:val="restart"/>
            <w:shd w:val="clear" w:color="auto" w:fill="023C5B"/>
          </w:tcPr>
          <w:p>
            <w:pPr>
              <w:ind w:left="340"/>
              <w:spacing w:after="0"/>
              <w:rPr>
                <w:sz w:val="20"/>
                <w:szCs w:val="20"/>
                <w:color w:val="auto"/>
              </w:rPr>
            </w:pPr>
            <w:r>
              <w:rPr>
                <w:rFonts w:ascii="Arial" w:cs="Arial" w:eastAsia="Arial" w:hAnsi="Arial"/>
                <w:sz w:val="16"/>
                <w:szCs w:val="16"/>
                <w:b w:val="1"/>
                <w:bCs w:val="1"/>
                <w:color w:val="FFFFFF"/>
              </w:rPr>
              <w:t>Performance and</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940" w:type="dxa"/>
            <w:vAlign w:val="bottom"/>
            <w:tcBorders>
              <w:left w:val="single" w:sz="8" w:color="023C5B"/>
              <w:right w:val="single" w:sz="8" w:color="023C5B"/>
            </w:tcBorders>
            <w:shd w:val="clear" w:color="auto" w:fill="023C5B"/>
          </w:tcPr>
          <w:p>
            <w:pPr>
              <w:spacing w:after="0"/>
              <w:rPr>
                <w:sz w:val="15"/>
                <w:szCs w:val="15"/>
                <w:color w:val="auto"/>
              </w:rPr>
            </w:pPr>
          </w:p>
        </w:tc>
        <w:tc>
          <w:tcPr>
            <w:tcW w:w="1280" w:type="dxa"/>
            <w:vAlign w:val="bottom"/>
            <w:tcBorders>
              <w:right w:val="single" w:sz="8" w:color="023C5B"/>
            </w:tcBorders>
            <w:shd w:val="clear" w:color="auto" w:fill="023C5B"/>
          </w:tcPr>
          <w:p>
            <w:pPr>
              <w:spacing w:after="0"/>
              <w:rPr>
                <w:sz w:val="15"/>
                <w:szCs w:val="15"/>
                <w:color w:val="auto"/>
              </w:rPr>
            </w:pPr>
          </w:p>
        </w:tc>
        <w:tc>
          <w:tcPr>
            <w:tcW w:w="1600" w:type="dxa"/>
            <w:vAlign w:val="bottom"/>
            <w:tcBorders>
              <w:right w:val="single" w:sz="8" w:color="023C5B"/>
            </w:tcBorders>
            <w:vMerge w:val="continue"/>
            <w:shd w:val="clear" w:color="auto" w:fill="023C5B"/>
          </w:tcPr>
          <w:p>
            <w:pPr>
              <w:spacing w:after="0"/>
              <w:rPr>
                <w:sz w:val="15"/>
                <w:szCs w:val="15"/>
                <w:color w:val="auto"/>
              </w:rPr>
            </w:pPr>
          </w:p>
        </w:tc>
        <w:tc>
          <w:tcPr>
            <w:tcW w:w="1720" w:type="dxa"/>
            <w:vAlign w:val="bottom"/>
            <w:tcBorders>
              <w:right w:val="single" w:sz="8" w:color="023C5B"/>
            </w:tcBorders>
            <w:shd w:val="clear" w:color="auto" w:fill="023C5B"/>
          </w:tcPr>
          <w:p>
            <w:pPr>
              <w:spacing w:after="0"/>
              <w:rPr>
                <w:sz w:val="15"/>
                <w:szCs w:val="15"/>
                <w:color w:val="auto"/>
              </w:rPr>
            </w:pPr>
          </w:p>
        </w:tc>
        <w:tc>
          <w:tcPr>
            <w:tcW w:w="1600" w:type="dxa"/>
            <w:vAlign w:val="bottom"/>
            <w:tcBorders>
              <w:right w:val="single" w:sz="8" w:color="023C5B"/>
            </w:tcBorders>
            <w:vMerge w:val="continue"/>
            <w:shd w:val="clear" w:color="auto" w:fill="023C5B"/>
          </w:tcPr>
          <w:p>
            <w:pPr>
              <w:spacing w:after="0"/>
              <w:rPr>
                <w:sz w:val="15"/>
                <w:szCs w:val="15"/>
                <w:color w:val="auto"/>
              </w:rPr>
            </w:pPr>
          </w:p>
        </w:tc>
        <w:tc>
          <w:tcPr>
            <w:tcW w:w="320" w:type="dxa"/>
            <w:vAlign w:val="bottom"/>
            <w:shd w:val="clear" w:color="auto" w:fill="023C5B"/>
          </w:tcPr>
          <w:p>
            <w:pPr>
              <w:spacing w:after="0"/>
              <w:rPr>
                <w:sz w:val="15"/>
                <w:szCs w:val="15"/>
                <w:color w:val="auto"/>
              </w:rPr>
            </w:pPr>
          </w:p>
        </w:tc>
        <w:tc>
          <w:tcPr>
            <w:tcW w:w="2240" w:type="dxa"/>
            <w:vAlign w:val="bottom"/>
            <w:vMerge w:val="continue"/>
            <w:shd w:val="clear" w:color="auto" w:fill="023C5B"/>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220" w:type="dxa"/>
            <w:vAlign w:val="bottom"/>
            <w:tcBorders>
              <w:left w:val="single" w:sz="8" w:color="023C5B"/>
              <w:right w:val="single" w:sz="8" w:color="023C5B"/>
            </w:tcBorders>
            <w:gridSpan w:val="2"/>
            <w:shd w:val="clear" w:color="auto" w:fill="023C5B"/>
          </w:tcPr>
          <w:p>
            <w:pPr>
              <w:ind w:left="780"/>
              <w:spacing w:after="0"/>
              <w:rPr>
                <w:sz w:val="20"/>
                <w:szCs w:val="20"/>
                <w:color w:val="auto"/>
              </w:rPr>
            </w:pPr>
            <w:r>
              <w:rPr>
                <w:rFonts w:ascii="Arial" w:cs="Arial" w:eastAsia="Arial" w:hAnsi="Arial"/>
                <w:sz w:val="16"/>
                <w:szCs w:val="16"/>
                <w:b w:val="1"/>
                <w:bCs w:val="1"/>
                <w:color w:val="FFFFFF"/>
              </w:rPr>
              <w:t>Compensation Element</w:t>
            </w:r>
          </w:p>
        </w:tc>
        <w:tc>
          <w:tcPr>
            <w:tcW w:w="1600" w:type="dxa"/>
            <w:vAlign w:val="bottom"/>
            <w:tcBorders>
              <w:right w:val="single" w:sz="8" w:color="023C5B"/>
            </w:tcBorders>
            <w:shd w:val="clear" w:color="auto" w:fill="023C5B"/>
          </w:tcPr>
          <w:p>
            <w:pPr>
              <w:jc w:val="center"/>
              <w:spacing w:after="0"/>
              <w:rPr>
                <w:sz w:val="20"/>
                <w:szCs w:val="20"/>
                <w:color w:val="auto"/>
              </w:rPr>
            </w:pPr>
            <w:r>
              <w:rPr>
                <w:rFonts w:ascii="Arial" w:cs="Arial" w:eastAsia="Arial" w:hAnsi="Arial"/>
                <w:sz w:val="16"/>
                <w:szCs w:val="16"/>
                <w:b w:val="1"/>
                <w:bCs w:val="1"/>
                <w:color w:val="FFFFFF"/>
              </w:rPr>
              <w:t>Determination</w:t>
            </w:r>
          </w:p>
        </w:tc>
        <w:tc>
          <w:tcPr>
            <w:tcW w:w="1720" w:type="dxa"/>
            <w:vAlign w:val="bottom"/>
            <w:tcBorders>
              <w:right w:val="single" w:sz="8" w:color="023C5B"/>
            </w:tcBorders>
            <w:shd w:val="clear" w:color="auto" w:fill="023C5B"/>
          </w:tcPr>
          <w:p>
            <w:pPr>
              <w:ind w:left="280"/>
              <w:spacing w:after="0"/>
              <w:rPr>
                <w:sz w:val="20"/>
                <w:szCs w:val="20"/>
                <w:color w:val="auto"/>
              </w:rPr>
            </w:pPr>
            <w:r>
              <w:rPr>
                <w:rFonts w:ascii="Arial" w:cs="Arial" w:eastAsia="Arial" w:hAnsi="Arial"/>
                <w:sz w:val="16"/>
                <w:szCs w:val="16"/>
                <w:b w:val="1"/>
                <w:bCs w:val="1"/>
                <w:color w:val="FFFFFF"/>
              </w:rPr>
              <w:t>Basis for Award</w:t>
            </w:r>
          </w:p>
        </w:tc>
        <w:tc>
          <w:tcPr>
            <w:tcW w:w="1600" w:type="dxa"/>
            <w:vAlign w:val="bottom"/>
            <w:tcBorders>
              <w:right w:val="single" w:sz="8" w:color="023C5B"/>
            </w:tcBorders>
            <w:shd w:val="clear" w:color="auto" w:fill="023C5B"/>
          </w:tcPr>
          <w:p>
            <w:pPr>
              <w:ind w:left="480"/>
              <w:spacing w:after="0"/>
              <w:rPr>
                <w:sz w:val="20"/>
                <w:szCs w:val="20"/>
                <w:color w:val="auto"/>
              </w:rPr>
            </w:pPr>
            <w:r>
              <w:rPr>
                <w:rFonts w:ascii="Arial" w:cs="Arial" w:eastAsia="Arial" w:hAnsi="Arial"/>
                <w:sz w:val="16"/>
                <w:szCs w:val="16"/>
                <w:b w:val="1"/>
                <w:bCs w:val="1"/>
                <w:color w:val="FFFFFF"/>
              </w:rPr>
              <w:t>Schedule</w:t>
            </w:r>
          </w:p>
        </w:tc>
        <w:tc>
          <w:tcPr>
            <w:tcW w:w="320" w:type="dxa"/>
            <w:vAlign w:val="bottom"/>
            <w:shd w:val="clear" w:color="auto" w:fill="023C5B"/>
          </w:tcPr>
          <w:p>
            <w:pPr>
              <w:spacing w:after="0"/>
              <w:rPr>
                <w:sz w:val="18"/>
                <w:szCs w:val="18"/>
                <w:color w:val="auto"/>
              </w:rPr>
            </w:pPr>
          </w:p>
        </w:tc>
        <w:tc>
          <w:tcPr>
            <w:tcW w:w="2240" w:type="dxa"/>
            <w:vAlign w:val="bottom"/>
            <w:shd w:val="clear" w:color="auto" w:fill="023C5B"/>
          </w:tcPr>
          <w:p>
            <w:pPr>
              <w:ind w:left="200"/>
              <w:spacing w:after="0"/>
              <w:rPr>
                <w:sz w:val="20"/>
                <w:szCs w:val="20"/>
                <w:color w:val="auto"/>
              </w:rPr>
            </w:pPr>
            <w:r>
              <w:rPr>
                <w:rFonts w:ascii="Arial" w:cs="Arial" w:eastAsia="Arial" w:hAnsi="Arial"/>
                <w:sz w:val="16"/>
                <w:szCs w:val="16"/>
                <w:b w:val="1"/>
                <w:bCs w:val="1"/>
                <w:color w:val="FFFFFF"/>
              </w:rPr>
              <w:t>Recovery Provisions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40" w:type="dxa"/>
            <w:vAlign w:val="bottom"/>
            <w:tcBorders>
              <w:left w:val="single" w:sz="8" w:color="023C5B"/>
              <w:bottom w:val="single" w:sz="8" w:color="023C5B"/>
            </w:tcBorders>
          </w:tcPr>
          <w:p>
            <w:pPr>
              <w:ind w:left="60"/>
              <w:spacing w:after="0"/>
              <w:rPr>
                <w:sz w:val="20"/>
                <w:szCs w:val="20"/>
                <w:color w:val="auto"/>
              </w:rPr>
            </w:pPr>
            <w:r>
              <w:rPr>
                <w:rFonts w:ascii="Arial" w:cs="Arial" w:eastAsia="Arial" w:hAnsi="Arial"/>
                <w:sz w:val="16"/>
                <w:szCs w:val="16"/>
                <w:b w:val="1"/>
                <w:bCs w:val="1"/>
                <w:color w:val="auto"/>
              </w:rPr>
              <w:t>Base Salary</w:t>
            </w:r>
          </w:p>
        </w:tc>
        <w:tc>
          <w:tcPr>
            <w:tcW w:w="1280" w:type="dxa"/>
            <w:vAlign w:val="bottom"/>
            <w:tcBorders>
              <w:bottom w:val="single" w:sz="8" w:color="023C5B"/>
              <w:right w:val="single" w:sz="8" w:color="023C5B"/>
            </w:tcBorders>
          </w:tcPr>
          <w:p>
            <w:pPr>
              <w:spacing w:after="0"/>
              <w:rPr>
                <w:sz w:val="18"/>
                <w:szCs w:val="18"/>
                <w:color w:val="auto"/>
              </w:rPr>
            </w:pPr>
          </w:p>
        </w:tc>
        <w:tc>
          <w:tcPr>
            <w:tcW w:w="1600" w:type="dxa"/>
            <w:vAlign w:val="bottom"/>
            <w:tcBorders>
              <w:bottom w:val="single" w:sz="8" w:color="023C5B"/>
              <w:right w:val="single" w:sz="8" w:color="023C5B"/>
            </w:tcBorders>
          </w:tcPr>
          <w:p>
            <w:pPr>
              <w:ind w:left="100"/>
              <w:spacing w:after="0"/>
              <w:rPr>
                <w:sz w:val="20"/>
                <w:szCs w:val="20"/>
                <w:color w:val="auto"/>
              </w:rPr>
            </w:pPr>
            <w:r>
              <w:rPr>
                <w:rFonts w:ascii="Arial" w:cs="Arial" w:eastAsia="Arial" w:hAnsi="Arial"/>
                <w:sz w:val="16"/>
                <w:szCs w:val="16"/>
                <w:color w:val="auto"/>
              </w:rPr>
              <w:t>Not applicable</w:t>
            </w:r>
          </w:p>
        </w:tc>
        <w:tc>
          <w:tcPr>
            <w:tcW w:w="1720" w:type="dxa"/>
            <w:vAlign w:val="bottom"/>
            <w:tcBorders>
              <w:bottom w:val="single" w:sz="8" w:color="023C5B"/>
              <w:right w:val="single" w:sz="8" w:color="023C5B"/>
            </w:tcBorders>
          </w:tcPr>
          <w:p>
            <w:pPr>
              <w:ind w:left="100"/>
              <w:spacing w:after="0"/>
              <w:rPr>
                <w:sz w:val="20"/>
                <w:szCs w:val="20"/>
                <w:color w:val="auto"/>
              </w:rPr>
            </w:pPr>
            <w:r>
              <w:rPr>
                <w:rFonts w:ascii="Arial" w:cs="Arial" w:eastAsia="Arial" w:hAnsi="Arial"/>
                <w:sz w:val="16"/>
                <w:szCs w:val="16"/>
                <w:color w:val="auto"/>
              </w:rPr>
              <w:t>Not applicable</w:t>
            </w:r>
          </w:p>
        </w:tc>
        <w:tc>
          <w:tcPr>
            <w:tcW w:w="1600" w:type="dxa"/>
            <w:vAlign w:val="bottom"/>
            <w:tcBorders>
              <w:bottom w:val="single" w:sz="8" w:color="023C5B"/>
              <w:right w:val="single" w:sz="8" w:color="023C5B"/>
            </w:tcBorders>
          </w:tcPr>
          <w:p>
            <w:pPr>
              <w:ind w:left="100"/>
              <w:spacing w:after="0"/>
              <w:rPr>
                <w:sz w:val="20"/>
                <w:szCs w:val="20"/>
                <w:color w:val="auto"/>
              </w:rPr>
            </w:pPr>
            <w:r>
              <w:rPr>
                <w:rFonts w:ascii="Arial" w:cs="Arial" w:eastAsia="Arial" w:hAnsi="Arial"/>
                <w:sz w:val="16"/>
                <w:szCs w:val="16"/>
                <w:color w:val="auto"/>
              </w:rPr>
              <w:t>Not applicable</w:t>
            </w:r>
          </w:p>
        </w:tc>
        <w:tc>
          <w:tcPr>
            <w:tcW w:w="2560" w:type="dxa"/>
            <w:vAlign w:val="bottom"/>
            <w:tcBorders>
              <w:bottom w:val="single" w:sz="8" w:color="023C5B"/>
            </w:tcBorders>
            <w:gridSpan w:val="2"/>
          </w:tcPr>
          <w:p>
            <w:pPr>
              <w:ind w:left="100"/>
              <w:spacing w:after="0"/>
              <w:rPr>
                <w:sz w:val="20"/>
                <w:szCs w:val="20"/>
                <w:color w:val="auto"/>
              </w:rPr>
            </w:pPr>
            <w:r>
              <w:rPr>
                <w:rFonts w:ascii="Arial" w:cs="Arial" w:eastAsia="Arial" w:hAnsi="Arial"/>
                <w:sz w:val="16"/>
                <w:szCs w:val="16"/>
                <w:color w:val="auto"/>
              </w:rPr>
              <w:t>Not applicable</w:t>
            </w:r>
          </w:p>
        </w:tc>
        <w:tc>
          <w:tcPr>
            <w:tcW w:w="20" w:type="dxa"/>
            <w:vAlign w:val="bottom"/>
            <w:tcBorders>
              <w:bottom w:val="single" w:sz="8" w:color="023C5B"/>
            </w:tcBorders>
            <w:shd w:val="clear" w:color="auto" w:fill="023C5B"/>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940" w:type="dxa"/>
            <w:vAlign w:val="bottom"/>
            <w:tcBorders>
              <w:left w:val="single" w:sz="8" w:color="023C5B"/>
            </w:tcBorders>
          </w:tcPr>
          <w:p>
            <w:pPr>
              <w:ind w:left="60"/>
              <w:spacing w:after="0" w:line="180" w:lineRule="exact"/>
              <w:rPr>
                <w:sz w:val="20"/>
                <w:szCs w:val="20"/>
                <w:color w:val="auto"/>
              </w:rPr>
            </w:pPr>
            <w:r>
              <w:rPr>
                <w:rFonts w:ascii="Arial" w:cs="Arial" w:eastAsia="Arial" w:hAnsi="Arial"/>
                <w:sz w:val="16"/>
                <w:szCs w:val="16"/>
                <w:b w:val="1"/>
                <w:bCs w:val="1"/>
                <w:color w:val="auto"/>
              </w:rPr>
              <w:t>RSUs</w:t>
            </w:r>
          </w:p>
        </w:tc>
        <w:tc>
          <w:tcPr>
            <w:tcW w:w="1280" w:type="dxa"/>
            <w:vAlign w:val="bottom"/>
            <w:tcBorders>
              <w:right w:val="single" w:sz="8" w:color="023C5B"/>
            </w:tcBorders>
          </w:tcPr>
          <w:p>
            <w:pPr>
              <w:spacing w:after="0"/>
              <w:rPr>
                <w:sz w:val="15"/>
                <w:szCs w:val="15"/>
                <w:color w:val="auto"/>
              </w:rPr>
            </w:pPr>
          </w:p>
        </w:tc>
        <w:tc>
          <w:tcPr>
            <w:tcW w:w="160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color w:val="auto"/>
              </w:rPr>
              <w:t>February 2025</w:t>
            </w:r>
          </w:p>
        </w:tc>
        <w:tc>
          <w:tcPr>
            <w:tcW w:w="172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color w:val="auto"/>
              </w:rPr>
              <w:t>Incentive for Long-</w:t>
            </w:r>
          </w:p>
        </w:tc>
        <w:tc>
          <w:tcPr>
            <w:tcW w:w="160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color w:val="auto"/>
              </w:rPr>
              <w:t>Vest at the end of</w:t>
            </w:r>
          </w:p>
        </w:tc>
        <w:tc>
          <w:tcPr>
            <w:tcW w:w="32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240" w:type="dxa"/>
            <w:vAlign w:val="bottom"/>
          </w:tcPr>
          <w:p>
            <w:pPr>
              <w:ind w:left="140"/>
              <w:spacing w:after="0" w:line="180" w:lineRule="exact"/>
              <w:rPr>
                <w:sz w:val="20"/>
                <w:szCs w:val="20"/>
                <w:color w:val="auto"/>
              </w:rPr>
            </w:pPr>
            <w:r>
              <w:rPr>
                <w:rFonts w:ascii="Arial" w:cs="Arial" w:eastAsia="Arial" w:hAnsi="Arial"/>
                <w:sz w:val="16"/>
                <w:szCs w:val="16"/>
                <w:color w:val="auto"/>
              </w:rPr>
              <w:t>Performance-based vesting</w:t>
            </w:r>
          </w:p>
        </w:tc>
        <w:tc>
          <w:tcPr>
            <w:tcW w:w="20" w:type="dxa"/>
            <w:vAlign w:val="bottom"/>
            <w:shd w:val="clear" w:color="auto" w:fill="023C5B"/>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40" w:type="dxa"/>
            <w:vAlign w:val="bottom"/>
            <w:tcBorders>
              <w:left w:val="single" w:sz="8" w:color="023C5B"/>
            </w:tcBorders>
          </w:tcPr>
          <w:p>
            <w:pPr>
              <w:spacing w:after="0"/>
              <w:rPr>
                <w:sz w:val="16"/>
                <w:szCs w:val="16"/>
                <w:color w:val="auto"/>
              </w:rPr>
            </w:pPr>
          </w:p>
        </w:tc>
        <w:tc>
          <w:tcPr>
            <w:tcW w:w="1280" w:type="dxa"/>
            <w:vAlign w:val="bottom"/>
            <w:tcBorders>
              <w:right w:val="single" w:sz="8" w:color="023C5B"/>
            </w:tcBorders>
          </w:tcPr>
          <w:p>
            <w:pPr>
              <w:spacing w:after="0"/>
              <w:rPr>
                <w:sz w:val="16"/>
                <w:szCs w:val="16"/>
                <w:color w:val="auto"/>
              </w:rPr>
            </w:pPr>
          </w:p>
        </w:tc>
        <w:tc>
          <w:tcPr>
            <w:tcW w:w="1600" w:type="dxa"/>
            <w:vAlign w:val="bottom"/>
            <w:tcBorders>
              <w:right w:val="single" w:sz="8" w:color="023C5B"/>
            </w:tcBorders>
          </w:tcPr>
          <w:p>
            <w:pPr>
              <w:spacing w:after="0"/>
              <w:rPr>
                <w:sz w:val="16"/>
                <w:szCs w:val="16"/>
                <w:color w:val="auto"/>
              </w:rPr>
            </w:pPr>
          </w:p>
        </w:tc>
        <w:tc>
          <w:tcPr>
            <w:tcW w:w="172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term Company</w:t>
            </w:r>
          </w:p>
        </w:tc>
        <w:tc>
          <w:tcPr>
            <w:tcW w:w="16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the three-year</w:t>
            </w:r>
          </w:p>
        </w:tc>
        <w:tc>
          <w:tcPr>
            <w:tcW w:w="320" w:type="dxa"/>
            <w:vAlign w:val="bottom"/>
          </w:tcPr>
          <w:p>
            <w:pPr>
              <w:spacing w:after="0"/>
              <w:rPr>
                <w:sz w:val="16"/>
                <w:szCs w:val="16"/>
                <w:color w:val="auto"/>
              </w:rPr>
            </w:pPr>
          </w:p>
        </w:tc>
        <w:tc>
          <w:tcPr>
            <w:tcW w:w="2240" w:type="dxa"/>
            <w:vAlign w:val="bottom"/>
          </w:tcPr>
          <w:p>
            <w:pPr>
              <w:ind w:left="140"/>
              <w:spacing w:after="0"/>
              <w:rPr>
                <w:sz w:val="20"/>
                <w:szCs w:val="20"/>
                <w:color w:val="auto"/>
              </w:rPr>
            </w:pPr>
            <w:r>
              <w:rPr>
                <w:rFonts w:ascii="Arial" w:cs="Arial" w:eastAsia="Arial" w:hAnsi="Arial"/>
                <w:sz w:val="16"/>
                <w:szCs w:val="16"/>
                <w:color w:val="auto"/>
              </w:rPr>
              <w:t>provisions</w:t>
            </w:r>
          </w:p>
        </w:tc>
        <w:tc>
          <w:tcPr>
            <w:tcW w:w="20" w:type="dxa"/>
            <w:vAlign w:val="bottom"/>
            <w:shd w:val="clear" w:color="auto" w:fill="023C5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40" w:type="dxa"/>
            <w:vAlign w:val="bottom"/>
            <w:tcBorders>
              <w:left w:val="single" w:sz="8" w:color="023C5B"/>
            </w:tcBorders>
          </w:tcPr>
          <w:p>
            <w:pPr>
              <w:spacing w:after="0"/>
              <w:rPr>
                <w:sz w:val="17"/>
                <w:szCs w:val="17"/>
                <w:color w:val="auto"/>
              </w:rPr>
            </w:pPr>
          </w:p>
        </w:tc>
        <w:tc>
          <w:tcPr>
            <w:tcW w:w="1280" w:type="dxa"/>
            <w:vAlign w:val="bottom"/>
            <w:tcBorders>
              <w:right w:val="single" w:sz="8" w:color="023C5B"/>
            </w:tcBorders>
          </w:tcPr>
          <w:p>
            <w:pPr>
              <w:spacing w:after="0"/>
              <w:rPr>
                <w:sz w:val="17"/>
                <w:szCs w:val="17"/>
                <w:color w:val="auto"/>
              </w:rPr>
            </w:pPr>
          </w:p>
        </w:tc>
        <w:tc>
          <w:tcPr>
            <w:tcW w:w="1600" w:type="dxa"/>
            <w:vAlign w:val="bottom"/>
            <w:tcBorders>
              <w:right w:val="single" w:sz="8" w:color="023C5B"/>
            </w:tcBorders>
          </w:tcPr>
          <w:p>
            <w:pPr>
              <w:spacing w:after="0"/>
              <w:rPr>
                <w:sz w:val="17"/>
                <w:szCs w:val="17"/>
                <w:color w:val="auto"/>
              </w:rPr>
            </w:pPr>
          </w:p>
        </w:tc>
        <w:tc>
          <w:tcPr>
            <w:tcW w:w="172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Performance</w:t>
            </w:r>
          </w:p>
        </w:tc>
        <w:tc>
          <w:tcPr>
            <w:tcW w:w="16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performance period;</w:t>
            </w:r>
          </w:p>
        </w:tc>
        <w:tc>
          <w:tcPr>
            <w:tcW w:w="32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240" w:type="dxa"/>
            <w:vAlign w:val="bottom"/>
          </w:tcPr>
          <w:p>
            <w:pPr>
              <w:ind w:left="140"/>
              <w:spacing w:after="0"/>
              <w:rPr>
                <w:sz w:val="20"/>
                <w:szCs w:val="20"/>
                <w:color w:val="auto"/>
              </w:rPr>
            </w:pPr>
            <w:r>
              <w:rPr>
                <w:rFonts w:ascii="Arial" w:cs="Arial" w:eastAsia="Arial" w:hAnsi="Arial"/>
                <w:sz w:val="16"/>
                <w:szCs w:val="16"/>
                <w:color w:val="auto"/>
              </w:rPr>
              <w:t>Misconduct clawback</w:t>
            </w:r>
          </w:p>
        </w:tc>
        <w:tc>
          <w:tcPr>
            <w:tcW w:w="20" w:type="dxa"/>
            <w:vAlign w:val="bottom"/>
            <w:shd w:val="clear" w:color="auto" w:fill="023C5B"/>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40" w:type="dxa"/>
            <w:vAlign w:val="bottom"/>
            <w:tcBorders>
              <w:left w:val="single" w:sz="8" w:color="023C5B"/>
            </w:tcBorders>
          </w:tcPr>
          <w:p>
            <w:pPr>
              <w:spacing w:after="0"/>
              <w:rPr>
                <w:sz w:val="18"/>
                <w:szCs w:val="18"/>
                <w:color w:val="auto"/>
              </w:rPr>
            </w:pPr>
          </w:p>
        </w:tc>
        <w:tc>
          <w:tcPr>
            <w:tcW w:w="1280" w:type="dxa"/>
            <w:vAlign w:val="bottom"/>
            <w:tcBorders>
              <w:right w:val="single" w:sz="8" w:color="023C5B"/>
            </w:tcBorders>
          </w:tcPr>
          <w:p>
            <w:pPr>
              <w:spacing w:after="0"/>
              <w:rPr>
                <w:sz w:val="18"/>
                <w:szCs w:val="18"/>
                <w:color w:val="auto"/>
              </w:rPr>
            </w:pPr>
          </w:p>
        </w:tc>
        <w:tc>
          <w:tcPr>
            <w:tcW w:w="1600" w:type="dxa"/>
            <w:vAlign w:val="bottom"/>
            <w:tcBorders>
              <w:right w:val="single" w:sz="8" w:color="023C5B"/>
            </w:tcBorders>
          </w:tcPr>
          <w:p>
            <w:pPr>
              <w:spacing w:after="0"/>
              <w:rPr>
                <w:sz w:val="18"/>
                <w:szCs w:val="18"/>
                <w:color w:val="auto"/>
              </w:rPr>
            </w:pPr>
          </w:p>
        </w:tc>
        <w:tc>
          <w:tcPr>
            <w:tcW w:w="1720" w:type="dxa"/>
            <w:vAlign w:val="bottom"/>
            <w:tcBorders>
              <w:right w:val="single" w:sz="8" w:color="023C5B"/>
            </w:tcBorders>
          </w:tcPr>
          <w:p>
            <w:pPr>
              <w:spacing w:after="0"/>
              <w:rPr>
                <w:sz w:val="18"/>
                <w:szCs w:val="18"/>
                <w:color w:val="auto"/>
              </w:rPr>
            </w:pPr>
          </w:p>
        </w:tc>
        <w:tc>
          <w:tcPr>
            <w:tcW w:w="16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settles in cash</w:t>
            </w:r>
          </w:p>
        </w:tc>
        <w:tc>
          <w:tcPr>
            <w:tcW w:w="32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240" w:type="dxa"/>
            <w:vAlign w:val="bottom"/>
            <w:vMerge w:val="restart"/>
          </w:tcPr>
          <w:p>
            <w:pPr>
              <w:ind w:left="140"/>
              <w:spacing w:after="0"/>
              <w:rPr>
                <w:sz w:val="20"/>
                <w:szCs w:val="20"/>
                <w:color w:val="auto"/>
              </w:rPr>
            </w:pPr>
            <w:r>
              <w:rPr>
                <w:rFonts w:ascii="Arial" w:cs="Arial" w:eastAsia="Arial" w:hAnsi="Arial"/>
                <w:sz w:val="16"/>
                <w:szCs w:val="16"/>
                <w:color w:val="auto"/>
              </w:rPr>
              <w:t>Financial restatement</w:t>
            </w:r>
          </w:p>
        </w:tc>
        <w:tc>
          <w:tcPr>
            <w:tcW w:w="20" w:type="dxa"/>
            <w:vAlign w:val="bottom"/>
            <w:shd w:val="clear" w:color="auto" w:fill="023C5B"/>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940" w:type="dxa"/>
            <w:vAlign w:val="bottom"/>
            <w:tcBorders>
              <w:left w:val="single" w:sz="8" w:color="023C5B"/>
            </w:tcBorders>
          </w:tcPr>
          <w:p>
            <w:pPr>
              <w:spacing w:after="0"/>
              <w:rPr>
                <w:sz w:val="3"/>
                <w:szCs w:val="3"/>
                <w:color w:val="auto"/>
              </w:rPr>
            </w:pPr>
          </w:p>
        </w:tc>
        <w:tc>
          <w:tcPr>
            <w:tcW w:w="1280" w:type="dxa"/>
            <w:vAlign w:val="bottom"/>
            <w:tcBorders>
              <w:right w:val="single" w:sz="8" w:color="023C5B"/>
            </w:tcBorders>
          </w:tcPr>
          <w:p>
            <w:pPr>
              <w:spacing w:after="0"/>
              <w:rPr>
                <w:sz w:val="3"/>
                <w:szCs w:val="3"/>
                <w:color w:val="auto"/>
              </w:rPr>
            </w:pPr>
          </w:p>
        </w:tc>
        <w:tc>
          <w:tcPr>
            <w:tcW w:w="1600" w:type="dxa"/>
            <w:vAlign w:val="bottom"/>
            <w:tcBorders>
              <w:right w:val="single" w:sz="8" w:color="023C5B"/>
            </w:tcBorders>
          </w:tcPr>
          <w:p>
            <w:pPr>
              <w:spacing w:after="0"/>
              <w:rPr>
                <w:sz w:val="3"/>
                <w:szCs w:val="3"/>
                <w:color w:val="auto"/>
              </w:rPr>
            </w:pPr>
          </w:p>
        </w:tc>
        <w:tc>
          <w:tcPr>
            <w:tcW w:w="1720" w:type="dxa"/>
            <w:vAlign w:val="bottom"/>
            <w:tcBorders>
              <w:right w:val="single" w:sz="8" w:color="023C5B"/>
            </w:tcBorders>
          </w:tcPr>
          <w:p>
            <w:pPr>
              <w:spacing w:after="0"/>
              <w:rPr>
                <w:sz w:val="3"/>
                <w:szCs w:val="3"/>
                <w:color w:val="auto"/>
              </w:rPr>
            </w:pPr>
          </w:p>
        </w:tc>
        <w:tc>
          <w:tcPr>
            <w:tcW w:w="1600" w:type="dxa"/>
            <w:vAlign w:val="bottom"/>
            <w:tcBorders>
              <w:right w:val="single" w:sz="8" w:color="023C5B"/>
            </w:tcBorders>
          </w:tcPr>
          <w:p>
            <w:pPr>
              <w:spacing w:after="0"/>
              <w:rPr>
                <w:sz w:val="3"/>
                <w:szCs w:val="3"/>
                <w:color w:val="auto"/>
              </w:rPr>
            </w:pPr>
          </w:p>
        </w:tc>
        <w:tc>
          <w:tcPr>
            <w:tcW w:w="320" w:type="dxa"/>
            <w:vAlign w:val="bottom"/>
            <w:vMerge w:val="continue"/>
          </w:tcPr>
          <w:p>
            <w:pPr>
              <w:spacing w:after="0"/>
              <w:rPr>
                <w:sz w:val="3"/>
                <w:szCs w:val="3"/>
                <w:color w:val="auto"/>
              </w:rPr>
            </w:pPr>
          </w:p>
        </w:tc>
        <w:tc>
          <w:tcPr>
            <w:tcW w:w="2240" w:type="dxa"/>
            <w:vAlign w:val="bottom"/>
            <w:vMerge w:val="continue"/>
          </w:tcPr>
          <w:p>
            <w:pPr>
              <w:spacing w:after="0"/>
              <w:rPr>
                <w:sz w:val="3"/>
                <w:szCs w:val="3"/>
                <w:color w:val="auto"/>
              </w:rPr>
            </w:pPr>
          </w:p>
        </w:tc>
        <w:tc>
          <w:tcPr>
            <w:tcW w:w="20" w:type="dxa"/>
            <w:vAlign w:val="bottom"/>
            <w:shd w:val="clear" w:color="auto" w:fill="023C5B"/>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40" w:type="dxa"/>
            <w:vAlign w:val="bottom"/>
            <w:tcBorders>
              <w:left w:val="single" w:sz="8" w:color="023C5B"/>
              <w:bottom w:val="single" w:sz="8" w:color="023C5B"/>
            </w:tcBorders>
          </w:tcPr>
          <w:p>
            <w:pPr>
              <w:spacing w:after="0"/>
              <w:rPr>
                <w:sz w:val="17"/>
                <w:szCs w:val="17"/>
                <w:color w:val="auto"/>
              </w:rPr>
            </w:pPr>
          </w:p>
        </w:tc>
        <w:tc>
          <w:tcPr>
            <w:tcW w:w="1280" w:type="dxa"/>
            <w:vAlign w:val="bottom"/>
            <w:tcBorders>
              <w:bottom w:val="single" w:sz="8" w:color="023C5B"/>
              <w:right w:val="single" w:sz="8" w:color="023C5B"/>
            </w:tcBorders>
          </w:tcPr>
          <w:p>
            <w:pPr>
              <w:spacing w:after="0"/>
              <w:rPr>
                <w:sz w:val="17"/>
                <w:szCs w:val="17"/>
                <w:color w:val="auto"/>
              </w:rPr>
            </w:pPr>
          </w:p>
        </w:tc>
        <w:tc>
          <w:tcPr>
            <w:tcW w:w="1600" w:type="dxa"/>
            <w:vAlign w:val="bottom"/>
            <w:tcBorders>
              <w:bottom w:val="single" w:sz="8" w:color="023C5B"/>
              <w:right w:val="single" w:sz="8" w:color="023C5B"/>
            </w:tcBorders>
          </w:tcPr>
          <w:p>
            <w:pPr>
              <w:spacing w:after="0"/>
              <w:rPr>
                <w:sz w:val="17"/>
                <w:szCs w:val="17"/>
                <w:color w:val="auto"/>
              </w:rPr>
            </w:pPr>
          </w:p>
        </w:tc>
        <w:tc>
          <w:tcPr>
            <w:tcW w:w="1720" w:type="dxa"/>
            <w:vAlign w:val="bottom"/>
            <w:tcBorders>
              <w:bottom w:val="single" w:sz="8" w:color="023C5B"/>
              <w:right w:val="single" w:sz="8" w:color="023C5B"/>
            </w:tcBorders>
          </w:tcPr>
          <w:p>
            <w:pPr>
              <w:spacing w:after="0"/>
              <w:rPr>
                <w:sz w:val="17"/>
                <w:szCs w:val="17"/>
                <w:color w:val="auto"/>
              </w:rPr>
            </w:pPr>
          </w:p>
        </w:tc>
        <w:tc>
          <w:tcPr>
            <w:tcW w:w="1600" w:type="dxa"/>
            <w:vAlign w:val="bottom"/>
            <w:tcBorders>
              <w:bottom w:val="single" w:sz="8" w:color="023C5B"/>
              <w:right w:val="single" w:sz="8" w:color="023C5B"/>
            </w:tcBorders>
          </w:tcPr>
          <w:p>
            <w:pPr>
              <w:spacing w:after="0"/>
              <w:rPr>
                <w:sz w:val="17"/>
                <w:szCs w:val="17"/>
                <w:color w:val="auto"/>
              </w:rPr>
            </w:pPr>
          </w:p>
        </w:tc>
        <w:tc>
          <w:tcPr>
            <w:tcW w:w="320" w:type="dxa"/>
            <w:vAlign w:val="bottom"/>
            <w:tcBorders>
              <w:bottom w:val="single" w:sz="8" w:color="023C5B"/>
            </w:tcBorders>
          </w:tcPr>
          <w:p>
            <w:pPr>
              <w:spacing w:after="0"/>
              <w:rPr>
                <w:sz w:val="17"/>
                <w:szCs w:val="17"/>
                <w:color w:val="auto"/>
              </w:rPr>
            </w:pPr>
          </w:p>
        </w:tc>
        <w:tc>
          <w:tcPr>
            <w:tcW w:w="2240" w:type="dxa"/>
            <w:vAlign w:val="bottom"/>
            <w:tcBorders>
              <w:bottom w:val="single" w:sz="8" w:color="023C5B"/>
            </w:tcBorders>
          </w:tcPr>
          <w:p>
            <w:pPr>
              <w:ind w:left="140"/>
              <w:spacing w:after="0"/>
              <w:rPr>
                <w:sz w:val="20"/>
                <w:szCs w:val="20"/>
                <w:color w:val="auto"/>
              </w:rPr>
            </w:pPr>
            <w:r>
              <w:rPr>
                <w:rFonts w:ascii="Arial" w:cs="Arial" w:eastAsia="Arial" w:hAnsi="Arial"/>
                <w:sz w:val="16"/>
                <w:szCs w:val="16"/>
                <w:color w:val="auto"/>
              </w:rPr>
              <w:t>clawback</w:t>
            </w:r>
          </w:p>
        </w:tc>
        <w:tc>
          <w:tcPr>
            <w:tcW w:w="20" w:type="dxa"/>
            <w:vAlign w:val="bottom"/>
            <w:tcBorders>
              <w:bottom w:val="single" w:sz="8" w:color="023C5B"/>
            </w:tcBorders>
            <w:shd w:val="clear" w:color="auto" w:fill="023C5B"/>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40" w:type="dxa"/>
            <w:vAlign w:val="bottom"/>
            <w:tcBorders>
              <w:left w:val="single" w:sz="8" w:color="023C5B"/>
              <w:right w:val="single" w:sz="8" w:color="023C5B"/>
            </w:tcBorders>
          </w:tcPr>
          <w:p>
            <w:pPr>
              <w:ind w:left="60"/>
              <w:spacing w:after="0" w:line="180" w:lineRule="exact"/>
              <w:rPr>
                <w:sz w:val="20"/>
                <w:szCs w:val="20"/>
                <w:color w:val="auto"/>
              </w:rPr>
            </w:pPr>
            <w:r>
              <w:rPr>
                <w:rFonts w:ascii="Arial" w:cs="Arial" w:eastAsia="Arial" w:hAnsi="Arial"/>
                <w:sz w:val="16"/>
                <w:szCs w:val="16"/>
                <w:b w:val="1"/>
                <w:bCs w:val="1"/>
                <w:color w:val="auto"/>
              </w:rPr>
              <w:t>Year-End Incentive</w:t>
            </w:r>
          </w:p>
        </w:tc>
        <w:tc>
          <w:tcPr>
            <w:tcW w:w="128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b w:val="1"/>
                <w:bCs w:val="1"/>
                <w:color w:val="auto"/>
              </w:rPr>
              <w:t>Financial</w:t>
            </w:r>
          </w:p>
        </w:tc>
        <w:tc>
          <w:tcPr>
            <w:tcW w:w="160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color w:val="auto"/>
              </w:rPr>
              <w:t>February 2026</w:t>
            </w:r>
          </w:p>
        </w:tc>
        <w:tc>
          <w:tcPr>
            <w:tcW w:w="172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color w:val="auto"/>
              </w:rPr>
              <w:t>Reward for 2025</w:t>
            </w:r>
          </w:p>
        </w:tc>
        <w:tc>
          <w:tcPr>
            <w:tcW w:w="160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color w:val="auto"/>
              </w:rPr>
              <w:t>Vest at the end of</w:t>
            </w:r>
          </w:p>
        </w:tc>
        <w:tc>
          <w:tcPr>
            <w:tcW w:w="32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240" w:type="dxa"/>
            <w:vAlign w:val="bottom"/>
          </w:tcPr>
          <w:p>
            <w:pPr>
              <w:ind w:left="140"/>
              <w:spacing w:after="0" w:line="180" w:lineRule="exact"/>
              <w:rPr>
                <w:sz w:val="20"/>
                <w:szCs w:val="20"/>
                <w:color w:val="auto"/>
              </w:rPr>
            </w:pPr>
            <w:r>
              <w:rPr>
                <w:rFonts w:ascii="Arial" w:cs="Arial" w:eastAsia="Arial" w:hAnsi="Arial"/>
                <w:sz w:val="16"/>
                <w:szCs w:val="16"/>
                <w:color w:val="auto"/>
              </w:rPr>
              <w:t>Performance share</w:t>
            </w:r>
          </w:p>
        </w:tc>
        <w:tc>
          <w:tcPr>
            <w:tcW w:w="20" w:type="dxa"/>
            <w:vAlign w:val="bottom"/>
            <w:shd w:val="clear" w:color="auto" w:fill="023C5B"/>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40" w:type="dxa"/>
            <w:vAlign w:val="bottom"/>
            <w:tcBorders>
              <w:left w:val="single" w:sz="8" w:color="023C5B"/>
              <w:right w:val="single" w:sz="8" w:color="023C5B"/>
            </w:tcBorders>
          </w:tcPr>
          <w:p>
            <w:pPr>
              <w:ind w:left="60"/>
              <w:spacing w:after="0"/>
              <w:rPr>
                <w:sz w:val="20"/>
                <w:szCs w:val="20"/>
                <w:color w:val="auto"/>
              </w:rPr>
            </w:pPr>
            <w:r>
              <w:rPr>
                <w:rFonts w:ascii="Arial" w:cs="Arial" w:eastAsia="Arial" w:hAnsi="Arial"/>
                <w:sz w:val="16"/>
                <w:szCs w:val="16"/>
                <w:b w:val="1"/>
                <w:bCs w:val="1"/>
                <w:color w:val="auto"/>
              </w:rPr>
              <w:t>Opportunity</w:t>
            </w:r>
          </w:p>
        </w:tc>
        <w:tc>
          <w:tcPr>
            <w:tcW w:w="1280" w:type="dxa"/>
            <w:vAlign w:val="bottom"/>
            <w:tcBorders>
              <w:right w:val="single" w:sz="8" w:color="023C5B"/>
            </w:tcBorders>
          </w:tcPr>
          <w:p>
            <w:pPr>
              <w:ind w:left="100"/>
              <w:spacing w:after="0"/>
              <w:rPr>
                <w:sz w:val="20"/>
                <w:szCs w:val="20"/>
                <w:color w:val="auto"/>
              </w:rPr>
            </w:pPr>
            <w:r>
              <w:rPr>
                <w:rFonts w:ascii="Arial" w:cs="Arial" w:eastAsia="Arial" w:hAnsi="Arial"/>
                <w:sz w:val="16"/>
                <w:szCs w:val="16"/>
                <w:b w:val="1"/>
                <w:bCs w:val="1"/>
                <w:color w:val="auto"/>
              </w:rPr>
              <w:t>Performance</w:t>
            </w:r>
          </w:p>
        </w:tc>
        <w:tc>
          <w:tcPr>
            <w:tcW w:w="1600" w:type="dxa"/>
            <w:vAlign w:val="bottom"/>
            <w:tcBorders>
              <w:right w:val="single" w:sz="8" w:color="023C5B"/>
            </w:tcBorders>
          </w:tcPr>
          <w:p>
            <w:pPr>
              <w:spacing w:after="0"/>
              <w:rPr>
                <w:sz w:val="16"/>
                <w:szCs w:val="16"/>
                <w:color w:val="auto"/>
              </w:rPr>
            </w:pPr>
          </w:p>
        </w:tc>
        <w:tc>
          <w:tcPr>
            <w:tcW w:w="172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CEO and Company</w:t>
            </w:r>
          </w:p>
        </w:tc>
        <w:tc>
          <w:tcPr>
            <w:tcW w:w="16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the three-year</w:t>
            </w:r>
          </w:p>
        </w:tc>
        <w:tc>
          <w:tcPr>
            <w:tcW w:w="320" w:type="dxa"/>
            <w:vAlign w:val="bottom"/>
          </w:tcPr>
          <w:p>
            <w:pPr>
              <w:spacing w:after="0"/>
              <w:rPr>
                <w:sz w:val="16"/>
                <w:szCs w:val="16"/>
                <w:color w:val="auto"/>
              </w:rPr>
            </w:pPr>
          </w:p>
        </w:tc>
        <w:tc>
          <w:tcPr>
            <w:tcW w:w="2240" w:type="dxa"/>
            <w:vAlign w:val="bottom"/>
          </w:tcPr>
          <w:p>
            <w:pPr>
              <w:ind w:left="140"/>
              <w:spacing w:after="0"/>
              <w:rPr>
                <w:sz w:val="20"/>
                <w:szCs w:val="20"/>
                <w:color w:val="auto"/>
              </w:rPr>
            </w:pPr>
            <w:r>
              <w:rPr>
                <w:rFonts w:ascii="Arial" w:cs="Arial" w:eastAsia="Arial" w:hAnsi="Arial"/>
                <w:sz w:val="16"/>
                <w:szCs w:val="16"/>
                <w:color w:val="auto"/>
              </w:rPr>
              <w:t>reduction</w:t>
            </w:r>
          </w:p>
        </w:tc>
        <w:tc>
          <w:tcPr>
            <w:tcW w:w="20" w:type="dxa"/>
            <w:vAlign w:val="bottom"/>
            <w:shd w:val="clear" w:color="auto" w:fill="023C5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40" w:type="dxa"/>
            <w:vAlign w:val="bottom"/>
            <w:tcBorders>
              <w:left w:val="single" w:sz="8" w:color="023C5B"/>
              <w:right w:val="single" w:sz="8" w:color="023C5B"/>
            </w:tcBorders>
          </w:tcPr>
          <w:p>
            <w:pPr>
              <w:spacing w:after="0"/>
              <w:rPr>
                <w:sz w:val="17"/>
                <w:szCs w:val="17"/>
                <w:color w:val="auto"/>
              </w:rPr>
            </w:pPr>
          </w:p>
        </w:tc>
        <w:tc>
          <w:tcPr>
            <w:tcW w:w="1280" w:type="dxa"/>
            <w:vAlign w:val="bottom"/>
            <w:tcBorders>
              <w:right w:val="single" w:sz="8" w:color="023C5B"/>
            </w:tcBorders>
          </w:tcPr>
          <w:p>
            <w:pPr>
              <w:ind w:left="100"/>
              <w:spacing w:after="0"/>
              <w:rPr>
                <w:sz w:val="20"/>
                <w:szCs w:val="20"/>
                <w:color w:val="auto"/>
              </w:rPr>
            </w:pPr>
            <w:r>
              <w:rPr>
                <w:rFonts w:ascii="Arial" w:cs="Arial" w:eastAsia="Arial" w:hAnsi="Arial"/>
                <w:sz w:val="16"/>
                <w:szCs w:val="16"/>
                <w:b w:val="1"/>
                <w:bCs w:val="1"/>
                <w:color w:val="auto"/>
              </w:rPr>
              <w:t>Shares</w:t>
            </w:r>
          </w:p>
        </w:tc>
        <w:tc>
          <w:tcPr>
            <w:tcW w:w="1600" w:type="dxa"/>
            <w:vAlign w:val="bottom"/>
            <w:tcBorders>
              <w:right w:val="single" w:sz="8" w:color="023C5B"/>
            </w:tcBorders>
          </w:tcPr>
          <w:p>
            <w:pPr>
              <w:spacing w:after="0"/>
              <w:rPr>
                <w:sz w:val="17"/>
                <w:szCs w:val="17"/>
                <w:color w:val="auto"/>
              </w:rPr>
            </w:pPr>
          </w:p>
        </w:tc>
        <w:tc>
          <w:tcPr>
            <w:tcW w:w="172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Performance;</w:t>
            </w:r>
          </w:p>
        </w:tc>
        <w:tc>
          <w:tcPr>
            <w:tcW w:w="16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performance period</w:t>
            </w:r>
          </w:p>
        </w:tc>
        <w:tc>
          <w:tcPr>
            <w:tcW w:w="32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240" w:type="dxa"/>
            <w:vAlign w:val="bottom"/>
          </w:tcPr>
          <w:p>
            <w:pPr>
              <w:ind w:left="140"/>
              <w:spacing w:after="0"/>
              <w:rPr>
                <w:sz w:val="20"/>
                <w:szCs w:val="20"/>
                <w:color w:val="auto"/>
              </w:rPr>
            </w:pPr>
            <w:r>
              <w:rPr>
                <w:rFonts w:ascii="Arial" w:cs="Arial" w:eastAsia="Arial" w:hAnsi="Arial"/>
                <w:sz w:val="16"/>
                <w:szCs w:val="16"/>
                <w:color w:val="auto"/>
              </w:rPr>
              <w:t>Misconduct clawback</w:t>
            </w:r>
          </w:p>
        </w:tc>
        <w:tc>
          <w:tcPr>
            <w:tcW w:w="20" w:type="dxa"/>
            <w:vAlign w:val="bottom"/>
            <w:shd w:val="clear" w:color="auto" w:fill="023C5B"/>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940" w:type="dxa"/>
            <w:vAlign w:val="bottom"/>
            <w:tcBorders>
              <w:left w:val="single" w:sz="8" w:color="023C5B"/>
              <w:right w:val="single" w:sz="8" w:color="023C5B"/>
            </w:tcBorders>
          </w:tcPr>
          <w:p>
            <w:pPr>
              <w:spacing w:after="0"/>
              <w:rPr>
                <w:sz w:val="15"/>
                <w:szCs w:val="15"/>
                <w:color w:val="auto"/>
              </w:rPr>
            </w:pPr>
          </w:p>
        </w:tc>
        <w:tc>
          <w:tcPr>
            <w:tcW w:w="1280" w:type="dxa"/>
            <w:vAlign w:val="bottom"/>
            <w:tcBorders>
              <w:right w:val="single" w:sz="8" w:color="023C5B"/>
            </w:tcBorders>
          </w:tcPr>
          <w:p>
            <w:pPr>
              <w:spacing w:after="0"/>
              <w:rPr>
                <w:sz w:val="15"/>
                <w:szCs w:val="15"/>
                <w:color w:val="auto"/>
              </w:rPr>
            </w:pPr>
          </w:p>
        </w:tc>
        <w:tc>
          <w:tcPr>
            <w:tcW w:w="1600" w:type="dxa"/>
            <w:vAlign w:val="bottom"/>
            <w:tcBorders>
              <w:right w:val="single" w:sz="8" w:color="023C5B"/>
            </w:tcBorders>
          </w:tcPr>
          <w:p>
            <w:pPr>
              <w:spacing w:after="0"/>
              <w:rPr>
                <w:sz w:val="15"/>
                <w:szCs w:val="15"/>
                <w:color w:val="auto"/>
              </w:rPr>
            </w:pPr>
          </w:p>
        </w:tc>
        <w:tc>
          <w:tcPr>
            <w:tcW w:w="1720" w:type="dxa"/>
            <w:vAlign w:val="bottom"/>
            <w:tcBorders>
              <w:right w:val="single" w:sz="8" w:color="023C5B"/>
            </w:tcBorders>
          </w:tcPr>
          <w:p>
            <w:pPr>
              <w:ind w:left="100"/>
              <w:spacing w:after="0" w:line="173" w:lineRule="exact"/>
              <w:rPr>
                <w:sz w:val="20"/>
                <w:szCs w:val="20"/>
                <w:color w:val="auto"/>
              </w:rPr>
            </w:pPr>
            <w:r>
              <w:rPr>
                <w:rFonts w:ascii="Arial" w:cs="Arial" w:eastAsia="Arial" w:hAnsi="Arial"/>
                <w:sz w:val="16"/>
                <w:szCs w:val="16"/>
                <w:color w:val="auto"/>
              </w:rPr>
              <w:t>Incentive for Long-</w:t>
            </w:r>
          </w:p>
        </w:tc>
        <w:tc>
          <w:tcPr>
            <w:tcW w:w="1600" w:type="dxa"/>
            <w:vAlign w:val="bottom"/>
            <w:tcBorders>
              <w:right w:val="single" w:sz="8" w:color="023C5B"/>
            </w:tcBorders>
          </w:tcPr>
          <w:p>
            <w:pPr>
              <w:ind w:left="100"/>
              <w:spacing w:after="0" w:line="173" w:lineRule="exact"/>
              <w:rPr>
                <w:sz w:val="20"/>
                <w:szCs w:val="20"/>
                <w:color w:val="auto"/>
              </w:rPr>
            </w:pPr>
            <w:r>
              <w:rPr>
                <w:rFonts w:ascii="Arial" w:cs="Arial" w:eastAsia="Arial" w:hAnsi="Arial"/>
                <w:sz w:val="16"/>
                <w:szCs w:val="16"/>
                <w:color w:val="auto"/>
              </w:rPr>
              <w:t>based on</w:t>
            </w:r>
          </w:p>
        </w:tc>
        <w:tc>
          <w:tcPr>
            <w:tcW w:w="32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240" w:type="dxa"/>
            <w:vAlign w:val="bottom"/>
            <w:vMerge w:val="restart"/>
          </w:tcPr>
          <w:p>
            <w:pPr>
              <w:ind w:left="140"/>
              <w:spacing w:after="0"/>
              <w:rPr>
                <w:sz w:val="20"/>
                <w:szCs w:val="20"/>
                <w:color w:val="auto"/>
              </w:rPr>
            </w:pPr>
            <w:r>
              <w:rPr>
                <w:rFonts w:ascii="Arial" w:cs="Arial" w:eastAsia="Arial" w:hAnsi="Arial"/>
                <w:sz w:val="16"/>
                <w:szCs w:val="16"/>
                <w:color w:val="auto"/>
              </w:rPr>
              <w:t>Financial restatement</w:t>
            </w:r>
          </w:p>
        </w:tc>
        <w:tc>
          <w:tcPr>
            <w:tcW w:w="20" w:type="dxa"/>
            <w:vAlign w:val="bottom"/>
            <w:shd w:val="clear" w:color="auto" w:fill="023C5B"/>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940" w:type="dxa"/>
            <w:vAlign w:val="bottom"/>
            <w:tcBorders>
              <w:left w:val="single" w:sz="8" w:color="023C5B"/>
              <w:right w:val="single" w:sz="8" w:color="023C5B"/>
            </w:tcBorders>
          </w:tcPr>
          <w:p>
            <w:pPr>
              <w:spacing w:after="0"/>
              <w:rPr>
                <w:sz w:val="6"/>
                <w:szCs w:val="6"/>
                <w:color w:val="auto"/>
              </w:rPr>
            </w:pPr>
          </w:p>
        </w:tc>
        <w:tc>
          <w:tcPr>
            <w:tcW w:w="1280" w:type="dxa"/>
            <w:vAlign w:val="bottom"/>
            <w:tcBorders>
              <w:right w:val="single" w:sz="8" w:color="023C5B"/>
            </w:tcBorders>
          </w:tcPr>
          <w:p>
            <w:pPr>
              <w:spacing w:after="0"/>
              <w:rPr>
                <w:sz w:val="6"/>
                <w:szCs w:val="6"/>
                <w:color w:val="auto"/>
              </w:rPr>
            </w:pPr>
          </w:p>
        </w:tc>
        <w:tc>
          <w:tcPr>
            <w:tcW w:w="1600" w:type="dxa"/>
            <w:vAlign w:val="bottom"/>
            <w:tcBorders>
              <w:right w:val="single" w:sz="8" w:color="023C5B"/>
            </w:tcBorders>
          </w:tcPr>
          <w:p>
            <w:pPr>
              <w:spacing w:after="0"/>
              <w:rPr>
                <w:sz w:val="6"/>
                <w:szCs w:val="6"/>
                <w:color w:val="auto"/>
              </w:rPr>
            </w:pPr>
          </w:p>
        </w:tc>
        <w:tc>
          <w:tcPr>
            <w:tcW w:w="1720" w:type="dxa"/>
            <w:vAlign w:val="bottom"/>
            <w:tcBorders>
              <w:right w:val="single" w:sz="8" w:color="023C5B"/>
            </w:tcBorders>
            <w:vMerge w:val="restart"/>
          </w:tcPr>
          <w:p>
            <w:pPr>
              <w:ind w:left="100"/>
              <w:spacing w:after="0"/>
              <w:rPr>
                <w:sz w:val="20"/>
                <w:szCs w:val="20"/>
                <w:color w:val="auto"/>
              </w:rPr>
            </w:pPr>
            <w:r>
              <w:rPr>
                <w:rFonts w:ascii="Arial" w:cs="Arial" w:eastAsia="Arial" w:hAnsi="Arial"/>
                <w:sz w:val="16"/>
                <w:szCs w:val="16"/>
                <w:color w:val="auto"/>
              </w:rPr>
              <w:t>term Company</w:t>
            </w:r>
          </w:p>
        </w:tc>
        <w:tc>
          <w:tcPr>
            <w:tcW w:w="1600" w:type="dxa"/>
            <w:vAlign w:val="bottom"/>
            <w:tcBorders>
              <w:right w:val="single" w:sz="8" w:color="023C5B"/>
            </w:tcBorders>
            <w:vMerge w:val="restart"/>
          </w:tcPr>
          <w:p>
            <w:pPr>
              <w:ind w:left="100"/>
              <w:spacing w:after="0"/>
              <w:rPr>
                <w:sz w:val="20"/>
                <w:szCs w:val="20"/>
                <w:color w:val="auto"/>
              </w:rPr>
            </w:pPr>
            <w:r>
              <w:rPr>
                <w:rFonts w:ascii="Arial" w:cs="Arial" w:eastAsia="Arial" w:hAnsi="Arial"/>
                <w:sz w:val="16"/>
                <w:szCs w:val="16"/>
                <w:color w:val="auto"/>
              </w:rPr>
              <w:t>achievement of</w:t>
            </w:r>
          </w:p>
        </w:tc>
        <w:tc>
          <w:tcPr>
            <w:tcW w:w="320" w:type="dxa"/>
            <w:vAlign w:val="bottom"/>
            <w:vMerge w:val="continue"/>
          </w:tcPr>
          <w:p>
            <w:pPr>
              <w:spacing w:after="0"/>
              <w:rPr>
                <w:sz w:val="6"/>
                <w:szCs w:val="6"/>
                <w:color w:val="auto"/>
              </w:rPr>
            </w:pPr>
          </w:p>
        </w:tc>
        <w:tc>
          <w:tcPr>
            <w:tcW w:w="2240" w:type="dxa"/>
            <w:vAlign w:val="bottom"/>
            <w:vMerge w:val="continue"/>
          </w:tcPr>
          <w:p>
            <w:pPr>
              <w:spacing w:after="0"/>
              <w:rPr>
                <w:sz w:val="6"/>
                <w:szCs w:val="6"/>
                <w:color w:val="auto"/>
              </w:rPr>
            </w:pPr>
          </w:p>
        </w:tc>
        <w:tc>
          <w:tcPr>
            <w:tcW w:w="20" w:type="dxa"/>
            <w:vAlign w:val="bottom"/>
            <w:shd w:val="clear" w:color="auto" w:fill="023C5B"/>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940" w:type="dxa"/>
            <w:vAlign w:val="bottom"/>
            <w:tcBorders>
              <w:left w:val="single" w:sz="8" w:color="023C5B"/>
              <w:right w:val="single" w:sz="8" w:color="023C5B"/>
            </w:tcBorders>
          </w:tcPr>
          <w:p>
            <w:pPr>
              <w:spacing w:after="0"/>
              <w:rPr>
                <w:sz w:val="9"/>
                <w:szCs w:val="9"/>
                <w:color w:val="auto"/>
              </w:rPr>
            </w:pPr>
          </w:p>
        </w:tc>
        <w:tc>
          <w:tcPr>
            <w:tcW w:w="1280" w:type="dxa"/>
            <w:vAlign w:val="bottom"/>
            <w:tcBorders>
              <w:right w:val="single" w:sz="8" w:color="023C5B"/>
            </w:tcBorders>
          </w:tcPr>
          <w:p>
            <w:pPr>
              <w:spacing w:after="0"/>
              <w:rPr>
                <w:sz w:val="9"/>
                <w:szCs w:val="9"/>
                <w:color w:val="auto"/>
              </w:rPr>
            </w:pPr>
          </w:p>
        </w:tc>
        <w:tc>
          <w:tcPr>
            <w:tcW w:w="1600" w:type="dxa"/>
            <w:vAlign w:val="bottom"/>
            <w:tcBorders>
              <w:right w:val="single" w:sz="8" w:color="023C5B"/>
            </w:tcBorders>
          </w:tcPr>
          <w:p>
            <w:pPr>
              <w:spacing w:after="0"/>
              <w:rPr>
                <w:sz w:val="9"/>
                <w:szCs w:val="9"/>
                <w:color w:val="auto"/>
              </w:rPr>
            </w:pPr>
          </w:p>
        </w:tc>
        <w:tc>
          <w:tcPr>
            <w:tcW w:w="1720" w:type="dxa"/>
            <w:vAlign w:val="bottom"/>
            <w:tcBorders>
              <w:right w:val="single" w:sz="8" w:color="023C5B"/>
            </w:tcBorders>
            <w:vMerge w:val="continue"/>
          </w:tcPr>
          <w:p>
            <w:pPr>
              <w:spacing w:after="0"/>
              <w:rPr>
                <w:sz w:val="9"/>
                <w:szCs w:val="9"/>
                <w:color w:val="auto"/>
              </w:rPr>
            </w:pPr>
          </w:p>
        </w:tc>
        <w:tc>
          <w:tcPr>
            <w:tcW w:w="1600" w:type="dxa"/>
            <w:vAlign w:val="bottom"/>
            <w:tcBorders>
              <w:right w:val="single" w:sz="8" w:color="023C5B"/>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2240" w:type="dxa"/>
            <w:vAlign w:val="bottom"/>
            <w:vMerge w:val="restart"/>
          </w:tcPr>
          <w:p>
            <w:pPr>
              <w:ind w:left="140"/>
              <w:spacing w:after="0"/>
              <w:rPr>
                <w:sz w:val="20"/>
                <w:szCs w:val="20"/>
                <w:color w:val="auto"/>
              </w:rPr>
            </w:pPr>
            <w:r>
              <w:rPr>
                <w:rFonts w:ascii="Arial" w:cs="Arial" w:eastAsia="Arial" w:hAnsi="Arial"/>
                <w:sz w:val="16"/>
                <w:szCs w:val="16"/>
                <w:color w:val="auto"/>
              </w:rPr>
              <w:t>clawback</w:t>
            </w:r>
          </w:p>
        </w:tc>
        <w:tc>
          <w:tcPr>
            <w:tcW w:w="20" w:type="dxa"/>
            <w:vAlign w:val="bottom"/>
            <w:shd w:val="clear" w:color="auto" w:fill="023C5B"/>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40" w:type="dxa"/>
            <w:vAlign w:val="bottom"/>
            <w:tcBorders>
              <w:left w:val="single" w:sz="8" w:color="023C5B"/>
              <w:right w:val="single" w:sz="8" w:color="023C5B"/>
            </w:tcBorders>
          </w:tcPr>
          <w:p>
            <w:pPr>
              <w:spacing w:after="0"/>
              <w:rPr>
                <w:sz w:val="9"/>
                <w:szCs w:val="9"/>
                <w:color w:val="auto"/>
              </w:rPr>
            </w:pPr>
          </w:p>
        </w:tc>
        <w:tc>
          <w:tcPr>
            <w:tcW w:w="1280" w:type="dxa"/>
            <w:vAlign w:val="bottom"/>
            <w:tcBorders>
              <w:right w:val="single" w:sz="8" w:color="023C5B"/>
            </w:tcBorders>
          </w:tcPr>
          <w:p>
            <w:pPr>
              <w:spacing w:after="0"/>
              <w:rPr>
                <w:sz w:val="9"/>
                <w:szCs w:val="9"/>
                <w:color w:val="auto"/>
              </w:rPr>
            </w:pPr>
          </w:p>
        </w:tc>
        <w:tc>
          <w:tcPr>
            <w:tcW w:w="1600" w:type="dxa"/>
            <w:vAlign w:val="bottom"/>
            <w:tcBorders>
              <w:right w:val="single" w:sz="8" w:color="023C5B"/>
            </w:tcBorders>
          </w:tcPr>
          <w:p>
            <w:pPr>
              <w:spacing w:after="0"/>
              <w:rPr>
                <w:sz w:val="9"/>
                <w:szCs w:val="9"/>
                <w:color w:val="auto"/>
              </w:rPr>
            </w:pPr>
          </w:p>
        </w:tc>
        <w:tc>
          <w:tcPr>
            <w:tcW w:w="1720" w:type="dxa"/>
            <w:vAlign w:val="bottom"/>
            <w:tcBorders>
              <w:right w:val="single" w:sz="8" w:color="023C5B"/>
            </w:tcBorders>
            <w:vMerge w:val="restart"/>
          </w:tcPr>
          <w:p>
            <w:pPr>
              <w:ind w:left="100"/>
              <w:spacing w:after="0"/>
              <w:rPr>
                <w:sz w:val="20"/>
                <w:szCs w:val="20"/>
                <w:color w:val="auto"/>
              </w:rPr>
            </w:pPr>
            <w:r>
              <w:rPr>
                <w:rFonts w:ascii="Arial" w:cs="Arial" w:eastAsia="Arial" w:hAnsi="Arial"/>
                <w:sz w:val="16"/>
                <w:szCs w:val="16"/>
                <w:color w:val="auto"/>
              </w:rPr>
              <w:t>Performance</w:t>
            </w:r>
          </w:p>
        </w:tc>
        <w:tc>
          <w:tcPr>
            <w:tcW w:w="1600" w:type="dxa"/>
            <w:vAlign w:val="bottom"/>
            <w:tcBorders>
              <w:right w:val="single" w:sz="8" w:color="023C5B"/>
            </w:tcBorders>
            <w:vMerge w:val="restart"/>
          </w:tcPr>
          <w:p>
            <w:pPr>
              <w:ind w:left="100"/>
              <w:spacing w:after="0"/>
              <w:rPr>
                <w:sz w:val="20"/>
                <w:szCs w:val="20"/>
                <w:color w:val="auto"/>
              </w:rPr>
            </w:pPr>
            <w:r>
              <w:rPr>
                <w:rFonts w:ascii="Arial" w:cs="Arial" w:eastAsia="Arial" w:hAnsi="Arial"/>
                <w:sz w:val="16"/>
                <w:szCs w:val="16"/>
                <w:color w:val="auto"/>
              </w:rPr>
              <w:t>financial</w:t>
            </w:r>
          </w:p>
        </w:tc>
        <w:tc>
          <w:tcPr>
            <w:tcW w:w="3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0" w:type="dxa"/>
            <w:vAlign w:val="bottom"/>
            <w:shd w:val="clear" w:color="auto" w:fill="023C5B"/>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40" w:type="dxa"/>
            <w:vAlign w:val="bottom"/>
            <w:tcBorders>
              <w:left w:val="single" w:sz="8" w:color="023C5B"/>
              <w:right w:val="single" w:sz="8" w:color="023C5B"/>
            </w:tcBorders>
          </w:tcPr>
          <w:p>
            <w:pPr>
              <w:spacing w:after="0"/>
              <w:rPr>
                <w:sz w:val="7"/>
                <w:szCs w:val="7"/>
                <w:color w:val="auto"/>
              </w:rPr>
            </w:pPr>
          </w:p>
        </w:tc>
        <w:tc>
          <w:tcPr>
            <w:tcW w:w="1280" w:type="dxa"/>
            <w:vAlign w:val="bottom"/>
            <w:tcBorders>
              <w:right w:val="single" w:sz="8" w:color="023C5B"/>
            </w:tcBorders>
          </w:tcPr>
          <w:p>
            <w:pPr>
              <w:spacing w:after="0"/>
              <w:rPr>
                <w:sz w:val="7"/>
                <w:szCs w:val="7"/>
                <w:color w:val="auto"/>
              </w:rPr>
            </w:pPr>
          </w:p>
        </w:tc>
        <w:tc>
          <w:tcPr>
            <w:tcW w:w="1600" w:type="dxa"/>
            <w:vAlign w:val="bottom"/>
            <w:tcBorders>
              <w:right w:val="single" w:sz="8" w:color="023C5B"/>
            </w:tcBorders>
          </w:tcPr>
          <w:p>
            <w:pPr>
              <w:spacing w:after="0"/>
              <w:rPr>
                <w:sz w:val="7"/>
                <w:szCs w:val="7"/>
                <w:color w:val="auto"/>
              </w:rPr>
            </w:pPr>
          </w:p>
        </w:tc>
        <w:tc>
          <w:tcPr>
            <w:tcW w:w="1720" w:type="dxa"/>
            <w:vAlign w:val="bottom"/>
            <w:tcBorders>
              <w:right w:val="single" w:sz="8" w:color="023C5B"/>
            </w:tcBorders>
            <w:vMerge w:val="continue"/>
          </w:tcPr>
          <w:p>
            <w:pPr>
              <w:spacing w:after="0"/>
              <w:rPr>
                <w:sz w:val="7"/>
                <w:szCs w:val="7"/>
                <w:color w:val="auto"/>
              </w:rPr>
            </w:pPr>
          </w:p>
        </w:tc>
        <w:tc>
          <w:tcPr>
            <w:tcW w:w="1600" w:type="dxa"/>
            <w:vAlign w:val="bottom"/>
            <w:tcBorders>
              <w:right w:val="single" w:sz="8" w:color="023C5B"/>
            </w:tcBorders>
            <w:vMerge w:val="continue"/>
          </w:tcPr>
          <w:p>
            <w:pPr>
              <w:spacing w:after="0"/>
              <w:rPr>
                <w:sz w:val="7"/>
                <w:szCs w:val="7"/>
                <w:color w:val="auto"/>
              </w:rPr>
            </w:pPr>
          </w:p>
        </w:tc>
        <w:tc>
          <w:tcPr>
            <w:tcW w:w="3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20" w:type="dxa"/>
            <w:vAlign w:val="bottom"/>
            <w:shd w:val="clear" w:color="auto" w:fill="023C5B"/>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1940" w:type="dxa"/>
            <w:vAlign w:val="bottom"/>
            <w:tcBorders>
              <w:left w:val="single" w:sz="8" w:color="023C5B"/>
              <w:right w:val="single" w:sz="8" w:color="023C5B"/>
            </w:tcBorders>
          </w:tcPr>
          <w:p>
            <w:pPr>
              <w:spacing w:after="0"/>
              <w:rPr>
                <w:sz w:val="17"/>
                <w:szCs w:val="17"/>
                <w:color w:val="auto"/>
              </w:rPr>
            </w:pPr>
          </w:p>
        </w:tc>
        <w:tc>
          <w:tcPr>
            <w:tcW w:w="1280" w:type="dxa"/>
            <w:vAlign w:val="bottom"/>
            <w:tcBorders>
              <w:bottom w:val="single" w:sz="8" w:color="023C5B"/>
              <w:right w:val="single" w:sz="8" w:color="023C5B"/>
            </w:tcBorders>
          </w:tcPr>
          <w:p>
            <w:pPr>
              <w:spacing w:after="0"/>
              <w:rPr>
                <w:sz w:val="17"/>
                <w:szCs w:val="17"/>
                <w:color w:val="auto"/>
              </w:rPr>
            </w:pPr>
          </w:p>
        </w:tc>
        <w:tc>
          <w:tcPr>
            <w:tcW w:w="1600" w:type="dxa"/>
            <w:vAlign w:val="bottom"/>
            <w:tcBorders>
              <w:right w:val="single" w:sz="8" w:color="023C5B"/>
            </w:tcBorders>
          </w:tcPr>
          <w:p>
            <w:pPr>
              <w:spacing w:after="0"/>
              <w:rPr>
                <w:sz w:val="17"/>
                <w:szCs w:val="17"/>
                <w:color w:val="auto"/>
              </w:rPr>
            </w:pPr>
          </w:p>
        </w:tc>
        <w:tc>
          <w:tcPr>
            <w:tcW w:w="1720" w:type="dxa"/>
            <w:vAlign w:val="bottom"/>
            <w:tcBorders>
              <w:right w:val="single" w:sz="8" w:color="023C5B"/>
            </w:tcBorders>
          </w:tcPr>
          <w:p>
            <w:pPr>
              <w:spacing w:after="0"/>
              <w:rPr>
                <w:sz w:val="17"/>
                <w:szCs w:val="17"/>
                <w:color w:val="auto"/>
              </w:rPr>
            </w:pPr>
          </w:p>
        </w:tc>
        <w:tc>
          <w:tcPr>
            <w:tcW w:w="1600" w:type="dxa"/>
            <w:vAlign w:val="bottom"/>
            <w:tcBorders>
              <w:bottom w:val="single" w:sz="8" w:color="023C5B"/>
              <w:right w:val="single" w:sz="8" w:color="023C5B"/>
            </w:tcBorders>
          </w:tcPr>
          <w:p>
            <w:pPr>
              <w:ind w:left="100"/>
              <w:spacing w:after="0"/>
              <w:rPr>
                <w:sz w:val="20"/>
                <w:szCs w:val="20"/>
                <w:color w:val="auto"/>
              </w:rPr>
            </w:pPr>
            <w:r>
              <w:rPr>
                <w:rFonts w:ascii="Arial" w:cs="Arial" w:eastAsia="Arial" w:hAnsi="Arial"/>
                <w:sz w:val="16"/>
                <w:szCs w:val="16"/>
                <w:color w:val="auto"/>
              </w:rPr>
              <w:t>performance factors</w:t>
            </w:r>
          </w:p>
        </w:tc>
        <w:tc>
          <w:tcPr>
            <w:tcW w:w="320" w:type="dxa"/>
            <w:vAlign w:val="bottom"/>
            <w:tcBorders>
              <w:bottom w:val="single" w:sz="8" w:color="023C5B"/>
            </w:tcBorders>
          </w:tcPr>
          <w:p>
            <w:pPr>
              <w:spacing w:after="0"/>
              <w:rPr>
                <w:sz w:val="17"/>
                <w:szCs w:val="17"/>
                <w:color w:val="auto"/>
              </w:rPr>
            </w:pPr>
          </w:p>
        </w:tc>
        <w:tc>
          <w:tcPr>
            <w:tcW w:w="2240" w:type="dxa"/>
            <w:vAlign w:val="bottom"/>
            <w:tcBorders>
              <w:bottom w:val="single" w:sz="8" w:color="023C5B"/>
            </w:tcBorders>
          </w:tcPr>
          <w:p>
            <w:pPr>
              <w:spacing w:after="0"/>
              <w:rPr>
                <w:sz w:val="17"/>
                <w:szCs w:val="17"/>
                <w:color w:val="auto"/>
              </w:rPr>
            </w:pPr>
          </w:p>
        </w:tc>
        <w:tc>
          <w:tcPr>
            <w:tcW w:w="20" w:type="dxa"/>
            <w:vAlign w:val="bottom"/>
            <w:tcBorders>
              <w:bottom w:val="single" w:sz="8" w:color="023C5B"/>
            </w:tcBorders>
            <w:shd w:val="clear" w:color="auto" w:fill="023C5B"/>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40" w:type="dxa"/>
            <w:vAlign w:val="bottom"/>
            <w:tcBorders>
              <w:left w:val="single" w:sz="8" w:color="023C5B"/>
              <w:right w:val="single" w:sz="8" w:color="023C5B"/>
            </w:tcBorders>
          </w:tcPr>
          <w:p>
            <w:pPr>
              <w:spacing w:after="0"/>
              <w:rPr>
                <w:sz w:val="15"/>
                <w:szCs w:val="15"/>
                <w:color w:val="auto"/>
              </w:rPr>
            </w:pPr>
          </w:p>
        </w:tc>
        <w:tc>
          <w:tcPr>
            <w:tcW w:w="128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b w:val="1"/>
                <w:bCs w:val="1"/>
                <w:color w:val="auto"/>
              </w:rPr>
              <w:t>TSR</w:t>
            </w:r>
          </w:p>
        </w:tc>
        <w:tc>
          <w:tcPr>
            <w:tcW w:w="1600" w:type="dxa"/>
            <w:vAlign w:val="bottom"/>
            <w:tcBorders>
              <w:right w:val="single" w:sz="8" w:color="023C5B"/>
            </w:tcBorders>
          </w:tcPr>
          <w:p>
            <w:pPr>
              <w:spacing w:after="0"/>
              <w:rPr>
                <w:sz w:val="15"/>
                <w:szCs w:val="15"/>
                <w:color w:val="auto"/>
              </w:rPr>
            </w:pPr>
          </w:p>
        </w:tc>
        <w:tc>
          <w:tcPr>
            <w:tcW w:w="1720" w:type="dxa"/>
            <w:vAlign w:val="bottom"/>
            <w:tcBorders>
              <w:right w:val="single" w:sz="8" w:color="023C5B"/>
            </w:tcBorders>
          </w:tcPr>
          <w:p>
            <w:pPr>
              <w:spacing w:after="0"/>
              <w:rPr>
                <w:sz w:val="15"/>
                <w:szCs w:val="15"/>
                <w:color w:val="auto"/>
              </w:rPr>
            </w:pPr>
          </w:p>
        </w:tc>
        <w:tc>
          <w:tcPr>
            <w:tcW w:w="160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color w:val="auto"/>
              </w:rPr>
              <w:t>Vest at the end of</w:t>
            </w:r>
          </w:p>
        </w:tc>
        <w:tc>
          <w:tcPr>
            <w:tcW w:w="32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240" w:type="dxa"/>
            <w:vAlign w:val="bottom"/>
          </w:tcPr>
          <w:p>
            <w:pPr>
              <w:ind w:left="140"/>
              <w:spacing w:after="0" w:line="180" w:lineRule="exact"/>
              <w:rPr>
                <w:sz w:val="20"/>
                <w:szCs w:val="20"/>
                <w:color w:val="auto"/>
              </w:rPr>
            </w:pPr>
            <w:r>
              <w:rPr>
                <w:rFonts w:ascii="Arial" w:cs="Arial" w:eastAsia="Arial" w:hAnsi="Arial"/>
                <w:sz w:val="16"/>
                <w:szCs w:val="16"/>
                <w:color w:val="auto"/>
              </w:rPr>
              <w:t>Misconduct clawback</w:t>
            </w:r>
          </w:p>
        </w:tc>
        <w:tc>
          <w:tcPr>
            <w:tcW w:w="20" w:type="dxa"/>
            <w:vAlign w:val="bottom"/>
            <w:shd w:val="clear" w:color="auto" w:fill="023C5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940" w:type="dxa"/>
            <w:vAlign w:val="bottom"/>
            <w:tcBorders>
              <w:left w:val="single" w:sz="8" w:color="023C5B"/>
              <w:right w:val="single" w:sz="8" w:color="023C5B"/>
            </w:tcBorders>
          </w:tcPr>
          <w:p>
            <w:pPr>
              <w:spacing w:after="0"/>
              <w:rPr>
                <w:sz w:val="17"/>
                <w:szCs w:val="17"/>
                <w:color w:val="auto"/>
              </w:rPr>
            </w:pPr>
          </w:p>
        </w:tc>
        <w:tc>
          <w:tcPr>
            <w:tcW w:w="1280" w:type="dxa"/>
            <w:vAlign w:val="bottom"/>
            <w:tcBorders>
              <w:right w:val="single" w:sz="8" w:color="023C5B"/>
            </w:tcBorders>
          </w:tcPr>
          <w:p>
            <w:pPr>
              <w:ind w:left="100"/>
              <w:spacing w:after="0"/>
              <w:rPr>
                <w:sz w:val="20"/>
                <w:szCs w:val="20"/>
                <w:color w:val="auto"/>
              </w:rPr>
            </w:pPr>
            <w:r>
              <w:rPr>
                <w:rFonts w:ascii="Arial" w:cs="Arial" w:eastAsia="Arial" w:hAnsi="Arial"/>
                <w:sz w:val="16"/>
                <w:szCs w:val="16"/>
                <w:b w:val="1"/>
                <w:bCs w:val="1"/>
                <w:color w:val="auto"/>
              </w:rPr>
              <w:t>Performance</w:t>
            </w:r>
          </w:p>
        </w:tc>
        <w:tc>
          <w:tcPr>
            <w:tcW w:w="1600" w:type="dxa"/>
            <w:vAlign w:val="bottom"/>
            <w:tcBorders>
              <w:right w:val="single" w:sz="8" w:color="023C5B"/>
            </w:tcBorders>
          </w:tcPr>
          <w:p>
            <w:pPr>
              <w:spacing w:after="0"/>
              <w:rPr>
                <w:sz w:val="17"/>
                <w:szCs w:val="17"/>
                <w:color w:val="auto"/>
              </w:rPr>
            </w:pPr>
          </w:p>
        </w:tc>
        <w:tc>
          <w:tcPr>
            <w:tcW w:w="1720" w:type="dxa"/>
            <w:vAlign w:val="bottom"/>
            <w:tcBorders>
              <w:right w:val="single" w:sz="8" w:color="023C5B"/>
            </w:tcBorders>
          </w:tcPr>
          <w:p>
            <w:pPr>
              <w:spacing w:after="0"/>
              <w:rPr>
                <w:sz w:val="17"/>
                <w:szCs w:val="17"/>
                <w:color w:val="auto"/>
              </w:rPr>
            </w:pPr>
          </w:p>
        </w:tc>
        <w:tc>
          <w:tcPr>
            <w:tcW w:w="16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the three-year</w:t>
            </w:r>
          </w:p>
        </w:tc>
        <w:tc>
          <w:tcPr>
            <w:tcW w:w="32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240" w:type="dxa"/>
            <w:vAlign w:val="bottom"/>
          </w:tcPr>
          <w:p>
            <w:pPr>
              <w:ind w:left="140"/>
              <w:spacing w:after="0"/>
              <w:rPr>
                <w:sz w:val="20"/>
                <w:szCs w:val="20"/>
                <w:color w:val="auto"/>
              </w:rPr>
            </w:pPr>
            <w:r>
              <w:rPr>
                <w:rFonts w:ascii="Arial" w:cs="Arial" w:eastAsia="Arial" w:hAnsi="Arial"/>
                <w:sz w:val="16"/>
                <w:szCs w:val="16"/>
                <w:color w:val="auto"/>
              </w:rPr>
              <w:t>Financial restatement</w:t>
            </w:r>
          </w:p>
        </w:tc>
        <w:tc>
          <w:tcPr>
            <w:tcW w:w="20" w:type="dxa"/>
            <w:vAlign w:val="bottom"/>
            <w:shd w:val="clear" w:color="auto" w:fill="023C5B"/>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40" w:type="dxa"/>
            <w:vAlign w:val="bottom"/>
            <w:tcBorders>
              <w:left w:val="single" w:sz="8" w:color="023C5B"/>
              <w:right w:val="single" w:sz="8" w:color="023C5B"/>
            </w:tcBorders>
          </w:tcPr>
          <w:p>
            <w:pPr>
              <w:spacing w:after="0"/>
              <w:rPr>
                <w:sz w:val="16"/>
                <w:szCs w:val="16"/>
                <w:color w:val="auto"/>
              </w:rPr>
            </w:pPr>
          </w:p>
        </w:tc>
        <w:tc>
          <w:tcPr>
            <w:tcW w:w="1280" w:type="dxa"/>
            <w:vAlign w:val="bottom"/>
            <w:tcBorders>
              <w:right w:val="single" w:sz="8" w:color="023C5B"/>
            </w:tcBorders>
          </w:tcPr>
          <w:p>
            <w:pPr>
              <w:ind w:left="100"/>
              <w:spacing w:after="0"/>
              <w:rPr>
                <w:sz w:val="20"/>
                <w:szCs w:val="20"/>
                <w:color w:val="auto"/>
              </w:rPr>
            </w:pPr>
            <w:r>
              <w:rPr>
                <w:rFonts w:ascii="Arial" w:cs="Arial" w:eastAsia="Arial" w:hAnsi="Arial"/>
                <w:sz w:val="16"/>
                <w:szCs w:val="16"/>
                <w:b w:val="1"/>
                <w:bCs w:val="1"/>
                <w:color w:val="auto"/>
              </w:rPr>
              <w:t>Shares</w:t>
            </w:r>
          </w:p>
        </w:tc>
        <w:tc>
          <w:tcPr>
            <w:tcW w:w="1600" w:type="dxa"/>
            <w:vAlign w:val="bottom"/>
            <w:tcBorders>
              <w:right w:val="single" w:sz="8" w:color="023C5B"/>
            </w:tcBorders>
          </w:tcPr>
          <w:p>
            <w:pPr>
              <w:spacing w:after="0"/>
              <w:rPr>
                <w:sz w:val="16"/>
                <w:szCs w:val="16"/>
                <w:color w:val="auto"/>
              </w:rPr>
            </w:pPr>
          </w:p>
        </w:tc>
        <w:tc>
          <w:tcPr>
            <w:tcW w:w="1720" w:type="dxa"/>
            <w:vAlign w:val="bottom"/>
            <w:tcBorders>
              <w:right w:val="single" w:sz="8" w:color="023C5B"/>
            </w:tcBorders>
          </w:tcPr>
          <w:p>
            <w:pPr>
              <w:spacing w:after="0"/>
              <w:rPr>
                <w:sz w:val="16"/>
                <w:szCs w:val="16"/>
                <w:color w:val="auto"/>
              </w:rPr>
            </w:pPr>
          </w:p>
        </w:tc>
        <w:tc>
          <w:tcPr>
            <w:tcW w:w="16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performance period</w:t>
            </w:r>
          </w:p>
        </w:tc>
        <w:tc>
          <w:tcPr>
            <w:tcW w:w="320" w:type="dxa"/>
            <w:vAlign w:val="bottom"/>
          </w:tcPr>
          <w:p>
            <w:pPr>
              <w:spacing w:after="0"/>
              <w:rPr>
                <w:sz w:val="16"/>
                <w:szCs w:val="16"/>
                <w:color w:val="auto"/>
              </w:rPr>
            </w:pPr>
          </w:p>
        </w:tc>
        <w:tc>
          <w:tcPr>
            <w:tcW w:w="2240" w:type="dxa"/>
            <w:vAlign w:val="bottom"/>
          </w:tcPr>
          <w:p>
            <w:pPr>
              <w:ind w:left="140"/>
              <w:spacing w:after="0"/>
              <w:rPr>
                <w:sz w:val="20"/>
                <w:szCs w:val="20"/>
                <w:color w:val="auto"/>
              </w:rPr>
            </w:pPr>
            <w:r>
              <w:rPr>
                <w:rFonts w:ascii="Arial" w:cs="Arial" w:eastAsia="Arial" w:hAnsi="Arial"/>
                <w:sz w:val="16"/>
                <w:szCs w:val="16"/>
                <w:color w:val="auto"/>
              </w:rPr>
              <w:t>clawback</w:t>
            </w:r>
          </w:p>
        </w:tc>
        <w:tc>
          <w:tcPr>
            <w:tcW w:w="20" w:type="dxa"/>
            <w:vAlign w:val="bottom"/>
            <w:shd w:val="clear" w:color="auto" w:fill="023C5B"/>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tcBorders>
              <w:left w:val="single" w:sz="8" w:color="023C5B"/>
              <w:right w:val="single" w:sz="8" w:color="023C5B"/>
            </w:tcBorders>
          </w:tcPr>
          <w:p>
            <w:pPr>
              <w:spacing w:after="0"/>
              <w:rPr>
                <w:sz w:val="15"/>
                <w:szCs w:val="15"/>
                <w:color w:val="auto"/>
              </w:rPr>
            </w:pPr>
          </w:p>
        </w:tc>
        <w:tc>
          <w:tcPr>
            <w:tcW w:w="1280" w:type="dxa"/>
            <w:vAlign w:val="bottom"/>
            <w:tcBorders>
              <w:right w:val="single" w:sz="8" w:color="023C5B"/>
            </w:tcBorders>
          </w:tcPr>
          <w:p>
            <w:pPr>
              <w:spacing w:after="0"/>
              <w:rPr>
                <w:sz w:val="15"/>
                <w:szCs w:val="15"/>
                <w:color w:val="auto"/>
              </w:rPr>
            </w:pPr>
          </w:p>
        </w:tc>
        <w:tc>
          <w:tcPr>
            <w:tcW w:w="1600" w:type="dxa"/>
            <w:vAlign w:val="bottom"/>
            <w:tcBorders>
              <w:right w:val="single" w:sz="8" w:color="023C5B"/>
            </w:tcBorders>
          </w:tcPr>
          <w:p>
            <w:pPr>
              <w:spacing w:after="0"/>
              <w:rPr>
                <w:sz w:val="15"/>
                <w:szCs w:val="15"/>
                <w:color w:val="auto"/>
              </w:rPr>
            </w:pPr>
          </w:p>
        </w:tc>
        <w:tc>
          <w:tcPr>
            <w:tcW w:w="1720" w:type="dxa"/>
            <w:vAlign w:val="bottom"/>
            <w:tcBorders>
              <w:right w:val="single" w:sz="8" w:color="023C5B"/>
            </w:tcBorders>
          </w:tcPr>
          <w:p>
            <w:pPr>
              <w:spacing w:after="0"/>
              <w:rPr>
                <w:sz w:val="15"/>
                <w:szCs w:val="15"/>
                <w:color w:val="auto"/>
              </w:rPr>
            </w:pPr>
          </w:p>
        </w:tc>
        <w:tc>
          <w:tcPr>
            <w:tcW w:w="1600" w:type="dxa"/>
            <w:vAlign w:val="bottom"/>
            <w:tcBorders>
              <w:right w:val="single" w:sz="8" w:color="023C5B"/>
            </w:tcBorders>
          </w:tcPr>
          <w:p>
            <w:pPr>
              <w:ind w:left="100"/>
              <w:spacing w:after="0" w:line="173" w:lineRule="exact"/>
              <w:rPr>
                <w:sz w:val="20"/>
                <w:szCs w:val="20"/>
                <w:color w:val="auto"/>
              </w:rPr>
            </w:pPr>
            <w:r>
              <w:rPr>
                <w:rFonts w:ascii="Arial" w:cs="Arial" w:eastAsia="Arial" w:hAnsi="Arial"/>
                <w:sz w:val="16"/>
                <w:szCs w:val="16"/>
                <w:color w:val="auto"/>
              </w:rPr>
              <w:t>based on relative</w:t>
            </w:r>
          </w:p>
        </w:tc>
        <w:tc>
          <w:tcPr>
            <w:tcW w:w="3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shd w:val="clear" w:color="auto" w:fill="023C5B"/>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940" w:type="dxa"/>
            <w:vAlign w:val="bottom"/>
            <w:tcBorders>
              <w:left w:val="single" w:sz="8" w:color="023C5B"/>
              <w:right w:val="single" w:sz="8" w:color="023C5B"/>
            </w:tcBorders>
          </w:tcPr>
          <w:p>
            <w:pPr>
              <w:spacing w:after="0"/>
              <w:rPr>
                <w:sz w:val="17"/>
                <w:szCs w:val="17"/>
                <w:color w:val="auto"/>
              </w:rPr>
            </w:pPr>
          </w:p>
        </w:tc>
        <w:tc>
          <w:tcPr>
            <w:tcW w:w="1280" w:type="dxa"/>
            <w:vAlign w:val="bottom"/>
            <w:tcBorders>
              <w:bottom w:val="single" w:sz="8" w:color="023C5B"/>
              <w:right w:val="single" w:sz="8" w:color="023C5B"/>
            </w:tcBorders>
          </w:tcPr>
          <w:p>
            <w:pPr>
              <w:spacing w:after="0"/>
              <w:rPr>
                <w:sz w:val="17"/>
                <w:szCs w:val="17"/>
                <w:color w:val="auto"/>
              </w:rPr>
            </w:pPr>
          </w:p>
        </w:tc>
        <w:tc>
          <w:tcPr>
            <w:tcW w:w="1600" w:type="dxa"/>
            <w:vAlign w:val="bottom"/>
            <w:tcBorders>
              <w:right w:val="single" w:sz="8" w:color="023C5B"/>
            </w:tcBorders>
          </w:tcPr>
          <w:p>
            <w:pPr>
              <w:spacing w:after="0"/>
              <w:rPr>
                <w:sz w:val="17"/>
                <w:szCs w:val="17"/>
                <w:color w:val="auto"/>
              </w:rPr>
            </w:pPr>
          </w:p>
        </w:tc>
        <w:tc>
          <w:tcPr>
            <w:tcW w:w="1720" w:type="dxa"/>
            <w:vAlign w:val="bottom"/>
            <w:tcBorders>
              <w:bottom w:val="single" w:sz="8" w:color="023C5B"/>
              <w:right w:val="single" w:sz="8" w:color="023C5B"/>
            </w:tcBorders>
          </w:tcPr>
          <w:p>
            <w:pPr>
              <w:spacing w:after="0"/>
              <w:rPr>
                <w:sz w:val="17"/>
                <w:szCs w:val="17"/>
                <w:color w:val="auto"/>
              </w:rPr>
            </w:pPr>
          </w:p>
        </w:tc>
        <w:tc>
          <w:tcPr>
            <w:tcW w:w="1600" w:type="dxa"/>
            <w:vAlign w:val="bottom"/>
            <w:tcBorders>
              <w:bottom w:val="single" w:sz="8" w:color="023C5B"/>
              <w:right w:val="single" w:sz="8" w:color="023C5B"/>
            </w:tcBorders>
          </w:tcPr>
          <w:p>
            <w:pPr>
              <w:ind w:left="100"/>
              <w:spacing w:after="0"/>
              <w:rPr>
                <w:sz w:val="20"/>
                <w:szCs w:val="20"/>
                <w:color w:val="auto"/>
              </w:rPr>
            </w:pPr>
            <w:r>
              <w:rPr>
                <w:rFonts w:ascii="Arial" w:cs="Arial" w:eastAsia="Arial" w:hAnsi="Arial"/>
                <w:sz w:val="16"/>
                <w:szCs w:val="16"/>
                <w:color w:val="auto"/>
              </w:rPr>
              <w:t>TSR</w:t>
            </w:r>
          </w:p>
        </w:tc>
        <w:tc>
          <w:tcPr>
            <w:tcW w:w="320" w:type="dxa"/>
            <w:vAlign w:val="bottom"/>
            <w:tcBorders>
              <w:bottom w:val="single" w:sz="8" w:color="023C5B"/>
            </w:tcBorders>
          </w:tcPr>
          <w:p>
            <w:pPr>
              <w:spacing w:after="0"/>
              <w:rPr>
                <w:sz w:val="17"/>
                <w:szCs w:val="17"/>
                <w:color w:val="auto"/>
              </w:rPr>
            </w:pPr>
          </w:p>
        </w:tc>
        <w:tc>
          <w:tcPr>
            <w:tcW w:w="2240" w:type="dxa"/>
            <w:vAlign w:val="bottom"/>
            <w:tcBorders>
              <w:bottom w:val="single" w:sz="8" w:color="023C5B"/>
            </w:tcBorders>
          </w:tcPr>
          <w:p>
            <w:pPr>
              <w:spacing w:after="0"/>
              <w:rPr>
                <w:sz w:val="17"/>
                <w:szCs w:val="17"/>
                <w:color w:val="auto"/>
              </w:rPr>
            </w:pPr>
          </w:p>
        </w:tc>
        <w:tc>
          <w:tcPr>
            <w:tcW w:w="20" w:type="dxa"/>
            <w:vAlign w:val="bottom"/>
            <w:tcBorders>
              <w:bottom w:val="single" w:sz="8" w:color="023C5B"/>
            </w:tcBorders>
            <w:shd w:val="clear" w:color="auto" w:fill="023C5B"/>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40" w:type="dxa"/>
            <w:vAlign w:val="bottom"/>
            <w:tcBorders>
              <w:left w:val="single" w:sz="8" w:color="023C5B"/>
              <w:right w:val="single" w:sz="8" w:color="023C5B"/>
            </w:tcBorders>
          </w:tcPr>
          <w:p>
            <w:pPr>
              <w:spacing w:after="0"/>
              <w:rPr>
                <w:sz w:val="15"/>
                <w:szCs w:val="15"/>
                <w:color w:val="auto"/>
              </w:rPr>
            </w:pPr>
          </w:p>
        </w:tc>
        <w:tc>
          <w:tcPr>
            <w:tcW w:w="128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b w:val="1"/>
                <w:bCs w:val="1"/>
                <w:color w:val="auto"/>
              </w:rPr>
              <w:t>Year-End</w:t>
            </w:r>
          </w:p>
        </w:tc>
        <w:tc>
          <w:tcPr>
            <w:tcW w:w="1600" w:type="dxa"/>
            <w:vAlign w:val="bottom"/>
            <w:tcBorders>
              <w:right w:val="single" w:sz="8" w:color="023C5B"/>
            </w:tcBorders>
          </w:tcPr>
          <w:p>
            <w:pPr>
              <w:spacing w:after="0"/>
              <w:rPr>
                <w:sz w:val="15"/>
                <w:szCs w:val="15"/>
                <w:color w:val="auto"/>
              </w:rPr>
            </w:pPr>
          </w:p>
        </w:tc>
        <w:tc>
          <w:tcPr>
            <w:tcW w:w="172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color w:val="auto"/>
              </w:rPr>
              <w:t>Reward for 2025 CEO</w:t>
            </w:r>
          </w:p>
        </w:tc>
        <w:tc>
          <w:tcPr>
            <w:tcW w:w="160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color w:val="auto"/>
              </w:rPr>
              <w:t>Vest at the end of</w:t>
            </w:r>
          </w:p>
        </w:tc>
        <w:tc>
          <w:tcPr>
            <w:tcW w:w="32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240" w:type="dxa"/>
            <w:vAlign w:val="bottom"/>
          </w:tcPr>
          <w:p>
            <w:pPr>
              <w:ind w:left="140"/>
              <w:spacing w:after="0" w:line="180" w:lineRule="exact"/>
              <w:rPr>
                <w:sz w:val="20"/>
                <w:szCs w:val="20"/>
                <w:color w:val="auto"/>
              </w:rPr>
            </w:pPr>
            <w:r>
              <w:rPr>
                <w:rFonts w:ascii="Arial" w:cs="Arial" w:eastAsia="Arial" w:hAnsi="Arial"/>
                <w:sz w:val="16"/>
                <w:szCs w:val="16"/>
                <w:color w:val="auto"/>
              </w:rPr>
              <w:t>Performance-based vesting</w:t>
            </w:r>
          </w:p>
        </w:tc>
        <w:tc>
          <w:tcPr>
            <w:tcW w:w="20" w:type="dxa"/>
            <w:vAlign w:val="bottom"/>
            <w:shd w:val="clear" w:color="auto" w:fill="023C5B"/>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40" w:type="dxa"/>
            <w:vAlign w:val="bottom"/>
            <w:tcBorders>
              <w:left w:val="single" w:sz="8" w:color="023C5B"/>
              <w:right w:val="single" w:sz="8" w:color="023C5B"/>
            </w:tcBorders>
          </w:tcPr>
          <w:p>
            <w:pPr>
              <w:spacing w:after="0"/>
              <w:rPr>
                <w:sz w:val="16"/>
                <w:szCs w:val="16"/>
                <w:color w:val="auto"/>
              </w:rPr>
            </w:pPr>
          </w:p>
        </w:tc>
        <w:tc>
          <w:tcPr>
            <w:tcW w:w="1280" w:type="dxa"/>
            <w:vAlign w:val="bottom"/>
            <w:tcBorders>
              <w:right w:val="single" w:sz="8" w:color="023C5B"/>
            </w:tcBorders>
          </w:tcPr>
          <w:p>
            <w:pPr>
              <w:ind w:left="100"/>
              <w:spacing w:after="0"/>
              <w:rPr>
                <w:sz w:val="20"/>
                <w:szCs w:val="20"/>
                <w:color w:val="auto"/>
              </w:rPr>
            </w:pPr>
            <w:r>
              <w:rPr>
                <w:rFonts w:ascii="Arial" w:cs="Arial" w:eastAsia="Arial" w:hAnsi="Arial"/>
                <w:sz w:val="16"/>
                <w:szCs w:val="16"/>
                <w:b w:val="1"/>
                <w:bCs w:val="1"/>
                <w:color w:val="auto"/>
              </w:rPr>
              <w:t>Incentive</w:t>
            </w:r>
          </w:p>
        </w:tc>
        <w:tc>
          <w:tcPr>
            <w:tcW w:w="1600" w:type="dxa"/>
            <w:vAlign w:val="bottom"/>
            <w:tcBorders>
              <w:right w:val="single" w:sz="8" w:color="023C5B"/>
            </w:tcBorders>
          </w:tcPr>
          <w:p>
            <w:pPr>
              <w:spacing w:after="0"/>
              <w:rPr>
                <w:sz w:val="16"/>
                <w:szCs w:val="16"/>
                <w:color w:val="auto"/>
              </w:rPr>
            </w:pPr>
          </w:p>
        </w:tc>
        <w:tc>
          <w:tcPr>
            <w:tcW w:w="172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and Company</w:t>
            </w:r>
          </w:p>
        </w:tc>
        <w:tc>
          <w:tcPr>
            <w:tcW w:w="16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the three-year</w:t>
            </w:r>
          </w:p>
        </w:tc>
        <w:tc>
          <w:tcPr>
            <w:tcW w:w="320" w:type="dxa"/>
            <w:vAlign w:val="bottom"/>
          </w:tcPr>
          <w:p>
            <w:pPr>
              <w:spacing w:after="0"/>
              <w:rPr>
                <w:sz w:val="16"/>
                <w:szCs w:val="16"/>
                <w:color w:val="auto"/>
              </w:rPr>
            </w:pPr>
          </w:p>
        </w:tc>
        <w:tc>
          <w:tcPr>
            <w:tcW w:w="2240" w:type="dxa"/>
            <w:vAlign w:val="bottom"/>
          </w:tcPr>
          <w:p>
            <w:pPr>
              <w:ind w:left="140"/>
              <w:spacing w:after="0"/>
              <w:rPr>
                <w:sz w:val="20"/>
                <w:szCs w:val="20"/>
                <w:color w:val="auto"/>
              </w:rPr>
            </w:pPr>
            <w:r>
              <w:rPr>
                <w:rFonts w:ascii="Arial" w:cs="Arial" w:eastAsia="Arial" w:hAnsi="Arial"/>
                <w:sz w:val="16"/>
                <w:szCs w:val="16"/>
                <w:color w:val="auto"/>
              </w:rPr>
              <w:t>provisions</w:t>
            </w:r>
          </w:p>
        </w:tc>
        <w:tc>
          <w:tcPr>
            <w:tcW w:w="20" w:type="dxa"/>
            <w:vAlign w:val="bottom"/>
            <w:shd w:val="clear" w:color="auto" w:fill="023C5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40" w:type="dxa"/>
            <w:vAlign w:val="bottom"/>
            <w:tcBorders>
              <w:left w:val="single" w:sz="8" w:color="023C5B"/>
              <w:right w:val="single" w:sz="8" w:color="023C5B"/>
            </w:tcBorders>
          </w:tcPr>
          <w:p>
            <w:pPr>
              <w:spacing w:after="0"/>
              <w:rPr>
                <w:sz w:val="17"/>
                <w:szCs w:val="17"/>
                <w:color w:val="auto"/>
              </w:rPr>
            </w:pPr>
          </w:p>
        </w:tc>
        <w:tc>
          <w:tcPr>
            <w:tcW w:w="1280" w:type="dxa"/>
            <w:vAlign w:val="bottom"/>
            <w:tcBorders>
              <w:right w:val="single" w:sz="8" w:color="023C5B"/>
            </w:tcBorders>
          </w:tcPr>
          <w:p>
            <w:pPr>
              <w:ind w:left="100"/>
              <w:spacing w:after="0"/>
              <w:rPr>
                <w:sz w:val="20"/>
                <w:szCs w:val="20"/>
                <w:color w:val="auto"/>
              </w:rPr>
            </w:pPr>
            <w:r>
              <w:rPr>
                <w:rFonts w:ascii="Arial" w:cs="Arial" w:eastAsia="Arial" w:hAnsi="Arial"/>
                <w:sz w:val="16"/>
                <w:szCs w:val="16"/>
                <w:b w:val="1"/>
                <w:bCs w:val="1"/>
                <w:color w:val="auto"/>
              </w:rPr>
              <w:t>RSUs</w:t>
            </w:r>
          </w:p>
        </w:tc>
        <w:tc>
          <w:tcPr>
            <w:tcW w:w="1600" w:type="dxa"/>
            <w:vAlign w:val="bottom"/>
            <w:tcBorders>
              <w:right w:val="single" w:sz="8" w:color="023C5B"/>
            </w:tcBorders>
          </w:tcPr>
          <w:p>
            <w:pPr>
              <w:spacing w:after="0"/>
              <w:rPr>
                <w:sz w:val="17"/>
                <w:szCs w:val="17"/>
                <w:color w:val="auto"/>
              </w:rPr>
            </w:pPr>
          </w:p>
        </w:tc>
        <w:tc>
          <w:tcPr>
            <w:tcW w:w="172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Performance</w:t>
            </w:r>
          </w:p>
        </w:tc>
        <w:tc>
          <w:tcPr>
            <w:tcW w:w="16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performance period;</w:t>
            </w:r>
          </w:p>
        </w:tc>
        <w:tc>
          <w:tcPr>
            <w:tcW w:w="32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240" w:type="dxa"/>
            <w:vAlign w:val="bottom"/>
          </w:tcPr>
          <w:p>
            <w:pPr>
              <w:ind w:left="140"/>
              <w:spacing w:after="0"/>
              <w:rPr>
                <w:sz w:val="20"/>
                <w:szCs w:val="20"/>
                <w:color w:val="auto"/>
              </w:rPr>
            </w:pPr>
            <w:r>
              <w:rPr>
                <w:rFonts w:ascii="Arial" w:cs="Arial" w:eastAsia="Arial" w:hAnsi="Arial"/>
                <w:sz w:val="16"/>
                <w:szCs w:val="16"/>
                <w:color w:val="auto"/>
              </w:rPr>
              <w:t>Misconduct clawback</w:t>
            </w:r>
          </w:p>
        </w:tc>
        <w:tc>
          <w:tcPr>
            <w:tcW w:w="20" w:type="dxa"/>
            <w:vAlign w:val="bottom"/>
            <w:shd w:val="clear" w:color="auto" w:fill="023C5B"/>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940" w:type="dxa"/>
            <w:vAlign w:val="bottom"/>
            <w:tcBorders>
              <w:left w:val="single" w:sz="8" w:color="023C5B"/>
              <w:right w:val="single" w:sz="8" w:color="023C5B"/>
            </w:tcBorders>
          </w:tcPr>
          <w:p>
            <w:pPr>
              <w:spacing w:after="0"/>
              <w:rPr>
                <w:sz w:val="18"/>
                <w:szCs w:val="18"/>
                <w:color w:val="auto"/>
              </w:rPr>
            </w:pPr>
          </w:p>
        </w:tc>
        <w:tc>
          <w:tcPr>
            <w:tcW w:w="1280" w:type="dxa"/>
            <w:vAlign w:val="bottom"/>
            <w:tcBorders>
              <w:right w:val="single" w:sz="8" w:color="023C5B"/>
            </w:tcBorders>
          </w:tcPr>
          <w:p>
            <w:pPr>
              <w:spacing w:after="0"/>
              <w:rPr>
                <w:sz w:val="18"/>
                <w:szCs w:val="18"/>
                <w:color w:val="auto"/>
              </w:rPr>
            </w:pPr>
          </w:p>
        </w:tc>
        <w:tc>
          <w:tcPr>
            <w:tcW w:w="1600" w:type="dxa"/>
            <w:vAlign w:val="bottom"/>
            <w:tcBorders>
              <w:right w:val="single" w:sz="8" w:color="023C5B"/>
            </w:tcBorders>
          </w:tcPr>
          <w:p>
            <w:pPr>
              <w:spacing w:after="0"/>
              <w:rPr>
                <w:sz w:val="18"/>
                <w:szCs w:val="18"/>
                <w:color w:val="auto"/>
              </w:rPr>
            </w:pPr>
          </w:p>
        </w:tc>
        <w:tc>
          <w:tcPr>
            <w:tcW w:w="1720" w:type="dxa"/>
            <w:vAlign w:val="bottom"/>
            <w:tcBorders>
              <w:right w:val="single" w:sz="8" w:color="023C5B"/>
            </w:tcBorders>
          </w:tcPr>
          <w:p>
            <w:pPr>
              <w:spacing w:after="0"/>
              <w:rPr>
                <w:sz w:val="18"/>
                <w:szCs w:val="18"/>
                <w:color w:val="auto"/>
              </w:rPr>
            </w:pPr>
          </w:p>
        </w:tc>
        <w:tc>
          <w:tcPr>
            <w:tcW w:w="16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settles in cash</w:t>
            </w:r>
          </w:p>
        </w:tc>
        <w:tc>
          <w:tcPr>
            <w:tcW w:w="32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240" w:type="dxa"/>
            <w:vAlign w:val="bottom"/>
            <w:vMerge w:val="restart"/>
          </w:tcPr>
          <w:p>
            <w:pPr>
              <w:ind w:left="140"/>
              <w:spacing w:after="0"/>
              <w:rPr>
                <w:sz w:val="20"/>
                <w:szCs w:val="20"/>
                <w:color w:val="auto"/>
              </w:rPr>
            </w:pPr>
            <w:r>
              <w:rPr>
                <w:rFonts w:ascii="Arial" w:cs="Arial" w:eastAsia="Arial" w:hAnsi="Arial"/>
                <w:sz w:val="16"/>
                <w:szCs w:val="16"/>
                <w:color w:val="auto"/>
              </w:rPr>
              <w:t>Financial restatement</w:t>
            </w:r>
          </w:p>
        </w:tc>
        <w:tc>
          <w:tcPr>
            <w:tcW w:w="20" w:type="dxa"/>
            <w:vAlign w:val="bottom"/>
            <w:shd w:val="clear" w:color="auto" w:fill="023C5B"/>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940" w:type="dxa"/>
            <w:vAlign w:val="bottom"/>
            <w:tcBorders>
              <w:left w:val="single" w:sz="8" w:color="023C5B"/>
              <w:right w:val="single" w:sz="8" w:color="023C5B"/>
            </w:tcBorders>
          </w:tcPr>
          <w:p>
            <w:pPr>
              <w:spacing w:after="0"/>
              <w:rPr>
                <w:sz w:val="3"/>
                <w:szCs w:val="3"/>
                <w:color w:val="auto"/>
              </w:rPr>
            </w:pPr>
          </w:p>
        </w:tc>
        <w:tc>
          <w:tcPr>
            <w:tcW w:w="1280" w:type="dxa"/>
            <w:vAlign w:val="bottom"/>
            <w:tcBorders>
              <w:right w:val="single" w:sz="8" w:color="023C5B"/>
            </w:tcBorders>
          </w:tcPr>
          <w:p>
            <w:pPr>
              <w:spacing w:after="0"/>
              <w:rPr>
                <w:sz w:val="3"/>
                <w:szCs w:val="3"/>
                <w:color w:val="auto"/>
              </w:rPr>
            </w:pPr>
          </w:p>
        </w:tc>
        <w:tc>
          <w:tcPr>
            <w:tcW w:w="1600" w:type="dxa"/>
            <w:vAlign w:val="bottom"/>
            <w:tcBorders>
              <w:right w:val="single" w:sz="8" w:color="023C5B"/>
            </w:tcBorders>
          </w:tcPr>
          <w:p>
            <w:pPr>
              <w:spacing w:after="0"/>
              <w:rPr>
                <w:sz w:val="3"/>
                <w:szCs w:val="3"/>
                <w:color w:val="auto"/>
              </w:rPr>
            </w:pPr>
          </w:p>
        </w:tc>
        <w:tc>
          <w:tcPr>
            <w:tcW w:w="1720" w:type="dxa"/>
            <w:vAlign w:val="bottom"/>
            <w:tcBorders>
              <w:right w:val="single" w:sz="8" w:color="023C5B"/>
            </w:tcBorders>
          </w:tcPr>
          <w:p>
            <w:pPr>
              <w:spacing w:after="0"/>
              <w:rPr>
                <w:sz w:val="3"/>
                <w:szCs w:val="3"/>
                <w:color w:val="auto"/>
              </w:rPr>
            </w:pPr>
          </w:p>
        </w:tc>
        <w:tc>
          <w:tcPr>
            <w:tcW w:w="1600" w:type="dxa"/>
            <w:vAlign w:val="bottom"/>
            <w:tcBorders>
              <w:right w:val="single" w:sz="8" w:color="023C5B"/>
            </w:tcBorders>
          </w:tcPr>
          <w:p>
            <w:pPr>
              <w:spacing w:after="0"/>
              <w:rPr>
                <w:sz w:val="3"/>
                <w:szCs w:val="3"/>
                <w:color w:val="auto"/>
              </w:rPr>
            </w:pPr>
          </w:p>
        </w:tc>
        <w:tc>
          <w:tcPr>
            <w:tcW w:w="320" w:type="dxa"/>
            <w:vAlign w:val="bottom"/>
            <w:vMerge w:val="continue"/>
          </w:tcPr>
          <w:p>
            <w:pPr>
              <w:spacing w:after="0"/>
              <w:rPr>
                <w:sz w:val="3"/>
                <w:szCs w:val="3"/>
                <w:color w:val="auto"/>
              </w:rPr>
            </w:pPr>
          </w:p>
        </w:tc>
        <w:tc>
          <w:tcPr>
            <w:tcW w:w="2240" w:type="dxa"/>
            <w:vAlign w:val="bottom"/>
            <w:vMerge w:val="continue"/>
          </w:tcPr>
          <w:p>
            <w:pPr>
              <w:spacing w:after="0"/>
              <w:rPr>
                <w:sz w:val="3"/>
                <w:szCs w:val="3"/>
                <w:color w:val="auto"/>
              </w:rPr>
            </w:pPr>
          </w:p>
        </w:tc>
        <w:tc>
          <w:tcPr>
            <w:tcW w:w="20" w:type="dxa"/>
            <w:vAlign w:val="bottom"/>
            <w:shd w:val="clear" w:color="auto" w:fill="023C5B"/>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940" w:type="dxa"/>
            <w:vAlign w:val="bottom"/>
            <w:tcBorders>
              <w:left w:val="single" w:sz="8" w:color="023C5B"/>
              <w:right w:val="single" w:sz="8" w:color="023C5B"/>
            </w:tcBorders>
          </w:tcPr>
          <w:p>
            <w:pPr>
              <w:spacing w:after="0"/>
              <w:rPr>
                <w:sz w:val="17"/>
                <w:szCs w:val="17"/>
                <w:color w:val="auto"/>
              </w:rPr>
            </w:pPr>
          </w:p>
        </w:tc>
        <w:tc>
          <w:tcPr>
            <w:tcW w:w="1280" w:type="dxa"/>
            <w:vAlign w:val="bottom"/>
            <w:tcBorders>
              <w:bottom w:val="single" w:sz="8" w:color="023C5B"/>
              <w:right w:val="single" w:sz="8" w:color="023C5B"/>
            </w:tcBorders>
          </w:tcPr>
          <w:p>
            <w:pPr>
              <w:spacing w:after="0"/>
              <w:rPr>
                <w:sz w:val="17"/>
                <w:szCs w:val="17"/>
                <w:color w:val="auto"/>
              </w:rPr>
            </w:pPr>
          </w:p>
        </w:tc>
        <w:tc>
          <w:tcPr>
            <w:tcW w:w="1600" w:type="dxa"/>
            <w:vAlign w:val="bottom"/>
            <w:tcBorders>
              <w:right w:val="single" w:sz="8" w:color="023C5B"/>
            </w:tcBorders>
          </w:tcPr>
          <w:p>
            <w:pPr>
              <w:spacing w:after="0"/>
              <w:rPr>
                <w:sz w:val="17"/>
                <w:szCs w:val="17"/>
                <w:color w:val="auto"/>
              </w:rPr>
            </w:pPr>
          </w:p>
        </w:tc>
        <w:tc>
          <w:tcPr>
            <w:tcW w:w="1720" w:type="dxa"/>
            <w:vAlign w:val="bottom"/>
            <w:tcBorders>
              <w:right w:val="single" w:sz="8" w:color="023C5B"/>
            </w:tcBorders>
          </w:tcPr>
          <w:p>
            <w:pPr>
              <w:spacing w:after="0"/>
              <w:rPr>
                <w:sz w:val="17"/>
                <w:szCs w:val="17"/>
                <w:color w:val="auto"/>
              </w:rPr>
            </w:pPr>
          </w:p>
        </w:tc>
        <w:tc>
          <w:tcPr>
            <w:tcW w:w="1600" w:type="dxa"/>
            <w:vAlign w:val="bottom"/>
            <w:tcBorders>
              <w:bottom w:val="single" w:sz="8" w:color="023C5B"/>
              <w:right w:val="single" w:sz="8" w:color="023C5B"/>
            </w:tcBorders>
          </w:tcPr>
          <w:p>
            <w:pPr>
              <w:spacing w:after="0"/>
              <w:rPr>
                <w:sz w:val="17"/>
                <w:szCs w:val="17"/>
                <w:color w:val="auto"/>
              </w:rPr>
            </w:pPr>
          </w:p>
        </w:tc>
        <w:tc>
          <w:tcPr>
            <w:tcW w:w="320" w:type="dxa"/>
            <w:vAlign w:val="bottom"/>
            <w:tcBorders>
              <w:bottom w:val="single" w:sz="8" w:color="023C5B"/>
            </w:tcBorders>
          </w:tcPr>
          <w:p>
            <w:pPr>
              <w:spacing w:after="0"/>
              <w:rPr>
                <w:sz w:val="17"/>
                <w:szCs w:val="17"/>
                <w:color w:val="auto"/>
              </w:rPr>
            </w:pPr>
          </w:p>
        </w:tc>
        <w:tc>
          <w:tcPr>
            <w:tcW w:w="2240" w:type="dxa"/>
            <w:vAlign w:val="bottom"/>
            <w:tcBorders>
              <w:bottom w:val="single" w:sz="8" w:color="023C5B"/>
            </w:tcBorders>
          </w:tcPr>
          <w:p>
            <w:pPr>
              <w:ind w:left="140"/>
              <w:spacing w:after="0"/>
              <w:rPr>
                <w:sz w:val="20"/>
                <w:szCs w:val="20"/>
                <w:color w:val="auto"/>
              </w:rPr>
            </w:pPr>
            <w:r>
              <w:rPr>
                <w:rFonts w:ascii="Arial" w:cs="Arial" w:eastAsia="Arial" w:hAnsi="Arial"/>
                <w:sz w:val="16"/>
                <w:szCs w:val="16"/>
                <w:color w:val="auto"/>
              </w:rPr>
              <w:t>clawback</w:t>
            </w:r>
          </w:p>
        </w:tc>
        <w:tc>
          <w:tcPr>
            <w:tcW w:w="20" w:type="dxa"/>
            <w:vAlign w:val="bottom"/>
            <w:tcBorders>
              <w:bottom w:val="single" w:sz="8" w:color="023C5B"/>
            </w:tcBorders>
            <w:shd w:val="clear" w:color="auto" w:fill="023C5B"/>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40" w:type="dxa"/>
            <w:vAlign w:val="bottom"/>
            <w:tcBorders>
              <w:left w:val="single" w:sz="8" w:color="023C5B"/>
              <w:right w:val="single" w:sz="8" w:color="023C5B"/>
            </w:tcBorders>
          </w:tcPr>
          <w:p>
            <w:pPr>
              <w:spacing w:after="0"/>
              <w:rPr>
                <w:sz w:val="15"/>
                <w:szCs w:val="15"/>
                <w:color w:val="auto"/>
              </w:rPr>
            </w:pPr>
          </w:p>
        </w:tc>
        <w:tc>
          <w:tcPr>
            <w:tcW w:w="128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b w:val="1"/>
                <w:bCs w:val="1"/>
                <w:color w:val="auto"/>
              </w:rPr>
              <w:t>Deferred</w:t>
            </w:r>
          </w:p>
        </w:tc>
        <w:tc>
          <w:tcPr>
            <w:tcW w:w="1600" w:type="dxa"/>
            <w:vAlign w:val="bottom"/>
            <w:tcBorders>
              <w:right w:val="single" w:sz="8" w:color="023C5B"/>
            </w:tcBorders>
          </w:tcPr>
          <w:p>
            <w:pPr>
              <w:spacing w:after="0"/>
              <w:rPr>
                <w:sz w:val="15"/>
                <w:szCs w:val="15"/>
                <w:color w:val="auto"/>
              </w:rPr>
            </w:pPr>
          </w:p>
        </w:tc>
        <w:tc>
          <w:tcPr>
            <w:tcW w:w="1720" w:type="dxa"/>
            <w:vAlign w:val="bottom"/>
            <w:tcBorders>
              <w:right w:val="single" w:sz="8" w:color="023C5B"/>
            </w:tcBorders>
          </w:tcPr>
          <w:p>
            <w:pPr>
              <w:spacing w:after="0"/>
              <w:rPr>
                <w:sz w:val="15"/>
                <w:szCs w:val="15"/>
                <w:color w:val="auto"/>
              </w:rPr>
            </w:pPr>
          </w:p>
        </w:tc>
        <w:tc>
          <w:tcPr>
            <w:tcW w:w="1600" w:type="dxa"/>
            <w:vAlign w:val="bottom"/>
            <w:tcBorders>
              <w:right w:val="single" w:sz="8" w:color="023C5B"/>
            </w:tcBorders>
          </w:tcPr>
          <w:p>
            <w:pPr>
              <w:ind w:left="100"/>
              <w:spacing w:after="0" w:line="180" w:lineRule="exact"/>
              <w:rPr>
                <w:sz w:val="20"/>
                <w:szCs w:val="20"/>
                <w:color w:val="auto"/>
              </w:rPr>
            </w:pPr>
            <w:r>
              <w:rPr>
                <w:rFonts w:ascii="Arial" w:cs="Arial" w:eastAsia="Arial" w:hAnsi="Arial"/>
                <w:sz w:val="16"/>
                <w:szCs w:val="16"/>
                <w:color w:val="auto"/>
              </w:rPr>
              <w:t>Payout deferred for</w:t>
            </w:r>
          </w:p>
        </w:tc>
        <w:tc>
          <w:tcPr>
            <w:tcW w:w="32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240" w:type="dxa"/>
            <w:vAlign w:val="bottom"/>
          </w:tcPr>
          <w:p>
            <w:pPr>
              <w:ind w:left="140"/>
              <w:spacing w:after="0" w:line="180" w:lineRule="exact"/>
              <w:rPr>
                <w:sz w:val="20"/>
                <w:szCs w:val="20"/>
                <w:color w:val="auto"/>
              </w:rPr>
            </w:pPr>
            <w:r>
              <w:rPr>
                <w:rFonts w:ascii="Arial" w:cs="Arial" w:eastAsia="Arial" w:hAnsi="Arial"/>
                <w:sz w:val="16"/>
                <w:szCs w:val="16"/>
                <w:color w:val="auto"/>
              </w:rPr>
              <w:t>Misconduct clawback</w:t>
            </w:r>
          </w:p>
        </w:tc>
        <w:tc>
          <w:tcPr>
            <w:tcW w:w="20" w:type="dxa"/>
            <w:vAlign w:val="bottom"/>
            <w:shd w:val="clear" w:color="auto" w:fill="023C5B"/>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023C5B"/>
              <w:right w:val="single" w:sz="8" w:color="023C5B"/>
            </w:tcBorders>
          </w:tcPr>
          <w:p>
            <w:pPr>
              <w:spacing w:after="0"/>
              <w:rPr>
                <w:sz w:val="19"/>
                <w:szCs w:val="19"/>
                <w:color w:val="auto"/>
              </w:rPr>
            </w:pPr>
          </w:p>
        </w:tc>
        <w:tc>
          <w:tcPr>
            <w:tcW w:w="1280" w:type="dxa"/>
            <w:vAlign w:val="bottom"/>
            <w:tcBorders>
              <w:right w:val="single" w:sz="8" w:color="023C5B"/>
            </w:tcBorders>
          </w:tcPr>
          <w:p>
            <w:pPr>
              <w:ind w:left="100"/>
              <w:spacing w:after="0"/>
              <w:rPr>
                <w:sz w:val="20"/>
                <w:szCs w:val="20"/>
                <w:color w:val="auto"/>
              </w:rPr>
            </w:pPr>
            <w:r>
              <w:rPr>
                <w:rFonts w:ascii="Arial" w:cs="Arial" w:eastAsia="Arial" w:hAnsi="Arial"/>
                <w:sz w:val="16"/>
                <w:szCs w:val="16"/>
                <w:b w:val="1"/>
                <w:bCs w:val="1"/>
                <w:color w:val="auto"/>
              </w:rPr>
              <w:t>Cash Bonus</w:t>
            </w:r>
          </w:p>
        </w:tc>
        <w:tc>
          <w:tcPr>
            <w:tcW w:w="1600" w:type="dxa"/>
            <w:vAlign w:val="bottom"/>
            <w:tcBorders>
              <w:right w:val="single" w:sz="8" w:color="023C5B"/>
            </w:tcBorders>
          </w:tcPr>
          <w:p>
            <w:pPr>
              <w:spacing w:after="0"/>
              <w:rPr>
                <w:sz w:val="19"/>
                <w:szCs w:val="19"/>
                <w:color w:val="auto"/>
              </w:rPr>
            </w:pPr>
          </w:p>
        </w:tc>
        <w:tc>
          <w:tcPr>
            <w:tcW w:w="1720" w:type="dxa"/>
            <w:vAlign w:val="bottom"/>
            <w:tcBorders>
              <w:right w:val="single" w:sz="8" w:color="023C5B"/>
            </w:tcBorders>
          </w:tcPr>
          <w:p>
            <w:pPr>
              <w:spacing w:after="0"/>
              <w:rPr>
                <w:sz w:val="19"/>
                <w:szCs w:val="19"/>
                <w:color w:val="auto"/>
              </w:rPr>
            </w:pPr>
          </w:p>
        </w:tc>
        <w:tc>
          <w:tcPr>
            <w:tcW w:w="16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three years</w:t>
            </w:r>
          </w:p>
        </w:tc>
        <w:tc>
          <w:tcPr>
            <w:tcW w:w="32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240" w:type="dxa"/>
            <w:vAlign w:val="bottom"/>
          </w:tcPr>
          <w:p>
            <w:pPr>
              <w:ind w:left="140"/>
              <w:spacing w:after="0"/>
              <w:rPr>
                <w:sz w:val="20"/>
                <w:szCs w:val="20"/>
                <w:color w:val="auto"/>
              </w:rPr>
            </w:pPr>
            <w:r>
              <w:rPr>
                <w:rFonts w:ascii="Arial" w:cs="Arial" w:eastAsia="Arial" w:hAnsi="Arial"/>
                <w:sz w:val="16"/>
                <w:szCs w:val="16"/>
                <w:color w:val="auto"/>
              </w:rPr>
              <w:t>Financial restatement</w:t>
            </w:r>
          </w:p>
        </w:tc>
        <w:tc>
          <w:tcPr>
            <w:tcW w:w="20" w:type="dxa"/>
            <w:vAlign w:val="bottom"/>
            <w:shd w:val="clear" w:color="auto" w:fill="023C5B"/>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940" w:type="dxa"/>
            <w:vAlign w:val="bottom"/>
            <w:tcBorders>
              <w:left w:val="single" w:sz="8" w:color="023C5B"/>
              <w:bottom w:val="single" w:sz="8" w:color="023C5B"/>
              <w:right w:val="single" w:sz="8" w:color="023C5B"/>
            </w:tcBorders>
          </w:tcPr>
          <w:p>
            <w:pPr>
              <w:spacing w:after="0"/>
              <w:rPr>
                <w:sz w:val="17"/>
                <w:szCs w:val="17"/>
                <w:color w:val="auto"/>
              </w:rPr>
            </w:pPr>
          </w:p>
        </w:tc>
        <w:tc>
          <w:tcPr>
            <w:tcW w:w="1280" w:type="dxa"/>
            <w:vAlign w:val="bottom"/>
            <w:tcBorders>
              <w:bottom w:val="single" w:sz="8" w:color="023C5B"/>
              <w:right w:val="single" w:sz="8" w:color="023C5B"/>
            </w:tcBorders>
          </w:tcPr>
          <w:p>
            <w:pPr>
              <w:spacing w:after="0"/>
              <w:rPr>
                <w:sz w:val="17"/>
                <w:szCs w:val="17"/>
                <w:color w:val="auto"/>
              </w:rPr>
            </w:pPr>
          </w:p>
        </w:tc>
        <w:tc>
          <w:tcPr>
            <w:tcW w:w="1600" w:type="dxa"/>
            <w:vAlign w:val="bottom"/>
            <w:tcBorders>
              <w:bottom w:val="single" w:sz="8" w:color="023C5B"/>
              <w:right w:val="single" w:sz="8" w:color="023C5B"/>
            </w:tcBorders>
          </w:tcPr>
          <w:p>
            <w:pPr>
              <w:spacing w:after="0"/>
              <w:rPr>
                <w:sz w:val="17"/>
                <w:szCs w:val="17"/>
                <w:color w:val="auto"/>
              </w:rPr>
            </w:pPr>
          </w:p>
        </w:tc>
        <w:tc>
          <w:tcPr>
            <w:tcW w:w="1720" w:type="dxa"/>
            <w:vAlign w:val="bottom"/>
            <w:tcBorders>
              <w:bottom w:val="single" w:sz="8" w:color="023C5B"/>
              <w:right w:val="single" w:sz="8" w:color="023C5B"/>
            </w:tcBorders>
          </w:tcPr>
          <w:p>
            <w:pPr>
              <w:spacing w:after="0"/>
              <w:rPr>
                <w:sz w:val="17"/>
                <w:szCs w:val="17"/>
                <w:color w:val="auto"/>
              </w:rPr>
            </w:pPr>
          </w:p>
        </w:tc>
        <w:tc>
          <w:tcPr>
            <w:tcW w:w="1600" w:type="dxa"/>
            <w:vAlign w:val="bottom"/>
            <w:tcBorders>
              <w:bottom w:val="single" w:sz="8" w:color="023C5B"/>
              <w:right w:val="single" w:sz="8" w:color="023C5B"/>
            </w:tcBorders>
          </w:tcPr>
          <w:p>
            <w:pPr>
              <w:spacing w:after="0"/>
              <w:rPr>
                <w:sz w:val="17"/>
                <w:szCs w:val="17"/>
                <w:color w:val="auto"/>
              </w:rPr>
            </w:pPr>
          </w:p>
        </w:tc>
        <w:tc>
          <w:tcPr>
            <w:tcW w:w="320" w:type="dxa"/>
            <w:vAlign w:val="bottom"/>
            <w:tcBorders>
              <w:bottom w:val="single" w:sz="8" w:color="023C5B"/>
            </w:tcBorders>
          </w:tcPr>
          <w:p>
            <w:pPr>
              <w:spacing w:after="0"/>
              <w:rPr>
                <w:sz w:val="17"/>
                <w:szCs w:val="17"/>
                <w:color w:val="auto"/>
              </w:rPr>
            </w:pPr>
          </w:p>
        </w:tc>
        <w:tc>
          <w:tcPr>
            <w:tcW w:w="2240" w:type="dxa"/>
            <w:vAlign w:val="bottom"/>
            <w:tcBorders>
              <w:bottom w:val="single" w:sz="8" w:color="023C5B"/>
            </w:tcBorders>
          </w:tcPr>
          <w:p>
            <w:pPr>
              <w:ind w:left="140"/>
              <w:spacing w:after="0"/>
              <w:rPr>
                <w:sz w:val="20"/>
                <w:szCs w:val="20"/>
                <w:color w:val="auto"/>
              </w:rPr>
            </w:pPr>
            <w:r>
              <w:rPr>
                <w:rFonts w:ascii="Arial" w:cs="Arial" w:eastAsia="Arial" w:hAnsi="Arial"/>
                <w:sz w:val="16"/>
                <w:szCs w:val="16"/>
                <w:color w:val="auto"/>
              </w:rPr>
              <w:t>clawback</w:t>
            </w:r>
          </w:p>
        </w:tc>
        <w:tc>
          <w:tcPr>
            <w:tcW w:w="20" w:type="dxa"/>
            <w:vAlign w:val="bottom"/>
            <w:tcBorders>
              <w:bottom w:val="single" w:sz="8" w:color="023C5B"/>
            </w:tcBorders>
            <w:shd w:val="clear" w:color="auto" w:fill="023C5B"/>
          </w:tcPr>
          <w:p>
            <w:pPr>
              <w:spacing w:after="0"/>
              <w:rPr>
                <w:sz w:val="17"/>
                <w:szCs w:val="1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See “Additional Performance Conditions and Recovery Provisions” beginning on page 88 for more details regarding the performance and recovery provisions applicable to each of the elements of compensation that the Committee approved for the 2025 performance year for the NEOs.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Restricted Stock Units</w:t>
      </w:r>
    </w:p>
    <w:p>
      <w:pPr>
        <w:spacing w:after="0" w:line="20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A portion of Mr. Fairbank’s 2025 compensation consisted of RSUs granted as an incentive for long-term Company performance. The RSU award has a three-year cliff-vesting schedule and vests in full at the end of a three-year performance period beginning on January 1, 2025, settles in cash based on the Company’s average stock price over the 15 trading days preceding the vesting date, and is subject to performance-based vesting provisions and to clawback provisions, each as described in more detail under “Additional Performance Conditions and Recovery Provisions” beginning on page 88.</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Year-End Incentive Opportunity</w:t>
      </w:r>
    </w:p>
    <w:p>
      <w:pPr>
        <w:spacing w:after="0" w:line="208"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color w:val="auto"/>
        </w:rPr>
        <w:t>A portion of Mr. Fairbank’s 2025 compensation consisted of an opportunity for a year-end incentive based on the Committee’s evaluation of the Company’s performance during 2025 and Mr. Fairbank’s contributions to that</w:t>
      </w:r>
    </w:p>
    <w:p>
      <w:pPr>
        <w:spacing w:after="0" w:line="83"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right="20"/>
        <w:spacing w:after="0" w:line="243" w:lineRule="auto"/>
        <w:rPr>
          <w:sz w:val="20"/>
          <w:szCs w:val="20"/>
          <w:color w:val="auto"/>
        </w:rPr>
      </w:pPr>
      <w:r>
        <w:rPr>
          <w:rFonts w:ascii="Arial" w:cs="Arial" w:eastAsia="Arial" w:hAnsi="Arial"/>
          <w:sz w:val="18"/>
          <w:szCs w:val="18"/>
          <w:color w:val="auto"/>
        </w:rPr>
        <w:t>performance. For purposes of the year-end incentive, the Committee and the Independent Directors assess the Company’s performance based on the Performance Factors. The Committee believes that these factors appropriately reflect and balance near-term performance and long-term success for the Company’s customers, associates, and stockholders. The Company’s 2025 performance against the Performance Factors is described in more detail under “2025 Year-End Incentive Determination” beginning on page 73.</w:t>
      </w:r>
    </w:p>
    <w:p>
      <w:pPr>
        <w:spacing w:after="0" w:line="178" w:lineRule="exact"/>
        <w:rPr>
          <w:sz w:val="20"/>
          <w:szCs w:val="20"/>
          <w:color w:val="auto"/>
        </w:rPr>
      </w:pPr>
    </w:p>
    <w:p>
      <w:pPr>
        <w:jc w:val="both"/>
        <w:ind w:left="160" w:right="20"/>
        <w:spacing w:after="0" w:line="239" w:lineRule="auto"/>
        <w:rPr>
          <w:sz w:val="20"/>
          <w:szCs w:val="20"/>
          <w:color w:val="auto"/>
        </w:rPr>
      </w:pPr>
      <w:r>
        <w:rPr>
          <w:rFonts w:ascii="Arial" w:cs="Arial" w:eastAsia="Arial" w:hAnsi="Arial"/>
          <w:sz w:val="18"/>
          <w:szCs w:val="18"/>
          <w:color w:val="auto"/>
        </w:rPr>
        <w:t>The year-end incentive, if awarded, (i) will consist of an award of performance shares, and (ii) may also consist of deferred cash, an equity-based award, or both as determined by the Committee and the Independent Directors at the time the award is granted. The performance share awards and the equity-based award have a three-year cliff-vesting schedule and vest in full at the end of a three-year performance period beginning on January 1, 2026, and the deferred cash bonus likewise is subject to a three-year deferral period. The equity-based awards are subject to performance-based vesting provisions and all three awards are subject to clawback provisions each as described in more detail under “Additional Performance Conditions and Recovery Provisions” beginning on page 88.</w:t>
      </w:r>
    </w:p>
    <w:p>
      <w:pPr>
        <w:spacing w:after="0" w:line="183"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023C5B"/>
        </w:rPr>
        <w:t>Performance Share Awards</w:t>
      </w:r>
    </w:p>
    <w:p>
      <w:pPr>
        <w:spacing w:after="0" w:line="206" w:lineRule="exact"/>
        <w:rPr>
          <w:sz w:val="20"/>
          <w:szCs w:val="20"/>
          <w:color w:val="auto"/>
        </w:rPr>
      </w:pPr>
    </w:p>
    <w:p>
      <w:pPr>
        <w:jc w:val="both"/>
        <w:ind w:left="160" w:right="20"/>
        <w:spacing w:after="0"/>
        <w:rPr>
          <w:sz w:val="20"/>
          <w:szCs w:val="20"/>
          <w:color w:val="auto"/>
        </w:rPr>
      </w:pPr>
      <w:r>
        <w:rPr>
          <w:rFonts w:ascii="Arial" w:cs="Arial" w:eastAsia="Arial" w:hAnsi="Arial"/>
          <w:sz w:val="18"/>
          <w:szCs w:val="18"/>
          <w:color w:val="auto"/>
        </w:rPr>
        <w:t>The Committee and the Independent Directors believe the performance shares strengthen the alignment between the compensation of our NEOs and the Company’s performance by linking the ultimate payout to pre-established absolute and/or relative performance goals, with the payout ranging from 0% to 150% of the target number of performance shares. In addition, the ultimate value of the performance shares that vest is determined by the Company’s performance through its stock price. The CEO year-end incentive award consists primarily of performance shares. For 2025, the performance share awards were granted in two forms:</w:t>
      </w:r>
    </w:p>
    <w:p>
      <w:pPr>
        <w:spacing w:after="0" w:line="209" w:lineRule="exact"/>
        <w:rPr>
          <w:sz w:val="20"/>
          <w:szCs w:val="20"/>
          <w:color w:val="auto"/>
        </w:rPr>
      </w:pPr>
    </w:p>
    <w:p>
      <w:pPr>
        <w:jc w:val="both"/>
        <w:ind w:left="1020" w:right="20" w:hanging="425"/>
        <w:spacing w:after="0" w:line="222" w:lineRule="auto"/>
        <w:tabs>
          <w:tab w:leader="none" w:pos="1020" w:val="left"/>
        </w:tabs>
        <w:numPr>
          <w:ilvl w:val="0"/>
          <w:numId w:val="74"/>
        </w:numPr>
        <w:rPr>
          <w:rFonts w:ascii="MS PGothic" w:cs="MS PGothic" w:eastAsia="MS PGothic" w:hAnsi="MS PGothic"/>
          <w:sz w:val="29"/>
          <w:szCs w:val="29"/>
          <w:color w:val="023C5B"/>
          <w:vertAlign w:val="superscript"/>
        </w:rPr>
      </w:pPr>
      <w:r>
        <w:rPr>
          <w:rFonts w:ascii="Arial" w:cs="Arial" w:eastAsia="Arial" w:hAnsi="Arial"/>
          <w:sz w:val="18"/>
          <w:szCs w:val="18"/>
          <w:color w:val="auto"/>
        </w:rPr>
        <w:t>Financial Performance Share Units (“Financial Performance Shares”) that vest based on the Company’s financial performance, on an absolute basis and relative to the Performance Share Peers, related to a combination of two metrics: PSU Adjusted Return on Tangible Common Equity (“PSU Adjusted ROTCE”) over a three-year period and Growth of Tangible Book Value per Common Share plus Common Dividends (“D+TBV/Sh”). The Financial Performance Shares were granted to all NEOs for the 2025 performance year.</w:t>
      </w:r>
    </w:p>
    <w:p>
      <w:pPr>
        <w:spacing w:after="0" w:line="209" w:lineRule="exact"/>
        <w:rPr>
          <w:rFonts w:ascii="MS PGothic" w:cs="MS PGothic" w:eastAsia="MS PGothic" w:hAnsi="MS PGothic"/>
          <w:sz w:val="29"/>
          <w:szCs w:val="29"/>
          <w:color w:val="023C5B"/>
          <w:vertAlign w:val="superscript"/>
        </w:rPr>
      </w:pPr>
    </w:p>
    <w:p>
      <w:pPr>
        <w:jc w:val="both"/>
        <w:ind w:left="1020" w:right="20" w:hanging="425"/>
        <w:spacing w:after="0" w:line="217" w:lineRule="auto"/>
        <w:tabs>
          <w:tab w:leader="none" w:pos="1020" w:val="left"/>
        </w:tabs>
        <w:numPr>
          <w:ilvl w:val="0"/>
          <w:numId w:val="74"/>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Total Shareholder Return Performance Share Units (“TSR Performance Shares”) that vest based on the Company’s TSR relative to the Performance Share Peers over a three-year period. The TSR Performance Shares were granted only to the CEO for the 2025 performance year.</w:t>
      </w:r>
    </w:p>
    <w:p>
      <w:pPr>
        <w:spacing w:after="0" w:line="179"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The metrics and formulas applicable to each of the performance share awards are described in more detail below under “Performance Share Award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129540</wp:posOffset>
            </wp:positionV>
            <wp:extent cx="8255" cy="5181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518160"/>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129540</wp:posOffset>
            </wp:positionV>
            <wp:extent cx="8255" cy="518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518160"/>
                    </a:xfrm>
                    <a:prstGeom prst="rect">
                      <a:avLst/>
                    </a:prstGeom>
                    <a:noFill/>
                  </pic:spPr>
                </pic:pic>
              </a:graphicData>
            </a:graphic>
          </wp:anchor>
        </w:drawing>
        <w:drawing>
          <wp:anchor simplePos="0" relativeHeight="251657728" behindDoc="1" locked="0" layoutInCell="0" allowOverlap="1">
            <wp:simplePos x="0" y="0"/>
            <wp:positionH relativeFrom="column">
              <wp:posOffset>4284345</wp:posOffset>
            </wp:positionH>
            <wp:positionV relativeFrom="paragraph">
              <wp:posOffset>129540</wp:posOffset>
            </wp:positionV>
            <wp:extent cx="8255" cy="518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518160"/>
                    </a:xfrm>
                    <a:prstGeom prst="rect">
                      <a:avLst/>
                    </a:prstGeom>
                    <a:noFill/>
                  </pic:spPr>
                </pic:pic>
              </a:graphicData>
            </a:graphic>
          </wp:anchor>
        </w:drawing>
        <w:drawing>
          <wp:anchor simplePos="0" relativeHeight="251657728" behindDoc="1" locked="0" layoutInCell="0" allowOverlap="1">
            <wp:simplePos x="0" y="0"/>
            <wp:positionH relativeFrom="column">
              <wp:posOffset>3307715</wp:posOffset>
            </wp:positionH>
            <wp:positionV relativeFrom="paragraph">
              <wp:posOffset>129540</wp:posOffset>
            </wp:positionV>
            <wp:extent cx="8255" cy="518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51816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129540</wp:posOffset>
            </wp:positionV>
            <wp:extent cx="1052830" cy="518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52830" cy="518160"/>
                    </a:xfrm>
                    <a:prstGeom prst="rect">
                      <a:avLst/>
                    </a:prstGeom>
                    <a:noFill/>
                  </pic:spPr>
                </pic:pic>
              </a:graphicData>
            </a:graphic>
          </wp:anchor>
        </w:drawing>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20" w:type="dxa"/>
            <w:vAlign w:val="bottom"/>
            <w:shd w:val="clear" w:color="auto" w:fill="023C5B"/>
          </w:tcPr>
          <w:p>
            <w:pPr>
              <w:spacing w:after="0"/>
              <w:rPr>
                <w:sz w:val="19"/>
                <w:szCs w:val="19"/>
                <w:color w:val="auto"/>
              </w:rPr>
            </w:pPr>
          </w:p>
        </w:tc>
        <w:tc>
          <w:tcPr>
            <w:tcW w:w="440" w:type="dxa"/>
            <w:vAlign w:val="bottom"/>
            <w:shd w:val="clear" w:color="auto" w:fill="023C5B"/>
          </w:tcPr>
          <w:p>
            <w:pPr>
              <w:spacing w:after="0"/>
              <w:rPr>
                <w:sz w:val="19"/>
                <w:szCs w:val="19"/>
                <w:color w:val="auto"/>
              </w:rPr>
            </w:pPr>
          </w:p>
        </w:tc>
        <w:tc>
          <w:tcPr>
            <w:tcW w:w="320" w:type="dxa"/>
            <w:vAlign w:val="bottom"/>
            <w:shd w:val="clear" w:color="auto" w:fill="023C5B"/>
          </w:tcPr>
          <w:p>
            <w:pPr>
              <w:spacing w:after="0"/>
              <w:rPr>
                <w:sz w:val="19"/>
                <w:szCs w:val="19"/>
                <w:color w:val="auto"/>
              </w:rPr>
            </w:pPr>
          </w:p>
        </w:tc>
        <w:tc>
          <w:tcPr>
            <w:tcW w:w="3080" w:type="dxa"/>
            <w:vAlign w:val="bottom"/>
            <w:tcBorders>
              <w:right w:val="single" w:sz="8" w:color="023C5B"/>
            </w:tcBorders>
            <w:shd w:val="clear" w:color="auto" w:fill="023C5B"/>
          </w:tcPr>
          <w:p>
            <w:pPr>
              <w:spacing w:after="0"/>
              <w:rPr>
                <w:sz w:val="19"/>
                <w:szCs w:val="19"/>
                <w:color w:val="auto"/>
              </w:rPr>
            </w:pPr>
          </w:p>
        </w:tc>
        <w:tc>
          <w:tcPr>
            <w:tcW w:w="1420" w:type="dxa"/>
            <w:vAlign w:val="bottom"/>
            <w:shd w:val="clear" w:color="auto" w:fill="023C5B"/>
          </w:tcPr>
          <w:p>
            <w:pPr>
              <w:spacing w:after="0"/>
              <w:rPr>
                <w:sz w:val="19"/>
                <w:szCs w:val="19"/>
                <w:color w:val="auto"/>
              </w:rPr>
            </w:pPr>
          </w:p>
        </w:tc>
        <w:tc>
          <w:tcPr>
            <w:tcW w:w="120" w:type="dxa"/>
            <w:vAlign w:val="bottom"/>
            <w:tcBorders>
              <w:right w:val="single" w:sz="8" w:color="023C5B"/>
            </w:tcBorders>
            <w:shd w:val="clear" w:color="auto" w:fill="023C5B"/>
          </w:tcPr>
          <w:p>
            <w:pPr>
              <w:spacing w:after="0"/>
              <w:rPr>
                <w:sz w:val="19"/>
                <w:szCs w:val="19"/>
                <w:color w:val="auto"/>
              </w:rPr>
            </w:pPr>
          </w:p>
        </w:tc>
        <w:tc>
          <w:tcPr>
            <w:tcW w:w="1640" w:type="dxa"/>
            <w:vAlign w:val="bottom"/>
            <w:tcBorders>
              <w:right w:val="single" w:sz="8" w:color="023C5B"/>
            </w:tcBorders>
            <w:shd w:val="clear" w:color="auto" w:fill="023C5B"/>
          </w:tcPr>
          <w:p>
            <w:pPr>
              <w:spacing w:after="0"/>
              <w:rPr>
                <w:sz w:val="19"/>
                <w:szCs w:val="19"/>
                <w:color w:val="auto"/>
              </w:rPr>
            </w:pPr>
          </w:p>
        </w:tc>
        <w:tc>
          <w:tcPr>
            <w:tcW w:w="1400" w:type="dxa"/>
            <w:vAlign w:val="bottom"/>
            <w:tcBorders>
              <w:right w:val="single" w:sz="8" w:color="023C5B"/>
            </w:tcBorders>
            <w:shd w:val="clear" w:color="auto" w:fill="023C5B"/>
          </w:tcPr>
          <w:p>
            <w:pPr>
              <w:jc w:val="center"/>
              <w:ind w:left="26"/>
              <w:spacing w:after="0"/>
              <w:rPr>
                <w:sz w:val="20"/>
                <w:szCs w:val="20"/>
                <w:color w:val="auto"/>
              </w:rPr>
            </w:pPr>
            <w:r>
              <w:rPr>
                <w:rFonts w:ascii="Arial" w:cs="Arial" w:eastAsia="Arial" w:hAnsi="Arial"/>
                <w:sz w:val="16"/>
                <w:szCs w:val="16"/>
                <w:b w:val="1"/>
                <w:bCs w:val="1"/>
                <w:color w:val="FFFFFF"/>
              </w:rPr>
              <w:t>Performance</w:t>
            </w:r>
          </w:p>
        </w:tc>
        <w:tc>
          <w:tcPr>
            <w:tcW w:w="1300" w:type="dxa"/>
            <w:vAlign w:val="bottom"/>
            <w:tcBorders>
              <w:right w:val="single" w:sz="8" w:color="023C5B"/>
            </w:tcBorders>
            <w:shd w:val="clear" w:color="auto" w:fill="023C5B"/>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220" w:type="dxa"/>
            <w:vAlign w:val="bottom"/>
            <w:shd w:val="clear" w:color="auto" w:fill="023C5B"/>
          </w:tcPr>
          <w:p>
            <w:pPr>
              <w:spacing w:after="0"/>
              <w:rPr>
                <w:sz w:val="16"/>
                <w:szCs w:val="16"/>
                <w:color w:val="auto"/>
              </w:rPr>
            </w:pPr>
          </w:p>
        </w:tc>
        <w:tc>
          <w:tcPr>
            <w:tcW w:w="440" w:type="dxa"/>
            <w:vAlign w:val="bottom"/>
            <w:shd w:val="clear" w:color="auto" w:fill="023C5B"/>
          </w:tcPr>
          <w:p>
            <w:pPr>
              <w:spacing w:after="0"/>
              <w:rPr>
                <w:sz w:val="16"/>
                <w:szCs w:val="16"/>
                <w:color w:val="auto"/>
              </w:rPr>
            </w:pPr>
          </w:p>
        </w:tc>
        <w:tc>
          <w:tcPr>
            <w:tcW w:w="320" w:type="dxa"/>
            <w:vAlign w:val="bottom"/>
            <w:shd w:val="clear" w:color="auto" w:fill="023C5B"/>
          </w:tcPr>
          <w:p>
            <w:pPr>
              <w:spacing w:after="0"/>
              <w:rPr>
                <w:sz w:val="16"/>
                <w:szCs w:val="16"/>
                <w:color w:val="auto"/>
              </w:rPr>
            </w:pPr>
          </w:p>
        </w:tc>
        <w:tc>
          <w:tcPr>
            <w:tcW w:w="3080" w:type="dxa"/>
            <w:vAlign w:val="bottom"/>
            <w:tcBorders>
              <w:right w:val="single" w:sz="8" w:color="023C5B"/>
            </w:tcBorders>
            <w:shd w:val="clear" w:color="auto" w:fill="023C5B"/>
          </w:tcPr>
          <w:p>
            <w:pPr>
              <w:spacing w:after="0"/>
              <w:rPr>
                <w:sz w:val="16"/>
                <w:szCs w:val="16"/>
                <w:color w:val="auto"/>
              </w:rPr>
            </w:pPr>
          </w:p>
        </w:tc>
        <w:tc>
          <w:tcPr>
            <w:tcW w:w="1420" w:type="dxa"/>
            <w:vAlign w:val="bottom"/>
            <w:shd w:val="clear" w:color="auto" w:fill="023C5B"/>
          </w:tcPr>
          <w:p>
            <w:pPr>
              <w:spacing w:after="0"/>
              <w:rPr>
                <w:sz w:val="16"/>
                <w:szCs w:val="16"/>
                <w:color w:val="auto"/>
              </w:rPr>
            </w:pPr>
          </w:p>
        </w:tc>
        <w:tc>
          <w:tcPr>
            <w:tcW w:w="120" w:type="dxa"/>
            <w:vAlign w:val="bottom"/>
            <w:tcBorders>
              <w:right w:val="single" w:sz="8" w:color="023C5B"/>
            </w:tcBorders>
            <w:shd w:val="clear" w:color="auto" w:fill="023C5B"/>
          </w:tcPr>
          <w:p>
            <w:pPr>
              <w:spacing w:after="0"/>
              <w:rPr>
                <w:sz w:val="16"/>
                <w:szCs w:val="16"/>
                <w:color w:val="auto"/>
              </w:rPr>
            </w:pPr>
          </w:p>
        </w:tc>
        <w:tc>
          <w:tcPr>
            <w:tcW w:w="1640" w:type="dxa"/>
            <w:vAlign w:val="bottom"/>
            <w:tcBorders>
              <w:right w:val="single" w:sz="8" w:color="023C5B"/>
            </w:tcBorders>
            <w:shd w:val="clear" w:color="auto" w:fill="023C5B"/>
          </w:tcPr>
          <w:p>
            <w:pPr>
              <w:spacing w:after="0"/>
              <w:rPr>
                <w:sz w:val="16"/>
                <w:szCs w:val="16"/>
                <w:color w:val="auto"/>
              </w:rPr>
            </w:pPr>
          </w:p>
        </w:tc>
        <w:tc>
          <w:tcPr>
            <w:tcW w:w="1400" w:type="dxa"/>
            <w:vAlign w:val="bottom"/>
            <w:tcBorders>
              <w:right w:val="single" w:sz="8" w:color="023C5B"/>
            </w:tcBorders>
            <w:shd w:val="clear" w:color="auto" w:fill="023C5B"/>
          </w:tcPr>
          <w:p>
            <w:pPr>
              <w:jc w:val="center"/>
              <w:ind w:left="106"/>
              <w:spacing w:after="0"/>
              <w:rPr>
                <w:sz w:val="20"/>
                <w:szCs w:val="20"/>
                <w:color w:val="auto"/>
              </w:rPr>
            </w:pPr>
            <w:r>
              <w:rPr>
                <w:rFonts w:ascii="Arial" w:cs="Arial" w:eastAsia="Arial" w:hAnsi="Arial"/>
                <w:sz w:val="16"/>
                <w:szCs w:val="16"/>
                <w:b w:val="1"/>
                <w:bCs w:val="1"/>
                <w:color w:val="FFFFFF"/>
              </w:rPr>
              <w:t>Share</w:t>
            </w:r>
          </w:p>
        </w:tc>
        <w:tc>
          <w:tcPr>
            <w:tcW w:w="1300" w:type="dxa"/>
            <w:vAlign w:val="bottom"/>
            <w:tcBorders>
              <w:right w:val="single" w:sz="8" w:color="023C5B"/>
            </w:tcBorders>
            <w:shd w:val="clear" w:color="auto" w:fill="023C5B"/>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20" w:type="dxa"/>
            <w:vAlign w:val="bottom"/>
            <w:shd w:val="clear" w:color="auto" w:fill="023C5B"/>
          </w:tcPr>
          <w:p>
            <w:pPr>
              <w:spacing w:after="0"/>
              <w:rPr>
                <w:sz w:val="16"/>
                <w:szCs w:val="16"/>
                <w:color w:val="auto"/>
              </w:rPr>
            </w:pPr>
          </w:p>
        </w:tc>
        <w:tc>
          <w:tcPr>
            <w:tcW w:w="440" w:type="dxa"/>
            <w:vAlign w:val="bottom"/>
            <w:shd w:val="clear" w:color="auto" w:fill="023C5B"/>
          </w:tcPr>
          <w:p>
            <w:pPr>
              <w:spacing w:after="0"/>
              <w:rPr>
                <w:sz w:val="16"/>
                <w:szCs w:val="16"/>
                <w:color w:val="auto"/>
              </w:rPr>
            </w:pPr>
          </w:p>
        </w:tc>
        <w:tc>
          <w:tcPr>
            <w:tcW w:w="320" w:type="dxa"/>
            <w:vAlign w:val="bottom"/>
            <w:shd w:val="clear" w:color="auto" w:fill="023C5B"/>
          </w:tcPr>
          <w:p>
            <w:pPr>
              <w:spacing w:after="0"/>
              <w:rPr>
                <w:sz w:val="16"/>
                <w:szCs w:val="16"/>
                <w:color w:val="auto"/>
              </w:rPr>
            </w:pPr>
          </w:p>
        </w:tc>
        <w:tc>
          <w:tcPr>
            <w:tcW w:w="3080" w:type="dxa"/>
            <w:vAlign w:val="bottom"/>
            <w:tcBorders>
              <w:right w:val="single" w:sz="8" w:color="023C5B"/>
            </w:tcBorders>
            <w:shd w:val="clear" w:color="auto" w:fill="023C5B"/>
          </w:tcPr>
          <w:p>
            <w:pPr>
              <w:spacing w:after="0"/>
              <w:rPr>
                <w:sz w:val="16"/>
                <w:szCs w:val="16"/>
                <w:color w:val="auto"/>
              </w:rPr>
            </w:pPr>
          </w:p>
        </w:tc>
        <w:tc>
          <w:tcPr>
            <w:tcW w:w="1420" w:type="dxa"/>
            <w:vAlign w:val="bottom"/>
            <w:shd w:val="clear" w:color="auto" w:fill="023C5B"/>
          </w:tcPr>
          <w:p>
            <w:pPr>
              <w:jc w:val="center"/>
              <w:ind w:left="225"/>
              <w:spacing w:after="0"/>
              <w:rPr>
                <w:sz w:val="20"/>
                <w:szCs w:val="20"/>
                <w:color w:val="auto"/>
              </w:rPr>
            </w:pPr>
            <w:r>
              <w:rPr>
                <w:rFonts w:ascii="Arial" w:cs="Arial" w:eastAsia="Arial" w:hAnsi="Arial"/>
                <w:sz w:val="16"/>
                <w:szCs w:val="16"/>
                <w:b w:val="1"/>
                <w:bCs w:val="1"/>
                <w:color w:val="FFFFFF"/>
                <w:w w:val="91"/>
              </w:rPr>
              <w:t>Performance </w:t>
            </w:r>
          </w:p>
        </w:tc>
        <w:tc>
          <w:tcPr>
            <w:tcW w:w="120" w:type="dxa"/>
            <w:vAlign w:val="bottom"/>
            <w:tcBorders>
              <w:right w:val="single" w:sz="8" w:color="023C5B"/>
            </w:tcBorders>
            <w:shd w:val="clear" w:color="auto" w:fill="023C5B"/>
          </w:tcPr>
          <w:p>
            <w:pPr>
              <w:ind w:left="80"/>
              <w:spacing w:after="0"/>
              <w:rPr>
                <w:sz w:val="20"/>
                <w:szCs w:val="20"/>
                <w:color w:val="auto"/>
              </w:rPr>
            </w:pPr>
            <w:r>
              <w:rPr>
                <w:rFonts w:ascii="Arial" w:cs="Arial" w:eastAsia="Arial" w:hAnsi="Arial"/>
                <w:sz w:val="1"/>
                <w:szCs w:val="1"/>
                <w:b w:val="1"/>
                <w:bCs w:val="1"/>
                <w:color w:val="FFFFFF"/>
                <w:w w:val="4294967236"/>
              </w:rPr>
              <w:t> </w:t>
            </w:r>
          </w:p>
        </w:tc>
        <w:tc>
          <w:tcPr>
            <w:tcW w:w="1640" w:type="dxa"/>
            <w:vAlign w:val="bottom"/>
            <w:tcBorders>
              <w:right w:val="single" w:sz="8" w:color="023C5B"/>
            </w:tcBorders>
            <w:shd w:val="clear" w:color="auto" w:fill="023C5B"/>
          </w:tcPr>
          <w:p>
            <w:pPr>
              <w:ind w:left="360"/>
              <w:spacing w:after="0"/>
              <w:rPr>
                <w:sz w:val="20"/>
                <w:szCs w:val="20"/>
                <w:color w:val="auto"/>
              </w:rPr>
            </w:pPr>
            <w:r>
              <w:rPr>
                <w:rFonts w:ascii="Arial" w:cs="Arial" w:eastAsia="Arial" w:hAnsi="Arial"/>
                <w:sz w:val="16"/>
                <w:szCs w:val="16"/>
                <w:b w:val="1"/>
                <w:bCs w:val="1"/>
                <w:color w:val="FFFFFF"/>
                <w:w w:val="93"/>
              </w:rPr>
              <w:t>Performance     </w:t>
            </w:r>
          </w:p>
        </w:tc>
        <w:tc>
          <w:tcPr>
            <w:tcW w:w="1400" w:type="dxa"/>
            <w:vAlign w:val="bottom"/>
            <w:tcBorders>
              <w:right w:val="single" w:sz="8" w:color="023C5B"/>
            </w:tcBorders>
            <w:shd w:val="clear" w:color="auto" w:fill="023C5B"/>
          </w:tcPr>
          <w:p>
            <w:pPr>
              <w:jc w:val="center"/>
              <w:ind w:left="26"/>
              <w:spacing w:after="0"/>
              <w:rPr>
                <w:sz w:val="20"/>
                <w:szCs w:val="20"/>
                <w:color w:val="auto"/>
              </w:rPr>
            </w:pPr>
            <w:r>
              <w:rPr>
                <w:rFonts w:ascii="Arial" w:cs="Arial" w:eastAsia="Arial" w:hAnsi="Arial"/>
                <w:sz w:val="16"/>
                <w:szCs w:val="16"/>
                <w:b w:val="1"/>
                <w:bCs w:val="1"/>
                <w:color w:val="FFFFFF"/>
              </w:rPr>
              <w:t>Award</w:t>
            </w:r>
          </w:p>
        </w:tc>
        <w:tc>
          <w:tcPr>
            <w:tcW w:w="1300" w:type="dxa"/>
            <w:vAlign w:val="bottom"/>
            <w:tcBorders>
              <w:right w:val="single" w:sz="8" w:color="023C5B"/>
            </w:tcBorders>
            <w:shd w:val="clear" w:color="auto" w:fill="023C5B"/>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20" w:type="dxa"/>
            <w:vAlign w:val="bottom"/>
            <w:shd w:val="clear" w:color="auto" w:fill="023C5B"/>
          </w:tcPr>
          <w:p>
            <w:pPr>
              <w:spacing w:after="0"/>
              <w:rPr>
                <w:sz w:val="18"/>
                <w:szCs w:val="18"/>
                <w:color w:val="auto"/>
              </w:rPr>
            </w:pPr>
          </w:p>
        </w:tc>
        <w:tc>
          <w:tcPr>
            <w:tcW w:w="440" w:type="dxa"/>
            <w:vAlign w:val="bottom"/>
            <w:shd w:val="clear" w:color="auto" w:fill="023C5B"/>
          </w:tcPr>
          <w:p>
            <w:pPr>
              <w:spacing w:after="0"/>
              <w:rPr>
                <w:sz w:val="18"/>
                <w:szCs w:val="18"/>
                <w:color w:val="auto"/>
              </w:rPr>
            </w:pPr>
          </w:p>
        </w:tc>
        <w:tc>
          <w:tcPr>
            <w:tcW w:w="320" w:type="dxa"/>
            <w:vAlign w:val="bottom"/>
            <w:shd w:val="clear" w:color="auto" w:fill="023C5B"/>
          </w:tcPr>
          <w:p>
            <w:pPr>
              <w:spacing w:after="0"/>
              <w:rPr>
                <w:sz w:val="18"/>
                <w:szCs w:val="18"/>
                <w:color w:val="auto"/>
              </w:rPr>
            </w:pPr>
          </w:p>
        </w:tc>
        <w:tc>
          <w:tcPr>
            <w:tcW w:w="3080" w:type="dxa"/>
            <w:vAlign w:val="bottom"/>
            <w:tcBorders>
              <w:right w:val="single" w:sz="8" w:color="023C5B"/>
            </w:tcBorders>
            <w:shd w:val="clear" w:color="auto" w:fill="023C5B"/>
          </w:tcPr>
          <w:p>
            <w:pPr>
              <w:jc w:val="center"/>
              <w:spacing w:after="0"/>
              <w:rPr>
                <w:sz w:val="20"/>
                <w:szCs w:val="20"/>
                <w:color w:val="auto"/>
              </w:rPr>
            </w:pPr>
            <w:r>
              <w:rPr>
                <w:rFonts w:ascii="Arial" w:cs="Arial" w:eastAsia="Arial" w:hAnsi="Arial"/>
                <w:sz w:val="16"/>
                <w:szCs w:val="16"/>
                <w:b w:val="1"/>
                <w:bCs w:val="1"/>
                <w:color w:val="FFFFFF"/>
              </w:rPr>
              <w:t>Performance Metric</w:t>
            </w:r>
          </w:p>
        </w:tc>
        <w:tc>
          <w:tcPr>
            <w:tcW w:w="1420" w:type="dxa"/>
            <w:vAlign w:val="bottom"/>
            <w:shd w:val="clear" w:color="auto" w:fill="023C5B"/>
          </w:tcPr>
          <w:p>
            <w:pPr>
              <w:jc w:val="center"/>
              <w:ind w:left="225"/>
              <w:spacing w:after="0"/>
              <w:rPr>
                <w:sz w:val="20"/>
                <w:szCs w:val="20"/>
                <w:color w:val="auto"/>
              </w:rPr>
            </w:pPr>
            <w:r>
              <w:rPr>
                <w:rFonts w:ascii="Arial" w:cs="Arial" w:eastAsia="Arial" w:hAnsi="Arial"/>
                <w:sz w:val="16"/>
                <w:szCs w:val="16"/>
                <w:b w:val="1"/>
                <w:bCs w:val="1"/>
                <w:color w:val="FFFFFF"/>
                <w:w w:val="88"/>
              </w:rPr>
              <w:t>Share Peers </w:t>
            </w:r>
          </w:p>
        </w:tc>
        <w:tc>
          <w:tcPr>
            <w:tcW w:w="120" w:type="dxa"/>
            <w:vAlign w:val="bottom"/>
            <w:tcBorders>
              <w:right w:val="single" w:sz="8" w:color="023C5B"/>
            </w:tcBorders>
            <w:shd w:val="clear" w:color="auto" w:fill="023C5B"/>
          </w:tcPr>
          <w:p>
            <w:pPr>
              <w:ind w:left="40"/>
              <w:spacing w:after="0"/>
              <w:rPr>
                <w:sz w:val="20"/>
                <w:szCs w:val="20"/>
                <w:color w:val="auto"/>
              </w:rPr>
            </w:pPr>
            <w:r>
              <w:rPr>
                <w:rFonts w:ascii="Arial" w:cs="Arial" w:eastAsia="Arial" w:hAnsi="Arial"/>
                <w:sz w:val="16"/>
                <w:szCs w:val="16"/>
                <w:b w:val="1"/>
                <w:bCs w:val="1"/>
                <w:color w:val="FFFFFF"/>
              </w:rPr>
              <w:t> </w:t>
            </w:r>
          </w:p>
        </w:tc>
        <w:tc>
          <w:tcPr>
            <w:tcW w:w="1640" w:type="dxa"/>
            <w:vAlign w:val="bottom"/>
            <w:tcBorders>
              <w:right w:val="single" w:sz="8" w:color="023C5B"/>
            </w:tcBorders>
            <w:shd w:val="clear" w:color="auto" w:fill="023C5B"/>
          </w:tcPr>
          <w:p>
            <w:pPr>
              <w:jc w:val="center"/>
              <w:ind w:left="263"/>
              <w:spacing w:after="0"/>
              <w:rPr>
                <w:sz w:val="20"/>
                <w:szCs w:val="20"/>
                <w:color w:val="auto"/>
              </w:rPr>
            </w:pPr>
            <w:r>
              <w:rPr>
                <w:rFonts w:ascii="Arial" w:cs="Arial" w:eastAsia="Arial" w:hAnsi="Arial"/>
                <w:sz w:val="16"/>
                <w:szCs w:val="16"/>
                <w:b w:val="1"/>
                <w:bCs w:val="1"/>
                <w:color w:val="FFFFFF"/>
              </w:rPr>
              <w:t xml:space="preserve">Period      </w:t>
            </w:r>
          </w:p>
        </w:tc>
        <w:tc>
          <w:tcPr>
            <w:tcW w:w="1400" w:type="dxa"/>
            <w:vAlign w:val="bottom"/>
            <w:tcBorders>
              <w:right w:val="single" w:sz="8" w:color="023C5B"/>
            </w:tcBorders>
            <w:shd w:val="clear" w:color="auto" w:fill="023C5B"/>
          </w:tcPr>
          <w:p>
            <w:pPr>
              <w:jc w:val="center"/>
              <w:ind w:left="66"/>
              <w:spacing w:after="0"/>
              <w:rPr>
                <w:sz w:val="20"/>
                <w:szCs w:val="20"/>
                <w:color w:val="auto"/>
              </w:rPr>
            </w:pPr>
            <w:r>
              <w:rPr>
                <w:rFonts w:ascii="Arial" w:cs="Arial" w:eastAsia="Arial" w:hAnsi="Arial"/>
                <w:sz w:val="16"/>
                <w:szCs w:val="16"/>
                <w:b w:val="1"/>
                <w:bCs w:val="1"/>
                <w:color w:val="FFFFFF"/>
                <w:w w:val="92"/>
              </w:rPr>
              <w:t>Formula </w:t>
            </w:r>
          </w:p>
        </w:tc>
        <w:tc>
          <w:tcPr>
            <w:tcW w:w="1300" w:type="dxa"/>
            <w:vAlign w:val="bottom"/>
            <w:tcBorders>
              <w:right w:val="single" w:sz="8" w:color="023C5B"/>
            </w:tcBorders>
            <w:shd w:val="clear" w:color="auto" w:fill="023C5B"/>
          </w:tcPr>
          <w:p>
            <w:pPr>
              <w:jc w:val="center"/>
              <w:ind w:left="106"/>
              <w:spacing w:after="0"/>
              <w:rPr>
                <w:sz w:val="20"/>
                <w:szCs w:val="20"/>
                <w:color w:val="auto"/>
              </w:rPr>
            </w:pPr>
            <w:r>
              <w:rPr>
                <w:rFonts w:ascii="Arial" w:cs="Arial" w:eastAsia="Arial" w:hAnsi="Arial"/>
                <w:sz w:val="16"/>
                <w:szCs w:val="16"/>
                <w:b w:val="1"/>
                <w:bCs w:val="1"/>
                <w:color w:val="FFFFFF"/>
                <w:w w:val="99"/>
              </w:rPr>
              <w:t>Recipient</w:t>
            </w:r>
          </w:p>
        </w:tc>
        <w:tc>
          <w:tcPr>
            <w:tcW w:w="0" w:type="dxa"/>
            <w:vAlign w:val="bottom"/>
          </w:tcPr>
          <w:p>
            <w:pPr>
              <w:spacing w:after="0"/>
              <w:rPr>
                <w:sz w:val="1"/>
                <w:szCs w:val="1"/>
                <w:color w:val="auto"/>
              </w:rPr>
            </w:pPr>
          </w:p>
        </w:tc>
      </w:tr>
      <w:tr>
        <w:trPr>
          <w:trHeight w:val="258"/>
        </w:trPr>
        <w:tc>
          <w:tcPr>
            <w:tcW w:w="1220" w:type="dxa"/>
            <w:vAlign w:val="bottom"/>
            <w:shd w:val="clear" w:color="auto" w:fill="023C5B"/>
          </w:tcPr>
          <w:p>
            <w:pPr>
              <w:spacing w:after="0"/>
              <w:rPr>
                <w:sz w:val="22"/>
                <w:szCs w:val="22"/>
                <w:color w:val="auto"/>
              </w:rPr>
            </w:pPr>
          </w:p>
        </w:tc>
        <w:tc>
          <w:tcPr>
            <w:tcW w:w="440" w:type="dxa"/>
            <w:vAlign w:val="bottom"/>
            <w:shd w:val="clear" w:color="auto" w:fill="023C5B"/>
          </w:tcPr>
          <w:p>
            <w:pPr>
              <w:spacing w:after="0"/>
              <w:rPr>
                <w:sz w:val="22"/>
                <w:szCs w:val="22"/>
                <w:color w:val="auto"/>
              </w:rPr>
            </w:pPr>
          </w:p>
        </w:tc>
        <w:tc>
          <w:tcPr>
            <w:tcW w:w="320" w:type="dxa"/>
            <w:vAlign w:val="bottom"/>
          </w:tcPr>
          <w:p>
            <w:pPr>
              <w:spacing w:after="0"/>
              <w:rPr>
                <w:sz w:val="22"/>
                <w:szCs w:val="22"/>
                <w:color w:val="auto"/>
              </w:rPr>
            </w:pPr>
          </w:p>
        </w:tc>
        <w:tc>
          <w:tcPr>
            <w:tcW w:w="3080" w:type="dxa"/>
            <w:vAlign w:val="bottom"/>
            <w:tcBorders>
              <w:right w:val="single" w:sz="8" w:color="023C5B"/>
            </w:tcBorders>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Borders>
              <w:right w:val="single" w:sz="8" w:color="023C5B"/>
            </w:tcBorders>
          </w:tcPr>
          <w:p>
            <w:pPr>
              <w:spacing w:after="0"/>
              <w:rPr>
                <w:sz w:val="22"/>
                <w:szCs w:val="22"/>
                <w:color w:val="auto"/>
              </w:rPr>
            </w:pPr>
          </w:p>
        </w:tc>
        <w:tc>
          <w:tcPr>
            <w:tcW w:w="1640" w:type="dxa"/>
            <w:vAlign w:val="bottom"/>
            <w:tcBorders>
              <w:right w:val="single" w:sz="8" w:color="023C5B"/>
            </w:tcBorders>
          </w:tcPr>
          <w:p>
            <w:pPr>
              <w:spacing w:after="0"/>
              <w:rPr>
                <w:sz w:val="22"/>
                <w:szCs w:val="22"/>
                <w:color w:val="auto"/>
              </w:rPr>
            </w:pPr>
          </w:p>
        </w:tc>
        <w:tc>
          <w:tcPr>
            <w:tcW w:w="1400" w:type="dxa"/>
            <w:vAlign w:val="bottom"/>
            <w:tcBorders>
              <w:right w:val="single" w:sz="8" w:color="023C5B"/>
            </w:tcBorders>
          </w:tcPr>
          <w:p>
            <w:pPr>
              <w:jc w:val="center"/>
              <w:ind w:left="106"/>
              <w:spacing w:after="0"/>
              <w:rPr>
                <w:sz w:val="20"/>
                <w:szCs w:val="20"/>
                <w:color w:val="auto"/>
              </w:rPr>
            </w:pPr>
            <w:r>
              <w:rPr>
                <w:rFonts w:ascii="Arial" w:cs="Arial" w:eastAsia="Arial" w:hAnsi="Arial"/>
                <w:sz w:val="14"/>
                <w:szCs w:val="14"/>
                <w:color w:val="auto"/>
                <w:w w:val="98"/>
              </w:rPr>
              <w:t>Relative</w:t>
            </w:r>
          </w:p>
        </w:tc>
        <w:tc>
          <w:tcPr>
            <w:tcW w:w="1300" w:type="dxa"/>
            <w:vAlign w:val="bottom"/>
            <w:tcBorders>
              <w:right w:val="single" w:sz="8" w:color="023C5B"/>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1660" w:type="dxa"/>
            <w:vAlign w:val="bottom"/>
            <w:gridSpan w:val="2"/>
            <w:vMerge w:val="restart"/>
            <w:shd w:val="clear" w:color="auto" w:fill="023C5B"/>
          </w:tcPr>
          <w:p>
            <w:pPr>
              <w:jc w:val="center"/>
              <w:spacing w:after="0"/>
              <w:rPr>
                <w:sz w:val="20"/>
                <w:szCs w:val="20"/>
                <w:color w:val="auto"/>
              </w:rPr>
            </w:pPr>
            <w:r>
              <w:rPr>
                <w:rFonts w:ascii="Arial" w:cs="Arial" w:eastAsia="Arial" w:hAnsi="Arial"/>
                <w:sz w:val="16"/>
                <w:szCs w:val="16"/>
                <w:b w:val="1"/>
                <w:bCs w:val="1"/>
                <w:color w:val="FFFFFF"/>
              </w:rPr>
              <w:t>Financial</w:t>
            </w:r>
          </w:p>
        </w:tc>
        <w:tc>
          <w:tcPr>
            <w:tcW w:w="320" w:type="dxa"/>
            <w:vAlign w:val="bottom"/>
          </w:tcPr>
          <w:p>
            <w:pPr>
              <w:spacing w:after="0"/>
              <w:rPr>
                <w:sz w:val="13"/>
                <w:szCs w:val="13"/>
                <w:color w:val="auto"/>
              </w:rPr>
            </w:pPr>
          </w:p>
        </w:tc>
        <w:tc>
          <w:tcPr>
            <w:tcW w:w="3080" w:type="dxa"/>
            <w:vAlign w:val="bottom"/>
            <w:tcBorders>
              <w:right w:val="single" w:sz="8" w:color="023C5B"/>
            </w:tcBorders>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Borders>
              <w:right w:val="single" w:sz="8" w:color="023C5B"/>
            </w:tcBorders>
          </w:tcPr>
          <w:p>
            <w:pPr>
              <w:spacing w:after="0"/>
              <w:rPr>
                <w:sz w:val="13"/>
                <w:szCs w:val="13"/>
                <w:color w:val="auto"/>
              </w:rPr>
            </w:pPr>
          </w:p>
        </w:tc>
        <w:tc>
          <w:tcPr>
            <w:tcW w:w="1640" w:type="dxa"/>
            <w:vAlign w:val="bottom"/>
            <w:tcBorders>
              <w:right w:val="single" w:sz="8" w:color="023C5B"/>
            </w:tcBorders>
          </w:tcPr>
          <w:p>
            <w:pPr>
              <w:spacing w:after="0"/>
              <w:rPr>
                <w:sz w:val="13"/>
                <w:szCs w:val="13"/>
                <w:color w:val="auto"/>
              </w:rPr>
            </w:pPr>
          </w:p>
        </w:tc>
        <w:tc>
          <w:tcPr>
            <w:tcW w:w="1400" w:type="dxa"/>
            <w:vAlign w:val="bottom"/>
            <w:tcBorders>
              <w:right w:val="single" w:sz="8" w:color="023C5B"/>
            </w:tcBorders>
          </w:tcPr>
          <w:p>
            <w:pPr>
              <w:jc w:val="center"/>
              <w:ind w:left="106"/>
              <w:spacing w:after="0"/>
              <w:rPr>
                <w:sz w:val="20"/>
                <w:szCs w:val="20"/>
                <w:color w:val="auto"/>
              </w:rPr>
            </w:pPr>
            <w:r>
              <w:rPr>
                <w:rFonts w:ascii="Arial" w:cs="Arial" w:eastAsia="Arial" w:hAnsi="Arial"/>
                <w:sz w:val="14"/>
                <w:szCs w:val="14"/>
                <w:color w:val="auto"/>
              </w:rPr>
              <w:t>Performance</w:t>
            </w:r>
          </w:p>
        </w:tc>
        <w:tc>
          <w:tcPr>
            <w:tcW w:w="1300" w:type="dxa"/>
            <w:vAlign w:val="bottom"/>
            <w:tcBorders>
              <w:right w:val="single" w:sz="8" w:color="023C5B"/>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60" w:type="dxa"/>
            <w:vAlign w:val="bottom"/>
            <w:gridSpan w:val="2"/>
            <w:vMerge w:val="continue"/>
            <w:shd w:val="clear" w:color="auto" w:fill="023C5B"/>
          </w:tcPr>
          <w:p>
            <w:pPr>
              <w:spacing w:after="0"/>
              <w:rPr>
                <w:sz w:val="15"/>
                <w:szCs w:val="15"/>
                <w:color w:val="auto"/>
              </w:rPr>
            </w:pPr>
          </w:p>
        </w:tc>
        <w:tc>
          <w:tcPr>
            <w:tcW w:w="320" w:type="dxa"/>
            <w:vAlign w:val="bottom"/>
          </w:tcPr>
          <w:p>
            <w:pPr>
              <w:spacing w:after="0"/>
              <w:rPr>
                <w:sz w:val="15"/>
                <w:szCs w:val="15"/>
                <w:color w:val="auto"/>
              </w:rPr>
            </w:pPr>
          </w:p>
        </w:tc>
        <w:tc>
          <w:tcPr>
            <w:tcW w:w="3080" w:type="dxa"/>
            <w:vAlign w:val="bottom"/>
            <w:tcBorders>
              <w:right w:val="single" w:sz="8" w:color="023C5B"/>
            </w:tcBorders>
          </w:tcPr>
          <w:p>
            <w:pPr>
              <w:jc w:val="center"/>
              <w:spacing w:after="0"/>
              <w:rPr>
                <w:sz w:val="20"/>
                <w:szCs w:val="20"/>
                <w:color w:val="auto"/>
              </w:rPr>
            </w:pPr>
            <w:r>
              <w:rPr>
                <w:rFonts w:ascii="Arial" w:cs="Arial" w:eastAsia="Arial" w:hAnsi="Arial"/>
                <w:sz w:val="14"/>
                <w:szCs w:val="14"/>
                <w:color w:val="auto"/>
              </w:rPr>
              <w:t>PSU Adjusted ROTCE and</w:t>
            </w:r>
          </w:p>
        </w:tc>
        <w:tc>
          <w:tcPr>
            <w:tcW w:w="1420" w:type="dxa"/>
            <w:vAlign w:val="bottom"/>
          </w:tcPr>
          <w:p>
            <w:pPr>
              <w:spacing w:after="0"/>
              <w:rPr>
                <w:sz w:val="15"/>
                <w:szCs w:val="15"/>
                <w:color w:val="auto"/>
              </w:rPr>
            </w:pPr>
          </w:p>
        </w:tc>
        <w:tc>
          <w:tcPr>
            <w:tcW w:w="120" w:type="dxa"/>
            <w:vAlign w:val="bottom"/>
            <w:tcBorders>
              <w:right w:val="single" w:sz="8" w:color="023C5B"/>
            </w:tcBorders>
          </w:tcPr>
          <w:p>
            <w:pPr>
              <w:spacing w:after="0"/>
              <w:rPr>
                <w:sz w:val="15"/>
                <w:szCs w:val="15"/>
                <w:color w:val="auto"/>
              </w:rPr>
            </w:pPr>
          </w:p>
        </w:tc>
        <w:tc>
          <w:tcPr>
            <w:tcW w:w="1640" w:type="dxa"/>
            <w:vAlign w:val="bottom"/>
            <w:tcBorders>
              <w:right w:val="single" w:sz="8" w:color="023C5B"/>
            </w:tcBorders>
          </w:tcPr>
          <w:p>
            <w:pPr>
              <w:spacing w:after="0"/>
              <w:rPr>
                <w:sz w:val="15"/>
                <w:szCs w:val="15"/>
                <w:color w:val="auto"/>
              </w:rPr>
            </w:pPr>
          </w:p>
        </w:tc>
        <w:tc>
          <w:tcPr>
            <w:tcW w:w="1400" w:type="dxa"/>
            <w:vAlign w:val="bottom"/>
            <w:tcBorders>
              <w:right w:val="single" w:sz="8" w:color="023C5B"/>
            </w:tcBorders>
          </w:tcPr>
          <w:p>
            <w:pPr>
              <w:jc w:val="center"/>
              <w:ind w:left="106"/>
              <w:spacing w:after="0"/>
              <w:rPr>
                <w:sz w:val="20"/>
                <w:szCs w:val="20"/>
                <w:color w:val="auto"/>
              </w:rPr>
            </w:pPr>
            <w:r>
              <w:rPr>
                <w:rFonts w:ascii="Arial" w:cs="Arial" w:eastAsia="Arial" w:hAnsi="Arial"/>
                <w:sz w:val="14"/>
                <w:szCs w:val="14"/>
                <w:color w:val="auto"/>
                <w:w w:val="99"/>
              </w:rPr>
              <w:t>Measure</w:t>
            </w:r>
          </w:p>
        </w:tc>
        <w:tc>
          <w:tcPr>
            <w:tcW w:w="1300" w:type="dxa"/>
            <w:vAlign w:val="bottom"/>
            <w:tcBorders>
              <w:right w:val="single" w:sz="8" w:color="023C5B"/>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660" w:type="dxa"/>
            <w:vAlign w:val="bottom"/>
            <w:gridSpan w:val="2"/>
            <w:shd w:val="clear" w:color="auto" w:fill="023C5B"/>
          </w:tcPr>
          <w:p>
            <w:pPr>
              <w:jc w:val="center"/>
              <w:spacing w:after="0" w:line="161" w:lineRule="exact"/>
              <w:rPr>
                <w:sz w:val="20"/>
                <w:szCs w:val="20"/>
                <w:color w:val="auto"/>
              </w:rPr>
            </w:pPr>
            <w:r>
              <w:rPr>
                <w:rFonts w:ascii="Arial" w:cs="Arial" w:eastAsia="Arial" w:hAnsi="Arial"/>
                <w:sz w:val="16"/>
                <w:szCs w:val="16"/>
                <w:b w:val="1"/>
                <w:bCs w:val="1"/>
                <w:color w:val="FFFFFF"/>
              </w:rPr>
              <w:t>Performance</w:t>
            </w:r>
          </w:p>
        </w:tc>
        <w:tc>
          <w:tcPr>
            <w:tcW w:w="320" w:type="dxa"/>
            <w:vAlign w:val="bottom"/>
          </w:tcPr>
          <w:p>
            <w:pPr>
              <w:spacing w:after="0"/>
              <w:rPr>
                <w:sz w:val="13"/>
                <w:szCs w:val="13"/>
                <w:color w:val="auto"/>
              </w:rPr>
            </w:pPr>
          </w:p>
        </w:tc>
        <w:tc>
          <w:tcPr>
            <w:tcW w:w="3080" w:type="dxa"/>
            <w:vAlign w:val="bottom"/>
            <w:tcBorders>
              <w:right w:val="single" w:sz="8" w:color="023C5B"/>
            </w:tcBorders>
          </w:tcPr>
          <w:p>
            <w:pPr>
              <w:jc w:val="center"/>
              <w:spacing w:after="0" w:line="161" w:lineRule="exact"/>
              <w:rPr>
                <w:sz w:val="20"/>
                <w:szCs w:val="20"/>
                <w:color w:val="auto"/>
              </w:rPr>
            </w:pPr>
            <w:r>
              <w:rPr>
                <w:rFonts w:ascii="Arial" w:cs="Arial" w:eastAsia="Arial" w:hAnsi="Arial"/>
                <w:sz w:val="12"/>
                <w:szCs w:val="12"/>
                <w:color w:val="auto"/>
              </w:rPr>
              <w:t>D+TBV/Sh</w:t>
            </w:r>
            <w:r>
              <w:rPr>
                <w:rFonts w:ascii="Arial" w:cs="Arial" w:eastAsia="Arial" w:hAnsi="Arial"/>
                <w:sz w:val="18"/>
                <w:szCs w:val="18"/>
                <w:color w:val="auto"/>
                <w:vertAlign w:val="superscript"/>
              </w:rPr>
              <w:t>(1)</w:t>
            </w:r>
          </w:p>
        </w:tc>
        <w:tc>
          <w:tcPr>
            <w:tcW w:w="1420" w:type="dxa"/>
            <w:vAlign w:val="bottom"/>
          </w:tcPr>
          <w:p>
            <w:pPr>
              <w:spacing w:after="0"/>
              <w:rPr>
                <w:sz w:val="13"/>
                <w:szCs w:val="13"/>
                <w:color w:val="auto"/>
              </w:rPr>
            </w:pPr>
          </w:p>
        </w:tc>
        <w:tc>
          <w:tcPr>
            <w:tcW w:w="120" w:type="dxa"/>
            <w:vAlign w:val="bottom"/>
            <w:tcBorders>
              <w:right w:val="single" w:sz="8" w:color="023C5B"/>
            </w:tcBorders>
          </w:tcPr>
          <w:p>
            <w:pPr>
              <w:spacing w:after="0"/>
              <w:rPr>
                <w:sz w:val="13"/>
                <w:szCs w:val="13"/>
                <w:color w:val="auto"/>
              </w:rPr>
            </w:pPr>
          </w:p>
        </w:tc>
        <w:tc>
          <w:tcPr>
            <w:tcW w:w="1640" w:type="dxa"/>
            <w:vAlign w:val="bottom"/>
            <w:tcBorders>
              <w:right w:val="single" w:sz="8" w:color="023C5B"/>
            </w:tcBorders>
          </w:tcPr>
          <w:p>
            <w:pPr>
              <w:spacing w:after="0"/>
              <w:rPr>
                <w:sz w:val="13"/>
                <w:szCs w:val="13"/>
                <w:color w:val="auto"/>
              </w:rPr>
            </w:pPr>
          </w:p>
        </w:tc>
        <w:tc>
          <w:tcPr>
            <w:tcW w:w="1400" w:type="dxa"/>
            <w:vAlign w:val="bottom"/>
            <w:tcBorders>
              <w:right w:val="single" w:sz="8" w:color="023C5B"/>
            </w:tcBorders>
          </w:tcPr>
          <w:p>
            <w:pPr>
              <w:jc w:val="center"/>
              <w:ind w:left="86"/>
              <w:spacing w:after="0"/>
              <w:rPr>
                <w:sz w:val="20"/>
                <w:szCs w:val="20"/>
                <w:color w:val="auto"/>
              </w:rPr>
            </w:pPr>
            <w:r>
              <w:rPr>
                <w:rFonts w:ascii="Arial" w:cs="Arial" w:eastAsia="Arial" w:hAnsi="Arial"/>
                <w:sz w:val="14"/>
                <w:szCs w:val="14"/>
                <w:color w:val="auto"/>
              </w:rPr>
              <w:t>and</w:t>
            </w:r>
          </w:p>
        </w:tc>
        <w:tc>
          <w:tcPr>
            <w:tcW w:w="1300" w:type="dxa"/>
            <w:vAlign w:val="bottom"/>
            <w:tcBorders>
              <w:right w:val="single" w:sz="8" w:color="023C5B"/>
            </w:tcBorders>
          </w:tcPr>
          <w:p>
            <w:pPr>
              <w:jc w:val="center"/>
              <w:ind w:left="86"/>
              <w:spacing w:after="0"/>
              <w:rPr>
                <w:sz w:val="20"/>
                <w:szCs w:val="20"/>
                <w:color w:val="auto"/>
              </w:rPr>
            </w:pPr>
            <w:r>
              <w:rPr>
                <w:rFonts w:ascii="Arial" w:cs="Arial" w:eastAsia="Arial" w:hAnsi="Arial"/>
                <w:sz w:val="14"/>
                <w:szCs w:val="14"/>
                <w:color w:val="auto"/>
              </w:rPr>
              <w:t>All NEOs</w:t>
            </w:r>
          </w:p>
        </w:tc>
        <w:tc>
          <w:tcPr>
            <w:tcW w:w="0" w:type="dxa"/>
            <w:vAlign w:val="bottom"/>
          </w:tcPr>
          <w:p>
            <w:pPr>
              <w:spacing w:after="0"/>
              <w:rPr>
                <w:sz w:val="1"/>
                <w:szCs w:val="1"/>
                <w:color w:val="auto"/>
              </w:rPr>
            </w:pPr>
          </w:p>
        </w:tc>
      </w:tr>
      <w:tr>
        <w:trPr>
          <w:trHeight w:val="174"/>
        </w:trPr>
        <w:tc>
          <w:tcPr>
            <w:tcW w:w="1660" w:type="dxa"/>
            <w:vAlign w:val="bottom"/>
            <w:gridSpan w:val="2"/>
            <w:shd w:val="clear" w:color="auto" w:fill="023C5B"/>
          </w:tcPr>
          <w:p>
            <w:pPr>
              <w:jc w:val="center"/>
              <w:spacing w:after="0" w:line="174" w:lineRule="exact"/>
              <w:rPr>
                <w:sz w:val="20"/>
                <w:szCs w:val="20"/>
                <w:color w:val="auto"/>
              </w:rPr>
            </w:pPr>
            <w:r>
              <w:rPr>
                <w:rFonts w:ascii="Arial" w:cs="Arial" w:eastAsia="Arial" w:hAnsi="Arial"/>
                <w:sz w:val="16"/>
                <w:szCs w:val="16"/>
                <w:b w:val="1"/>
                <w:bCs w:val="1"/>
                <w:color w:val="FFFFFF"/>
              </w:rPr>
              <w:t>Shares</w:t>
            </w:r>
          </w:p>
        </w:tc>
        <w:tc>
          <w:tcPr>
            <w:tcW w:w="320" w:type="dxa"/>
            <w:vAlign w:val="bottom"/>
          </w:tcPr>
          <w:p>
            <w:pPr>
              <w:spacing w:after="0"/>
              <w:rPr>
                <w:sz w:val="15"/>
                <w:szCs w:val="15"/>
                <w:color w:val="auto"/>
              </w:rPr>
            </w:pPr>
          </w:p>
        </w:tc>
        <w:tc>
          <w:tcPr>
            <w:tcW w:w="3080" w:type="dxa"/>
            <w:vAlign w:val="bottom"/>
            <w:tcBorders>
              <w:right w:val="single" w:sz="8" w:color="023C5B"/>
            </w:tcBorders>
          </w:tcPr>
          <w:p>
            <w:pPr>
              <w:spacing w:after="0"/>
              <w:rPr>
                <w:sz w:val="15"/>
                <w:szCs w:val="15"/>
                <w:color w:val="auto"/>
              </w:rPr>
            </w:pPr>
          </w:p>
        </w:tc>
        <w:tc>
          <w:tcPr>
            <w:tcW w:w="1420" w:type="dxa"/>
            <w:vAlign w:val="bottom"/>
          </w:tcPr>
          <w:p>
            <w:pPr>
              <w:jc w:val="center"/>
              <w:ind w:left="345"/>
              <w:spacing w:after="0"/>
              <w:rPr>
                <w:sz w:val="20"/>
                <w:szCs w:val="20"/>
                <w:color w:val="auto"/>
              </w:rPr>
            </w:pPr>
            <w:r>
              <w:rPr>
                <w:rFonts w:ascii="Arial" w:cs="Arial" w:eastAsia="Arial" w:hAnsi="Arial"/>
                <w:sz w:val="14"/>
                <w:szCs w:val="14"/>
                <w:color w:val="auto"/>
              </w:rPr>
              <w:t xml:space="preserve">KBW Index   </w:t>
            </w:r>
          </w:p>
        </w:tc>
        <w:tc>
          <w:tcPr>
            <w:tcW w:w="120" w:type="dxa"/>
            <w:vAlign w:val="bottom"/>
            <w:tcBorders>
              <w:right w:val="single" w:sz="8" w:color="023C5B"/>
            </w:tcBorders>
          </w:tcPr>
          <w:p>
            <w:pPr>
              <w:spacing w:after="0"/>
              <w:rPr>
                <w:sz w:val="15"/>
                <w:szCs w:val="15"/>
                <w:color w:val="auto"/>
              </w:rPr>
            </w:pPr>
          </w:p>
        </w:tc>
        <w:tc>
          <w:tcPr>
            <w:tcW w:w="1640" w:type="dxa"/>
            <w:vAlign w:val="bottom"/>
            <w:tcBorders>
              <w:right w:val="single" w:sz="8" w:color="023C5B"/>
            </w:tcBorders>
            <w:vMerge w:val="restart"/>
          </w:tcPr>
          <w:p>
            <w:pPr>
              <w:jc w:val="center"/>
              <w:ind w:left="263"/>
              <w:spacing w:after="0"/>
              <w:rPr>
                <w:sz w:val="20"/>
                <w:szCs w:val="20"/>
                <w:color w:val="auto"/>
              </w:rPr>
            </w:pPr>
            <w:r>
              <w:rPr>
                <w:rFonts w:ascii="Arial" w:cs="Arial" w:eastAsia="Arial" w:hAnsi="Arial"/>
                <w:sz w:val="14"/>
                <w:szCs w:val="14"/>
                <w:color w:val="auto"/>
                <w:w w:val="96"/>
              </w:rPr>
              <w:t>3 Years      </w:t>
            </w:r>
          </w:p>
        </w:tc>
        <w:tc>
          <w:tcPr>
            <w:tcW w:w="1400" w:type="dxa"/>
            <w:vAlign w:val="bottom"/>
            <w:tcBorders>
              <w:right w:val="single" w:sz="8" w:color="023C5B"/>
            </w:tcBorders>
          </w:tcPr>
          <w:p>
            <w:pPr>
              <w:jc w:val="center"/>
              <w:ind w:left="106"/>
              <w:spacing w:after="0"/>
              <w:rPr>
                <w:sz w:val="20"/>
                <w:szCs w:val="20"/>
                <w:color w:val="auto"/>
              </w:rPr>
            </w:pPr>
            <w:r>
              <w:rPr>
                <w:rFonts w:ascii="Arial" w:cs="Arial" w:eastAsia="Arial" w:hAnsi="Arial"/>
                <w:sz w:val="14"/>
                <w:szCs w:val="14"/>
                <w:color w:val="auto"/>
                <w:w w:val="99"/>
              </w:rPr>
              <w:t>Absolute</w:t>
            </w:r>
          </w:p>
        </w:tc>
        <w:tc>
          <w:tcPr>
            <w:tcW w:w="1300" w:type="dxa"/>
            <w:vAlign w:val="bottom"/>
            <w:tcBorders>
              <w:right w:val="single" w:sz="8" w:color="023C5B"/>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220" w:type="dxa"/>
            <w:vAlign w:val="bottom"/>
            <w:shd w:val="clear" w:color="auto" w:fill="023C5B"/>
          </w:tcPr>
          <w:p>
            <w:pPr>
              <w:spacing w:after="0"/>
              <w:rPr>
                <w:sz w:val="11"/>
                <w:szCs w:val="11"/>
                <w:color w:val="auto"/>
              </w:rPr>
            </w:pPr>
          </w:p>
        </w:tc>
        <w:tc>
          <w:tcPr>
            <w:tcW w:w="440" w:type="dxa"/>
            <w:vAlign w:val="bottom"/>
            <w:shd w:val="clear" w:color="auto" w:fill="023C5B"/>
          </w:tcPr>
          <w:p>
            <w:pPr>
              <w:spacing w:after="0"/>
              <w:rPr>
                <w:sz w:val="11"/>
                <w:szCs w:val="11"/>
                <w:color w:val="auto"/>
              </w:rPr>
            </w:pPr>
          </w:p>
        </w:tc>
        <w:tc>
          <w:tcPr>
            <w:tcW w:w="320" w:type="dxa"/>
            <w:vAlign w:val="bottom"/>
          </w:tcPr>
          <w:p>
            <w:pPr>
              <w:spacing w:after="0"/>
              <w:rPr>
                <w:sz w:val="11"/>
                <w:szCs w:val="11"/>
                <w:color w:val="auto"/>
              </w:rPr>
            </w:pPr>
          </w:p>
        </w:tc>
        <w:tc>
          <w:tcPr>
            <w:tcW w:w="3080" w:type="dxa"/>
            <w:vAlign w:val="bottom"/>
            <w:tcBorders>
              <w:right w:val="single" w:sz="8" w:color="023C5B"/>
            </w:tcBorders>
          </w:tcPr>
          <w:p>
            <w:pPr>
              <w:spacing w:after="0"/>
              <w:rPr>
                <w:sz w:val="11"/>
                <w:szCs w:val="11"/>
                <w:color w:val="auto"/>
              </w:rPr>
            </w:pPr>
          </w:p>
        </w:tc>
        <w:tc>
          <w:tcPr>
            <w:tcW w:w="1420" w:type="dxa"/>
            <w:vAlign w:val="bottom"/>
          </w:tcPr>
          <w:p>
            <w:pPr>
              <w:jc w:val="center"/>
              <w:ind w:left="345"/>
              <w:spacing w:after="0" w:line="134" w:lineRule="exact"/>
              <w:rPr>
                <w:sz w:val="20"/>
                <w:szCs w:val="20"/>
                <w:color w:val="auto"/>
              </w:rPr>
            </w:pPr>
            <w:r>
              <w:rPr>
                <w:rFonts w:ascii="Arial" w:cs="Arial" w:eastAsia="Arial" w:hAnsi="Arial"/>
                <w:sz w:val="14"/>
                <w:szCs w:val="14"/>
                <w:color w:val="auto"/>
              </w:rPr>
              <w:t xml:space="preserve">(as defined   </w:t>
            </w:r>
          </w:p>
        </w:tc>
        <w:tc>
          <w:tcPr>
            <w:tcW w:w="120" w:type="dxa"/>
            <w:vAlign w:val="bottom"/>
            <w:tcBorders>
              <w:right w:val="single" w:sz="8" w:color="023C5B"/>
            </w:tcBorders>
          </w:tcPr>
          <w:p>
            <w:pPr>
              <w:spacing w:after="0"/>
              <w:rPr>
                <w:sz w:val="11"/>
                <w:szCs w:val="11"/>
                <w:color w:val="auto"/>
              </w:rPr>
            </w:pPr>
          </w:p>
        </w:tc>
        <w:tc>
          <w:tcPr>
            <w:tcW w:w="1640" w:type="dxa"/>
            <w:vAlign w:val="bottom"/>
            <w:tcBorders>
              <w:right w:val="single" w:sz="8" w:color="023C5B"/>
            </w:tcBorders>
            <w:vMerge w:val="continue"/>
          </w:tcPr>
          <w:p>
            <w:pPr>
              <w:spacing w:after="0"/>
              <w:rPr>
                <w:sz w:val="11"/>
                <w:szCs w:val="11"/>
                <w:color w:val="auto"/>
              </w:rPr>
            </w:pPr>
          </w:p>
        </w:tc>
        <w:tc>
          <w:tcPr>
            <w:tcW w:w="1400" w:type="dxa"/>
            <w:vAlign w:val="bottom"/>
            <w:tcBorders>
              <w:right w:val="single" w:sz="8" w:color="023C5B"/>
            </w:tcBorders>
          </w:tcPr>
          <w:p>
            <w:pPr>
              <w:jc w:val="center"/>
              <w:ind w:left="106"/>
              <w:spacing w:after="0" w:line="134" w:lineRule="exact"/>
              <w:rPr>
                <w:sz w:val="20"/>
                <w:szCs w:val="20"/>
                <w:color w:val="auto"/>
              </w:rPr>
            </w:pPr>
            <w:r>
              <w:rPr>
                <w:rFonts w:ascii="Arial" w:cs="Arial" w:eastAsia="Arial" w:hAnsi="Arial"/>
                <w:sz w:val="14"/>
                <w:szCs w:val="14"/>
                <w:color w:val="auto"/>
              </w:rPr>
              <w:t>Performance</w:t>
            </w:r>
          </w:p>
        </w:tc>
        <w:tc>
          <w:tcPr>
            <w:tcW w:w="1300" w:type="dxa"/>
            <w:vAlign w:val="bottom"/>
            <w:tcBorders>
              <w:right w:val="single" w:sz="8" w:color="023C5B"/>
            </w:tcBorders>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220" w:type="dxa"/>
            <w:vAlign w:val="bottom"/>
            <w:shd w:val="clear" w:color="auto" w:fill="023C5B"/>
          </w:tcPr>
          <w:p>
            <w:pPr>
              <w:spacing w:after="0"/>
              <w:rPr>
                <w:sz w:val="17"/>
                <w:szCs w:val="17"/>
                <w:color w:val="auto"/>
              </w:rPr>
            </w:pPr>
          </w:p>
        </w:tc>
        <w:tc>
          <w:tcPr>
            <w:tcW w:w="440" w:type="dxa"/>
            <w:vAlign w:val="bottom"/>
            <w:shd w:val="clear" w:color="auto" w:fill="023C5B"/>
          </w:tcPr>
          <w:p>
            <w:pPr>
              <w:spacing w:after="0"/>
              <w:rPr>
                <w:sz w:val="17"/>
                <w:szCs w:val="17"/>
                <w:color w:val="auto"/>
              </w:rPr>
            </w:pPr>
          </w:p>
        </w:tc>
        <w:tc>
          <w:tcPr>
            <w:tcW w:w="320" w:type="dxa"/>
            <w:vAlign w:val="bottom"/>
          </w:tcPr>
          <w:p>
            <w:pPr>
              <w:spacing w:after="0"/>
              <w:rPr>
                <w:sz w:val="17"/>
                <w:szCs w:val="17"/>
                <w:color w:val="auto"/>
              </w:rPr>
            </w:pPr>
          </w:p>
        </w:tc>
        <w:tc>
          <w:tcPr>
            <w:tcW w:w="3080" w:type="dxa"/>
            <w:vAlign w:val="bottom"/>
            <w:tcBorders>
              <w:right w:val="single" w:sz="8" w:color="023C5B"/>
            </w:tcBorders>
          </w:tcPr>
          <w:p>
            <w:pPr>
              <w:spacing w:after="0"/>
              <w:rPr>
                <w:sz w:val="17"/>
                <w:szCs w:val="17"/>
                <w:color w:val="auto"/>
              </w:rPr>
            </w:pPr>
          </w:p>
        </w:tc>
        <w:tc>
          <w:tcPr>
            <w:tcW w:w="1420" w:type="dxa"/>
            <w:vAlign w:val="bottom"/>
          </w:tcPr>
          <w:p>
            <w:pPr>
              <w:jc w:val="center"/>
              <w:ind w:left="345"/>
              <w:spacing w:after="0"/>
              <w:rPr>
                <w:sz w:val="20"/>
                <w:szCs w:val="20"/>
                <w:color w:val="auto"/>
              </w:rPr>
            </w:pPr>
            <w:r>
              <w:rPr>
                <w:rFonts w:ascii="Arial" w:cs="Arial" w:eastAsia="Arial" w:hAnsi="Arial"/>
                <w:sz w:val="14"/>
                <w:szCs w:val="14"/>
                <w:color w:val="auto"/>
              </w:rPr>
              <w:t xml:space="preserve">on page 71)   </w:t>
            </w:r>
          </w:p>
        </w:tc>
        <w:tc>
          <w:tcPr>
            <w:tcW w:w="120" w:type="dxa"/>
            <w:vAlign w:val="bottom"/>
            <w:tcBorders>
              <w:right w:val="single" w:sz="8" w:color="023C5B"/>
            </w:tcBorders>
          </w:tcPr>
          <w:p>
            <w:pPr>
              <w:spacing w:after="0"/>
              <w:rPr>
                <w:sz w:val="17"/>
                <w:szCs w:val="17"/>
                <w:color w:val="auto"/>
              </w:rPr>
            </w:pPr>
          </w:p>
        </w:tc>
        <w:tc>
          <w:tcPr>
            <w:tcW w:w="1640" w:type="dxa"/>
            <w:vAlign w:val="bottom"/>
            <w:tcBorders>
              <w:right w:val="single" w:sz="8" w:color="023C5B"/>
            </w:tcBorders>
          </w:tcPr>
          <w:p>
            <w:pPr>
              <w:spacing w:after="0"/>
              <w:rPr>
                <w:sz w:val="17"/>
                <w:szCs w:val="17"/>
                <w:color w:val="auto"/>
              </w:rPr>
            </w:pPr>
          </w:p>
        </w:tc>
        <w:tc>
          <w:tcPr>
            <w:tcW w:w="1400" w:type="dxa"/>
            <w:vAlign w:val="bottom"/>
            <w:tcBorders>
              <w:right w:val="single" w:sz="8" w:color="023C5B"/>
            </w:tcBorders>
          </w:tcPr>
          <w:p>
            <w:pPr>
              <w:jc w:val="center"/>
              <w:ind w:left="106"/>
              <w:spacing w:after="0"/>
              <w:rPr>
                <w:sz w:val="20"/>
                <w:szCs w:val="20"/>
                <w:color w:val="auto"/>
              </w:rPr>
            </w:pPr>
            <w:r>
              <w:rPr>
                <w:rFonts w:ascii="Arial" w:cs="Arial" w:eastAsia="Arial" w:hAnsi="Arial"/>
                <w:sz w:val="14"/>
                <w:szCs w:val="14"/>
                <w:color w:val="auto"/>
                <w:w w:val="99"/>
              </w:rPr>
              <w:t>Measure</w:t>
            </w:r>
          </w:p>
        </w:tc>
        <w:tc>
          <w:tcPr>
            <w:tcW w:w="1300" w:type="dxa"/>
            <w:vAlign w:val="bottom"/>
            <w:tcBorders>
              <w:right w:val="single" w:sz="8" w:color="023C5B"/>
            </w:tcBorders>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220" w:type="dxa"/>
            <w:vAlign w:val="bottom"/>
            <w:tcBorders>
              <w:bottom w:val="single" w:sz="8" w:color="023C5B"/>
            </w:tcBorders>
            <w:shd w:val="clear" w:color="auto" w:fill="023C5B"/>
          </w:tcPr>
          <w:p>
            <w:pPr>
              <w:spacing w:after="0"/>
              <w:rPr>
                <w:sz w:val="7"/>
                <w:szCs w:val="7"/>
                <w:color w:val="auto"/>
              </w:rPr>
            </w:pPr>
          </w:p>
        </w:tc>
        <w:tc>
          <w:tcPr>
            <w:tcW w:w="440" w:type="dxa"/>
            <w:vAlign w:val="bottom"/>
            <w:tcBorders>
              <w:bottom w:val="single" w:sz="8" w:color="023C5B"/>
            </w:tcBorders>
            <w:shd w:val="clear" w:color="auto" w:fill="023C5B"/>
          </w:tcPr>
          <w:p>
            <w:pPr>
              <w:spacing w:after="0"/>
              <w:rPr>
                <w:sz w:val="7"/>
                <w:szCs w:val="7"/>
                <w:color w:val="auto"/>
              </w:rPr>
            </w:pPr>
          </w:p>
        </w:tc>
        <w:tc>
          <w:tcPr>
            <w:tcW w:w="320" w:type="dxa"/>
            <w:vAlign w:val="bottom"/>
            <w:tcBorders>
              <w:bottom w:val="single" w:sz="8" w:color="023C5B"/>
            </w:tcBorders>
          </w:tcPr>
          <w:p>
            <w:pPr>
              <w:spacing w:after="0"/>
              <w:rPr>
                <w:sz w:val="7"/>
                <w:szCs w:val="7"/>
                <w:color w:val="auto"/>
              </w:rPr>
            </w:pPr>
          </w:p>
        </w:tc>
        <w:tc>
          <w:tcPr>
            <w:tcW w:w="3080" w:type="dxa"/>
            <w:vAlign w:val="bottom"/>
            <w:tcBorders>
              <w:bottom w:val="single" w:sz="8" w:color="023C5B"/>
              <w:right w:val="single" w:sz="8" w:color="023C5B"/>
            </w:tcBorders>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Borders>
              <w:right w:val="single" w:sz="8" w:color="023C5B"/>
            </w:tcBorders>
          </w:tcPr>
          <w:p>
            <w:pPr>
              <w:spacing w:after="0"/>
              <w:rPr>
                <w:sz w:val="7"/>
                <w:szCs w:val="7"/>
                <w:color w:val="auto"/>
              </w:rPr>
            </w:pPr>
          </w:p>
        </w:tc>
        <w:tc>
          <w:tcPr>
            <w:tcW w:w="1640" w:type="dxa"/>
            <w:vAlign w:val="bottom"/>
            <w:tcBorders>
              <w:right w:val="single" w:sz="8" w:color="023C5B"/>
            </w:tcBorders>
          </w:tcPr>
          <w:p>
            <w:pPr>
              <w:spacing w:after="0"/>
              <w:rPr>
                <w:sz w:val="7"/>
                <w:szCs w:val="7"/>
                <w:color w:val="auto"/>
              </w:rPr>
            </w:pPr>
          </w:p>
        </w:tc>
        <w:tc>
          <w:tcPr>
            <w:tcW w:w="1400" w:type="dxa"/>
            <w:vAlign w:val="bottom"/>
            <w:tcBorders>
              <w:bottom w:val="single" w:sz="8" w:color="023C5B"/>
              <w:right w:val="single" w:sz="8" w:color="023C5B"/>
            </w:tcBorders>
          </w:tcPr>
          <w:p>
            <w:pPr>
              <w:spacing w:after="0"/>
              <w:rPr>
                <w:sz w:val="7"/>
                <w:szCs w:val="7"/>
                <w:color w:val="auto"/>
              </w:rPr>
            </w:pPr>
          </w:p>
        </w:tc>
        <w:tc>
          <w:tcPr>
            <w:tcW w:w="1300" w:type="dxa"/>
            <w:vAlign w:val="bottom"/>
            <w:tcBorders>
              <w:bottom w:val="single" w:sz="8" w:color="023C5B"/>
              <w:right w:val="single" w:sz="8" w:color="023C5B"/>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660" w:type="dxa"/>
            <w:vAlign w:val="bottom"/>
            <w:gridSpan w:val="2"/>
            <w:vMerge w:val="restart"/>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TSR Performance</w:t>
            </w:r>
          </w:p>
        </w:tc>
        <w:tc>
          <w:tcPr>
            <w:tcW w:w="320" w:type="dxa"/>
            <w:vAlign w:val="bottom"/>
          </w:tcPr>
          <w:p>
            <w:pPr>
              <w:spacing w:after="0"/>
              <w:rPr>
                <w:sz w:val="19"/>
                <w:szCs w:val="19"/>
                <w:color w:val="auto"/>
              </w:rPr>
            </w:pPr>
          </w:p>
        </w:tc>
        <w:tc>
          <w:tcPr>
            <w:tcW w:w="3080" w:type="dxa"/>
            <w:vAlign w:val="bottom"/>
            <w:tcBorders>
              <w:right w:val="single" w:sz="8" w:color="023C5B"/>
            </w:tcBorders>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Borders>
              <w:right w:val="single" w:sz="8" w:color="023C5B"/>
            </w:tcBorders>
          </w:tcPr>
          <w:p>
            <w:pPr>
              <w:spacing w:after="0"/>
              <w:rPr>
                <w:sz w:val="19"/>
                <w:szCs w:val="19"/>
                <w:color w:val="auto"/>
              </w:rPr>
            </w:pPr>
          </w:p>
        </w:tc>
        <w:tc>
          <w:tcPr>
            <w:tcW w:w="1640" w:type="dxa"/>
            <w:vAlign w:val="bottom"/>
            <w:tcBorders>
              <w:right w:val="single" w:sz="8" w:color="023C5B"/>
            </w:tcBorders>
          </w:tcPr>
          <w:p>
            <w:pPr>
              <w:spacing w:after="0"/>
              <w:rPr>
                <w:sz w:val="19"/>
                <w:szCs w:val="19"/>
                <w:color w:val="auto"/>
              </w:rPr>
            </w:pPr>
          </w:p>
        </w:tc>
        <w:tc>
          <w:tcPr>
            <w:tcW w:w="1400" w:type="dxa"/>
            <w:vAlign w:val="bottom"/>
            <w:tcBorders>
              <w:right w:val="single" w:sz="8" w:color="023C5B"/>
            </w:tcBorders>
          </w:tcPr>
          <w:p>
            <w:pPr>
              <w:jc w:val="center"/>
              <w:ind w:left="106"/>
              <w:spacing w:after="0"/>
              <w:rPr>
                <w:sz w:val="20"/>
                <w:szCs w:val="20"/>
                <w:color w:val="auto"/>
              </w:rPr>
            </w:pPr>
            <w:r>
              <w:rPr>
                <w:rFonts w:ascii="Arial" w:cs="Arial" w:eastAsia="Arial" w:hAnsi="Arial"/>
                <w:sz w:val="14"/>
                <w:szCs w:val="14"/>
                <w:color w:val="auto"/>
                <w:w w:val="98"/>
              </w:rPr>
              <w:t>Relative</w:t>
            </w:r>
          </w:p>
        </w:tc>
        <w:tc>
          <w:tcPr>
            <w:tcW w:w="1300" w:type="dxa"/>
            <w:vAlign w:val="bottom"/>
            <w:tcBorders>
              <w:right w:val="single" w:sz="8" w:color="023C5B"/>
            </w:tcBorders>
            <w:vMerge w:val="restart"/>
          </w:tcPr>
          <w:p>
            <w:pPr>
              <w:jc w:val="center"/>
              <w:ind w:left="106"/>
              <w:spacing w:after="0"/>
              <w:rPr>
                <w:sz w:val="20"/>
                <w:szCs w:val="20"/>
                <w:color w:val="auto"/>
              </w:rPr>
            </w:pPr>
            <w:r>
              <w:rPr>
                <w:rFonts w:ascii="Arial" w:cs="Arial" w:eastAsia="Arial" w:hAnsi="Arial"/>
                <w:sz w:val="14"/>
                <w:szCs w:val="14"/>
                <w:color w:val="auto"/>
              </w:rPr>
              <w:t>CEO Only</w:t>
            </w:r>
          </w:p>
        </w:tc>
        <w:tc>
          <w:tcPr>
            <w:tcW w:w="0" w:type="dxa"/>
            <w:vAlign w:val="bottom"/>
          </w:tcPr>
          <w:p>
            <w:pPr>
              <w:spacing w:after="0"/>
              <w:rPr>
                <w:sz w:val="1"/>
                <w:szCs w:val="1"/>
                <w:color w:val="auto"/>
              </w:rPr>
            </w:pPr>
          </w:p>
        </w:tc>
      </w:tr>
      <w:tr>
        <w:trPr>
          <w:trHeight w:val="143"/>
        </w:trPr>
        <w:tc>
          <w:tcPr>
            <w:tcW w:w="1660" w:type="dxa"/>
            <w:vAlign w:val="bottom"/>
            <w:gridSpan w:val="2"/>
            <w:vMerge w:val="continue"/>
            <w:shd w:val="clear" w:color="auto" w:fill="023C5B"/>
          </w:tcPr>
          <w:p>
            <w:pPr>
              <w:spacing w:after="0"/>
              <w:rPr>
                <w:sz w:val="12"/>
                <w:szCs w:val="12"/>
                <w:color w:val="auto"/>
              </w:rPr>
            </w:pPr>
          </w:p>
        </w:tc>
        <w:tc>
          <w:tcPr>
            <w:tcW w:w="320" w:type="dxa"/>
            <w:vAlign w:val="bottom"/>
          </w:tcPr>
          <w:p>
            <w:pPr>
              <w:spacing w:after="0"/>
              <w:rPr>
                <w:sz w:val="12"/>
                <w:szCs w:val="12"/>
                <w:color w:val="auto"/>
              </w:rPr>
            </w:pPr>
          </w:p>
        </w:tc>
        <w:tc>
          <w:tcPr>
            <w:tcW w:w="3080" w:type="dxa"/>
            <w:vAlign w:val="bottom"/>
            <w:tcBorders>
              <w:right w:val="single" w:sz="8" w:color="023C5B"/>
            </w:tcBorders>
            <w:vMerge w:val="restart"/>
          </w:tcPr>
          <w:p>
            <w:pPr>
              <w:jc w:val="center"/>
              <w:spacing w:after="0"/>
              <w:rPr>
                <w:sz w:val="20"/>
                <w:szCs w:val="20"/>
                <w:color w:val="auto"/>
              </w:rPr>
            </w:pPr>
            <w:r>
              <w:rPr>
                <w:rFonts w:ascii="Arial" w:cs="Arial" w:eastAsia="Arial" w:hAnsi="Arial"/>
                <w:sz w:val="14"/>
                <w:szCs w:val="14"/>
                <w:color w:val="auto"/>
                <w:w w:val="99"/>
              </w:rPr>
              <w:t>TSR</w:t>
            </w:r>
          </w:p>
        </w:tc>
        <w:tc>
          <w:tcPr>
            <w:tcW w:w="1420" w:type="dxa"/>
            <w:vAlign w:val="bottom"/>
          </w:tcPr>
          <w:p>
            <w:pPr>
              <w:spacing w:after="0"/>
              <w:rPr>
                <w:sz w:val="12"/>
                <w:szCs w:val="12"/>
                <w:color w:val="auto"/>
              </w:rPr>
            </w:pPr>
          </w:p>
        </w:tc>
        <w:tc>
          <w:tcPr>
            <w:tcW w:w="120" w:type="dxa"/>
            <w:vAlign w:val="bottom"/>
            <w:tcBorders>
              <w:right w:val="single" w:sz="8" w:color="023C5B"/>
            </w:tcBorders>
          </w:tcPr>
          <w:p>
            <w:pPr>
              <w:spacing w:after="0"/>
              <w:rPr>
                <w:sz w:val="12"/>
                <w:szCs w:val="12"/>
                <w:color w:val="auto"/>
              </w:rPr>
            </w:pPr>
          </w:p>
        </w:tc>
        <w:tc>
          <w:tcPr>
            <w:tcW w:w="1640" w:type="dxa"/>
            <w:vAlign w:val="bottom"/>
            <w:tcBorders>
              <w:right w:val="single" w:sz="8" w:color="023C5B"/>
            </w:tcBorders>
          </w:tcPr>
          <w:p>
            <w:pPr>
              <w:spacing w:after="0"/>
              <w:rPr>
                <w:sz w:val="12"/>
                <w:szCs w:val="12"/>
                <w:color w:val="auto"/>
              </w:rPr>
            </w:pPr>
          </w:p>
        </w:tc>
        <w:tc>
          <w:tcPr>
            <w:tcW w:w="1400" w:type="dxa"/>
            <w:vAlign w:val="bottom"/>
            <w:tcBorders>
              <w:right w:val="single" w:sz="8" w:color="023C5B"/>
            </w:tcBorders>
          </w:tcPr>
          <w:p>
            <w:pPr>
              <w:jc w:val="center"/>
              <w:ind w:left="106"/>
              <w:spacing w:after="0" w:line="143" w:lineRule="exact"/>
              <w:rPr>
                <w:sz w:val="20"/>
                <w:szCs w:val="20"/>
                <w:color w:val="auto"/>
              </w:rPr>
            </w:pPr>
            <w:r>
              <w:rPr>
                <w:rFonts w:ascii="Arial" w:cs="Arial" w:eastAsia="Arial" w:hAnsi="Arial"/>
                <w:sz w:val="14"/>
                <w:szCs w:val="14"/>
                <w:color w:val="auto"/>
              </w:rPr>
              <w:t>Performance</w:t>
            </w:r>
          </w:p>
        </w:tc>
        <w:tc>
          <w:tcPr>
            <w:tcW w:w="1300" w:type="dxa"/>
            <w:vAlign w:val="bottom"/>
            <w:tcBorders>
              <w:right w:val="single" w:sz="8" w:color="023C5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660" w:type="dxa"/>
            <w:vAlign w:val="bottom"/>
            <w:gridSpan w:val="2"/>
            <w:shd w:val="clear" w:color="auto" w:fill="023C5B"/>
          </w:tcPr>
          <w:p>
            <w:pPr>
              <w:ind w:left="640"/>
              <w:spacing w:after="0"/>
              <w:rPr>
                <w:sz w:val="20"/>
                <w:szCs w:val="20"/>
                <w:color w:val="auto"/>
              </w:rPr>
            </w:pPr>
            <w:r>
              <w:rPr>
                <w:rFonts w:ascii="Arial" w:cs="Arial" w:eastAsia="Arial" w:hAnsi="Arial"/>
                <w:sz w:val="16"/>
                <w:szCs w:val="16"/>
                <w:b w:val="1"/>
                <w:bCs w:val="1"/>
                <w:color w:val="FFFFFF"/>
              </w:rPr>
              <w:t>Shares</w:t>
            </w:r>
          </w:p>
        </w:tc>
        <w:tc>
          <w:tcPr>
            <w:tcW w:w="320" w:type="dxa"/>
            <w:vAlign w:val="bottom"/>
          </w:tcPr>
          <w:p>
            <w:pPr>
              <w:spacing w:after="0"/>
              <w:rPr>
                <w:sz w:val="19"/>
                <w:szCs w:val="19"/>
                <w:color w:val="auto"/>
              </w:rPr>
            </w:pPr>
          </w:p>
        </w:tc>
        <w:tc>
          <w:tcPr>
            <w:tcW w:w="3080" w:type="dxa"/>
            <w:vAlign w:val="bottom"/>
            <w:tcBorders>
              <w:right w:val="single" w:sz="8" w:color="023C5B"/>
            </w:tcBorders>
            <w:vMerge w:val="continue"/>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Borders>
              <w:right w:val="single" w:sz="8" w:color="023C5B"/>
            </w:tcBorders>
          </w:tcPr>
          <w:p>
            <w:pPr>
              <w:spacing w:after="0"/>
              <w:rPr>
                <w:sz w:val="19"/>
                <w:szCs w:val="19"/>
                <w:color w:val="auto"/>
              </w:rPr>
            </w:pPr>
          </w:p>
        </w:tc>
        <w:tc>
          <w:tcPr>
            <w:tcW w:w="1640" w:type="dxa"/>
            <w:vAlign w:val="bottom"/>
            <w:tcBorders>
              <w:right w:val="single" w:sz="8" w:color="023C5B"/>
            </w:tcBorders>
          </w:tcPr>
          <w:p>
            <w:pPr>
              <w:spacing w:after="0"/>
              <w:rPr>
                <w:sz w:val="19"/>
                <w:szCs w:val="19"/>
                <w:color w:val="auto"/>
              </w:rPr>
            </w:pPr>
          </w:p>
        </w:tc>
        <w:tc>
          <w:tcPr>
            <w:tcW w:w="1400" w:type="dxa"/>
            <w:vAlign w:val="bottom"/>
            <w:tcBorders>
              <w:right w:val="single" w:sz="8" w:color="023C5B"/>
            </w:tcBorders>
          </w:tcPr>
          <w:p>
            <w:pPr>
              <w:jc w:val="center"/>
              <w:ind w:left="106"/>
              <w:spacing w:after="0"/>
              <w:rPr>
                <w:sz w:val="20"/>
                <w:szCs w:val="20"/>
                <w:color w:val="auto"/>
              </w:rPr>
            </w:pPr>
            <w:r>
              <w:rPr>
                <w:rFonts w:ascii="Arial" w:cs="Arial" w:eastAsia="Arial" w:hAnsi="Arial"/>
                <w:sz w:val="14"/>
                <w:szCs w:val="14"/>
                <w:color w:val="auto"/>
                <w:w w:val="99"/>
              </w:rPr>
              <w:t>Measure</w:t>
            </w:r>
          </w:p>
        </w:tc>
        <w:tc>
          <w:tcPr>
            <w:tcW w:w="1300" w:type="dxa"/>
            <w:vAlign w:val="bottom"/>
            <w:tcBorders>
              <w:right w:val="single" w:sz="8" w:color="023C5B"/>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1220" w:type="dxa"/>
            <w:vAlign w:val="bottom"/>
            <w:tcBorders>
              <w:bottom w:val="single" w:sz="8" w:color="023C5B"/>
            </w:tcBorders>
            <w:shd w:val="clear" w:color="auto" w:fill="023C5B"/>
          </w:tcPr>
          <w:p>
            <w:pPr>
              <w:spacing w:after="0"/>
              <w:rPr>
                <w:sz w:val="4"/>
                <w:szCs w:val="4"/>
                <w:color w:val="auto"/>
              </w:rPr>
            </w:pPr>
          </w:p>
        </w:tc>
        <w:tc>
          <w:tcPr>
            <w:tcW w:w="440" w:type="dxa"/>
            <w:vAlign w:val="bottom"/>
            <w:tcBorders>
              <w:bottom w:val="single" w:sz="8" w:color="023C5B"/>
            </w:tcBorders>
            <w:shd w:val="clear" w:color="auto" w:fill="023C5B"/>
          </w:tcPr>
          <w:p>
            <w:pPr>
              <w:spacing w:after="0"/>
              <w:rPr>
                <w:sz w:val="4"/>
                <w:szCs w:val="4"/>
                <w:color w:val="auto"/>
              </w:rPr>
            </w:pPr>
          </w:p>
        </w:tc>
        <w:tc>
          <w:tcPr>
            <w:tcW w:w="320" w:type="dxa"/>
            <w:vAlign w:val="bottom"/>
            <w:tcBorders>
              <w:bottom w:val="single" w:sz="8" w:color="023C5B"/>
            </w:tcBorders>
          </w:tcPr>
          <w:p>
            <w:pPr>
              <w:spacing w:after="0"/>
              <w:rPr>
                <w:sz w:val="4"/>
                <w:szCs w:val="4"/>
                <w:color w:val="auto"/>
              </w:rPr>
            </w:pPr>
          </w:p>
        </w:tc>
        <w:tc>
          <w:tcPr>
            <w:tcW w:w="3080" w:type="dxa"/>
            <w:vAlign w:val="bottom"/>
            <w:tcBorders>
              <w:bottom w:val="single" w:sz="8" w:color="023C5B"/>
              <w:right w:val="single" w:sz="8" w:color="023C5B"/>
            </w:tcBorders>
          </w:tcPr>
          <w:p>
            <w:pPr>
              <w:spacing w:after="0"/>
              <w:rPr>
                <w:sz w:val="4"/>
                <w:szCs w:val="4"/>
                <w:color w:val="auto"/>
              </w:rPr>
            </w:pPr>
          </w:p>
        </w:tc>
        <w:tc>
          <w:tcPr>
            <w:tcW w:w="1420" w:type="dxa"/>
            <w:vAlign w:val="bottom"/>
            <w:tcBorders>
              <w:bottom w:val="single" w:sz="8" w:color="023C5B"/>
            </w:tcBorders>
          </w:tcPr>
          <w:p>
            <w:pPr>
              <w:spacing w:after="0"/>
              <w:rPr>
                <w:sz w:val="4"/>
                <w:szCs w:val="4"/>
                <w:color w:val="auto"/>
              </w:rPr>
            </w:pPr>
          </w:p>
        </w:tc>
        <w:tc>
          <w:tcPr>
            <w:tcW w:w="120" w:type="dxa"/>
            <w:vAlign w:val="bottom"/>
            <w:tcBorders>
              <w:bottom w:val="single" w:sz="8" w:color="023C5B"/>
              <w:right w:val="single" w:sz="8" w:color="023C5B"/>
            </w:tcBorders>
          </w:tcPr>
          <w:p>
            <w:pPr>
              <w:spacing w:after="0"/>
              <w:rPr>
                <w:sz w:val="4"/>
                <w:szCs w:val="4"/>
                <w:color w:val="auto"/>
              </w:rPr>
            </w:pPr>
          </w:p>
        </w:tc>
        <w:tc>
          <w:tcPr>
            <w:tcW w:w="1640" w:type="dxa"/>
            <w:vAlign w:val="bottom"/>
            <w:tcBorders>
              <w:bottom w:val="single" w:sz="8" w:color="023C5B"/>
              <w:right w:val="single" w:sz="8" w:color="023C5B"/>
            </w:tcBorders>
          </w:tcPr>
          <w:p>
            <w:pPr>
              <w:spacing w:after="0"/>
              <w:rPr>
                <w:sz w:val="4"/>
                <w:szCs w:val="4"/>
                <w:color w:val="auto"/>
              </w:rPr>
            </w:pPr>
          </w:p>
        </w:tc>
        <w:tc>
          <w:tcPr>
            <w:tcW w:w="1400" w:type="dxa"/>
            <w:vAlign w:val="bottom"/>
            <w:tcBorders>
              <w:bottom w:val="single" w:sz="8" w:color="023C5B"/>
              <w:right w:val="single" w:sz="8" w:color="023C5B"/>
            </w:tcBorders>
          </w:tcPr>
          <w:p>
            <w:pPr>
              <w:spacing w:after="0"/>
              <w:rPr>
                <w:sz w:val="4"/>
                <w:szCs w:val="4"/>
                <w:color w:val="auto"/>
              </w:rPr>
            </w:pPr>
          </w:p>
        </w:tc>
        <w:tc>
          <w:tcPr>
            <w:tcW w:w="1300" w:type="dxa"/>
            <w:vAlign w:val="bottom"/>
            <w:tcBorders>
              <w:bottom w:val="single" w:sz="8" w:color="023C5B"/>
              <w:right w:val="single" w:sz="8" w:color="023C5B"/>
            </w:tcBorders>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-517525</wp:posOffset>
            </wp:positionV>
            <wp:extent cx="105283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11" w:lineRule="exact"/>
        <w:rPr>
          <w:sz w:val="20"/>
          <w:szCs w:val="20"/>
          <w:color w:val="auto"/>
        </w:rPr>
      </w:pPr>
    </w:p>
    <w:p>
      <w:pPr>
        <w:jc w:val="both"/>
        <w:ind w:left="600" w:right="20" w:hanging="433"/>
        <w:spacing w:after="0" w:line="260" w:lineRule="auto"/>
        <w:tabs>
          <w:tab w:leader="none" w:pos="6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For Financial Performance Shares granted in 2026, the relative weightings to determine vesting are two-thirds and one-third for PSU Adjusted ROTCE and D+TBV/Sh, respectively. For Financial Performance Shares granted in 2025, the metrics are weighted equally. For Financial Performance Shares granted prior to 2025, the relative weightings are two-thirds and one-third for D+TBV/Sh and PSU Adjusted ROTCE, respectively.</w:t>
      </w:r>
    </w:p>
    <w:p>
      <w:pPr>
        <w:spacing w:after="0" w:line="96"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100"/>
          </w:cols>
          <w:pgMar w:left="320" w:top="478"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ind w:left="160" w:firstLine="873"/>
        <w:spacing w:after="0" w:line="265" w:lineRule="auto"/>
        <w:rPr>
          <w:sz w:val="20"/>
          <w:szCs w:val="20"/>
          <w:color w:val="auto"/>
        </w:rPr>
      </w:pPr>
      <w:r>
        <w:rPr>
          <w:rFonts w:ascii="Arial" w:cs="Arial" w:eastAsia="Arial" w:hAnsi="Arial"/>
          <w:sz w:val="18"/>
          <w:szCs w:val="18"/>
          <w:b w:val="1"/>
          <w:bCs w:val="1"/>
          <w:i w:val="1"/>
          <w:iCs w:val="1"/>
          <w:color w:val="023C5B"/>
        </w:rPr>
        <w:t>Performance Share Award Metrics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Each year, the Committee and the Independent Directors evaluate the structure and</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amount of the equity awards provided to our NEOs, including the Company performance metrics applicable to such awards.</w:t>
      </w:r>
    </w:p>
    <w:p>
      <w:pPr>
        <w:spacing w:after="0" w:line="64" w:lineRule="exact"/>
        <w:rPr>
          <w:sz w:val="20"/>
          <w:szCs w:val="20"/>
          <w:color w:val="auto"/>
        </w:rPr>
      </w:pPr>
    </w:p>
    <w:p>
      <w:pPr>
        <w:jc w:val="both"/>
        <w:ind w:left="1020" w:hanging="425"/>
        <w:spacing w:after="0" w:line="220" w:lineRule="auto"/>
        <w:tabs>
          <w:tab w:leader="none" w:pos="1020" w:val="left"/>
        </w:tabs>
        <w:numPr>
          <w:ilvl w:val="0"/>
          <w:numId w:val="76"/>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Financial Performance Shares. </w:t>
      </w:r>
      <w:r>
        <w:rPr>
          <w:rFonts w:ascii="Arial" w:cs="Arial" w:eastAsia="Arial" w:hAnsi="Arial"/>
          <w:sz w:val="18"/>
          <w:szCs w:val="18"/>
          <w:color w:val="000000"/>
        </w:rPr>
        <w:t>A portion of the performance shares granted to our CEO and all of the performance shares</w:t>
      </w:r>
      <w:r>
        <w:rPr>
          <w:rFonts w:ascii="Arial" w:cs="Arial" w:eastAsia="Arial" w:hAnsi="Arial"/>
          <w:sz w:val="18"/>
          <w:szCs w:val="18"/>
          <w:b w:val="1"/>
          <w:bCs w:val="1"/>
          <w:color w:val="023C5B"/>
        </w:rPr>
        <w:t xml:space="preserve"> </w:t>
      </w:r>
      <w:r>
        <w:rPr>
          <w:rFonts w:ascii="Arial" w:cs="Arial" w:eastAsia="Arial" w:hAnsi="Arial"/>
          <w:sz w:val="18"/>
          <w:szCs w:val="18"/>
          <w:color w:val="000000"/>
        </w:rPr>
        <w:t>granted to other NEOs for 2025 were granted in the form of Financial Performance Shares. The Committee and the Independent Directors determined that the Financial Performance Share awards granted to the CEO and the other NEOs would be based on the following two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144145</wp:posOffset>
            </wp:positionV>
            <wp:extent cx="6929755" cy="21742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29755" cy="2174240"/>
                    </a:xfrm>
                    <a:prstGeom prst="rect">
                      <a:avLst/>
                    </a:prstGeom>
                    <a:noFill/>
                  </pic:spPr>
                </pic:pic>
              </a:graphicData>
            </a:graphic>
          </wp:anchor>
        </w:drawing>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2640" w:type="dxa"/>
            <w:vAlign w:val="bottom"/>
            <w:shd w:val="clear" w:color="auto" w:fill="023C5B"/>
          </w:tcPr>
          <w:p>
            <w:pPr>
              <w:spacing w:after="0"/>
              <w:rPr>
                <w:sz w:val="22"/>
                <w:szCs w:val="22"/>
                <w:color w:val="auto"/>
              </w:rPr>
            </w:pPr>
          </w:p>
        </w:tc>
        <w:tc>
          <w:tcPr>
            <w:tcW w:w="100" w:type="dxa"/>
            <w:vAlign w:val="bottom"/>
            <w:shd w:val="clear" w:color="auto" w:fill="E5EBEE"/>
          </w:tcPr>
          <w:p>
            <w:pPr>
              <w:spacing w:after="0"/>
              <w:rPr>
                <w:sz w:val="22"/>
                <w:szCs w:val="22"/>
                <w:color w:val="auto"/>
              </w:rPr>
            </w:pPr>
          </w:p>
        </w:tc>
        <w:tc>
          <w:tcPr>
            <w:tcW w:w="8180" w:type="dxa"/>
            <w:vAlign w:val="bottom"/>
            <w:shd w:val="clear" w:color="auto" w:fill="E5EBEE"/>
          </w:tcPr>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PSU Adjusted ROTCE rewards balanced capital management and stewardship while capturing current and</w:t>
            </w:r>
          </w:p>
        </w:tc>
        <w:tc>
          <w:tcPr>
            <w:tcW w:w="0" w:type="dxa"/>
            <w:vAlign w:val="bottom"/>
          </w:tcPr>
          <w:p>
            <w:pPr>
              <w:spacing w:after="0"/>
              <w:rPr>
                <w:sz w:val="1"/>
                <w:szCs w:val="1"/>
                <w:color w:val="auto"/>
              </w:rPr>
            </w:pPr>
          </w:p>
        </w:tc>
      </w:tr>
      <w:tr>
        <w:trPr>
          <w:trHeight w:val="187"/>
        </w:trPr>
        <w:tc>
          <w:tcPr>
            <w:tcW w:w="2640" w:type="dxa"/>
            <w:vAlign w:val="bottom"/>
            <w:shd w:val="clear" w:color="auto" w:fill="023C5B"/>
          </w:tcPr>
          <w:p>
            <w:pPr>
              <w:spacing w:after="0"/>
              <w:rPr>
                <w:sz w:val="16"/>
                <w:szCs w:val="16"/>
                <w:color w:val="auto"/>
              </w:rPr>
            </w:pPr>
          </w:p>
        </w:tc>
        <w:tc>
          <w:tcPr>
            <w:tcW w:w="100" w:type="dxa"/>
            <w:vAlign w:val="bottom"/>
            <w:shd w:val="clear" w:color="auto" w:fill="E5EBEE"/>
          </w:tcPr>
          <w:p>
            <w:pPr>
              <w:spacing w:after="0"/>
              <w:rPr>
                <w:sz w:val="16"/>
                <w:szCs w:val="16"/>
                <w:color w:val="auto"/>
              </w:rPr>
            </w:pPr>
          </w:p>
        </w:tc>
        <w:tc>
          <w:tcPr>
            <w:tcW w:w="8180" w:type="dxa"/>
            <w:vAlign w:val="bottom"/>
            <w:shd w:val="clear" w:color="auto" w:fill="E5EBEE"/>
          </w:tcPr>
          <w:p>
            <w:pPr>
              <w:ind w:left="380"/>
              <w:spacing w:after="0"/>
              <w:rPr>
                <w:sz w:val="20"/>
                <w:szCs w:val="20"/>
                <w:color w:val="auto"/>
              </w:rPr>
            </w:pPr>
            <w:r>
              <w:rPr>
                <w:rFonts w:ascii="Arial" w:cs="Arial" w:eastAsia="Arial" w:hAnsi="Arial"/>
                <w:sz w:val="16"/>
                <w:szCs w:val="16"/>
                <w:color w:val="auto"/>
              </w:rPr>
              <w:t>historical business performance and profitability as compared to the size of our stockholders’ investment in</w:t>
            </w:r>
          </w:p>
        </w:tc>
        <w:tc>
          <w:tcPr>
            <w:tcW w:w="0" w:type="dxa"/>
            <w:vAlign w:val="bottom"/>
          </w:tcPr>
          <w:p>
            <w:pPr>
              <w:spacing w:after="0"/>
              <w:rPr>
                <w:sz w:val="1"/>
                <w:szCs w:val="1"/>
                <w:color w:val="auto"/>
              </w:rPr>
            </w:pPr>
          </w:p>
        </w:tc>
      </w:tr>
      <w:tr>
        <w:trPr>
          <w:trHeight w:val="187"/>
        </w:trPr>
        <w:tc>
          <w:tcPr>
            <w:tcW w:w="2640" w:type="dxa"/>
            <w:vAlign w:val="bottom"/>
            <w:vMerge w:val="restart"/>
            <w:shd w:val="clear" w:color="auto" w:fill="023C5B"/>
          </w:tcPr>
          <w:p>
            <w:pPr>
              <w:jc w:val="center"/>
              <w:spacing w:after="0"/>
              <w:rPr>
                <w:sz w:val="20"/>
                <w:szCs w:val="20"/>
                <w:color w:val="auto"/>
              </w:rPr>
            </w:pPr>
            <w:r>
              <w:rPr>
                <w:rFonts w:ascii="Arial" w:cs="Arial" w:eastAsia="Arial" w:hAnsi="Arial"/>
                <w:sz w:val="18"/>
                <w:szCs w:val="18"/>
                <w:b w:val="1"/>
                <w:bCs w:val="1"/>
                <w:color w:val="FFFFFF"/>
              </w:rPr>
              <w:t xml:space="preserve">PSU Adjusted Return on   </w:t>
            </w:r>
          </w:p>
        </w:tc>
        <w:tc>
          <w:tcPr>
            <w:tcW w:w="100" w:type="dxa"/>
            <w:vAlign w:val="bottom"/>
            <w:shd w:val="clear" w:color="auto" w:fill="E5EBEE"/>
          </w:tcPr>
          <w:p>
            <w:pPr>
              <w:spacing w:after="0"/>
              <w:rPr>
                <w:sz w:val="16"/>
                <w:szCs w:val="16"/>
                <w:color w:val="auto"/>
              </w:rPr>
            </w:pPr>
          </w:p>
        </w:tc>
        <w:tc>
          <w:tcPr>
            <w:tcW w:w="8180" w:type="dxa"/>
            <w:vAlign w:val="bottom"/>
            <w:shd w:val="clear" w:color="auto" w:fill="E5EBEE"/>
          </w:tcPr>
          <w:p>
            <w:pPr>
              <w:ind w:left="380"/>
              <w:spacing w:after="0"/>
              <w:rPr>
                <w:sz w:val="20"/>
                <w:szCs w:val="20"/>
                <w:color w:val="auto"/>
              </w:rPr>
            </w:pPr>
            <w:r>
              <w:rPr>
                <w:rFonts w:ascii="Arial" w:cs="Arial" w:eastAsia="Arial" w:hAnsi="Arial"/>
                <w:sz w:val="16"/>
                <w:szCs w:val="16"/>
                <w:color w:val="auto"/>
              </w:rPr>
              <w:t>the Company. ROTCE is broadly used in banking as a key performance indicator and component in peer</w:t>
            </w:r>
          </w:p>
        </w:tc>
        <w:tc>
          <w:tcPr>
            <w:tcW w:w="0" w:type="dxa"/>
            <w:vAlign w:val="bottom"/>
          </w:tcPr>
          <w:p>
            <w:pPr>
              <w:spacing w:after="0"/>
              <w:rPr>
                <w:sz w:val="1"/>
                <w:szCs w:val="1"/>
                <w:color w:val="auto"/>
              </w:rPr>
            </w:pPr>
          </w:p>
        </w:tc>
      </w:tr>
      <w:tr>
        <w:trPr>
          <w:trHeight w:val="161"/>
        </w:trPr>
        <w:tc>
          <w:tcPr>
            <w:tcW w:w="2640" w:type="dxa"/>
            <w:vAlign w:val="bottom"/>
            <w:vMerge w:val="continue"/>
            <w:shd w:val="clear" w:color="auto" w:fill="023C5B"/>
          </w:tcPr>
          <w:p>
            <w:pPr>
              <w:spacing w:after="0"/>
              <w:rPr>
                <w:sz w:val="14"/>
                <w:szCs w:val="14"/>
                <w:color w:val="auto"/>
              </w:rPr>
            </w:pPr>
          </w:p>
        </w:tc>
        <w:tc>
          <w:tcPr>
            <w:tcW w:w="100" w:type="dxa"/>
            <w:vAlign w:val="bottom"/>
            <w:shd w:val="clear" w:color="auto" w:fill="E5EBEE"/>
          </w:tcPr>
          <w:p>
            <w:pPr>
              <w:spacing w:after="0"/>
              <w:rPr>
                <w:sz w:val="14"/>
                <w:szCs w:val="14"/>
                <w:color w:val="auto"/>
              </w:rPr>
            </w:pPr>
          </w:p>
        </w:tc>
        <w:tc>
          <w:tcPr>
            <w:tcW w:w="8180" w:type="dxa"/>
            <w:vAlign w:val="bottom"/>
            <w:shd w:val="clear" w:color="auto" w:fill="E5EBEE"/>
          </w:tcPr>
          <w:p>
            <w:pPr>
              <w:ind w:left="380"/>
              <w:spacing w:after="0" w:line="161" w:lineRule="exact"/>
              <w:rPr>
                <w:sz w:val="20"/>
                <w:szCs w:val="20"/>
                <w:color w:val="auto"/>
              </w:rPr>
            </w:pPr>
            <w:r>
              <w:rPr>
                <w:rFonts w:ascii="Arial" w:cs="Arial" w:eastAsia="Arial" w:hAnsi="Arial"/>
                <w:sz w:val="16"/>
                <w:szCs w:val="16"/>
                <w:color w:val="auto"/>
              </w:rPr>
              <w:t>executive compensation programs.</w:t>
            </w:r>
          </w:p>
        </w:tc>
        <w:tc>
          <w:tcPr>
            <w:tcW w:w="0" w:type="dxa"/>
            <w:vAlign w:val="bottom"/>
          </w:tcPr>
          <w:p>
            <w:pPr>
              <w:spacing w:after="0"/>
              <w:rPr>
                <w:sz w:val="1"/>
                <w:szCs w:val="1"/>
                <w:color w:val="auto"/>
              </w:rPr>
            </w:pPr>
          </w:p>
        </w:tc>
      </w:tr>
      <w:tr>
        <w:trPr>
          <w:trHeight w:val="155"/>
        </w:trPr>
        <w:tc>
          <w:tcPr>
            <w:tcW w:w="2640" w:type="dxa"/>
            <w:vAlign w:val="bottom"/>
            <w:shd w:val="clear" w:color="auto" w:fill="023C5B"/>
          </w:tcPr>
          <w:p>
            <w:pPr>
              <w:jc w:val="center"/>
              <w:spacing w:after="0" w:line="155" w:lineRule="exact"/>
              <w:rPr>
                <w:sz w:val="20"/>
                <w:szCs w:val="20"/>
                <w:color w:val="auto"/>
              </w:rPr>
            </w:pPr>
            <w:r>
              <w:rPr>
                <w:rFonts w:ascii="Arial" w:cs="Arial" w:eastAsia="Arial" w:hAnsi="Arial"/>
                <w:sz w:val="17"/>
                <w:szCs w:val="17"/>
                <w:b w:val="1"/>
                <w:bCs w:val="1"/>
                <w:color w:val="FFFFFF"/>
              </w:rPr>
              <w:t xml:space="preserve">Tangible Common Equity   </w:t>
            </w:r>
          </w:p>
        </w:tc>
        <w:tc>
          <w:tcPr>
            <w:tcW w:w="100" w:type="dxa"/>
            <w:vAlign w:val="bottom"/>
            <w:shd w:val="clear" w:color="auto" w:fill="E5EBEE"/>
          </w:tcPr>
          <w:p>
            <w:pPr>
              <w:spacing w:after="0"/>
              <w:rPr>
                <w:sz w:val="13"/>
                <w:szCs w:val="13"/>
                <w:color w:val="auto"/>
              </w:rPr>
            </w:pPr>
          </w:p>
        </w:tc>
        <w:tc>
          <w:tcPr>
            <w:tcW w:w="8180" w:type="dxa"/>
            <w:vAlign w:val="bottom"/>
            <w:vMerge w:val="restart"/>
            <w:shd w:val="clear" w:color="auto" w:fill="E5EBEE"/>
          </w:tcPr>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PSU Adjusted ROTCE is calculated as the ratio, expressed as a percentage, of (i) the Company’s net</w:t>
            </w:r>
          </w:p>
        </w:tc>
        <w:tc>
          <w:tcPr>
            <w:tcW w:w="0" w:type="dxa"/>
            <w:vAlign w:val="bottom"/>
          </w:tcPr>
          <w:p>
            <w:pPr>
              <w:spacing w:after="0"/>
              <w:rPr>
                <w:sz w:val="1"/>
                <w:szCs w:val="1"/>
                <w:color w:val="auto"/>
              </w:rPr>
            </w:pPr>
          </w:p>
        </w:tc>
      </w:tr>
      <w:tr>
        <w:trPr>
          <w:trHeight w:val="179"/>
        </w:trPr>
        <w:tc>
          <w:tcPr>
            <w:tcW w:w="2640" w:type="dxa"/>
            <w:vAlign w:val="bottom"/>
            <w:shd w:val="clear" w:color="auto" w:fill="023C5B"/>
          </w:tcPr>
          <w:p>
            <w:pPr>
              <w:jc w:val="center"/>
              <w:spacing w:after="0" w:line="179" w:lineRule="exact"/>
              <w:rPr>
                <w:sz w:val="20"/>
                <w:szCs w:val="20"/>
                <w:color w:val="auto"/>
              </w:rPr>
            </w:pPr>
            <w:r>
              <w:rPr>
                <w:rFonts w:ascii="Arial" w:cs="Arial" w:eastAsia="Arial" w:hAnsi="Arial"/>
                <w:sz w:val="18"/>
                <w:szCs w:val="18"/>
                <w:b w:val="1"/>
                <w:bCs w:val="1"/>
                <w:color w:val="FFFFFF"/>
              </w:rPr>
              <w:t xml:space="preserve">(PSU Adjusted ROTCE)   </w:t>
            </w:r>
          </w:p>
        </w:tc>
        <w:tc>
          <w:tcPr>
            <w:tcW w:w="100" w:type="dxa"/>
            <w:vAlign w:val="bottom"/>
            <w:shd w:val="clear" w:color="auto" w:fill="E5EBEE"/>
          </w:tcPr>
          <w:p>
            <w:pPr>
              <w:spacing w:after="0"/>
              <w:rPr>
                <w:sz w:val="15"/>
                <w:szCs w:val="15"/>
                <w:color w:val="auto"/>
              </w:rPr>
            </w:pPr>
          </w:p>
        </w:tc>
        <w:tc>
          <w:tcPr>
            <w:tcW w:w="8180" w:type="dxa"/>
            <w:vAlign w:val="bottom"/>
            <w:vMerge w:val="continue"/>
            <w:shd w:val="clear" w:color="auto" w:fill="E5EBE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640" w:type="dxa"/>
            <w:vAlign w:val="bottom"/>
            <w:shd w:val="clear" w:color="auto" w:fill="023C5B"/>
          </w:tcPr>
          <w:p>
            <w:pPr>
              <w:spacing w:after="0"/>
              <w:rPr>
                <w:sz w:val="16"/>
                <w:szCs w:val="16"/>
                <w:color w:val="auto"/>
              </w:rPr>
            </w:pPr>
          </w:p>
        </w:tc>
        <w:tc>
          <w:tcPr>
            <w:tcW w:w="100" w:type="dxa"/>
            <w:vAlign w:val="bottom"/>
            <w:shd w:val="clear" w:color="auto" w:fill="E5EBEE"/>
          </w:tcPr>
          <w:p>
            <w:pPr>
              <w:spacing w:after="0"/>
              <w:rPr>
                <w:sz w:val="16"/>
                <w:szCs w:val="16"/>
                <w:color w:val="auto"/>
              </w:rPr>
            </w:pPr>
          </w:p>
        </w:tc>
        <w:tc>
          <w:tcPr>
            <w:tcW w:w="8180" w:type="dxa"/>
            <w:vAlign w:val="bottom"/>
            <w:shd w:val="clear" w:color="auto" w:fill="E5EBEE"/>
          </w:tcPr>
          <w:p>
            <w:pPr>
              <w:ind w:left="380"/>
              <w:spacing w:after="0"/>
              <w:rPr>
                <w:sz w:val="20"/>
                <w:szCs w:val="20"/>
                <w:color w:val="auto"/>
              </w:rPr>
            </w:pPr>
            <w:r>
              <w:rPr>
                <w:rFonts w:ascii="Arial" w:cs="Arial" w:eastAsia="Arial" w:hAnsi="Arial"/>
                <w:sz w:val="16"/>
                <w:szCs w:val="16"/>
                <w:color w:val="auto"/>
              </w:rPr>
              <w:t>income available to common stockholders, excluding, on a tax-adjusted basis, the impact of impairment,</w:t>
            </w:r>
          </w:p>
        </w:tc>
        <w:tc>
          <w:tcPr>
            <w:tcW w:w="0" w:type="dxa"/>
            <w:vAlign w:val="bottom"/>
          </w:tcPr>
          <w:p>
            <w:pPr>
              <w:spacing w:after="0"/>
              <w:rPr>
                <w:sz w:val="1"/>
                <w:szCs w:val="1"/>
                <w:color w:val="auto"/>
              </w:rPr>
            </w:pPr>
          </w:p>
        </w:tc>
      </w:tr>
      <w:tr>
        <w:trPr>
          <w:trHeight w:val="187"/>
        </w:trPr>
        <w:tc>
          <w:tcPr>
            <w:tcW w:w="2640" w:type="dxa"/>
            <w:vAlign w:val="bottom"/>
            <w:shd w:val="clear" w:color="auto" w:fill="023C5B"/>
          </w:tcPr>
          <w:p>
            <w:pPr>
              <w:spacing w:after="0"/>
              <w:rPr>
                <w:sz w:val="16"/>
                <w:szCs w:val="16"/>
                <w:color w:val="auto"/>
              </w:rPr>
            </w:pPr>
          </w:p>
        </w:tc>
        <w:tc>
          <w:tcPr>
            <w:tcW w:w="100" w:type="dxa"/>
            <w:vAlign w:val="bottom"/>
            <w:shd w:val="clear" w:color="auto" w:fill="E5EBEE"/>
          </w:tcPr>
          <w:p>
            <w:pPr>
              <w:spacing w:after="0"/>
              <w:rPr>
                <w:sz w:val="16"/>
                <w:szCs w:val="16"/>
                <w:color w:val="auto"/>
              </w:rPr>
            </w:pPr>
          </w:p>
        </w:tc>
        <w:tc>
          <w:tcPr>
            <w:tcW w:w="8180" w:type="dxa"/>
            <w:vAlign w:val="bottom"/>
            <w:shd w:val="clear" w:color="auto" w:fill="E5EBEE"/>
          </w:tcPr>
          <w:p>
            <w:pPr>
              <w:ind w:left="380"/>
              <w:spacing w:after="0"/>
              <w:rPr>
                <w:sz w:val="20"/>
                <w:szCs w:val="20"/>
                <w:color w:val="auto"/>
              </w:rPr>
            </w:pPr>
            <w:r>
              <w:rPr>
                <w:rFonts w:ascii="Arial" w:cs="Arial" w:eastAsia="Arial" w:hAnsi="Arial"/>
                <w:sz w:val="16"/>
                <w:szCs w:val="16"/>
                <w:color w:val="auto"/>
              </w:rPr>
              <w:t>amortization and re-measurement of intangible assets, to (ii) the Company’s average tangible common</w:t>
            </w:r>
          </w:p>
        </w:tc>
        <w:tc>
          <w:tcPr>
            <w:tcW w:w="0" w:type="dxa"/>
            <w:vAlign w:val="bottom"/>
          </w:tcPr>
          <w:p>
            <w:pPr>
              <w:spacing w:after="0"/>
              <w:rPr>
                <w:sz w:val="1"/>
                <w:szCs w:val="1"/>
                <w:color w:val="auto"/>
              </w:rPr>
            </w:pPr>
          </w:p>
        </w:tc>
      </w:tr>
      <w:tr>
        <w:trPr>
          <w:trHeight w:val="211"/>
        </w:trPr>
        <w:tc>
          <w:tcPr>
            <w:tcW w:w="2640" w:type="dxa"/>
            <w:vAlign w:val="bottom"/>
            <w:shd w:val="clear" w:color="auto" w:fill="023C5B"/>
          </w:tcPr>
          <w:p>
            <w:pPr>
              <w:spacing w:after="0"/>
              <w:rPr>
                <w:sz w:val="18"/>
                <w:szCs w:val="18"/>
                <w:color w:val="auto"/>
              </w:rPr>
            </w:pPr>
          </w:p>
        </w:tc>
        <w:tc>
          <w:tcPr>
            <w:tcW w:w="100" w:type="dxa"/>
            <w:vAlign w:val="bottom"/>
            <w:shd w:val="clear" w:color="auto" w:fill="E5EBEE"/>
          </w:tcPr>
          <w:p>
            <w:pPr>
              <w:spacing w:after="0"/>
              <w:rPr>
                <w:sz w:val="18"/>
                <w:szCs w:val="18"/>
                <w:color w:val="auto"/>
              </w:rPr>
            </w:pPr>
          </w:p>
        </w:tc>
        <w:tc>
          <w:tcPr>
            <w:tcW w:w="8180" w:type="dxa"/>
            <w:vAlign w:val="bottom"/>
            <w:shd w:val="clear" w:color="auto" w:fill="E5EBEE"/>
          </w:tcPr>
          <w:p>
            <w:pPr>
              <w:ind w:left="38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404"/>
        </w:trPr>
        <w:tc>
          <w:tcPr>
            <w:tcW w:w="2640" w:type="dxa"/>
            <w:vAlign w:val="bottom"/>
            <w:shd w:val="clear" w:color="auto" w:fill="023C5B"/>
          </w:tcPr>
          <w:p>
            <w:pPr>
              <w:spacing w:after="0"/>
              <w:rPr>
                <w:sz w:val="24"/>
                <w:szCs w:val="24"/>
                <w:color w:val="auto"/>
              </w:rPr>
            </w:pPr>
          </w:p>
        </w:tc>
        <w:tc>
          <w:tcPr>
            <w:tcW w:w="100" w:type="dxa"/>
            <w:vAlign w:val="bottom"/>
            <w:shd w:val="clear" w:color="auto" w:fill="E5EBEE"/>
          </w:tcPr>
          <w:p>
            <w:pPr>
              <w:spacing w:after="0"/>
              <w:rPr>
                <w:sz w:val="24"/>
                <w:szCs w:val="24"/>
                <w:color w:val="auto"/>
              </w:rPr>
            </w:pPr>
          </w:p>
        </w:tc>
        <w:tc>
          <w:tcPr>
            <w:tcW w:w="8180" w:type="dxa"/>
            <w:vAlign w:val="bottom"/>
            <w:shd w:val="clear" w:color="auto" w:fill="E5EBEE"/>
          </w:tcPr>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D+TBV/Sh rewards strong operational results, balanced stewardship of capital, and long-term stockholder</w:t>
            </w:r>
          </w:p>
        </w:tc>
        <w:tc>
          <w:tcPr>
            <w:tcW w:w="0" w:type="dxa"/>
            <w:vAlign w:val="bottom"/>
          </w:tcPr>
          <w:p>
            <w:pPr>
              <w:spacing w:after="0"/>
              <w:rPr>
                <w:sz w:val="1"/>
                <w:szCs w:val="1"/>
                <w:color w:val="auto"/>
              </w:rPr>
            </w:pPr>
          </w:p>
        </w:tc>
      </w:tr>
      <w:tr>
        <w:trPr>
          <w:trHeight w:val="187"/>
        </w:trPr>
        <w:tc>
          <w:tcPr>
            <w:tcW w:w="2640" w:type="dxa"/>
            <w:vAlign w:val="bottom"/>
            <w:vMerge w:val="restart"/>
            <w:shd w:val="clear" w:color="auto" w:fill="023C5B"/>
          </w:tcPr>
          <w:p>
            <w:pPr>
              <w:jc w:val="center"/>
              <w:spacing w:after="0"/>
              <w:rPr>
                <w:sz w:val="20"/>
                <w:szCs w:val="20"/>
                <w:color w:val="auto"/>
              </w:rPr>
            </w:pPr>
            <w:r>
              <w:rPr>
                <w:rFonts w:ascii="Arial" w:cs="Arial" w:eastAsia="Arial" w:hAnsi="Arial"/>
                <w:sz w:val="18"/>
                <w:szCs w:val="18"/>
                <w:b w:val="1"/>
                <w:bCs w:val="1"/>
                <w:color w:val="FFFFFF"/>
              </w:rPr>
              <w:t xml:space="preserve">Common Dividends +   </w:t>
            </w:r>
          </w:p>
        </w:tc>
        <w:tc>
          <w:tcPr>
            <w:tcW w:w="100" w:type="dxa"/>
            <w:vAlign w:val="bottom"/>
            <w:shd w:val="clear" w:color="auto" w:fill="E5EBEE"/>
          </w:tcPr>
          <w:p>
            <w:pPr>
              <w:spacing w:after="0"/>
              <w:rPr>
                <w:sz w:val="16"/>
                <w:szCs w:val="16"/>
                <w:color w:val="auto"/>
              </w:rPr>
            </w:pPr>
          </w:p>
        </w:tc>
        <w:tc>
          <w:tcPr>
            <w:tcW w:w="8180" w:type="dxa"/>
            <w:vAlign w:val="bottom"/>
            <w:shd w:val="clear" w:color="auto" w:fill="E5EBEE"/>
          </w:tcPr>
          <w:p>
            <w:pPr>
              <w:ind w:left="380"/>
              <w:spacing w:after="0"/>
              <w:rPr>
                <w:sz w:val="20"/>
                <w:szCs w:val="20"/>
                <w:color w:val="auto"/>
              </w:rPr>
            </w:pPr>
            <w:r>
              <w:rPr>
                <w:rFonts w:ascii="Arial" w:cs="Arial" w:eastAsia="Arial" w:hAnsi="Arial"/>
                <w:sz w:val="16"/>
                <w:szCs w:val="16"/>
                <w:color w:val="auto"/>
              </w:rPr>
              <w:t>value creation by measuring the value distributed to common stockholders (common dividends per share)</w:t>
            </w:r>
          </w:p>
        </w:tc>
        <w:tc>
          <w:tcPr>
            <w:tcW w:w="0" w:type="dxa"/>
            <w:vAlign w:val="bottom"/>
          </w:tcPr>
          <w:p>
            <w:pPr>
              <w:spacing w:after="0"/>
              <w:rPr>
                <w:sz w:val="1"/>
                <w:szCs w:val="1"/>
                <w:color w:val="auto"/>
              </w:rPr>
            </w:pPr>
          </w:p>
        </w:tc>
      </w:tr>
      <w:tr>
        <w:trPr>
          <w:trHeight w:val="89"/>
        </w:trPr>
        <w:tc>
          <w:tcPr>
            <w:tcW w:w="2640" w:type="dxa"/>
            <w:vAlign w:val="bottom"/>
            <w:vMerge w:val="continue"/>
            <w:shd w:val="clear" w:color="auto" w:fill="023C5B"/>
          </w:tcPr>
          <w:p>
            <w:pPr>
              <w:spacing w:after="0"/>
              <w:rPr>
                <w:sz w:val="7"/>
                <w:szCs w:val="7"/>
                <w:color w:val="auto"/>
              </w:rPr>
            </w:pPr>
          </w:p>
        </w:tc>
        <w:tc>
          <w:tcPr>
            <w:tcW w:w="100" w:type="dxa"/>
            <w:vAlign w:val="bottom"/>
            <w:shd w:val="clear" w:color="auto" w:fill="E5EBEE"/>
          </w:tcPr>
          <w:p>
            <w:pPr>
              <w:spacing w:after="0"/>
              <w:rPr>
                <w:sz w:val="7"/>
                <w:szCs w:val="7"/>
                <w:color w:val="auto"/>
              </w:rPr>
            </w:pPr>
          </w:p>
        </w:tc>
        <w:tc>
          <w:tcPr>
            <w:tcW w:w="8180" w:type="dxa"/>
            <w:vAlign w:val="bottom"/>
            <w:vMerge w:val="restart"/>
            <w:shd w:val="clear" w:color="auto" w:fill="E5EBEE"/>
          </w:tcPr>
          <w:p>
            <w:pPr>
              <w:ind w:left="380"/>
              <w:spacing w:after="0"/>
              <w:rPr>
                <w:sz w:val="20"/>
                <w:szCs w:val="20"/>
                <w:color w:val="auto"/>
              </w:rPr>
            </w:pPr>
            <w:r>
              <w:rPr>
                <w:rFonts w:ascii="Arial" w:cs="Arial" w:eastAsia="Arial" w:hAnsi="Arial"/>
                <w:sz w:val="16"/>
                <w:szCs w:val="16"/>
                <w:color w:val="auto"/>
              </w:rPr>
              <w:t>and the growth of company value created for common stockholders (tangible book value per share).</w:t>
            </w:r>
          </w:p>
        </w:tc>
        <w:tc>
          <w:tcPr>
            <w:tcW w:w="0" w:type="dxa"/>
            <w:vAlign w:val="bottom"/>
          </w:tcPr>
          <w:p>
            <w:pPr>
              <w:spacing w:after="0"/>
              <w:rPr>
                <w:sz w:val="1"/>
                <w:szCs w:val="1"/>
                <w:color w:val="auto"/>
              </w:rPr>
            </w:pPr>
          </w:p>
        </w:tc>
      </w:tr>
      <w:tr>
        <w:trPr>
          <w:trHeight w:val="122"/>
        </w:trPr>
        <w:tc>
          <w:tcPr>
            <w:tcW w:w="2640" w:type="dxa"/>
            <w:vAlign w:val="bottom"/>
            <w:vMerge w:val="restart"/>
            <w:shd w:val="clear" w:color="auto" w:fill="023C5B"/>
          </w:tcPr>
          <w:p>
            <w:pPr>
              <w:jc w:val="center"/>
              <w:spacing w:after="0" w:line="201" w:lineRule="exact"/>
              <w:rPr>
                <w:sz w:val="20"/>
                <w:szCs w:val="20"/>
                <w:color w:val="auto"/>
              </w:rPr>
            </w:pPr>
            <w:r>
              <w:rPr>
                <w:rFonts w:ascii="Arial" w:cs="Arial" w:eastAsia="Arial" w:hAnsi="Arial"/>
                <w:sz w:val="18"/>
                <w:szCs w:val="18"/>
                <w:b w:val="1"/>
                <w:bCs w:val="1"/>
                <w:color w:val="FFFFFF"/>
              </w:rPr>
              <w:t xml:space="preserve">Growth of Tangible Book   </w:t>
            </w:r>
          </w:p>
        </w:tc>
        <w:tc>
          <w:tcPr>
            <w:tcW w:w="100" w:type="dxa"/>
            <w:vAlign w:val="bottom"/>
            <w:shd w:val="clear" w:color="auto" w:fill="E5EBEE"/>
          </w:tcPr>
          <w:p>
            <w:pPr>
              <w:spacing w:after="0"/>
              <w:rPr>
                <w:sz w:val="10"/>
                <w:szCs w:val="10"/>
                <w:color w:val="auto"/>
              </w:rPr>
            </w:pPr>
          </w:p>
        </w:tc>
        <w:tc>
          <w:tcPr>
            <w:tcW w:w="8180" w:type="dxa"/>
            <w:vAlign w:val="bottom"/>
            <w:vMerge w:val="continue"/>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640" w:type="dxa"/>
            <w:vAlign w:val="bottom"/>
            <w:vMerge w:val="continue"/>
            <w:shd w:val="clear" w:color="auto" w:fill="023C5B"/>
          </w:tcPr>
          <w:p>
            <w:pPr>
              <w:spacing w:after="0"/>
              <w:rPr>
                <w:sz w:val="6"/>
                <w:szCs w:val="6"/>
                <w:color w:val="auto"/>
              </w:rPr>
            </w:pPr>
          </w:p>
        </w:tc>
        <w:tc>
          <w:tcPr>
            <w:tcW w:w="100" w:type="dxa"/>
            <w:vAlign w:val="bottom"/>
            <w:shd w:val="clear" w:color="auto" w:fill="E5EBEE"/>
          </w:tcPr>
          <w:p>
            <w:pPr>
              <w:spacing w:after="0"/>
              <w:rPr>
                <w:sz w:val="6"/>
                <w:szCs w:val="6"/>
                <w:color w:val="auto"/>
              </w:rPr>
            </w:pPr>
          </w:p>
        </w:tc>
        <w:tc>
          <w:tcPr>
            <w:tcW w:w="8180" w:type="dxa"/>
            <w:vAlign w:val="bottom"/>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640" w:type="dxa"/>
            <w:vAlign w:val="bottom"/>
            <w:shd w:val="clear" w:color="auto" w:fill="023C5B"/>
          </w:tcPr>
          <w:p>
            <w:pPr>
              <w:jc w:val="center"/>
              <w:spacing w:after="0" w:line="201" w:lineRule="exact"/>
              <w:rPr>
                <w:sz w:val="20"/>
                <w:szCs w:val="20"/>
                <w:color w:val="auto"/>
              </w:rPr>
            </w:pPr>
            <w:r>
              <w:rPr>
                <w:rFonts w:ascii="Arial" w:cs="Arial" w:eastAsia="Arial" w:hAnsi="Arial"/>
                <w:sz w:val="18"/>
                <w:szCs w:val="18"/>
                <w:b w:val="1"/>
                <w:bCs w:val="1"/>
                <w:color w:val="FFFFFF"/>
              </w:rPr>
              <w:t xml:space="preserve">Value per Common Share   </w:t>
            </w:r>
          </w:p>
        </w:tc>
        <w:tc>
          <w:tcPr>
            <w:tcW w:w="100" w:type="dxa"/>
            <w:vAlign w:val="bottom"/>
            <w:shd w:val="clear" w:color="auto" w:fill="E5EBEE"/>
          </w:tcPr>
          <w:p>
            <w:pPr>
              <w:spacing w:after="0"/>
              <w:rPr>
                <w:sz w:val="17"/>
                <w:szCs w:val="17"/>
                <w:color w:val="auto"/>
              </w:rPr>
            </w:pPr>
          </w:p>
        </w:tc>
        <w:tc>
          <w:tcPr>
            <w:tcW w:w="8180" w:type="dxa"/>
            <w:vAlign w:val="bottom"/>
            <w:shd w:val="clear" w:color="auto" w:fill="E5EBEE"/>
          </w:tcPr>
          <w:p>
            <w:pPr>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D+TBV/Sh is calculated as the three-year average of the ratios, expressed as a percentage, of (i) the</w:t>
            </w:r>
          </w:p>
        </w:tc>
        <w:tc>
          <w:tcPr>
            <w:tcW w:w="0" w:type="dxa"/>
            <w:vAlign w:val="bottom"/>
          </w:tcPr>
          <w:p>
            <w:pPr>
              <w:spacing w:after="0"/>
              <w:rPr>
                <w:sz w:val="1"/>
                <w:szCs w:val="1"/>
                <w:color w:val="auto"/>
              </w:rPr>
            </w:pPr>
          </w:p>
        </w:tc>
      </w:tr>
      <w:tr>
        <w:trPr>
          <w:trHeight w:val="192"/>
        </w:trPr>
        <w:tc>
          <w:tcPr>
            <w:tcW w:w="2640" w:type="dxa"/>
            <w:vAlign w:val="bottom"/>
            <w:shd w:val="clear" w:color="auto" w:fill="023C5B"/>
          </w:tcPr>
          <w:p>
            <w:pPr>
              <w:jc w:val="center"/>
              <w:spacing w:after="0" w:line="192" w:lineRule="exact"/>
              <w:rPr>
                <w:sz w:val="20"/>
                <w:szCs w:val="20"/>
                <w:color w:val="auto"/>
              </w:rPr>
            </w:pPr>
            <w:r>
              <w:rPr>
                <w:rFonts w:ascii="Arial" w:cs="Arial" w:eastAsia="Arial" w:hAnsi="Arial"/>
                <w:sz w:val="18"/>
                <w:szCs w:val="18"/>
                <w:b w:val="1"/>
                <w:bCs w:val="1"/>
                <w:color w:val="FFFFFF"/>
              </w:rPr>
              <w:t xml:space="preserve">(D+TBV/Sh)   </w:t>
            </w:r>
          </w:p>
        </w:tc>
        <w:tc>
          <w:tcPr>
            <w:tcW w:w="100" w:type="dxa"/>
            <w:vAlign w:val="bottom"/>
            <w:shd w:val="clear" w:color="auto" w:fill="E5EBEE"/>
          </w:tcPr>
          <w:p>
            <w:pPr>
              <w:spacing w:after="0"/>
              <w:rPr>
                <w:sz w:val="16"/>
                <w:szCs w:val="16"/>
                <w:color w:val="auto"/>
              </w:rPr>
            </w:pPr>
          </w:p>
        </w:tc>
        <w:tc>
          <w:tcPr>
            <w:tcW w:w="8180" w:type="dxa"/>
            <w:vAlign w:val="bottom"/>
            <w:shd w:val="clear" w:color="auto" w:fill="E5EBEE"/>
          </w:tcPr>
          <w:p>
            <w:pPr>
              <w:ind w:left="380"/>
              <w:spacing w:after="0"/>
              <w:rPr>
                <w:sz w:val="20"/>
                <w:szCs w:val="20"/>
                <w:color w:val="auto"/>
              </w:rPr>
            </w:pPr>
            <w:r>
              <w:rPr>
                <w:rFonts w:ascii="Arial" w:cs="Arial" w:eastAsia="Arial" w:hAnsi="Arial"/>
                <w:sz w:val="16"/>
                <w:szCs w:val="16"/>
                <w:color w:val="auto"/>
              </w:rPr>
              <w:t>Company’s tangible book value per common share at the end of each year within the performance period,</w:t>
            </w:r>
          </w:p>
        </w:tc>
        <w:tc>
          <w:tcPr>
            <w:tcW w:w="0" w:type="dxa"/>
            <w:vAlign w:val="bottom"/>
          </w:tcPr>
          <w:p>
            <w:pPr>
              <w:spacing w:after="0"/>
              <w:rPr>
                <w:sz w:val="1"/>
                <w:szCs w:val="1"/>
                <w:color w:val="auto"/>
              </w:rPr>
            </w:pPr>
          </w:p>
        </w:tc>
      </w:tr>
      <w:tr>
        <w:trPr>
          <w:trHeight w:val="187"/>
        </w:trPr>
        <w:tc>
          <w:tcPr>
            <w:tcW w:w="2640" w:type="dxa"/>
            <w:vAlign w:val="bottom"/>
            <w:shd w:val="clear" w:color="auto" w:fill="023C5B"/>
          </w:tcPr>
          <w:p>
            <w:pPr>
              <w:spacing w:after="0"/>
              <w:rPr>
                <w:sz w:val="16"/>
                <w:szCs w:val="16"/>
                <w:color w:val="auto"/>
              </w:rPr>
            </w:pPr>
          </w:p>
        </w:tc>
        <w:tc>
          <w:tcPr>
            <w:tcW w:w="100" w:type="dxa"/>
            <w:vAlign w:val="bottom"/>
            <w:shd w:val="clear" w:color="auto" w:fill="E5EBEE"/>
          </w:tcPr>
          <w:p>
            <w:pPr>
              <w:spacing w:after="0"/>
              <w:rPr>
                <w:sz w:val="16"/>
                <w:szCs w:val="16"/>
                <w:color w:val="auto"/>
              </w:rPr>
            </w:pPr>
          </w:p>
        </w:tc>
        <w:tc>
          <w:tcPr>
            <w:tcW w:w="8180" w:type="dxa"/>
            <w:vAlign w:val="bottom"/>
            <w:shd w:val="clear" w:color="auto" w:fill="E5EBEE"/>
          </w:tcPr>
          <w:p>
            <w:pPr>
              <w:ind w:left="380"/>
              <w:spacing w:after="0"/>
              <w:rPr>
                <w:sz w:val="20"/>
                <w:szCs w:val="20"/>
                <w:color w:val="auto"/>
              </w:rPr>
            </w:pPr>
            <w:r>
              <w:rPr>
                <w:rFonts w:ascii="Arial" w:cs="Arial" w:eastAsia="Arial" w:hAnsi="Arial"/>
                <w:sz w:val="16"/>
                <w:szCs w:val="16"/>
                <w:color w:val="auto"/>
              </w:rPr>
              <w:t>plus total common dividends per share paid during such year, to (ii) the Company’s tangible book value per</w:t>
            </w:r>
          </w:p>
        </w:tc>
        <w:tc>
          <w:tcPr>
            <w:tcW w:w="0" w:type="dxa"/>
            <w:vAlign w:val="bottom"/>
          </w:tcPr>
          <w:p>
            <w:pPr>
              <w:spacing w:after="0"/>
              <w:rPr>
                <w:sz w:val="1"/>
                <w:szCs w:val="1"/>
                <w:color w:val="auto"/>
              </w:rPr>
            </w:pPr>
          </w:p>
        </w:tc>
      </w:tr>
      <w:tr>
        <w:trPr>
          <w:trHeight w:val="211"/>
        </w:trPr>
        <w:tc>
          <w:tcPr>
            <w:tcW w:w="2640" w:type="dxa"/>
            <w:vAlign w:val="bottom"/>
            <w:shd w:val="clear" w:color="auto" w:fill="023C5B"/>
          </w:tcPr>
          <w:p>
            <w:pPr>
              <w:spacing w:after="0"/>
              <w:rPr>
                <w:sz w:val="18"/>
                <w:szCs w:val="18"/>
                <w:color w:val="auto"/>
              </w:rPr>
            </w:pPr>
          </w:p>
        </w:tc>
        <w:tc>
          <w:tcPr>
            <w:tcW w:w="100" w:type="dxa"/>
            <w:vAlign w:val="bottom"/>
            <w:shd w:val="clear" w:color="auto" w:fill="E5EBEE"/>
          </w:tcPr>
          <w:p>
            <w:pPr>
              <w:spacing w:after="0"/>
              <w:rPr>
                <w:sz w:val="18"/>
                <w:szCs w:val="18"/>
                <w:color w:val="auto"/>
              </w:rPr>
            </w:pPr>
          </w:p>
        </w:tc>
        <w:tc>
          <w:tcPr>
            <w:tcW w:w="8180" w:type="dxa"/>
            <w:vAlign w:val="bottom"/>
            <w:shd w:val="clear" w:color="auto" w:fill="E5EBEE"/>
          </w:tcPr>
          <w:p>
            <w:pPr>
              <w:ind w:left="380"/>
              <w:spacing w:after="0"/>
              <w:rPr>
                <w:sz w:val="20"/>
                <w:szCs w:val="20"/>
                <w:color w:val="auto"/>
              </w:rPr>
            </w:pPr>
            <w:r>
              <w:rPr>
                <w:rFonts w:ascii="Arial" w:cs="Arial" w:eastAsia="Arial" w:hAnsi="Arial"/>
                <w:sz w:val="16"/>
                <w:szCs w:val="16"/>
                <w:color w:val="auto"/>
              </w:rPr>
              <w:t>common share at the beginning of each corresponding year within the performance period.</w:t>
            </w:r>
          </w:p>
        </w:tc>
        <w:tc>
          <w:tcPr>
            <w:tcW w:w="0" w:type="dxa"/>
            <w:vAlign w:val="bottom"/>
          </w:tcPr>
          <w:p>
            <w:pPr>
              <w:spacing w:after="0"/>
              <w:rPr>
                <w:sz w:val="1"/>
                <w:szCs w:val="1"/>
                <w:color w:val="auto"/>
              </w:rPr>
            </w:pPr>
          </w:p>
        </w:tc>
      </w:tr>
      <w:tr>
        <w:trPr>
          <w:trHeight w:val="44"/>
        </w:trPr>
        <w:tc>
          <w:tcPr>
            <w:tcW w:w="2640" w:type="dxa"/>
            <w:vAlign w:val="bottom"/>
            <w:shd w:val="clear" w:color="auto" w:fill="023C5B"/>
          </w:tcPr>
          <w:p>
            <w:pPr>
              <w:spacing w:after="0"/>
              <w:rPr>
                <w:sz w:val="3"/>
                <w:szCs w:val="3"/>
                <w:color w:val="auto"/>
              </w:rPr>
            </w:pPr>
          </w:p>
        </w:tc>
        <w:tc>
          <w:tcPr>
            <w:tcW w:w="100" w:type="dxa"/>
            <w:vAlign w:val="bottom"/>
            <w:shd w:val="clear" w:color="auto" w:fill="E5EBEE"/>
          </w:tcPr>
          <w:p>
            <w:pPr>
              <w:spacing w:after="0"/>
              <w:rPr>
                <w:sz w:val="3"/>
                <w:szCs w:val="3"/>
                <w:color w:val="auto"/>
              </w:rPr>
            </w:pPr>
          </w:p>
        </w:tc>
        <w:tc>
          <w:tcPr>
            <w:tcW w:w="8180" w:type="dxa"/>
            <w:vAlign w:val="bottom"/>
            <w:shd w:val="clear" w:color="auto" w:fill="E5EBEE"/>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1040"/>
        <w:spacing w:after="0"/>
        <w:rPr>
          <w:sz w:val="20"/>
          <w:szCs w:val="20"/>
          <w:color w:val="auto"/>
        </w:rPr>
      </w:pPr>
      <w:r>
        <w:rPr>
          <w:rFonts w:ascii="Arial" w:cs="Arial" w:eastAsia="Arial" w:hAnsi="Arial"/>
          <w:sz w:val="18"/>
          <w:szCs w:val="18"/>
          <w:color w:val="auto"/>
        </w:rPr>
        <w:t>For performance shares granted in 2026 for the 2025 performance year, two-thirds of each Financial Performance Share award will vest based on PSU Adjusted ROTCE, and one-third will vest based on D+TBV/Sh. The Committee and the Independent Directors believe that these two performance metrics, in combination, provide a rigorous measurement of Company performance by incentivizing both the creation of long-term stockholder value and the maintenance of an appropriate balance between strong equity capital and returns generated on stockholders’ investment in the Company.</w:t>
      </w:r>
    </w:p>
    <w:p>
      <w:pPr>
        <w:spacing w:after="0" w:line="209" w:lineRule="exact"/>
        <w:rPr>
          <w:sz w:val="20"/>
          <w:szCs w:val="20"/>
          <w:color w:val="auto"/>
        </w:rPr>
      </w:pPr>
    </w:p>
    <w:p>
      <w:pPr>
        <w:jc w:val="both"/>
        <w:ind w:left="1020" w:hanging="425"/>
        <w:spacing w:after="0" w:line="217" w:lineRule="auto"/>
        <w:tabs>
          <w:tab w:leader="none" w:pos="1020" w:val="left"/>
        </w:tabs>
        <w:numPr>
          <w:ilvl w:val="0"/>
          <w:numId w:val="77"/>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TSR Performance Shares. </w:t>
      </w:r>
      <w:r>
        <w:rPr>
          <w:rFonts w:ascii="Arial" w:cs="Arial" w:eastAsia="Arial" w:hAnsi="Arial"/>
          <w:sz w:val="18"/>
          <w:szCs w:val="18"/>
          <w:color w:val="000000"/>
        </w:rPr>
        <w:t>A portion of the performance share awards granted to the CEO is based on the Company’s TSR</w:t>
      </w:r>
      <w:r>
        <w:rPr>
          <w:rFonts w:ascii="Arial" w:cs="Arial" w:eastAsia="Arial" w:hAnsi="Arial"/>
          <w:sz w:val="18"/>
          <w:szCs w:val="18"/>
          <w:b w:val="1"/>
          <w:bCs w:val="1"/>
          <w:color w:val="023C5B"/>
        </w:rPr>
        <w:t xml:space="preserve"> </w:t>
      </w:r>
      <w:r>
        <w:rPr>
          <w:rFonts w:ascii="Arial" w:cs="Arial" w:eastAsia="Arial" w:hAnsi="Arial"/>
          <w:sz w:val="18"/>
          <w:szCs w:val="18"/>
          <w:color w:val="000000"/>
        </w:rPr>
        <w:t>relative to the Performance Share Peers. For the purposes of the TSR Performance Shares, TSR is calculated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142875</wp:posOffset>
            </wp:positionV>
            <wp:extent cx="6929755" cy="17157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29755" cy="171577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color w:val="FFFFFF"/>
        </w:rPr>
        <w:t>Total Shareholder Return</w:t>
      </w:r>
    </w:p>
    <w:p>
      <w:pPr>
        <w:spacing w:after="0" w:line="23"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FFFFFF"/>
        </w:rPr>
        <w:t xml:space="preserve">(TSR)   </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both"/>
        <w:ind w:left="404" w:right="220" w:hanging="404"/>
        <w:spacing w:after="0" w:line="249" w:lineRule="auto"/>
        <w:tabs>
          <w:tab w:leader="none" w:pos="404" w:val="left"/>
        </w:tabs>
        <w:numPr>
          <w:ilvl w:val="0"/>
          <w:numId w:val="78"/>
        </w:numPr>
        <w:rPr>
          <w:rFonts w:ascii="MS PGothic" w:cs="MS PGothic" w:eastAsia="MS PGothic" w:hAnsi="MS PGothic"/>
          <w:sz w:val="14"/>
          <w:szCs w:val="14"/>
          <w:color w:val="023C5B"/>
        </w:rPr>
      </w:pPr>
      <w:r>
        <w:rPr>
          <w:rFonts w:ascii="Arial" w:cs="Arial" w:eastAsia="Arial" w:hAnsi="Arial"/>
          <w:sz w:val="18"/>
          <w:szCs w:val="18"/>
          <w:color w:val="auto"/>
        </w:rPr>
        <w:t>TSR measures the change in the value of an investment by stockholders in the common shares of Capital One and is derived from the change in the Company’s stock price plus the value of any common dividends paid by the Company.</w:t>
      </w:r>
    </w:p>
    <w:p>
      <w:pPr>
        <w:spacing w:after="0" w:line="77" w:lineRule="exact"/>
        <w:rPr>
          <w:rFonts w:ascii="MS PGothic" w:cs="MS PGothic" w:eastAsia="MS PGothic" w:hAnsi="MS PGothic"/>
          <w:sz w:val="14"/>
          <w:szCs w:val="14"/>
          <w:color w:val="023C5B"/>
        </w:rPr>
      </w:pPr>
    </w:p>
    <w:p>
      <w:pPr>
        <w:jc w:val="both"/>
        <w:ind w:left="404" w:right="220" w:hanging="404"/>
        <w:spacing w:after="0" w:line="239" w:lineRule="auto"/>
        <w:tabs>
          <w:tab w:leader="none" w:pos="404" w:val="left"/>
        </w:tabs>
        <w:numPr>
          <w:ilvl w:val="0"/>
          <w:numId w:val="78"/>
        </w:numPr>
        <w:rPr>
          <w:rFonts w:ascii="MS PGothic" w:cs="MS PGothic" w:eastAsia="MS PGothic" w:hAnsi="MS PGothic"/>
          <w:sz w:val="14"/>
          <w:szCs w:val="14"/>
          <w:color w:val="023C5B"/>
        </w:rPr>
      </w:pPr>
      <w:r>
        <w:rPr>
          <w:rFonts w:ascii="Arial" w:cs="Arial" w:eastAsia="Arial" w:hAnsi="Arial"/>
          <w:sz w:val="18"/>
          <w:szCs w:val="18"/>
          <w:color w:val="auto"/>
        </w:rPr>
        <w:t>TSR is calculated as the change in the value of the applicable common stock over the performance period, assuming the reinvestment of common dividends on the ex-dividend date. The calculation of the stock price appreciation component of TSR = (Ending Stock Price</w:t>
      </w:r>
    </w:p>
    <w:p>
      <w:pPr>
        <w:spacing w:after="0" w:line="1" w:lineRule="exact"/>
        <w:rPr>
          <w:rFonts w:ascii="MS PGothic" w:cs="MS PGothic" w:eastAsia="MS PGothic" w:hAnsi="MS PGothic"/>
          <w:sz w:val="14"/>
          <w:szCs w:val="14"/>
          <w:color w:val="023C5B"/>
        </w:rPr>
      </w:pPr>
    </w:p>
    <w:p>
      <w:pPr>
        <w:jc w:val="both"/>
        <w:ind w:left="404" w:right="220"/>
        <w:spacing w:after="0" w:line="235" w:lineRule="auto"/>
        <w:rPr>
          <w:rFonts w:ascii="MS PGothic" w:cs="MS PGothic" w:eastAsia="MS PGothic" w:hAnsi="MS PGothic"/>
          <w:sz w:val="14"/>
          <w:szCs w:val="14"/>
          <w:color w:val="023C5B"/>
        </w:rPr>
      </w:pPr>
      <w:r>
        <w:rPr>
          <w:rFonts w:ascii="Arial" w:cs="Arial" w:eastAsia="Arial" w:hAnsi="Arial"/>
          <w:sz w:val="18"/>
          <w:szCs w:val="18"/>
          <w:color w:val="auto"/>
        </w:rPr>
        <w:t>– Beginning Stock Price) / Beginning Stock Price where: (i) “Beginning Stock Price” means the average Stock Price for the 20 trading days immediately preceding the first day of the performance period; (ii) “Ending Stock Price” means the average Stock Price for the 20 trading days immediately preceding and including the last day of the performance period; and (iii) “Stock Price” means the closing price for the day as reported on the applicable exchange or market.</w:t>
      </w:r>
    </w:p>
    <w:p>
      <w:pPr>
        <w:spacing w:after="0" w:line="200" w:lineRule="exact"/>
        <w:rPr>
          <w:sz w:val="20"/>
          <w:szCs w:val="20"/>
          <w:color w:val="auto"/>
        </w:rPr>
      </w:pPr>
    </w:p>
    <w:p>
      <w:pPr>
        <w:sectPr>
          <w:pgSz w:w="11900" w:h="16838" w:orient="portrait"/>
          <w:cols w:equalWidth="0" w:num="2">
            <w:col w:w="2580" w:space="436"/>
            <w:col w:w="8064"/>
          </w:cols>
          <w:pgMar w:left="320" w:top="478" w:right="499" w:bottom="1440" w:gutter="0" w:footer="0" w:header="0"/>
          <w:type w:val="continuous"/>
        </w:sectPr>
      </w:pPr>
    </w:p>
    <w:p>
      <w:pPr>
        <w:spacing w:after="0" w:line="203"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040"/>
        <w:spacing w:after="0"/>
        <w:rPr>
          <w:sz w:val="20"/>
          <w:szCs w:val="20"/>
          <w:color w:val="auto"/>
        </w:rPr>
      </w:pPr>
      <w:r>
        <w:rPr>
          <w:rFonts w:ascii="Arial" w:cs="Arial" w:eastAsia="Arial" w:hAnsi="Arial"/>
          <w:sz w:val="18"/>
          <w:szCs w:val="18"/>
          <w:color w:val="auto"/>
        </w:rPr>
        <w:t>The Committee and the Independent Directors believe that linking a portion of the CEO’s year-end incentive to the Company’s TSR over a three-year period aligns the CEO’s compensation with the value delivered to stockholders over time. The TSR Performance Shares create a direct link between CEO compensation and the Company’s stock price and value creation over time. In addition, a significant portion of CEO pay is delivered through equity-based awards, the ultimate value of which will increase or decrease based on the performance of the Company’s stock price in both current and future periods.</w:t>
      </w:r>
    </w:p>
    <w:p>
      <w:pPr>
        <w:spacing w:after="0" w:line="182" w:lineRule="exact"/>
        <w:rPr>
          <w:sz w:val="20"/>
          <w:szCs w:val="20"/>
          <w:color w:val="auto"/>
        </w:rPr>
      </w:pPr>
    </w:p>
    <w:p>
      <w:pPr>
        <w:jc w:val="both"/>
        <w:ind w:left="160" w:firstLine="873"/>
        <w:spacing w:after="0" w:line="238" w:lineRule="auto"/>
        <w:rPr>
          <w:sz w:val="20"/>
          <w:szCs w:val="20"/>
          <w:color w:val="auto"/>
        </w:rPr>
      </w:pPr>
      <w:r>
        <w:rPr>
          <w:rFonts w:ascii="Arial" w:cs="Arial" w:eastAsia="Arial" w:hAnsi="Arial"/>
          <w:sz w:val="18"/>
          <w:szCs w:val="18"/>
          <w:b w:val="1"/>
          <w:bCs w:val="1"/>
          <w:i w:val="1"/>
          <w:iCs w:val="1"/>
          <w:color w:val="023C5B"/>
        </w:rPr>
        <w:t xml:space="preserve">Performance Share Award Peer Group. </w:t>
      </w:r>
      <w:r>
        <w:rPr>
          <w:rFonts w:ascii="Arial" w:cs="Arial" w:eastAsia="Arial" w:hAnsi="Arial"/>
          <w:sz w:val="18"/>
          <w:szCs w:val="18"/>
          <w:color w:val="000000"/>
        </w:rPr>
        <w:t>For both the Financial Performance Shares and the TSR Performance Shares, the</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Company’s performance on each metric is assessed over the three-year period relative to the “Performance Share Peers” which consist of the KBW Bank Index, excluding non-traditional banks that do not focus on lending to consumers and businesses (“KBW Index”). The Committee believes that the KBW Index is an appropriate index against which to assess the Company’s performance because it reflects institutions of a comparable size, risk profile, and business mix to the Company. After the end of the three-year performance period, the Committee will certify the Company’s performance and issue the corresponding number of shares of the Company’s common stock, if any, in accordance with the relative performance hurdles illustrated below.</w:t>
      </w:r>
    </w:p>
    <w:p>
      <w:pPr>
        <w:spacing w:after="0" w:line="181" w:lineRule="exact"/>
        <w:rPr>
          <w:sz w:val="20"/>
          <w:szCs w:val="20"/>
          <w:color w:val="auto"/>
        </w:rPr>
      </w:pPr>
    </w:p>
    <w:p>
      <w:pPr>
        <w:jc w:val="both"/>
        <w:ind w:left="160" w:firstLine="873"/>
        <w:spacing w:after="0" w:line="236" w:lineRule="auto"/>
        <w:rPr>
          <w:sz w:val="20"/>
          <w:szCs w:val="20"/>
          <w:color w:val="auto"/>
        </w:rPr>
      </w:pPr>
      <w:r>
        <w:rPr>
          <w:rFonts w:ascii="Arial" w:cs="Arial" w:eastAsia="Arial" w:hAnsi="Arial"/>
          <w:sz w:val="18"/>
          <w:szCs w:val="18"/>
          <w:b w:val="1"/>
          <w:bCs w:val="1"/>
          <w:i w:val="1"/>
          <w:iCs w:val="1"/>
          <w:color w:val="023C5B"/>
        </w:rPr>
        <w:t xml:space="preserve">Performance Share Award Formula. </w:t>
      </w:r>
      <w:r>
        <w:rPr>
          <w:rFonts w:ascii="Arial" w:cs="Arial" w:eastAsia="Arial" w:hAnsi="Arial"/>
          <w:sz w:val="18"/>
          <w:szCs w:val="18"/>
          <w:color w:val="000000"/>
        </w:rPr>
        <w:t>For all performance share awards, the ultimate number of performance shares earned</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at vesting is determined by a formula based on relative performance and/or absolute performance (in the form of a performance share reduction) measures, with the ultimate value of the payout ranging from 0% to 150% of the target number of performance shares. In addition, the value of the performance shares that vest is determined by the Company’s stock price performance. All performance share awards are subject to the Relative Performance Measure (as described below). Only the Financial Performance Shares are subject to the Absolute Performance Measure (as described below). The award agreements applicable to all performance share awards permit the Committee to exclude the initial effects of changes in tax laws, accounting principles or regulations, or other laws or provisions affecting the reported results if the Committee determines that such adjustments are appropriate in order to prevent dilution or enlargement of the benefits or potential benefits intended to be made available under the 2004 Stock Incentive Plan or necessary or appropriate to comply with applicable laws, rules, or regulations. Similarly, the 2004 Stock Incentive Plan provides for the Committee to make appropriate adjustments in the terms of awards to reflect corporate events such as an acquisition, divestment, merger, or similar transaction.</w:t>
      </w:r>
    </w:p>
    <w:p>
      <w:pPr>
        <w:spacing w:after="0" w:line="115"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firstLine="873"/>
        <w:spacing w:after="0" w:line="236" w:lineRule="auto"/>
        <w:rPr>
          <w:sz w:val="20"/>
          <w:szCs w:val="20"/>
          <w:color w:val="auto"/>
        </w:rPr>
      </w:pPr>
      <w:r>
        <w:rPr>
          <w:rFonts w:ascii="Arial" w:cs="Arial" w:eastAsia="Arial" w:hAnsi="Arial"/>
          <w:sz w:val="18"/>
          <w:szCs w:val="18"/>
          <w:b w:val="1"/>
          <w:bCs w:val="1"/>
          <w:i w:val="1"/>
          <w:iCs w:val="1"/>
          <w:color w:val="023C5B"/>
        </w:rPr>
        <w:t xml:space="preserve">Relative Performance Measure - Financial Performance Shares and TSR Performance Shares. </w:t>
      </w:r>
      <w:r>
        <w:rPr>
          <w:rFonts w:ascii="Arial" w:cs="Arial" w:eastAsia="Arial" w:hAnsi="Arial"/>
          <w:sz w:val="18"/>
          <w:szCs w:val="18"/>
          <w:color w:val="000000"/>
        </w:rPr>
        <w:t>Each year, at the end of</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the relevant three-year measurement period, the Committee and the Independent Directors assess the Company’s performance on the basis of the performance share award metrics relative to the Performance Share Peers. The Company’s PSU Adjusted ROTCE and D+TBV/Sh, or TSR, as applicable, must be at least at the 25th percentile of the Performance Share Peers for any awards to vest; target payout will be achieved at the 55th percentile of the Performance Share Peers; and the maximum payout can only be achieved if the Company performs at the 80th percentile of the Performance Share Peers or greater. If the Company’s PSU Adjusted ROTCE and D+TBV/Sh, or TSR, as applicable, is below the 25th percentile, none of the relevant shares will vest and no payout will be made with respect to the award. After the end of the three-year performance period, the Committee will certify the Company’s performance and issue the corresponding number of shares of the Company’s common stock, if any, in accordance with the graph below. Payouts will range between the values shown below for performance that falls between the points specified on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163195</wp:posOffset>
            </wp:positionV>
            <wp:extent cx="4178300" cy="25984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178300"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160" w:firstLine="873"/>
        <w:spacing w:after="0" w:line="237" w:lineRule="auto"/>
        <w:rPr>
          <w:sz w:val="20"/>
          <w:szCs w:val="20"/>
          <w:color w:val="auto"/>
        </w:rPr>
      </w:pPr>
      <w:r>
        <w:rPr>
          <w:rFonts w:ascii="Arial" w:cs="Arial" w:eastAsia="Arial" w:hAnsi="Arial"/>
          <w:sz w:val="18"/>
          <w:szCs w:val="18"/>
          <w:b w:val="1"/>
          <w:bCs w:val="1"/>
          <w:i w:val="1"/>
          <w:iCs w:val="1"/>
          <w:color w:val="023C5B"/>
        </w:rPr>
        <w:t xml:space="preserve">Absolute Performance Measure (Performance Share Reduction) - Financial Performance Shares. </w:t>
      </w:r>
      <w:r>
        <w:rPr>
          <w:rFonts w:ascii="Arial" w:cs="Arial" w:eastAsia="Arial" w:hAnsi="Arial"/>
          <w:sz w:val="18"/>
          <w:szCs w:val="18"/>
          <w:color w:val="000000"/>
        </w:rPr>
        <w:t>The Financial</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Performance Shares are subject to a performance share reduction feature under which the number of shares issued at settlement will be reduced if the Company’s PSU Adjusted ROTCE for one or more fiscal years completed during the performance period is not positive, no matter how well the Company performs compared to the Performance Share Peers. In each year that the Company does not achieve positive PSU Adjusted ROTCE, the executive will forfeit 50% of that year’s worth of performance shares. If the Company’s PSU Adjusted ROTCE is not positive in each of the three fiscal years in the performance period, the executive will forfeit the entire award of performance shares. See “Performance Share Reduction” on page 90 and “Financial Restatement Clawback” beginning on page 90 for more information. The table below shows potential performance share reduction amounts based on the Company’s PSU Adjusted ROTCE performance.</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67"/>
        </w:trPr>
        <w:tc>
          <w:tcPr>
            <w:tcW w:w="1900" w:type="dxa"/>
            <w:vAlign w:val="bottom"/>
          </w:tcPr>
          <w:p>
            <w:pPr>
              <w:spacing w:after="0"/>
              <w:rPr>
                <w:sz w:val="23"/>
                <w:szCs w:val="23"/>
                <w:color w:val="auto"/>
              </w:rPr>
            </w:pPr>
          </w:p>
        </w:tc>
        <w:tc>
          <w:tcPr>
            <w:tcW w:w="3580" w:type="dxa"/>
            <w:vAlign w:val="bottom"/>
            <w:gridSpan w:val="3"/>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Number of Years During Performance</w:t>
            </w:r>
          </w:p>
        </w:tc>
        <w:tc>
          <w:tcPr>
            <w:tcW w:w="120" w:type="dxa"/>
            <w:vAlign w:val="bottom"/>
          </w:tcPr>
          <w:p>
            <w:pPr>
              <w:spacing w:after="0"/>
              <w:rPr>
                <w:sz w:val="23"/>
                <w:szCs w:val="23"/>
                <w:color w:val="auto"/>
              </w:rPr>
            </w:pPr>
          </w:p>
        </w:tc>
        <w:tc>
          <w:tcPr>
            <w:tcW w:w="338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Reduction in Number of Units Vesting and</w:t>
            </w:r>
          </w:p>
        </w:tc>
        <w:tc>
          <w:tcPr>
            <w:tcW w:w="0" w:type="dxa"/>
            <w:vAlign w:val="bottom"/>
          </w:tcPr>
          <w:p>
            <w:pPr>
              <w:spacing w:after="0"/>
              <w:rPr>
                <w:sz w:val="1"/>
                <w:szCs w:val="1"/>
                <w:color w:val="auto"/>
              </w:rPr>
            </w:pPr>
          </w:p>
        </w:tc>
      </w:tr>
      <w:tr>
        <w:trPr>
          <w:trHeight w:val="262"/>
        </w:trPr>
        <w:tc>
          <w:tcPr>
            <w:tcW w:w="1900" w:type="dxa"/>
            <w:vAlign w:val="bottom"/>
          </w:tcPr>
          <w:p>
            <w:pPr>
              <w:spacing w:after="0"/>
              <w:rPr>
                <w:sz w:val="22"/>
                <w:szCs w:val="22"/>
                <w:color w:val="auto"/>
              </w:rPr>
            </w:pPr>
          </w:p>
        </w:tc>
        <w:tc>
          <w:tcPr>
            <w:tcW w:w="3580" w:type="dxa"/>
            <w:vAlign w:val="bottom"/>
            <w:tcBorders>
              <w:bottom w:val="single" w:sz="8" w:color="023C5B"/>
            </w:tcBorders>
            <w:gridSpan w:val="3"/>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 xml:space="preserve">   Period PSU Adjusted ROTCE is Not Positive   </w:t>
            </w:r>
          </w:p>
        </w:tc>
        <w:tc>
          <w:tcPr>
            <w:tcW w:w="120" w:type="dxa"/>
            <w:vAlign w:val="bottom"/>
          </w:tcPr>
          <w:p>
            <w:pPr>
              <w:spacing w:after="0"/>
              <w:rPr>
                <w:sz w:val="22"/>
                <w:szCs w:val="22"/>
                <w:color w:val="auto"/>
              </w:rPr>
            </w:pPr>
          </w:p>
        </w:tc>
        <w:tc>
          <w:tcPr>
            <w:tcW w:w="3380" w:type="dxa"/>
            <w:vAlign w:val="bottom"/>
            <w:tcBorders>
              <w:bottom w:val="single" w:sz="8" w:color="023C5B"/>
            </w:tcBorders>
            <w:shd w:val="clear" w:color="auto" w:fill="023C5B"/>
          </w:tcPr>
          <w:p>
            <w:pPr>
              <w:jc w:val="center"/>
              <w:spacing w:after="0"/>
              <w:rPr>
                <w:sz w:val="20"/>
                <w:szCs w:val="20"/>
                <w:color w:val="auto"/>
              </w:rPr>
            </w:pPr>
            <w:r>
              <w:rPr>
                <w:rFonts w:ascii="Arial" w:cs="Arial" w:eastAsia="Arial" w:hAnsi="Arial"/>
                <w:sz w:val="16"/>
                <w:szCs w:val="16"/>
                <w:b w:val="1"/>
                <w:bCs w:val="1"/>
                <w:color w:val="FFFFFF"/>
              </w:rPr>
              <w:t>Shares Awarded</w:t>
            </w:r>
          </w:p>
        </w:tc>
        <w:tc>
          <w:tcPr>
            <w:tcW w:w="0" w:type="dxa"/>
            <w:vAlign w:val="bottom"/>
          </w:tcPr>
          <w:p>
            <w:pPr>
              <w:spacing w:after="0"/>
              <w:rPr>
                <w:sz w:val="1"/>
                <w:szCs w:val="1"/>
                <w:color w:val="auto"/>
              </w:rPr>
            </w:pPr>
          </w:p>
        </w:tc>
      </w:tr>
      <w:tr>
        <w:trPr>
          <w:trHeight w:val="313"/>
        </w:trPr>
        <w:tc>
          <w:tcPr>
            <w:tcW w:w="1900" w:type="dxa"/>
            <w:vAlign w:val="bottom"/>
          </w:tcPr>
          <w:p>
            <w:pPr>
              <w:spacing w:after="0"/>
              <w:rPr>
                <w:sz w:val="24"/>
                <w:szCs w:val="24"/>
                <w:color w:val="auto"/>
              </w:rPr>
            </w:pPr>
          </w:p>
        </w:tc>
        <w:tc>
          <w:tcPr>
            <w:tcW w:w="1600" w:type="dxa"/>
            <w:vAlign w:val="bottom"/>
            <w:tcBorders>
              <w:bottom w:val="single" w:sz="8" w:color="E5EBEE"/>
            </w:tcBorders>
            <w:shd w:val="clear" w:color="auto" w:fill="E5EBEE"/>
          </w:tcPr>
          <w:p>
            <w:pPr>
              <w:spacing w:after="0"/>
              <w:rPr>
                <w:sz w:val="24"/>
                <w:szCs w:val="24"/>
                <w:color w:val="auto"/>
              </w:rPr>
            </w:pPr>
          </w:p>
        </w:tc>
        <w:tc>
          <w:tcPr>
            <w:tcW w:w="20" w:type="dxa"/>
            <w:vAlign w:val="bottom"/>
            <w:tcBorders>
              <w:bottom w:val="single" w:sz="8" w:color="E5EBEE"/>
            </w:tcBorders>
            <w:shd w:val="clear" w:color="auto" w:fill="E5EBEE"/>
          </w:tcPr>
          <w:p>
            <w:pPr>
              <w:spacing w:after="0"/>
              <w:rPr>
                <w:sz w:val="24"/>
                <w:szCs w:val="24"/>
                <w:color w:val="auto"/>
              </w:rPr>
            </w:pPr>
          </w:p>
        </w:tc>
        <w:tc>
          <w:tcPr>
            <w:tcW w:w="1960" w:type="dxa"/>
            <w:vAlign w:val="bottom"/>
            <w:tcBorders>
              <w:bottom w:val="single" w:sz="8" w:color="E5EBEE"/>
            </w:tcBorders>
            <w:shd w:val="clear" w:color="auto" w:fill="E5EBEE"/>
          </w:tcPr>
          <w:p>
            <w:pPr>
              <w:jc w:val="center"/>
              <w:ind w:right="1541"/>
              <w:spacing w:after="0"/>
              <w:rPr>
                <w:sz w:val="20"/>
                <w:szCs w:val="20"/>
                <w:color w:val="auto"/>
              </w:rPr>
            </w:pPr>
            <w:r>
              <w:rPr>
                <w:rFonts w:ascii="Arial" w:cs="Arial" w:eastAsia="Arial" w:hAnsi="Arial"/>
                <w:sz w:val="16"/>
                <w:szCs w:val="16"/>
                <w:color w:val="auto"/>
              </w:rPr>
              <w:t>Zero</w:t>
            </w:r>
          </w:p>
        </w:tc>
        <w:tc>
          <w:tcPr>
            <w:tcW w:w="120" w:type="dxa"/>
            <w:vAlign w:val="bottom"/>
          </w:tcPr>
          <w:p>
            <w:pPr>
              <w:spacing w:after="0"/>
              <w:rPr>
                <w:sz w:val="24"/>
                <w:szCs w:val="24"/>
                <w:color w:val="auto"/>
              </w:rPr>
            </w:pPr>
          </w:p>
        </w:tc>
        <w:tc>
          <w:tcPr>
            <w:tcW w:w="33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No reduction</w:t>
            </w:r>
          </w:p>
        </w:tc>
        <w:tc>
          <w:tcPr>
            <w:tcW w:w="0" w:type="dxa"/>
            <w:vAlign w:val="bottom"/>
          </w:tcPr>
          <w:p>
            <w:pPr>
              <w:spacing w:after="0"/>
              <w:rPr>
                <w:sz w:val="1"/>
                <w:szCs w:val="1"/>
                <w:color w:val="auto"/>
              </w:rPr>
            </w:pPr>
          </w:p>
        </w:tc>
      </w:tr>
      <w:tr>
        <w:trPr>
          <w:trHeight w:val="257"/>
        </w:trPr>
        <w:tc>
          <w:tcPr>
            <w:tcW w:w="1900" w:type="dxa"/>
            <w:vAlign w:val="bottom"/>
          </w:tcPr>
          <w:p>
            <w:pPr>
              <w:spacing w:after="0"/>
              <w:rPr>
                <w:sz w:val="22"/>
                <w:szCs w:val="22"/>
                <w:color w:val="auto"/>
              </w:rPr>
            </w:pPr>
          </w:p>
        </w:tc>
        <w:tc>
          <w:tcPr>
            <w:tcW w:w="1600" w:type="dxa"/>
            <w:vAlign w:val="bottom"/>
            <w:tcBorders>
              <w:top w:val="single" w:sz="8" w:color="023C5B"/>
            </w:tcBorders>
          </w:tcPr>
          <w:p>
            <w:pPr>
              <w:spacing w:after="0"/>
              <w:rPr>
                <w:sz w:val="22"/>
                <w:szCs w:val="22"/>
                <w:color w:val="auto"/>
              </w:rPr>
            </w:pPr>
          </w:p>
        </w:tc>
        <w:tc>
          <w:tcPr>
            <w:tcW w:w="20" w:type="dxa"/>
            <w:vAlign w:val="bottom"/>
            <w:tcBorders>
              <w:top w:val="single" w:sz="8" w:color="023C5B"/>
            </w:tcBorders>
          </w:tcPr>
          <w:p>
            <w:pPr>
              <w:spacing w:after="0"/>
              <w:rPr>
                <w:sz w:val="22"/>
                <w:szCs w:val="22"/>
                <w:color w:val="auto"/>
              </w:rPr>
            </w:pPr>
          </w:p>
        </w:tc>
        <w:tc>
          <w:tcPr>
            <w:tcW w:w="1960" w:type="dxa"/>
            <w:vAlign w:val="bottom"/>
            <w:tcBorders>
              <w:top w:val="single" w:sz="8" w:color="023C5B"/>
            </w:tcBorders>
          </w:tcPr>
          <w:p>
            <w:pPr>
              <w:jc w:val="center"/>
              <w:ind w:right="1541"/>
              <w:spacing w:after="0"/>
              <w:rPr>
                <w:sz w:val="20"/>
                <w:szCs w:val="20"/>
                <w:color w:val="auto"/>
              </w:rPr>
            </w:pPr>
            <w:r>
              <w:rPr>
                <w:rFonts w:ascii="Arial" w:cs="Arial" w:eastAsia="Arial" w:hAnsi="Arial"/>
                <w:sz w:val="16"/>
                <w:szCs w:val="16"/>
                <w:color w:val="auto"/>
                <w:w w:val="99"/>
              </w:rPr>
              <w:t>One</w:t>
            </w:r>
          </w:p>
        </w:tc>
        <w:tc>
          <w:tcPr>
            <w:tcW w:w="120" w:type="dxa"/>
            <w:vAlign w:val="bottom"/>
          </w:tcPr>
          <w:p>
            <w:pPr>
              <w:spacing w:after="0"/>
              <w:rPr>
                <w:sz w:val="22"/>
                <w:szCs w:val="22"/>
                <w:color w:val="auto"/>
              </w:rPr>
            </w:pPr>
          </w:p>
        </w:tc>
        <w:tc>
          <w:tcPr>
            <w:tcW w:w="338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rPr>
              <w:t>One-sixth reduction</w:t>
            </w:r>
          </w:p>
        </w:tc>
        <w:tc>
          <w:tcPr>
            <w:tcW w:w="0" w:type="dxa"/>
            <w:vAlign w:val="bottom"/>
          </w:tcPr>
          <w:p>
            <w:pPr>
              <w:spacing w:after="0"/>
              <w:rPr>
                <w:sz w:val="1"/>
                <w:szCs w:val="1"/>
                <w:color w:val="auto"/>
              </w:rPr>
            </w:pPr>
          </w:p>
        </w:tc>
      </w:tr>
      <w:tr>
        <w:trPr>
          <w:trHeight w:val="57"/>
        </w:trPr>
        <w:tc>
          <w:tcPr>
            <w:tcW w:w="19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gridSpan w:val="2"/>
          </w:tcPr>
          <w:p>
            <w:pPr>
              <w:spacing w:after="0"/>
              <w:rPr>
                <w:sz w:val="4"/>
                <w:szCs w:val="4"/>
                <w:color w:val="auto"/>
              </w:rPr>
            </w:pPr>
          </w:p>
        </w:tc>
        <w:tc>
          <w:tcPr>
            <w:tcW w:w="3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1900" w:type="dxa"/>
            <w:vAlign w:val="bottom"/>
          </w:tcPr>
          <w:p>
            <w:pPr>
              <w:spacing w:after="0"/>
              <w:rPr>
                <w:sz w:val="24"/>
                <w:szCs w:val="24"/>
                <w:color w:val="auto"/>
              </w:rPr>
            </w:pPr>
          </w:p>
        </w:tc>
        <w:tc>
          <w:tcPr>
            <w:tcW w:w="1600" w:type="dxa"/>
            <w:vAlign w:val="bottom"/>
            <w:tcBorders>
              <w:top w:val="single" w:sz="8" w:color="023C5B"/>
              <w:bottom w:val="single" w:sz="8" w:color="E5EBEE"/>
            </w:tcBorders>
            <w:shd w:val="clear" w:color="auto" w:fill="E5EBEE"/>
          </w:tcPr>
          <w:p>
            <w:pPr>
              <w:spacing w:after="0"/>
              <w:rPr>
                <w:sz w:val="24"/>
                <w:szCs w:val="24"/>
                <w:color w:val="auto"/>
              </w:rPr>
            </w:pPr>
          </w:p>
        </w:tc>
        <w:tc>
          <w:tcPr>
            <w:tcW w:w="20" w:type="dxa"/>
            <w:vAlign w:val="bottom"/>
            <w:tcBorders>
              <w:top w:val="single" w:sz="8" w:color="023C5B"/>
              <w:bottom w:val="single" w:sz="8" w:color="E5EBEE"/>
            </w:tcBorders>
            <w:shd w:val="clear" w:color="auto" w:fill="E5EBEE"/>
          </w:tcPr>
          <w:p>
            <w:pPr>
              <w:spacing w:after="0"/>
              <w:rPr>
                <w:sz w:val="24"/>
                <w:szCs w:val="24"/>
                <w:color w:val="auto"/>
              </w:rPr>
            </w:pPr>
          </w:p>
        </w:tc>
        <w:tc>
          <w:tcPr>
            <w:tcW w:w="1960" w:type="dxa"/>
            <w:vAlign w:val="bottom"/>
            <w:tcBorders>
              <w:top w:val="single" w:sz="8" w:color="023C5B"/>
              <w:bottom w:val="single" w:sz="8" w:color="E5EBEE"/>
            </w:tcBorders>
            <w:shd w:val="clear" w:color="auto" w:fill="E5EBEE"/>
          </w:tcPr>
          <w:p>
            <w:pPr>
              <w:jc w:val="center"/>
              <w:ind w:right="1541"/>
              <w:spacing w:after="0"/>
              <w:rPr>
                <w:sz w:val="20"/>
                <w:szCs w:val="20"/>
                <w:color w:val="auto"/>
              </w:rPr>
            </w:pPr>
            <w:r>
              <w:rPr>
                <w:rFonts w:ascii="Arial" w:cs="Arial" w:eastAsia="Arial" w:hAnsi="Arial"/>
                <w:sz w:val="16"/>
                <w:szCs w:val="16"/>
                <w:color w:val="auto"/>
                <w:w w:val="99"/>
              </w:rPr>
              <w:t>Two</w:t>
            </w:r>
          </w:p>
        </w:tc>
        <w:tc>
          <w:tcPr>
            <w:tcW w:w="120" w:type="dxa"/>
            <w:vAlign w:val="bottom"/>
          </w:tcPr>
          <w:p>
            <w:pPr>
              <w:spacing w:after="0"/>
              <w:rPr>
                <w:sz w:val="24"/>
                <w:szCs w:val="24"/>
                <w:color w:val="auto"/>
              </w:rPr>
            </w:pPr>
          </w:p>
        </w:tc>
        <w:tc>
          <w:tcPr>
            <w:tcW w:w="3380" w:type="dxa"/>
            <w:vAlign w:val="bottom"/>
            <w:tcBorders>
              <w:top w:val="single" w:sz="8" w:color="023C5B"/>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One-third reduction</w:t>
            </w:r>
          </w:p>
        </w:tc>
        <w:tc>
          <w:tcPr>
            <w:tcW w:w="0" w:type="dxa"/>
            <w:vAlign w:val="bottom"/>
          </w:tcPr>
          <w:p>
            <w:pPr>
              <w:spacing w:after="0"/>
              <w:rPr>
                <w:sz w:val="1"/>
                <w:szCs w:val="1"/>
                <w:color w:val="auto"/>
              </w:rPr>
            </w:pPr>
          </w:p>
        </w:tc>
      </w:tr>
      <w:tr>
        <w:trPr>
          <w:trHeight w:val="257"/>
        </w:trPr>
        <w:tc>
          <w:tcPr>
            <w:tcW w:w="1900" w:type="dxa"/>
            <w:vAlign w:val="bottom"/>
          </w:tcPr>
          <w:p>
            <w:pPr>
              <w:spacing w:after="0"/>
              <w:rPr>
                <w:sz w:val="22"/>
                <w:szCs w:val="22"/>
                <w:color w:val="auto"/>
              </w:rPr>
            </w:pPr>
          </w:p>
        </w:tc>
        <w:tc>
          <w:tcPr>
            <w:tcW w:w="3580" w:type="dxa"/>
            <w:vAlign w:val="bottom"/>
            <w:tcBorders>
              <w:top w:val="single" w:sz="8" w:color="023C5B"/>
            </w:tcBorders>
            <w:gridSpan w:val="3"/>
          </w:tcPr>
          <w:p>
            <w:pPr>
              <w:jc w:val="center"/>
              <w:spacing w:after="0"/>
              <w:rPr>
                <w:sz w:val="20"/>
                <w:szCs w:val="20"/>
                <w:color w:val="auto"/>
              </w:rPr>
            </w:pPr>
            <w:r>
              <w:rPr>
                <w:rFonts w:ascii="Arial" w:cs="Arial" w:eastAsia="Arial" w:hAnsi="Arial"/>
                <w:sz w:val="16"/>
                <w:szCs w:val="16"/>
                <w:color w:val="auto"/>
              </w:rPr>
              <w:t>Three</w:t>
            </w:r>
          </w:p>
        </w:tc>
        <w:tc>
          <w:tcPr>
            <w:tcW w:w="120" w:type="dxa"/>
            <w:vAlign w:val="bottom"/>
          </w:tcPr>
          <w:p>
            <w:pPr>
              <w:spacing w:after="0"/>
              <w:rPr>
                <w:sz w:val="22"/>
                <w:szCs w:val="22"/>
                <w:color w:val="auto"/>
              </w:rPr>
            </w:pPr>
          </w:p>
        </w:tc>
        <w:tc>
          <w:tcPr>
            <w:tcW w:w="338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w w:val="99"/>
              </w:rPr>
              <w:t>Entire award forfeited</w:t>
            </w:r>
          </w:p>
        </w:tc>
        <w:tc>
          <w:tcPr>
            <w:tcW w:w="0" w:type="dxa"/>
            <w:vAlign w:val="bottom"/>
          </w:tcPr>
          <w:p>
            <w:pPr>
              <w:spacing w:after="0"/>
              <w:rPr>
                <w:sz w:val="1"/>
                <w:szCs w:val="1"/>
                <w:color w:val="auto"/>
              </w:rPr>
            </w:pPr>
          </w:p>
        </w:tc>
      </w:tr>
      <w:tr>
        <w:trPr>
          <w:trHeight w:val="57"/>
        </w:trPr>
        <w:tc>
          <w:tcPr>
            <w:tcW w:w="1900" w:type="dxa"/>
            <w:vAlign w:val="bottom"/>
          </w:tcPr>
          <w:p>
            <w:pPr>
              <w:spacing w:after="0"/>
              <w:rPr>
                <w:sz w:val="4"/>
                <w:szCs w:val="4"/>
                <w:color w:val="auto"/>
              </w:rPr>
            </w:pPr>
          </w:p>
        </w:tc>
        <w:tc>
          <w:tcPr>
            <w:tcW w:w="1600" w:type="dxa"/>
            <w:vAlign w:val="bottom"/>
            <w:tcBorders>
              <w:bottom w:val="single" w:sz="8" w:color="023C5B"/>
            </w:tcBorders>
          </w:tcPr>
          <w:p>
            <w:pPr>
              <w:spacing w:after="0"/>
              <w:rPr>
                <w:sz w:val="4"/>
                <w:szCs w:val="4"/>
                <w:color w:val="auto"/>
              </w:rPr>
            </w:pPr>
          </w:p>
        </w:tc>
        <w:tc>
          <w:tcPr>
            <w:tcW w:w="20" w:type="dxa"/>
            <w:vAlign w:val="bottom"/>
            <w:tcBorders>
              <w:bottom w:val="single" w:sz="8" w:color="023C5B"/>
            </w:tcBorders>
          </w:tcPr>
          <w:p>
            <w:pPr>
              <w:spacing w:after="0"/>
              <w:rPr>
                <w:sz w:val="4"/>
                <w:szCs w:val="4"/>
                <w:color w:val="auto"/>
              </w:rPr>
            </w:pPr>
          </w:p>
        </w:tc>
        <w:tc>
          <w:tcPr>
            <w:tcW w:w="1960" w:type="dxa"/>
            <w:vAlign w:val="bottom"/>
            <w:tcBorders>
              <w:bottom w:val="single" w:sz="8" w:color="023C5B"/>
            </w:tcBorders>
          </w:tcPr>
          <w:p>
            <w:pPr>
              <w:spacing w:after="0"/>
              <w:rPr>
                <w:sz w:val="4"/>
                <w:szCs w:val="4"/>
                <w:color w:val="auto"/>
              </w:rPr>
            </w:pPr>
          </w:p>
        </w:tc>
        <w:tc>
          <w:tcPr>
            <w:tcW w:w="120" w:type="dxa"/>
            <w:vAlign w:val="bottom"/>
          </w:tcPr>
          <w:p>
            <w:pPr>
              <w:spacing w:after="0"/>
              <w:rPr>
                <w:sz w:val="4"/>
                <w:szCs w:val="4"/>
                <w:color w:val="auto"/>
              </w:rPr>
            </w:pPr>
          </w:p>
        </w:tc>
        <w:tc>
          <w:tcPr>
            <w:tcW w:w="3380" w:type="dxa"/>
            <w:vAlign w:val="bottom"/>
            <w:tcBorders>
              <w:bottom w:val="single" w:sz="8" w:color="023C5B"/>
            </w:tcBorders>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5"/>
                <w:szCs w:val="15"/>
                <w:color w:val="023C5B"/>
              </w:rPr>
              <w:t>CAPITAL ONE FINANCIAL CORPORATION</w:t>
            </w:r>
          </w:p>
        </w:tc>
        <w:tc>
          <w:tcPr>
            <w:tcW w:w="20" w:type="dxa"/>
            <w:vAlign w:val="bottom"/>
          </w:tcPr>
          <w:p>
            <w:pPr>
              <w:spacing w:after="0"/>
              <w:rPr>
                <w:sz w:val="12"/>
                <w:szCs w:val="12"/>
                <w:color w:val="auto"/>
              </w:rPr>
            </w:pPr>
          </w:p>
        </w:tc>
        <w:tc>
          <w:tcPr>
            <w:tcW w:w="208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023C5B"/>
              </w:rPr>
              <w:t>  2026 PROXY STATEMENT</w:t>
            </w: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500" w:type="dxa"/>
            <w:vAlign w:val="bottom"/>
            <w:gridSpan w:val="2"/>
            <w:vMerge w:val="continue"/>
          </w:tcPr>
          <w:p>
            <w:pPr>
              <w:spacing w:after="0"/>
              <w:rPr>
                <w:sz w:val="19"/>
                <w:szCs w:val="19"/>
                <w:color w:val="auto"/>
              </w:rPr>
            </w:pPr>
          </w:p>
        </w:tc>
        <w:tc>
          <w:tcPr>
            <w:tcW w:w="20" w:type="dxa"/>
            <w:vAlign w:val="bottom"/>
            <w:shd w:val="clear" w:color="auto" w:fill="023C5B"/>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9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shd w:val="clear" w:color="auto" w:fill="023C5B"/>
          </w:tcPr>
          <w:p>
            <w:pPr>
              <w:spacing w:after="0"/>
              <w:rPr>
                <w:sz w:val="4"/>
                <w:szCs w:val="4"/>
                <w:color w:val="auto"/>
              </w:rPr>
            </w:pPr>
          </w:p>
        </w:tc>
        <w:tc>
          <w:tcPr>
            <w:tcW w:w="1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3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-1111885</wp:posOffset>
            </wp:positionV>
            <wp:extent cx="45008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8"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023C5B"/>
        </w:rPr>
        <w:t>Equity-Based Award</w:t>
      </w:r>
    </w:p>
    <w:p>
      <w:pPr>
        <w:spacing w:after="0" w:line="20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A portion of the CEO year-end incentive may be granted in the form of an equity-based award, based on the Company and CEO performance for the preceding performance year. For the 2023, 2024, and 2025 performance years, the Committee and the Independent Directors have awarded RSUs to Mr. Fairbank. The vesting of the RSUs is deferred for three years and settlement is in cash based on the Company’s average stock price over the 15 trading days preceding the vesting date. The RSUs are subject to performance-based vesting and clawback provisions, each as described in more detail under “Additional Performance Conditions and Recovery Provisions” beginning on page 88.</w:t>
      </w:r>
    </w:p>
    <w:p>
      <w:pPr>
        <w:spacing w:after="0" w:line="183"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023C5B"/>
        </w:rPr>
        <w:t>Deferred Cash Bonus</w:t>
      </w:r>
    </w:p>
    <w:p>
      <w:pPr>
        <w:spacing w:after="0" w:line="20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 portion of the CEO year-end incentive may be granted in the form of a deferred cash bonus based on the Company and CEO performance for the preceding performance year. Any deferred cash bonus award is mandatorily deferred for three years into the Company’s VNQDCP.</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2025 CEO Compensation Decisions</w:t>
      </w:r>
    </w:p>
    <w:p>
      <w:pPr>
        <w:spacing w:after="0" w:line="22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For the 2025 performance year, the Committee and the Independent Directors determined the amount and form of the CEO’s compensation using a balanced approach in the context of our compensation principles and objectives, which encompass a pay-for-performance philosophy. The Committee and the Independent Directors believe that this structure emphasizes variable pay and incentivizes the CEO to invest for the long term, grow resiliently, manage risk, and deliver sustained stockholder value. This approach provides the Committee and the Independent Directors the best opportunity to determine the amount and form of compensation based on CEO and Company performance as well as stockholder feedback. It also allows for responsiveness to current business and industry conditions and the dynamic nature of executive compensation best practices.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2025 RSU Award</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In February 2025, the Committee and the Independent Directors awarded Mr. Fairbank 12,493 RSUs, which had a total grant date value of approximately $2.5 million. The RSU award vests in full on February 15, 2028, settles in cash based on the Company’s average stock price over the 15 trading days preceding the vesting date, and is subject to performance-based vesting provisions and clawback provisions, each as described in more detail under “Additional Performance Conditions and Recovery Provisions” beginning on page 88.</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2025 Year-End Incentive Determination</w:t>
      </w:r>
    </w:p>
    <w:p>
      <w:pPr>
        <w:spacing w:after="0" w:line="210"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023C5B"/>
        </w:rPr>
        <w:t>Compensation Committee Process to Determine Year-End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176530</wp:posOffset>
            </wp:positionV>
            <wp:extent cx="5146675" cy="6711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6675" cy="67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In February 2026, the Committee and the Independent Directors assessed the Company’s performance with respect to the Performance Factors set forth below under “Company Performance Assessment” and Mr. Fairbank’s contributions to that performance as described under “CEO Contribution to Company Performance” found on page 77. Following the performance assessment, the Committee and the Independent Directors determined the total 2025 performance year compensation to be awarded to Mr. Fairbank would be approximately $40 million, taking into account the $2.5 million in RSUs awarded to him at the beginning of the performance year. The remaining total compensation to be awarded to Mr. Fairbank for the 2025 performance year was awarded in the form of year-end incentive awards totaling approximately $37.5 million.</w:t>
      </w:r>
    </w:p>
    <w:p>
      <w:pPr>
        <w:spacing w:after="0" w:line="115"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8"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023C5B"/>
        </w:rPr>
        <w:t>2025 Year-End Incentive Awards</w:t>
      </w:r>
    </w:p>
    <w:p>
      <w:pPr>
        <w:spacing w:after="0" w:line="20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After considering the Company’s compensation philosophy and objectives, including the desire to align Mr. Fairbank’s interests with that of the Company’s stockholders and reward performance over multiple horizons, the Committee and the Independent Directors determined that the pay mix for the year-end incentive award would include the following three vehicles:</w:t>
      </w:r>
    </w:p>
    <w:p>
      <w:pPr>
        <w:spacing w:after="0" w:line="172" w:lineRule="exact"/>
        <w:rPr>
          <w:sz w:val="20"/>
          <w:szCs w:val="20"/>
          <w:color w:val="auto"/>
        </w:rPr>
      </w:pPr>
    </w:p>
    <w:p>
      <w:pPr>
        <w:jc w:val="both"/>
        <w:ind w:left="160" w:firstLine="873"/>
        <w:spacing w:after="0" w:line="243" w:lineRule="auto"/>
        <w:rPr>
          <w:sz w:val="20"/>
          <w:szCs w:val="20"/>
          <w:color w:val="auto"/>
        </w:rPr>
      </w:pPr>
      <w:r>
        <w:rPr>
          <w:rFonts w:ascii="Arial" w:cs="Arial" w:eastAsia="Arial" w:hAnsi="Arial"/>
          <w:sz w:val="18"/>
          <w:szCs w:val="18"/>
          <w:b w:val="1"/>
          <w:bCs w:val="1"/>
          <w:i w:val="1"/>
          <w:iCs w:val="1"/>
          <w:color w:val="023C5B"/>
        </w:rPr>
        <w:t xml:space="preserve">Performance Shares. </w:t>
      </w:r>
      <w:r>
        <w:rPr>
          <w:rFonts w:ascii="Arial" w:cs="Arial" w:eastAsia="Arial" w:hAnsi="Arial"/>
          <w:sz w:val="18"/>
          <w:szCs w:val="18"/>
          <w:color w:val="000000"/>
        </w:rPr>
        <w:t>66% of the year-end incentive (62% of Mr. Fairbank’s total 2025 performance year compensation) was</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awarded in the form of performance shares, with a total grant date value of approximately $24.8 million, under which Mr. Fairbank may receive from 0% to 150% of a target number of 111,043 shares of the Company’s common stock based on the Company’s performance over a three-year period from January 1, 2026 through December 31, 2028.</w:t>
      </w:r>
    </w:p>
    <w:p>
      <w:pPr>
        <w:spacing w:after="0" w:line="205" w:lineRule="exact"/>
        <w:rPr>
          <w:sz w:val="20"/>
          <w:szCs w:val="20"/>
          <w:color w:val="auto"/>
        </w:rPr>
      </w:pPr>
    </w:p>
    <w:p>
      <w:pPr>
        <w:jc w:val="both"/>
        <w:ind w:left="1020" w:hanging="425"/>
        <w:spacing w:after="0" w:line="220" w:lineRule="auto"/>
        <w:tabs>
          <w:tab w:leader="none" w:pos="1020" w:val="left"/>
        </w:tabs>
        <w:numPr>
          <w:ilvl w:val="0"/>
          <w:numId w:val="79"/>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Financial Performance Shares. </w:t>
      </w:r>
      <w:r>
        <w:rPr>
          <w:rFonts w:ascii="Arial" w:cs="Arial" w:eastAsia="Arial" w:hAnsi="Arial"/>
          <w:sz w:val="18"/>
          <w:szCs w:val="18"/>
          <w:color w:val="000000"/>
        </w:rPr>
        <w:t>Approximately $22.1 million of the awarded performance shares will vest based on the</w:t>
      </w:r>
      <w:r>
        <w:rPr>
          <w:rFonts w:ascii="Arial" w:cs="Arial" w:eastAsia="Arial" w:hAnsi="Arial"/>
          <w:sz w:val="18"/>
          <w:szCs w:val="18"/>
          <w:b w:val="1"/>
          <w:bCs w:val="1"/>
          <w:color w:val="023C5B"/>
        </w:rPr>
        <w:t xml:space="preserve"> </w:t>
      </w:r>
      <w:r>
        <w:rPr>
          <w:rFonts w:ascii="Arial" w:cs="Arial" w:eastAsia="Arial" w:hAnsi="Arial"/>
          <w:sz w:val="18"/>
          <w:szCs w:val="18"/>
          <w:color w:val="000000"/>
        </w:rPr>
        <w:t>Company’s financial performance, on an absolute basis and relative to the Performance Share Peers, related to a combination of two metrics: PSU Adjusted ROTCE and D+TBV/Sh over a three-year period in the form of Financial Performance Shares as described in “Performance Share Award Formula” on page 71.</w:t>
      </w:r>
    </w:p>
    <w:p>
      <w:pPr>
        <w:spacing w:after="0" w:line="208" w:lineRule="exact"/>
        <w:rPr>
          <w:rFonts w:ascii="MS PGothic" w:cs="MS PGothic" w:eastAsia="MS PGothic" w:hAnsi="MS PGothic"/>
          <w:sz w:val="29"/>
          <w:szCs w:val="29"/>
          <w:color w:val="023C5B"/>
          <w:vertAlign w:val="superscript"/>
        </w:rPr>
      </w:pPr>
    </w:p>
    <w:p>
      <w:pPr>
        <w:jc w:val="both"/>
        <w:ind w:left="1020" w:hanging="425"/>
        <w:spacing w:after="0" w:line="217" w:lineRule="auto"/>
        <w:tabs>
          <w:tab w:leader="none" w:pos="1020" w:val="left"/>
        </w:tabs>
        <w:numPr>
          <w:ilvl w:val="0"/>
          <w:numId w:val="79"/>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TSR Performance Shares. </w:t>
      </w:r>
      <w:r>
        <w:rPr>
          <w:rFonts w:ascii="Arial" w:cs="Arial" w:eastAsia="Arial" w:hAnsi="Arial"/>
          <w:sz w:val="18"/>
          <w:szCs w:val="18"/>
          <w:color w:val="000000"/>
        </w:rPr>
        <w:t>Approximately $2.7 million of the awarded performance shares will vest based on the Company’s</w:t>
      </w:r>
      <w:r>
        <w:rPr>
          <w:rFonts w:ascii="Arial" w:cs="Arial" w:eastAsia="Arial" w:hAnsi="Arial"/>
          <w:sz w:val="18"/>
          <w:szCs w:val="18"/>
          <w:b w:val="1"/>
          <w:bCs w:val="1"/>
          <w:color w:val="023C5B"/>
        </w:rPr>
        <w:t xml:space="preserve"> </w:t>
      </w:r>
      <w:r>
        <w:rPr>
          <w:rFonts w:ascii="Arial" w:cs="Arial" w:eastAsia="Arial" w:hAnsi="Arial"/>
          <w:sz w:val="18"/>
          <w:szCs w:val="18"/>
          <w:color w:val="000000"/>
        </w:rPr>
        <w:t>TSR relative to the Performance Share Peers over a three-year period in the form of TSR Performance Shares as described in “Performance Share Award Formula” on page 71.</w:t>
      </w:r>
    </w:p>
    <w:p>
      <w:pPr>
        <w:spacing w:after="0" w:line="179"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In order for the CEO to realize the target value of this award, the Company must achieve above-median financial performance and TSR on a relative basis versus the Performance Share Peers. In addition, the full value of the Financial Performance Share award remains at risk unless a threshold level of Company performance is achieved. The Committee believes that awarding a substantial portion of the year-end incentive in performance shares directly aligns the CEO’s interests with those of stockholders and encourages the CEO to focus on sustainable, long-term success and avoid excessive risk-taking.</w:t>
      </w:r>
    </w:p>
    <w:p>
      <w:pPr>
        <w:spacing w:after="0" w:line="182" w:lineRule="exact"/>
        <w:rPr>
          <w:sz w:val="20"/>
          <w:szCs w:val="20"/>
          <w:color w:val="auto"/>
        </w:rPr>
      </w:pPr>
    </w:p>
    <w:p>
      <w:pPr>
        <w:jc w:val="both"/>
        <w:ind w:left="160" w:firstLine="873"/>
        <w:spacing w:after="0" w:line="265" w:lineRule="auto"/>
        <w:rPr>
          <w:sz w:val="20"/>
          <w:szCs w:val="20"/>
          <w:color w:val="auto"/>
        </w:rPr>
      </w:pPr>
      <w:r>
        <w:rPr>
          <w:rFonts w:ascii="Arial" w:cs="Arial" w:eastAsia="Arial" w:hAnsi="Arial"/>
          <w:sz w:val="18"/>
          <w:szCs w:val="18"/>
          <w:b w:val="1"/>
          <w:bCs w:val="1"/>
          <w:i w:val="1"/>
          <w:iCs w:val="1"/>
          <w:color w:val="023C5B"/>
        </w:rPr>
        <w:t>RSUs</w:t>
      </w:r>
      <w:r>
        <w:rPr>
          <w:rFonts w:ascii="Arial" w:cs="Arial" w:eastAsia="Arial" w:hAnsi="Arial"/>
          <w:sz w:val="18"/>
          <w:szCs w:val="18"/>
          <w:b w:val="1"/>
          <w:bCs w:val="1"/>
          <w:color w:val="000000"/>
        </w:rPr>
        <w:t>.</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16% of the year-end incentive (15% of Mr. Fairbank’s total 2025 performance year compensation) was awarded in the</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form of 26,865 RSUs with a total grant date value of approximately $6.0 million.</w:t>
      </w:r>
    </w:p>
    <w:p>
      <w:pPr>
        <w:spacing w:after="0" w:line="158" w:lineRule="exact"/>
        <w:rPr>
          <w:sz w:val="20"/>
          <w:szCs w:val="20"/>
          <w:color w:val="auto"/>
        </w:rPr>
      </w:pPr>
    </w:p>
    <w:p>
      <w:pPr>
        <w:jc w:val="both"/>
        <w:ind w:left="160" w:firstLine="873"/>
        <w:spacing w:after="0" w:line="265" w:lineRule="auto"/>
        <w:rPr>
          <w:sz w:val="20"/>
          <w:szCs w:val="20"/>
          <w:color w:val="auto"/>
        </w:rPr>
      </w:pPr>
      <w:r>
        <w:rPr>
          <w:rFonts w:ascii="Arial" w:cs="Arial" w:eastAsia="Arial" w:hAnsi="Arial"/>
          <w:sz w:val="18"/>
          <w:szCs w:val="18"/>
          <w:b w:val="1"/>
          <w:bCs w:val="1"/>
          <w:i w:val="1"/>
          <w:iCs w:val="1"/>
          <w:color w:val="023C5B"/>
        </w:rPr>
        <w:t xml:space="preserve">Deferred Cash Bonus. </w:t>
      </w:r>
      <w:r>
        <w:rPr>
          <w:rFonts w:ascii="Arial" w:cs="Arial" w:eastAsia="Arial" w:hAnsi="Arial"/>
          <w:sz w:val="18"/>
          <w:szCs w:val="18"/>
          <w:color w:val="000000"/>
        </w:rPr>
        <w:t>18% of the year-end incentive (17% of Mr. Fairbank’s total 2025 performance year compensation) was</w:t>
      </w:r>
      <w:r>
        <w:rPr>
          <w:rFonts w:ascii="Arial" w:cs="Arial" w:eastAsia="Arial" w:hAnsi="Arial"/>
          <w:sz w:val="18"/>
          <w:szCs w:val="18"/>
          <w:b w:val="1"/>
          <w:bCs w:val="1"/>
          <w:i w:val="1"/>
          <w:iCs w:val="1"/>
          <w:color w:val="023C5B"/>
        </w:rPr>
        <w:t xml:space="preserve"> </w:t>
      </w:r>
      <w:r>
        <w:rPr>
          <w:rFonts w:ascii="Arial" w:cs="Arial" w:eastAsia="Arial" w:hAnsi="Arial"/>
          <w:sz w:val="18"/>
          <w:szCs w:val="18"/>
          <w:color w:val="000000"/>
        </w:rPr>
        <w:t>awarded in the form of a $6.7 million deferred cash bonus.</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Company Performance Assessment</w:t>
      </w:r>
    </w:p>
    <w:p>
      <w:pPr>
        <w:spacing w:after="0" w:line="10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In February 2026, the Committee assessed the Company’s 2025 quantitative and qualitative performance based on the below Performance Factors. The Company performance assessment is used to determine the 2025 year-end incentive awards for all of the NEOs and compensation targets for all NEOs (other than the CEO) for the 2026 performance year. In particular, the Committee considered:</w:t>
      </w:r>
    </w:p>
    <w:p>
      <w:pPr>
        <w:spacing w:after="0" w:line="103"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60553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29755" cy="6055360"/>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Financial and Operating Performance</w:t>
      </w:r>
    </w:p>
    <w:p>
      <w:pPr>
        <w:sectPr>
          <w:pgSz w:w="11900" w:h="16838" w:orient="portrait"/>
          <w:cols w:equalWidth="0" w:num="1">
            <w:col w:w="11080"/>
          </w:cols>
          <w:pgMar w:left="320" w:top="478" w:right="499" w:bottom="1440" w:gutter="0" w:footer="0" w:header="0"/>
        </w:sectPr>
      </w:pPr>
    </w:p>
    <w:p>
      <w:pPr>
        <w:spacing w:after="0" w:line="23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FFFFFF"/>
        </w:rPr>
        <w:t>Performance Factor</w:t>
      </w:r>
    </w:p>
    <w:p>
      <w:pPr>
        <w:spacing w:after="0" w:line="177" w:lineRule="exact"/>
        <w:rPr>
          <w:sz w:val="20"/>
          <w:szCs w:val="20"/>
          <w:color w:val="auto"/>
        </w:rPr>
      </w:pPr>
    </w:p>
    <w:p>
      <w:pPr>
        <w:ind w:left="260"/>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  Revenue</w:t>
      </w:r>
    </w:p>
    <w:p>
      <w:pPr>
        <w:spacing w:after="0" w:line="124" w:lineRule="exact"/>
        <w:rPr>
          <w:sz w:val="20"/>
          <w:szCs w:val="20"/>
          <w:color w:val="auto"/>
        </w:rPr>
      </w:pPr>
    </w:p>
    <w:p>
      <w:pPr>
        <w:ind w:left="260"/>
        <w:spacing w:after="0" w:line="184"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  Earnings and EPS</w:t>
      </w:r>
    </w:p>
    <w:p>
      <w:pPr>
        <w:spacing w:after="0" w:line="124" w:lineRule="exact"/>
        <w:rPr>
          <w:sz w:val="20"/>
          <w:szCs w:val="20"/>
          <w:color w:val="auto"/>
        </w:rPr>
      </w:pPr>
    </w:p>
    <w:p>
      <w:pPr>
        <w:ind w:left="260" w:right="397"/>
        <w:spacing w:after="0" w:line="273"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  Expense Management </w:t>
      </w:r>
      <w:r>
        <w:rPr>
          <w:rFonts w:ascii="MS PGothic" w:cs="MS PGothic" w:eastAsia="MS PGothic" w:hAnsi="MS PGothic"/>
          <w:sz w:val="14"/>
          <w:szCs w:val="14"/>
          <w:color w:val="023C5B"/>
        </w:rPr>
        <w:t>∎</w:t>
      </w:r>
      <w:r>
        <w:rPr>
          <w:rFonts w:ascii="Arial" w:cs="Arial" w:eastAsia="Arial" w:hAnsi="Arial"/>
          <w:sz w:val="16"/>
          <w:szCs w:val="16"/>
          <w:color w:val="auto"/>
        </w:rPr>
        <w:t xml:space="preserve">    ROA and ROTCE</w:t>
      </w:r>
    </w:p>
    <w:p>
      <w:pPr>
        <w:spacing w:after="0" w:line="69" w:lineRule="exact"/>
        <w:rPr>
          <w:sz w:val="20"/>
          <w:szCs w:val="20"/>
          <w:color w:val="auto"/>
        </w:rPr>
      </w:pPr>
    </w:p>
    <w:p>
      <w:pPr>
        <w:ind w:left="260" w:right="517"/>
        <w:spacing w:after="0" w:line="273"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6"/>
          <w:szCs w:val="16"/>
          <w:color w:val="auto"/>
        </w:rPr>
        <w:t xml:space="preserve">    Capital Management </w:t>
      </w:r>
      <w:r>
        <w:rPr>
          <w:rFonts w:ascii="MS PGothic" w:cs="MS PGothic" w:eastAsia="MS PGothic" w:hAnsi="MS PGothic"/>
          <w:sz w:val="14"/>
          <w:szCs w:val="14"/>
          <w:color w:val="023C5B"/>
        </w:rPr>
        <w:t>∎</w:t>
      </w:r>
      <w:r>
        <w:rPr>
          <w:rFonts w:ascii="Arial" w:cs="Arial" w:eastAsia="Arial" w:hAnsi="Arial"/>
          <w:sz w:val="16"/>
          <w:szCs w:val="16"/>
          <w:color w:val="auto"/>
        </w:rPr>
        <w:t xml:space="preserve">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3251835</wp:posOffset>
            </wp:positionV>
            <wp:extent cx="76454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963"/>
        <w:spacing w:after="0"/>
        <w:rPr>
          <w:sz w:val="20"/>
          <w:szCs w:val="20"/>
          <w:color w:val="auto"/>
        </w:rPr>
      </w:pPr>
      <w:r>
        <w:rPr>
          <w:rFonts w:ascii="Arial" w:cs="Arial" w:eastAsia="Arial" w:hAnsi="Arial"/>
          <w:sz w:val="16"/>
          <w:szCs w:val="16"/>
          <w:b w:val="1"/>
          <w:bCs w:val="1"/>
          <w:color w:val="FFFFFF"/>
        </w:rPr>
        <w:t>2025 Performance</w:t>
      </w:r>
      <w:r>
        <w:rPr>
          <w:rFonts w:ascii="Arial" w:cs="Arial" w:eastAsia="Arial" w:hAnsi="Arial"/>
          <w:sz w:val="24"/>
          <w:szCs w:val="24"/>
          <w:b w:val="1"/>
          <w:bCs w:val="1"/>
          <w:color w:val="FFFFFF"/>
          <w:vertAlign w:val="superscript"/>
        </w:rPr>
        <w:t>(1)</w:t>
      </w:r>
    </w:p>
    <w:p>
      <w:pPr>
        <w:spacing w:after="0" w:line="153" w:lineRule="exact"/>
        <w:rPr>
          <w:sz w:val="20"/>
          <w:szCs w:val="20"/>
          <w:color w:val="auto"/>
        </w:rPr>
      </w:pPr>
    </w:p>
    <w:tbl>
      <w:tblPr>
        <w:tblLayout w:type="fixed"/>
        <w:tblInd w:w="143" w:type="dxa"/>
        <w:tblCellMar>
          <w:top w:w="0" w:type="dxa"/>
          <w:left w:w="0" w:type="dxa"/>
          <w:bottom w:w="0" w:type="dxa"/>
          <w:right w:w="0" w:type="dxa"/>
        </w:tblCellMar>
      </w:tblPr>
      <w:tr>
        <w:trPr>
          <w:trHeight w:val="274"/>
        </w:trPr>
        <w:tc>
          <w:tcPr>
            <w:tcW w:w="620" w:type="dxa"/>
            <w:vAlign w:val="bottom"/>
          </w:tcPr>
          <w:p>
            <w:pPr>
              <w:spacing w:after="0"/>
              <w:rPr>
                <w:sz w:val="23"/>
                <w:szCs w:val="23"/>
                <w:color w:val="auto"/>
              </w:rPr>
            </w:pPr>
          </w:p>
        </w:tc>
        <w:tc>
          <w:tcPr>
            <w:tcW w:w="3540" w:type="dxa"/>
            <w:vAlign w:val="bottom"/>
            <w:shd w:val="clear" w:color="auto" w:fill="023C5B"/>
          </w:tcPr>
          <w:p>
            <w:pPr>
              <w:spacing w:after="0"/>
              <w:rPr>
                <w:sz w:val="23"/>
                <w:szCs w:val="23"/>
                <w:color w:val="auto"/>
              </w:rPr>
            </w:pPr>
          </w:p>
        </w:tc>
        <w:tc>
          <w:tcPr>
            <w:tcW w:w="120" w:type="dxa"/>
            <w:vAlign w:val="bottom"/>
            <w:tcBorders>
              <w:left w:val="single" w:sz="8" w:color="023C5B"/>
            </w:tcBorders>
          </w:tcPr>
          <w:p>
            <w:pPr>
              <w:spacing w:after="0"/>
              <w:rPr>
                <w:sz w:val="23"/>
                <w:szCs w:val="23"/>
                <w:color w:val="auto"/>
              </w:rPr>
            </w:pPr>
          </w:p>
        </w:tc>
        <w:tc>
          <w:tcPr>
            <w:tcW w:w="112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2025</w:t>
            </w:r>
          </w:p>
        </w:tc>
        <w:tc>
          <w:tcPr>
            <w:tcW w:w="100" w:type="dxa"/>
            <w:vAlign w:val="bottom"/>
          </w:tcPr>
          <w:p>
            <w:pPr>
              <w:spacing w:after="0"/>
              <w:rPr>
                <w:sz w:val="23"/>
                <w:szCs w:val="23"/>
                <w:color w:val="auto"/>
              </w:rPr>
            </w:pPr>
          </w:p>
        </w:tc>
        <w:tc>
          <w:tcPr>
            <w:tcW w:w="112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2024</w:t>
            </w:r>
          </w:p>
        </w:tc>
        <w:tc>
          <w:tcPr>
            <w:tcW w:w="580" w:type="dxa"/>
            <w:vAlign w:val="bottom"/>
            <w:tcBorders>
              <w:left w:val="single" w:sz="8" w:color="023C5B"/>
            </w:tcBorders>
          </w:tcPr>
          <w:p>
            <w:pPr>
              <w:spacing w:after="0"/>
              <w:rPr>
                <w:sz w:val="23"/>
                <w:szCs w:val="23"/>
                <w:color w:val="auto"/>
              </w:rPr>
            </w:pPr>
          </w:p>
        </w:tc>
      </w:tr>
      <w:tr>
        <w:trPr>
          <w:trHeight w:val="67"/>
        </w:trPr>
        <w:tc>
          <w:tcPr>
            <w:tcW w:w="620" w:type="dxa"/>
            <w:vAlign w:val="bottom"/>
          </w:tcPr>
          <w:p>
            <w:pPr>
              <w:spacing w:after="0"/>
              <w:rPr>
                <w:sz w:val="5"/>
                <w:szCs w:val="5"/>
                <w:color w:val="auto"/>
              </w:rPr>
            </w:pPr>
          </w:p>
        </w:tc>
        <w:tc>
          <w:tcPr>
            <w:tcW w:w="3540" w:type="dxa"/>
            <w:vAlign w:val="bottom"/>
            <w:shd w:val="clear" w:color="auto" w:fill="023C5B"/>
          </w:tcPr>
          <w:p>
            <w:pPr>
              <w:spacing w:after="0"/>
              <w:rPr>
                <w:sz w:val="5"/>
                <w:szCs w:val="5"/>
                <w:color w:val="auto"/>
              </w:rPr>
            </w:pPr>
          </w:p>
        </w:tc>
        <w:tc>
          <w:tcPr>
            <w:tcW w:w="120" w:type="dxa"/>
            <w:vAlign w:val="bottom"/>
            <w:tcBorders>
              <w:left w:val="single" w:sz="8" w:color="023C5B"/>
            </w:tcBorders>
          </w:tcPr>
          <w:p>
            <w:pPr>
              <w:spacing w:after="0"/>
              <w:rPr>
                <w:sz w:val="5"/>
                <w:szCs w:val="5"/>
                <w:color w:val="auto"/>
              </w:rPr>
            </w:pPr>
          </w:p>
        </w:tc>
        <w:tc>
          <w:tcPr>
            <w:tcW w:w="1120" w:type="dxa"/>
            <w:vAlign w:val="bottom"/>
            <w:shd w:val="clear" w:color="auto" w:fill="023C5B"/>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shd w:val="clear" w:color="auto" w:fill="023C5B"/>
          </w:tcPr>
          <w:p>
            <w:pPr>
              <w:spacing w:after="0"/>
              <w:rPr>
                <w:sz w:val="5"/>
                <w:szCs w:val="5"/>
                <w:color w:val="auto"/>
              </w:rPr>
            </w:pPr>
          </w:p>
        </w:tc>
        <w:tc>
          <w:tcPr>
            <w:tcW w:w="580" w:type="dxa"/>
            <w:vAlign w:val="bottom"/>
            <w:tcBorders>
              <w:left w:val="single" w:sz="8" w:color="023C5B"/>
            </w:tcBorders>
          </w:tcPr>
          <w:p>
            <w:pPr>
              <w:spacing w:after="0"/>
              <w:rPr>
                <w:sz w:val="5"/>
                <w:szCs w:val="5"/>
                <w:color w:val="auto"/>
              </w:rPr>
            </w:pPr>
          </w:p>
        </w:tc>
      </w:tr>
      <w:tr>
        <w:trPr>
          <w:trHeight w:val="288"/>
        </w:trPr>
        <w:tc>
          <w:tcPr>
            <w:tcW w:w="620" w:type="dxa"/>
            <w:vAlign w:val="bottom"/>
          </w:tcPr>
          <w:p>
            <w:pPr>
              <w:spacing w:after="0"/>
              <w:rPr>
                <w:sz w:val="20"/>
                <w:szCs w:val="20"/>
                <w:color w:val="auto"/>
              </w:rPr>
            </w:pPr>
            <w:r>
              <w:rPr>
                <w:rFonts w:ascii="Arial" w:cs="Arial" w:eastAsia="Arial" w:hAnsi="Arial"/>
                <w:sz w:val="18"/>
                <w:szCs w:val="18"/>
                <w:color w:val="auto"/>
              </w:rPr>
              <w:t xml:space="preserve">          </w:t>
            </w:r>
          </w:p>
        </w:tc>
        <w:tc>
          <w:tcPr>
            <w:tcW w:w="3540" w:type="dxa"/>
            <w:vAlign w:val="bottom"/>
            <w:tcBorders>
              <w:bottom w:val="single" w:sz="8" w:color="023C5B"/>
            </w:tcBorders>
            <w:shd w:val="clear" w:color="auto" w:fill="E5EBEE"/>
          </w:tcPr>
          <w:p>
            <w:pPr>
              <w:ind w:left="100"/>
              <w:spacing w:after="0"/>
              <w:rPr>
                <w:sz w:val="20"/>
                <w:szCs w:val="20"/>
                <w:color w:val="auto"/>
              </w:rPr>
            </w:pPr>
            <w:r>
              <w:rPr>
                <w:rFonts w:ascii="Arial" w:cs="Arial" w:eastAsia="Arial" w:hAnsi="Arial"/>
                <w:sz w:val="16"/>
                <w:szCs w:val="16"/>
                <w:b w:val="1"/>
                <w:bCs w:val="1"/>
                <w:color w:val="auto"/>
              </w:rPr>
              <w:t>Net Revenue</w:t>
            </w:r>
          </w:p>
        </w:tc>
        <w:tc>
          <w:tcPr>
            <w:tcW w:w="120" w:type="dxa"/>
            <w:vAlign w:val="bottom"/>
          </w:tcPr>
          <w:p>
            <w:pPr>
              <w:spacing w:after="0"/>
              <w:rPr>
                <w:sz w:val="24"/>
                <w:szCs w:val="24"/>
                <w:color w:val="auto"/>
              </w:rPr>
            </w:pPr>
          </w:p>
        </w:tc>
        <w:tc>
          <w:tcPr>
            <w:tcW w:w="1120" w:type="dxa"/>
            <w:vAlign w:val="bottom"/>
            <w:tcBorders>
              <w:bottom w:val="single" w:sz="8" w:color="023C5B"/>
            </w:tcBorders>
            <w:shd w:val="clear" w:color="auto" w:fill="E5EBEE"/>
          </w:tcPr>
          <w:p>
            <w:pPr>
              <w:ind w:left="140"/>
              <w:spacing w:after="0"/>
              <w:rPr>
                <w:sz w:val="20"/>
                <w:szCs w:val="20"/>
                <w:color w:val="auto"/>
              </w:rPr>
            </w:pPr>
            <w:r>
              <w:rPr>
                <w:rFonts w:ascii="Arial" w:cs="Arial" w:eastAsia="Arial" w:hAnsi="Arial"/>
                <w:sz w:val="16"/>
                <w:szCs w:val="16"/>
                <w:color w:val="auto"/>
                <w:shd w:val="clear" w:color="auto" w:fill="E5EBEE"/>
              </w:rPr>
              <w:t>$53.4 billion</w:t>
            </w:r>
          </w:p>
        </w:tc>
        <w:tc>
          <w:tcPr>
            <w:tcW w:w="100" w:type="dxa"/>
            <w:vAlign w:val="bottom"/>
          </w:tcPr>
          <w:p>
            <w:pPr>
              <w:spacing w:after="0"/>
              <w:rPr>
                <w:sz w:val="24"/>
                <w:szCs w:val="24"/>
                <w:color w:val="auto"/>
              </w:rPr>
            </w:pPr>
          </w:p>
        </w:tc>
        <w:tc>
          <w:tcPr>
            <w:tcW w:w="1120" w:type="dxa"/>
            <w:vAlign w:val="bottom"/>
            <w:tcBorders>
              <w:bottom w:val="single" w:sz="8" w:color="023C5B"/>
            </w:tcBorders>
            <w:shd w:val="clear" w:color="auto" w:fill="E5EBEE"/>
          </w:tcPr>
          <w:p>
            <w:pPr>
              <w:ind w:left="160"/>
              <w:spacing w:after="0"/>
              <w:rPr>
                <w:sz w:val="20"/>
                <w:szCs w:val="20"/>
                <w:color w:val="auto"/>
              </w:rPr>
            </w:pPr>
            <w:r>
              <w:rPr>
                <w:rFonts w:ascii="Arial" w:cs="Arial" w:eastAsia="Arial" w:hAnsi="Arial"/>
                <w:sz w:val="16"/>
                <w:szCs w:val="16"/>
                <w:color w:val="auto"/>
                <w:shd w:val="clear" w:color="auto" w:fill="E5EBEE"/>
              </w:rPr>
              <w:t>$39.1 billion</w:t>
            </w:r>
          </w:p>
        </w:tc>
        <w:tc>
          <w:tcPr>
            <w:tcW w:w="580" w:type="dxa"/>
            <w:vAlign w:val="bottom"/>
          </w:tcPr>
          <w:p>
            <w:pPr>
              <w:spacing w:after="0"/>
              <w:rPr>
                <w:sz w:val="24"/>
                <w:szCs w:val="24"/>
                <w:color w:val="auto"/>
              </w:rPr>
            </w:pPr>
          </w:p>
        </w:tc>
      </w:tr>
      <w:tr>
        <w:trPr>
          <w:trHeight w:val="274"/>
        </w:trPr>
        <w:tc>
          <w:tcPr>
            <w:tcW w:w="620" w:type="dxa"/>
            <w:vAlign w:val="bottom"/>
          </w:tcPr>
          <w:p>
            <w:pPr>
              <w:spacing w:after="0"/>
              <w:rPr>
                <w:sz w:val="23"/>
                <w:szCs w:val="23"/>
                <w:color w:val="auto"/>
              </w:rPr>
            </w:pPr>
          </w:p>
        </w:tc>
        <w:tc>
          <w:tcPr>
            <w:tcW w:w="3660" w:type="dxa"/>
            <w:vAlign w:val="bottom"/>
            <w:gridSpan w:val="2"/>
          </w:tcPr>
          <w:p>
            <w:pPr>
              <w:ind w:left="100"/>
              <w:spacing w:after="0" w:line="274" w:lineRule="exact"/>
              <w:rPr>
                <w:sz w:val="20"/>
                <w:szCs w:val="20"/>
                <w:color w:val="auto"/>
              </w:rPr>
            </w:pPr>
            <w:r>
              <w:rPr>
                <w:rFonts w:ascii="Arial" w:cs="Arial" w:eastAsia="Arial" w:hAnsi="Arial"/>
                <w:sz w:val="16"/>
                <w:szCs w:val="16"/>
                <w:b w:val="1"/>
                <w:bCs w:val="1"/>
                <w:color w:val="auto"/>
              </w:rPr>
              <w:t>Pre-Provision Earnings</w:t>
            </w:r>
            <w:r>
              <w:rPr>
                <w:rFonts w:ascii="Arial" w:cs="Arial" w:eastAsia="Arial" w:hAnsi="Arial"/>
                <w:sz w:val="24"/>
                <w:szCs w:val="24"/>
                <w:b w:val="1"/>
                <w:bCs w:val="1"/>
                <w:color w:val="auto"/>
                <w:vertAlign w:val="superscript"/>
              </w:rPr>
              <w:t>(1)(2)</w:t>
            </w:r>
          </w:p>
        </w:tc>
        <w:tc>
          <w:tcPr>
            <w:tcW w:w="1120" w:type="dxa"/>
            <w:vAlign w:val="bottom"/>
          </w:tcPr>
          <w:p>
            <w:pPr>
              <w:ind w:left="140"/>
              <w:spacing w:after="0"/>
              <w:rPr>
                <w:sz w:val="20"/>
                <w:szCs w:val="20"/>
                <w:color w:val="auto"/>
              </w:rPr>
            </w:pPr>
            <w:r>
              <w:rPr>
                <w:rFonts w:ascii="Arial" w:cs="Arial" w:eastAsia="Arial" w:hAnsi="Arial"/>
                <w:sz w:val="16"/>
                <w:szCs w:val="16"/>
                <w:color w:val="auto"/>
              </w:rPr>
              <w:t>$22.9 billion</w:t>
            </w:r>
          </w:p>
        </w:tc>
        <w:tc>
          <w:tcPr>
            <w:tcW w:w="100" w:type="dxa"/>
            <w:vAlign w:val="bottom"/>
          </w:tcPr>
          <w:p>
            <w:pPr>
              <w:spacing w:after="0"/>
              <w:rPr>
                <w:sz w:val="23"/>
                <w:szCs w:val="23"/>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color w:val="auto"/>
              </w:rPr>
              <w:t xml:space="preserve">$17.6 billion   </w:t>
            </w:r>
            <w:r>
              <w:rPr>
                <w:rFonts w:ascii="Arial" w:cs="Arial" w:eastAsia="Arial" w:hAnsi="Arial"/>
                <w:sz w:val="17"/>
                <w:szCs w:val="17"/>
                <w:color w:val="auto"/>
              </w:rPr>
              <w:t xml:space="preserve">        </w:t>
            </w:r>
          </w:p>
        </w:tc>
      </w:tr>
      <w:tr>
        <w:trPr>
          <w:trHeight w:val="271"/>
        </w:trPr>
        <w:tc>
          <w:tcPr>
            <w:tcW w:w="620" w:type="dxa"/>
            <w:vAlign w:val="bottom"/>
          </w:tcPr>
          <w:p>
            <w:pPr>
              <w:spacing w:after="0"/>
              <w:rPr>
                <w:sz w:val="23"/>
                <w:szCs w:val="23"/>
                <w:color w:val="auto"/>
              </w:rPr>
            </w:pPr>
          </w:p>
        </w:tc>
        <w:tc>
          <w:tcPr>
            <w:tcW w:w="3540" w:type="dxa"/>
            <w:vAlign w:val="bottom"/>
            <w:tcBorders>
              <w:top w:val="single" w:sz="8" w:color="023C5B"/>
              <w:bottom w:val="single" w:sz="8" w:color="023C5B"/>
            </w:tcBorders>
            <w:shd w:val="clear" w:color="auto" w:fill="E5EBEE"/>
          </w:tcPr>
          <w:p>
            <w:pPr>
              <w:ind w:left="100"/>
              <w:spacing w:after="0"/>
              <w:rPr>
                <w:sz w:val="20"/>
                <w:szCs w:val="20"/>
                <w:color w:val="auto"/>
              </w:rPr>
            </w:pPr>
            <w:r>
              <w:rPr>
                <w:rFonts w:ascii="Arial" w:cs="Arial" w:eastAsia="Arial" w:hAnsi="Arial"/>
                <w:sz w:val="16"/>
                <w:szCs w:val="16"/>
                <w:b w:val="1"/>
                <w:bCs w:val="1"/>
                <w:color w:val="auto"/>
              </w:rPr>
              <w:t>Diluted EPS</w:t>
            </w:r>
          </w:p>
        </w:tc>
        <w:tc>
          <w:tcPr>
            <w:tcW w:w="120" w:type="dxa"/>
            <w:vAlign w:val="bottom"/>
          </w:tcPr>
          <w:p>
            <w:pPr>
              <w:spacing w:after="0"/>
              <w:rPr>
                <w:sz w:val="23"/>
                <w:szCs w:val="23"/>
                <w:color w:val="auto"/>
              </w:rPr>
            </w:pPr>
          </w:p>
        </w:tc>
        <w:tc>
          <w:tcPr>
            <w:tcW w:w="1120" w:type="dxa"/>
            <w:vAlign w:val="bottom"/>
            <w:tcBorders>
              <w:top w:val="single" w:sz="8" w:color="023C5B"/>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9"/>
              </w:rPr>
              <w:t>$4.03</w:t>
            </w:r>
          </w:p>
        </w:tc>
        <w:tc>
          <w:tcPr>
            <w:tcW w:w="100" w:type="dxa"/>
            <w:vAlign w:val="bottom"/>
          </w:tcPr>
          <w:p>
            <w:pPr>
              <w:spacing w:after="0"/>
              <w:rPr>
                <w:sz w:val="23"/>
                <w:szCs w:val="23"/>
                <w:color w:val="auto"/>
              </w:rPr>
            </w:pPr>
          </w:p>
        </w:tc>
        <w:tc>
          <w:tcPr>
            <w:tcW w:w="1120" w:type="dxa"/>
            <w:vAlign w:val="bottom"/>
            <w:tcBorders>
              <w:top w:val="single" w:sz="8" w:color="023C5B"/>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8"/>
              </w:rPr>
              <w:t>$11.59</w:t>
            </w:r>
          </w:p>
        </w:tc>
        <w:tc>
          <w:tcPr>
            <w:tcW w:w="580" w:type="dxa"/>
            <w:vAlign w:val="bottom"/>
          </w:tcPr>
          <w:p>
            <w:pPr>
              <w:spacing w:after="0"/>
              <w:rPr>
                <w:sz w:val="23"/>
                <w:szCs w:val="23"/>
                <w:color w:val="auto"/>
              </w:rPr>
            </w:pPr>
          </w:p>
        </w:tc>
      </w:tr>
      <w:tr>
        <w:trPr>
          <w:trHeight w:val="278"/>
        </w:trPr>
        <w:tc>
          <w:tcPr>
            <w:tcW w:w="620" w:type="dxa"/>
            <w:vAlign w:val="bottom"/>
          </w:tcPr>
          <w:p>
            <w:pPr>
              <w:spacing w:after="0"/>
              <w:rPr>
                <w:sz w:val="24"/>
                <w:szCs w:val="24"/>
                <w:color w:val="auto"/>
              </w:rPr>
            </w:pPr>
          </w:p>
        </w:tc>
        <w:tc>
          <w:tcPr>
            <w:tcW w:w="3660" w:type="dxa"/>
            <w:vAlign w:val="bottom"/>
            <w:gridSpan w:val="2"/>
          </w:tcPr>
          <w:p>
            <w:pPr>
              <w:ind w:left="100"/>
              <w:spacing w:after="0"/>
              <w:rPr>
                <w:sz w:val="20"/>
                <w:szCs w:val="20"/>
                <w:color w:val="auto"/>
              </w:rPr>
            </w:pPr>
            <w:r>
              <w:rPr>
                <w:rFonts w:ascii="Arial" w:cs="Arial" w:eastAsia="Arial" w:hAnsi="Arial"/>
                <w:sz w:val="16"/>
                <w:szCs w:val="16"/>
                <w:b w:val="1"/>
                <w:bCs w:val="1"/>
                <w:color w:val="auto"/>
              </w:rPr>
              <w:t>Adjusted Diluted EPS</w:t>
            </w:r>
            <w:r>
              <w:rPr>
                <w:rFonts w:ascii="Arial" w:cs="Arial" w:eastAsia="Arial" w:hAnsi="Arial"/>
                <w:sz w:val="24"/>
                <w:szCs w:val="24"/>
                <w:b w:val="1"/>
                <w:bCs w:val="1"/>
                <w:color w:val="auto"/>
                <w:vertAlign w:val="superscript"/>
              </w:rPr>
              <w:t>(1)(3)</w:t>
            </w:r>
          </w:p>
        </w:tc>
        <w:tc>
          <w:tcPr>
            <w:tcW w:w="1120" w:type="dxa"/>
            <w:vAlign w:val="bottom"/>
          </w:tcPr>
          <w:p>
            <w:pPr>
              <w:jc w:val="center"/>
              <w:spacing w:after="0"/>
              <w:rPr>
                <w:sz w:val="20"/>
                <w:szCs w:val="20"/>
                <w:color w:val="auto"/>
              </w:rPr>
            </w:pPr>
            <w:r>
              <w:rPr>
                <w:rFonts w:ascii="Arial" w:cs="Arial" w:eastAsia="Arial" w:hAnsi="Arial"/>
                <w:sz w:val="16"/>
                <w:szCs w:val="16"/>
                <w:color w:val="auto"/>
              </w:rPr>
              <w:t>$19.61</w:t>
            </w:r>
          </w:p>
        </w:tc>
        <w:tc>
          <w:tcPr>
            <w:tcW w:w="1220" w:type="dxa"/>
            <w:vAlign w:val="bottom"/>
            <w:gridSpan w:val="2"/>
          </w:tcPr>
          <w:p>
            <w:pPr>
              <w:jc w:val="center"/>
              <w:ind w:left="60"/>
              <w:spacing w:after="0"/>
              <w:rPr>
                <w:sz w:val="20"/>
                <w:szCs w:val="20"/>
                <w:color w:val="auto"/>
              </w:rPr>
            </w:pPr>
            <w:r>
              <w:rPr>
                <w:rFonts w:ascii="Arial" w:cs="Arial" w:eastAsia="Arial" w:hAnsi="Arial"/>
                <w:sz w:val="16"/>
                <w:szCs w:val="16"/>
                <w:color w:val="auto"/>
                <w:w w:val="98"/>
              </w:rPr>
              <w:t>$13.96</w:t>
            </w:r>
          </w:p>
        </w:tc>
        <w:tc>
          <w:tcPr>
            <w:tcW w:w="580" w:type="dxa"/>
            <w:vAlign w:val="bottom"/>
          </w:tcPr>
          <w:p>
            <w:pPr>
              <w:spacing w:after="0"/>
              <w:rPr>
                <w:sz w:val="24"/>
                <w:szCs w:val="24"/>
                <w:color w:val="auto"/>
              </w:rPr>
            </w:pPr>
          </w:p>
        </w:tc>
      </w:tr>
      <w:tr>
        <w:trPr>
          <w:trHeight w:val="274"/>
        </w:trPr>
        <w:tc>
          <w:tcPr>
            <w:tcW w:w="620" w:type="dxa"/>
            <w:vAlign w:val="bottom"/>
          </w:tcPr>
          <w:p>
            <w:pPr>
              <w:spacing w:after="0"/>
              <w:rPr>
                <w:sz w:val="23"/>
                <w:szCs w:val="23"/>
                <w:color w:val="auto"/>
              </w:rPr>
            </w:pPr>
          </w:p>
        </w:tc>
        <w:tc>
          <w:tcPr>
            <w:tcW w:w="3540" w:type="dxa"/>
            <w:vAlign w:val="bottom"/>
            <w:tcBorders>
              <w:top w:val="single" w:sz="8" w:color="023C5B"/>
              <w:bottom w:val="single" w:sz="8" w:color="023C5B"/>
            </w:tcBorders>
            <w:shd w:val="clear" w:color="auto" w:fill="E5EBEE"/>
          </w:tcPr>
          <w:p>
            <w:pPr>
              <w:ind w:left="100"/>
              <w:spacing w:after="0" w:line="274" w:lineRule="exact"/>
              <w:rPr>
                <w:sz w:val="20"/>
                <w:szCs w:val="20"/>
                <w:color w:val="auto"/>
              </w:rPr>
            </w:pPr>
            <w:r>
              <w:rPr>
                <w:rFonts w:ascii="Arial" w:cs="Arial" w:eastAsia="Arial" w:hAnsi="Arial"/>
                <w:sz w:val="16"/>
                <w:szCs w:val="16"/>
                <w:b w:val="1"/>
                <w:bCs w:val="1"/>
                <w:color w:val="auto"/>
              </w:rPr>
              <w:t>Operating Efficiency Ratio</w:t>
            </w:r>
            <w:r>
              <w:rPr>
                <w:rFonts w:ascii="Arial" w:cs="Arial" w:eastAsia="Arial" w:hAnsi="Arial"/>
                <w:sz w:val="24"/>
                <w:szCs w:val="24"/>
                <w:b w:val="1"/>
                <w:bCs w:val="1"/>
                <w:color w:val="auto"/>
                <w:vertAlign w:val="superscript"/>
              </w:rPr>
              <w:t>(4)</w:t>
            </w:r>
          </w:p>
        </w:tc>
        <w:tc>
          <w:tcPr>
            <w:tcW w:w="120" w:type="dxa"/>
            <w:vAlign w:val="bottom"/>
          </w:tcPr>
          <w:p>
            <w:pPr>
              <w:spacing w:after="0"/>
              <w:rPr>
                <w:sz w:val="23"/>
                <w:szCs w:val="23"/>
                <w:color w:val="auto"/>
              </w:rPr>
            </w:pPr>
          </w:p>
        </w:tc>
        <w:tc>
          <w:tcPr>
            <w:tcW w:w="1120" w:type="dxa"/>
            <w:vAlign w:val="bottom"/>
            <w:tcBorders>
              <w:top w:val="single" w:sz="8" w:color="023C5B"/>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23"/>
                <w:szCs w:val="23"/>
                <w:color w:val="auto"/>
              </w:rPr>
            </w:pPr>
          </w:p>
        </w:tc>
        <w:tc>
          <w:tcPr>
            <w:tcW w:w="1120" w:type="dxa"/>
            <w:vAlign w:val="bottom"/>
            <w:tcBorders>
              <w:top w:val="single" w:sz="8" w:color="023C5B"/>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6"/>
              </w:rPr>
              <w:t>43.3%</w:t>
            </w:r>
          </w:p>
        </w:tc>
        <w:tc>
          <w:tcPr>
            <w:tcW w:w="580" w:type="dxa"/>
            <w:vAlign w:val="bottom"/>
          </w:tcPr>
          <w:p>
            <w:pPr>
              <w:spacing w:after="0"/>
              <w:rPr>
                <w:sz w:val="23"/>
                <w:szCs w:val="23"/>
                <w:color w:val="auto"/>
              </w:rPr>
            </w:pPr>
          </w:p>
        </w:tc>
      </w:tr>
      <w:tr>
        <w:trPr>
          <w:trHeight w:val="274"/>
        </w:trPr>
        <w:tc>
          <w:tcPr>
            <w:tcW w:w="620" w:type="dxa"/>
            <w:vAlign w:val="bottom"/>
          </w:tcPr>
          <w:p>
            <w:pPr>
              <w:spacing w:after="0"/>
              <w:rPr>
                <w:sz w:val="23"/>
                <w:szCs w:val="23"/>
                <w:color w:val="auto"/>
              </w:rPr>
            </w:pPr>
          </w:p>
        </w:tc>
        <w:tc>
          <w:tcPr>
            <w:tcW w:w="3660" w:type="dxa"/>
            <w:vAlign w:val="bottom"/>
            <w:gridSpan w:val="2"/>
          </w:tcPr>
          <w:p>
            <w:pPr>
              <w:ind w:left="100"/>
              <w:spacing w:after="0" w:line="274" w:lineRule="exact"/>
              <w:rPr>
                <w:sz w:val="20"/>
                <w:szCs w:val="20"/>
                <w:color w:val="auto"/>
              </w:rPr>
            </w:pPr>
            <w:r>
              <w:rPr>
                <w:rFonts w:ascii="Arial" w:cs="Arial" w:eastAsia="Arial" w:hAnsi="Arial"/>
                <w:sz w:val="16"/>
                <w:szCs w:val="16"/>
                <w:b w:val="1"/>
                <w:bCs w:val="1"/>
                <w:color w:val="auto"/>
              </w:rPr>
              <w:t>Adjusted Operating Efficiency Ratio</w:t>
            </w:r>
            <w:r>
              <w:rPr>
                <w:rFonts w:ascii="Arial" w:cs="Arial" w:eastAsia="Arial" w:hAnsi="Arial"/>
                <w:sz w:val="24"/>
                <w:szCs w:val="24"/>
                <w:b w:val="1"/>
                <w:bCs w:val="1"/>
                <w:color w:val="auto"/>
                <w:vertAlign w:val="superscript"/>
              </w:rPr>
              <w:t>(1)(4)</w:t>
            </w:r>
          </w:p>
        </w:tc>
        <w:tc>
          <w:tcPr>
            <w:tcW w:w="1120" w:type="dxa"/>
            <w:vAlign w:val="bottom"/>
          </w:tcPr>
          <w:p>
            <w:pPr>
              <w:jc w:val="center"/>
              <w:spacing w:after="0"/>
              <w:rPr>
                <w:sz w:val="20"/>
                <w:szCs w:val="20"/>
                <w:color w:val="auto"/>
              </w:rPr>
            </w:pPr>
            <w:r>
              <w:rPr>
                <w:rFonts w:ascii="Arial" w:cs="Arial" w:eastAsia="Arial" w:hAnsi="Arial"/>
                <w:sz w:val="16"/>
                <w:szCs w:val="16"/>
                <w:color w:val="auto"/>
              </w:rPr>
              <w:t>40.8%</w:t>
            </w:r>
          </w:p>
        </w:tc>
        <w:tc>
          <w:tcPr>
            <w:tcW w:w="122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42.4%</w:t>
            </w:r>
          </w:p>
        </w:tc>
        <w:tc>
          <w:tcPr>
            <w:tcW w:w="580" w:type="dxa"/>
            <w:vAlign w:val="bottom"/>
          </w:tcPr>
          <w:p>
            <w:pPr>
              <w:spacing w:after="0"/>
              <w:rPr>
                <w:sz w:val="23"/>
                <w:szCs w:val="23"/>
                <w:color w:val="auto"/>
              </w:rPr>
            </w:pPr>
          </w:p>
        </w:tc>
      </w:tr>
      <w:tr>
        <w:trPr>
          <w:trHeight w:val="274"/>
        </w:trPr>
        <w:tc>
          <w:tcPr>
            <w:tcW w:w="620" w:type="dxa"/>
            <w:vAlign w:val="bottom"/>
          </w:tcPr>
          <w:p>
            <w:pPr>
              <w:spacing w:after="0"/>
              <w:rPr>
                <w:sz w:val="23"/>
                <w:szCs w:val="23"/>
                <w:color w:val="auto"/>
              </w:rPr>
            </w:pPr>
          </w:p>
        </w:tc>
        <w:tc>
          <w:tcPr>
            <w:tcW w:w="3540" w:type="dxa"/>
            <w:vAlign w:val="bottom"/>
            <w:tcBorders>
              <w:top w:val="single" w:sz="8" w:color="023C5B"/>
              <w:bottom w:val="single" w:sz="8" w:color="023C5B"/>
            </w:tcBorders>
            <w:shd w:val="clear" w:color="auto" w:fill="E5EBEE"/>
          </w:tcPr>
          <w:p>
            <w:pPr>
              <w:ind w:left="100"/>
              <w:spacing w:after="0" w:line="274" w:lineRule="exact"/>
              <w:rPr>
                <w:sz w:val="20"/>
                <w:szCs w:val="20"/>
                <w:color w:val="auto"/>
              </w:rPr>
            </w:pPr>
            <w:r>
              <w:rPr>
                <w:rFonts w:ascii="Arial" w:cs="Arial" w:eastAsia="Arial" w:hAnsi="Arial"/>
                <w:sz w:val="16"/>
                <w:szCs w:val="16"/>
                <w:b w:val="1"/>
                <w:bCs w:val="1"/>
                <w:color w:val="auto"/>
              </w:rPr>
              <w:t>Return on Average Assets (“ROA”)</w:t>
            </w:r>
            <w:r>
              <w:rPr>
                <w:rFonts w:ascii="Arial" w:cs="Arial" w:eastAsia="Arial" w:hAnsi="Arial"/>
                <w:sz w:val="24"/>
                <w:szCs w:val="24"/>
                <w:b w:val="1"/>
                <w:bCs w:val="1"/>
                <w:color w:val="auto"/>
                <w:vertAlign w:val="superscript"/>
              </w:rPr>
              <w:t>(5)</w:t>
            </w:r>
          </w:p>
        </w:tc>
        <w:tc>
          <w:tcPr>
            <w:tcW w:w="120" w:type="dxa"/>
            <w:vAlign w:val="bottom"/>
          </w:tcPr>
          <w:p>
            <w:pPr>
              <w:spacing w:after="0"/>
              <w:rPr>
                <w:sz w:val="23"/>
                <w:szCs w:val="23"/>
                <w:color w:val="auto"/>
              </w:rPr>
            </w:pPr>
          </w:p>
        </w:tc>
        <w:tc>
          <w:tcPr>
            <w:tcW w:w="1120" w:type="dxa"/>
            <w:vAlign w:val="bottom"/>
            <w:tcBorders>
              <w:top w:val="single" w:sz="8" w:color="023C5B"/>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1120" w:type="dxa"/>
            <w:vAlign w:val="bottom"/>
            <w:tcBorders>
              <w:top w:val="single" w:sz="8" w:color="023C5B"/>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8"/>
              </w:rPr>
              <w:t>1.0%</w:t>
            </w:r>
          </w:p>
        </w:tc>
        <w:tc>
          <w:tcPr>
            <w:tcW w:w="580" w:type="dxa"/>
            <w:vAlign w:val="bottom"/>
          </w:tcPr>
          <w:p>
            <w:pPr>
              <w:spacing w:after="0"/>
              <w:rPr>
                <w:sz w:val="23"/>
                <w:szCs w:val="23"/>
                <w:color w:val="auto"/>
              </w:rPr>
            </w:pPr>
          </w:p>
        </w:tc>
      </w:tr>
      <w:tr>
        <w:trPr>
          <w:trHeight w:val="274"/>
        </w:trPr>
        <w:tc>
          <w:tcPr>
            <w:tcW w:w="620" w:type="dxa"/>
            <w:vAlign w:val="bottom"/>
          </w:tcPr>
          <w:p>
            <w:pPr>
              <w:spacing w:after="0"/>
              <w:rPr>
                <w:sz w:val="23"/>
                <w:szCs w:val="23"/>
                <w:color w:val="auto"/>
              </w:rPr>
            </w:pPr>
          </w:p>
        </w:tc>
        <w:tc>
          <w:tcPr>
            <w:tcW w:w="3660" w:type="dxa"/>
            <w:vAlign w:val="bottom"/>
            <w:gridSpan w:val="2"/>
          </w:tcPr>
          <w:p>
            <w:pPr>
              <w:ind w:left="100"/>
              <w:spacing w:after="0" w:line="274" w:lineRule="exact"/>
              <w:rPr>
                <w:sz w:val="20"/>
                <w:szCs w:val="20"/>
                <w:color w:val="auto"/>
              </w:rPr>
            </w:pPr>
            <w:r>
              <w:rPr>
                <w:rFonts w:ascii="Arial" w:cs="Arial" w:eastAsia="Arial" w:hAnsi="Arial"/>
                <w:sz w:val="16"/>
                <w:szCs w:val="16"/>
                <w:b w:val="1"/>
                <w:bCs w:val="1"/>
                <w:color w:val="auto"/>
              </w:rPr>
              <w:t>Adjusted ROA</w:t>
            </w:r>
            <w:r>
              <w:rPr>
                <w:rFonts w:ascii="Arial" w:cs="Arial" w:eastAsia="Arial" w:hAnsi="Arial"/>
                <w:sz w:val="24"/>
                <w:szCs w:val="24"/>
                <w:b w:val="1"/>
                <w:bCs w:val="1"/>
                <w:color w:val="auto"/>
                <w:vertAlign w:val="superscript"/>
              </w:rPr>
              <w:t>(1)(5)</w:t>
            </w:r>
          </w:p>
        </w:tc>
        <w:tc>
          <w:tcPr>
            <w:tcW w:w="1120" w:type="dxa"/>
            <w:vAlign w:val="bottom"/>
          </w:tcPr>
          <w:p>
            <w:pPr>
              <w:jc w:val="center"/>
              <w:spacing w:after="0"/>
              <w:rPr>
                <w:sz w:val="20"/>
                <w:szCs w:val="20"/>
                <w:color w:val="auto"/>
              </w:rPr>
            </w:pPr>
            <w:r>
              <w:rPr>
                <w:rFonts w:ascii="Arial" w:cs="Arial" w:eastAsia="Arial" w:hAnsi="Arial"/>
                <w:sz w:val="16"/>
                <w:szCs w:val="16"/>
                <w:color w:val="auto"/>
              </w:rPr>
              <w:t>1.8%</w:t>
            </w:r>
          </w:p>
        </w:tc>
        <w:tc>
          <w:tcPr>
            <w:tcW w:w="1220" w:type="dxa"/>
            <w:vAlign w:val="bottom"/>
            <w:gridSpan w:val="2"/>
          </w:tcPr>
          <w:p>
            <w:pPr>
              <w:jc w:val="center"/>
              <w:ind w:left="60"/>
              <w:spacing w:after="0"/>
              <w:rPr>
                <w:sz w:val="20"/>
                <w:szCs w:val="20"/>
                <w:color w:val="auto"/>
              </w:rPr>
            </w:pPr>
            <w:r>
              <w:rPr>
                <w:rFonts w:ascii="Arial" w:cs="Arial" w:eastAsia="Arial" w:hAnsi="Arial"/>
                <w:sz w:val="16"/>
                <w:szCs w:val="16"/>
                <w:color w:val="auto"/>
                <w:w w:val="98"/>
              </w:rPr>
              <w:t>1.2%</w:t>
            </w:r>
          </w:p>
        </w:tc>
        <w:tc>
          <w:tcPr>
            <w:tcW w:w="580" w:type="dxa"/>
            <w:vAlign w:val="bottom"/>
          </w:tcPr>
          <w:p>
            <w:pPr>
              <w:spacing w:after="0"/>
              <w:rPr>
                <w:sz w:val="23"/>
                <w:szCs w:val="23"/>
                <w:color w:val="auto"/>
              </w:rPr>
            </w:pPr>
          </w:p>
        </w:tc>
      </w:tr>
      <w:tr>
        <w:trPr>
          <w:trHeight w:val="274"/>
        </w:trPr>
        <w:tc>
          <w:tcPr>
            <w:tcW w:w="620" w:type="dxa"/>
            <w:vAlign w:val="bottom"/>
          </w:tcPr>
          <w:p>
            <w:pPr>
              <w:spacing w:after="0"/>
              <w:rPr>
                <w:sz w:val="23"/>
                <w:szCs w:val="23"/>
                <w:color w:val="auto"/>
              </w:rPr>
            </w:pPr>
          </w:p>
        </w:tc>
        <w:tc>
          <w:tcPr>
            <w:tcW w:w="3540" w:type="dxa"/>
            <w:vAlign w:val="bottom"/>
            <w:tcBorders>
              <w:top w:val="single" w:sz="8" w:color="023C5B"/>
              <w:bottom w:val="single" w:sz="8" w:color="023C5B"/>
            </w:tcBorders>
            <w:shd w:val="clear" w:color="auto" w:fill="E5EBEE"/>
          </w:tcPr>
          <w:p>
            <w:pPr>
              <w:ind w:left="100"/>
              <w:spacing w:after="0" w:line="274" w:lineRule="exact"/>
              <w:rPr>
                <w:sz w:val="20"/>
                <w:szCs w:val="20"/>
                <w:color w:val="auto"/>
              </w:rPr>
            </w:pPr>
            <w:r>
              <w:rPr>
                <w:rFonts w:ascii="Arial" w:cs="Arial" w:eastAsia="Arial" w:hAnsi="Arial"/>
                <w:sz w:val="31"/>
                <w:szCs w:val="31"/>
                <w:b w:val="1"/>
                <w:bCs w:val="1"/>
                <w:color w:val="auto"/>
                <w:vertAlign w:val="subscript"/>
              </w:rPr>
              <w:t>ROTCE</w:t>
            </w:r>
            <w:r>
              <w:rPr>
                <w:rFonts w:ascii="Arial" w:cs="Arial" w:eastAsia="Arial" w:hAnsi="Arial"/>
                <w:sz w:val="12"/>
                <w:szCs w:val="12"/>
                <w:b w:val="1"/>
                <w:bCs w:val="1"/>
                <w:color w:val="auto"/>
              </w:rPr>
              <w:t>(1)(6)</w:t>
            </w:r>
          </w:p>
        </w:tc>
        <w:tc>
          <w:tcPr>
            <w:tcW w:w="120" w:type="dxa"/>
            <w:vAlign w:val="bottom"/>
          </w:tcPr>
          <w:p>
            <w:pPr>
              <w:spacing w:after="0"/>
              <w:rPr>
                <w:sz w:val="23"/>
                <w:szCs w:val="23"/>
                <w:color w:val="auto"/>
              </w:rPr>
            </w:pPr>
          </w:p>
        </w:tc>
        <w:tc>
          <w:tcPr>
            <w:tcW w:w="1120" w:type="dxa"/>
            <w:vAlign w:val="bottom"/>
            <w:tcBorders>
              <w:top w:val="single" w:sz="8" w:color="023C5B"/>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1120" w:type="dxa"/>
            <w:vAlign w:val="bottom"/>
            <w:tcBorders>
              <w:top w:val="single" w:sz="8" w:color="023C5B"/>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6"/>
              </w:rPr>
              <w:t>11.2%</w:t>
            </w:r>
          </w:p>
        </w:tc>
        <w:tc>
          <w:tcPr>
            <w:tcW w:w="580" w:type="dxa"/>
            <w:vAlign w:val="bottom"/>
          </w:tcPr>
          <w:p>
            <w:pPr>
              <w:spacing w:after="0"/>
              <w:rPr>
                <w:sz w:val="23"/>
                <w:szCs w:val="23"/>
                <w:color w:val="auto"/>
              </w:rPr>
            </w:pPr>
          </w:p>
        </w:tc>
      </w:tr>
      <w:tr>
        <w:trPr>
          <w:trHeight w:val="274"/>
        </w:trPr>
        <w:tc>
          <w:tcPr>
            <w:tcW w:w="620" w:type="dxa"/>
            <w:vAlign w:val="bottom"/>
          </w:tcPr>
          <w:p>
            <w:pPr>
              <w:spacing w:after="0"/>
              <w:rPr>
                <w:sz w:val="23"/>
                <w:szCs w:val="23"/>
                <w:color w:val="auto"/>
              </w:rPr>
            </w:pPr>
          </w:p>
        </w:tc>
        <w:tc>
          <w:tcPr>
            <w:tcW w:w="3660" w:type="dxa"/>
            <w:vAlign w:val="bottom"/>
            <w:gridSpan w:val="2"/>
          </w:tcPr>
          <w:p>
            <w:pPr>
              <w:ind w:left="100"/>
              <w:spacing w:after="0" w:line="274" w:lineRule="exact"/>
              <w:rPr>
                <w:sz w:val="20"/>
                <w:szCs w:val="20"/>
                <w:color w:val="auto"/>
              </w:rPr>
            </w:pPr>
            <w:r>
              <w:rPr>
                <w:rFonts w:ascii="Arial" w:cs="Arial" w:eastAsia="Arial" w:hAnsi="Arial"/>
                <w:sz w:val="16"/>
                <w:szCs w:val="16"/>
                <w:b w:val="1"/>
                <w:bCs w:val="1"/>
                <w:color w:val="auto"/>
              </w:rPr>
              <w:t>Adjusted ROTCE</w:t>
            </w:r>
            <w:r>
              <w:rPr>
                <w:rFonts w:ascii="Arial" w:cs="Arial" w:eastAsia="Arial" w:hAnsi="Arial"/>
                <w:sz w:val="24"/>
                <w:szCs w:val="24"/>
                <w:b w:val="1"/>
                <w:bCs w:val="1"/>
                <w:color w:val="auto"/>
                <w:vertAlign w:val="superscript"/>
              </w:rPr>
              <w:t>(1)(6)</w:t>
            </w:r>
          </w:p>
        </w:tc>
        <w:tc>
          <w:tcPr>
            <w:tcW w:w="1120" w:type="dxa"/>
            <w:vAlign w:val="bottom"/>
          </w:tcPr>
          <w:p>
            <w:pPr>
              <w:jc w:val="center"/>
              <w:spacing w:after="0"/>
              <w:rPr>
                <w:sz w:val="20"/>
                <w:szCs w:val="20"/>
                <w:color w:val="auto"/>
              </w:rPr>
            </w:pPr>
            <w:r>
              <w:rPr>
                <w:rFonts w:ascii="Arial" w:cs="Arial" w:eastAsia="Arial" w:hAnsi="Arial"/>
                <w:sz w:val="16"/>
                <w:szCs w:val="16"/>
                <w:color w:val="auto"/>
              </w:rPr>
              <w:t>18.5%</w:t>
            </w:r>
          </w:p>
        </w:tc>
        <w:tc>
          <w:tcPr>
            <w:tcW w:w="1220" w:type="dxa"/>
            <w:vAlign w:val="bottom"/>
            <w:gridSpan w:val="2"/>
          </w:tcPr>
          <w:p>
            <w:pPr>
              <w:jc w:val="center"/>
              <w:ind w:left="60"/>
              <w:spacing w:after="0"/>
              <w:rPr>
                <w:sz w:val="20"/>
                <w:szCs w:val="20"/>
                <w:color w:val="auto"/>
              </w:rPr>
            </w:pPr>
            <w:r>
              <w:rPr>
                <w:rFonts w:ascii="Arial" w:cs="Arial" w:eastAsia="Arial" w:hAnsi="Arial"/>
                <w:sz w:val="16"/>
                <w:szCs w:val="16"/>
                <w:color w:val="auto"/>
                <w:w w:val="96"/>
              </w:rPr>
              <w:t>13.5%</w:t>
            </w:r>
          </w:p>
        </w:tc>
        <w:tc>
          <w:tcPr>
            <w:tcW w:w="580" w:type="dxa"/>
            <w:vAlign w:val="bottom"/>
          </w:tcPr>
          <w:p>
            <w:pPr>
              <w:spacing w:after="0"/>
              <w:rPr>
                <w:sz w:val="23"/>
                <w:szCs w:val="23"/>
                <w:color w:val="auto"/>
              </w:rPr>
            </w:pPr>
          </w:p>
        </w:tc>
      </w:tr>
      <w:tr>
        <w:trPr>
          <w:trHeight w:val="271"/>
        </w:trPr>
        <w:tc>
          <w:tcPr>
            <w:tcW w:w="620" w:type="dxa"/>
            <w:vAlign w:val="bottom"/>
          </w:tcPr>
          <w:p>
            <w:pPr>
              <w:spacing w:after="0"/>
              <w:rPr>
                <w:sz w:val="23"/>
                <w:szCs w:val="23"/>
                <w:color w:val="auto"/>
              </w:rPr>
            </w:pPr>
          </w:p>
        </w:tc>
        <w:tc>
          <w:tcPr>
            <w:tcW w:w="3540" w:type="dxa"/>
            <w:vAlign w:val="bottom"/>
            <w:tcBorders>
              <w:top w:val="single" w:sz="8" w:color="023C5B"/>
              <w:bottom w:val="single" w:sz="8" w:color="023C5B"/>
            </w:tcBorders>
            <w:shd w:val="clear" w:color="auto" w:fill="E5EBEE"/>
          </w:tcPr>
          <w:p>
            <w:pPr>
              <w:ind w:left="100"/>
              <w:spacing w:after="0"/>
              <w:rPr>
                <w:sz w:val="20"/>
                <w:szCs w:val="20"/>
                <w:color w:val="auto"/>
              </w:rPr>
            </w:pPr>
            <w:r>
              <w:rPr>
                <w:rFonts w:ascii="Arial" w:cs="Arial" w:eastAsia="Arial" w:hAnsi="Arial"/>
                <w:sz w:val="16"/>
                <w:szCs w:val="16"/>
                <w:b w:val="1"/>
                <w:bCs w:val="1"/>
                <w:color w:val="auto"/>
              </w:rPr>
              <w:t>One-Year TSR</w:t>
            </w:r>
          </w:p>
        </w:tc>
        <w:tc>
          <w:tcPr>
            <w:tcW w:w="120" w:type="dxa"/>
            <w:vAlign w:val="bottom"/>
          </w:tcPr>
          <w:p>
            <w:pPr>
              <w:spacing w:after="0"/>
              <w:rPr>
                <w:sz w:val="23"/>
                <w:szCs w:val="23"/>
                <w:color w:val="auto"/>
              </w:rPr>
            </w:pPr>
          </w:p>
        </w:tc>
        <w:tc>
          <w:tcPr>
            <w:tcW w:w="1120" w:type="dxa"/>
            <w:vAlign w:val="bottom"/>
            <w:tcBorders>
              <w:top w:val="single" w:sz="8" w:color="023C5B"/>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3"/>
                <w:szCs w:val="23"/>
                <w:color w:val="auto"/>
              </w:rPr>
            </w:pPr>
          </w:p>
        </w:tc>
        <w:tc>
          <w:tcPr>
            <w:tcW w:w="1120" w:type="dxa"/>
            <w:vAlign w:val="bottom"/>
            <w:tcBorders>
              <w:top w:val="single" w:sz="8" w:color="023C5B"/>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6"/>
              </w:rPr>
              <w:t>38.3%</w:t>
            </w:r>
          </w:p>
        </w:tc>
        <w:tc>
          <w:tcPr>
            <w:tcW w:w="580" w:type="dxa"/>
            <w:vAlign w:val="bottom"/>
          </w:tcPr>
          <w:p>
            <w:pPr>
              <w:spacing w:after="0"/>
              <w:rPr>
                <w:sz w:val="23"/>
                <w:szCs w:val="23"/>
                <w:color w:val="auto"/>
              </w:rPr>
            </w:pPr>
          </w:p>
        </w:tc>
      </w:tr>
    </w:tbl>
    <w:p>
      <w:pPr>
        <w:spacing w:after="0" w:line="93" w:lineRule="exact"/>
        <w:rPr>
          <w:sz w:val="20"/>
          <w:szCs w:val="20"/>
          <w:color w:val="auto"/>
        </w:rPr>
      </w:pPr>
    </w:p>
    <w:p>
      <w:pPr>
        <w:ind w:left="363" w:hanging="363"/>
        <w:spacing w:after="0"/>
        <w:tabs>
          <w:tab w:leader="none" w:pos="363" w:val="left"/>
        </w:tabs>
        <w:numPr>
          <w:ilvl w:val="0"/>
          <w:numId w:val="80"/>
        </w:numPr>
        <w:rPr>
          <w:rFonts w:ascii="MS PGothic" w:cs="MS PGothic" w:eastAsia="MS PGothic" w:hAnsi="MS PGothic"/>
          <w:sz w:val="14"/>
          <w:szCs w:val="14"/>
          <w:color w:val="023C5B"/>
        </w:rPr>
      </w:pPr>
      <w:r>
        <w:rPr>
          <w:rFonts w:ascii="Arial" w:cs="Arial" w:eastAsia="Arial" w:hAnsi="Arial"/>
          <w:sz w:val="16"/>
          <w:szCs w:val="16"/>
          <w:color w:val="auto"/>
        </w:rPr>
        <w:t>Net Revenue of $53.4 billion, an increase of 37% from 2024</w:t>
      </w:r>
    </w:p>
    <w:p>
      <w:pPr>
        <w:spacing w:after="0" w:line="123" w:lineRule="exact"/>
        <w:rPr>
          <w:rFonts w:ascii="MS PGothic" w:cs="MS PGothic" w:eastAsia="MS PGothic" w:hAnsi="MS PGothic"/>
          <w:sz w:val="14"/>
          <w:szCs w:val="14"/>
          <w:color w:val="023C5B"/>
        </w:rPr>
      </w:pPr>
    </w:p>
    <w:p>
      <w:pPr>
        <w:jc w:val="both"/>
        <w:ind w:left="363" w:right="320" w:hanging="363"/>
        <w:spacing w:after="0" w:line="218" w:lineRule="auto"/>
        <w:tabs>
          <w:tab w:leader="none" w:pos="363" w:val="left"/>
        </w:tabs>
        <w:numPr>
          <w:ilvl w:val="0"/>
          <w:numId w:val="80"/>
        </w:numPr>
        <w:rPr>
          <w:rFonts w:ascii="MS PGothic" w:cs="MS PGothic" w:eastAsia="MS PGothic" w:hAnsi="MS PGothic"/>
          <w:sz w:val="14"/>
          <w:szCs w:val="14"/>
          <w:color w:val="023C5B"/>
        </w:rPr>
      </w:pPr>
      <w:r>
        <w:rPr>
          <w:rFonts w:ascii="Arial" w:cs="Arial" w:eastAsia="Arial" w:hAnsi="Arial"/>
          <w:sz w:val="16"/>
          <w:szCs w:val="16"/>
          <w:color w:val="auto"/>
        </w:rPr>
        <w:t>Net Income available to common stockholders of $2.2 billion, compared to $4.4 billion in 2024. Adjusted net income available to common stockholders</w:t>
      </w:r>
      <w:r>
        <w:rPr>
          <w:rFonts w:ascii="Arial" w:cs="Arial" w:eastAsia="Arial" w:hAnsi="Arial"/>
          <w:sz w:val="24"/>
          <w:szCs w:val="24"/>
          <w:color w:val="auto"/>
          <w:vertAlign w:val="superscript"/>
        </w:rPr>
        <w:t>(1)(7)</w:t>
      </w:r>
      <w:r>
        <w:rPr>
          <w:rFonts w:ascii="Arial" w:cs="Arial" w:eastAsia="Arial" w:hAnsi="Arial"/>
          <w:sz w:val="16"/>
          <w:szCs w:val="16"/>
          <w:color w:val="auto"/>
        </w:rPr>
        <w:t xml:space="preserve"> of $10.6 billion, up from $5.4 billion in 2024</w:t>
      </w:r>
    </w:p>
    <w:p>
      <w:pPr>
        <w:spacing w:after="0" w:line="97" w:lineRule="exact"/>
        <w:rPr>
          <w:rFonts w:ascii="MS PGothic" w:cs="MS PGothic" w:eastAsia="MS PGothic" w:hAnsi="MS PGothic"/>
          <w:sz w:val="14"/>
          <w:szCs w:val="14"/>
          <w:color w:val="023C5B"/>
        </w:rPr>
      </w:pPr>
    </w:p>
    <w:p>
      <w:pPr>
        <w:ind w:left="363" w:right="340" w:hanging="363"/>
        <w:spacing w:after="0" w:line="207" w:lineRule="auto"/>
        <w:tabs>
          <w:tab w:leader="none" w:pos="363" w:val="left"/>
        </w:tabs>
        <w:numPr>
          <w:ilvl w:val="0"/>
          <w:numId w:val="80"/>
        </w:numPr>
        <w:rPr>
          <w:rFonts w:ascii="MS PGothic" w:cs="MS PGothic" w:eastAsia="MS PGothic" w:hAnsi="MS PGothic"/>
          <w:sz w:val="14"/>
          <w:szCs w:val="14"/>
          <w:color w:val="023C5B"/>
        </w:rPr>
      </w:pPr>
      <w:r>
        <w:rPr>
          <w:rFonts w:ascii="Arial" w:cs="Arial" w:eastAsia="Arial" w:hAnsi="Arial"/>
          <w:sz w:val="16"/>
          <w:szCs w:val="16"/>
          <w:color w:val="auto"/>
        </w:rPr>
        <w:t>Diluted EPS of $4.03, compared to $11.59 in 2024. Adjusted diluted EPS</w:t>
      </w:r>
      <w:r>
        <w:rPr>
          <w:rFonts w:ascii="Arial" w:cs="Arial" w:eastAsia="Arial" w:hAnsi="Arial"/>
          <w:sz w:val="24"/>
          <w:szCs w:val="24"/>
          <w:color w:val="auto"/>
          <w:vertAlign w:val="superscript"/>
        </w:rPr>
        <w:t>(1)(3)</w:t>
      </w:r>
      <w:r>
        <w:rPr>
          <w:rFonts w:ascii="Arial" w:cs="Arial" w:eastAsia="Arial" w:hAnsi="Arial"/>
          <w:sz w:val="16"/>
          <w:szCs w:val="16"/>
          <w:color w:val="auto"/>
        </w:rPr>
        <w:t xml:space="preserve"> of $19.61, up 40% from 2024</w:t>
      </w:r>
    </w:p>
    <w:p>
      <w:pPr>
        <w:spacing w:after="0" w:line="98" w:lineRule="exact"/>
        <w:rPr>
          <w:rFonts w:ascii="MS PGothic" w:cs="MS PGothic" w:eastAsia="MS PGothic" w:hAnsi="MS PGothic"/>
          <w:sz w:val="14"/>
          <w:szCs w:val="14"/>
          <w:color w:val="023C5B"/>
        </w:rPr>
      </w:pPr>
    </w:p>
    <w:p>
      <w:pPr>
        <w:ind w:left="363" w:right="320" w:hanging="363"/>
        <w:spacing w:after="0" w:line="220" w:lineRule="auto"/>
        <w:tabs>
          <w:tab w:leader="none" w:pos="363" w:val="left"/>
        </w:tabs>
        <w:numPr>
          <w:ilvl w:val="0"/>
          <w:numId w:val="80"/>
        </w:numPr>
        <w:rPr>
          <w:rFonts w:ascii="MS PGothic" w:cs="MS PGothic" w:eastAsia="MS PGothic" w:hAnsi="MS PGothic"/>
          <w:sz w:val="14"/>
          <w:szCs w:val="14"/>
          <w:color w:val="023C5B"/>
        </w:rPr>
      </w:pPr>
      <w:r>
        <w:rPr>
          <w:rFonts w:ascii="Arial" w:cs="Arial" w:eastAsia="Arial" w:hAnsi="Arial"/>
          <w:sz w:val="16"/>
          <w:szCs w:val="16"/>
          <w:color w:val="auto"/>
        </w:rPr>
        <w:t>Operating efficiency ratio</w:t>
      </w:r>
      <w:r>
        <w:rPr>
          <w:rFonts w:ascii="Arial" w:cs="Arial" w:eastAsia="Arial" w:hAnsi="Arial"/>
          <w:sz w:val="24"/>
          <w:szCs w:val="24"/>
          <w:color w:val="auto"/>
          <w:vertAlign w:val="superscript"/>
        </w:rPr>
        <w:t>(4)</w:t>
      </w:r>
      <w:r>
        <w:rPr>
          <w:rFonts w:ascii="Arial" w:cs="Arial" w:eastAsia="Arial" w:hAnsi="Arial"/>
          <w:sz w:val="16"/>
          <w:szCs w:val="16"/>
          <w:color w:val="auto"/>
        </w:rPr>
        <w:t xml:space="preserve"> of 46.1%, compared to 43.3% in 2024. Adjusted operating efficiency ratio</w:t>
      </w:r>
      <w:r>
        <w:rPr>
          <w:rFonts w:ascii="Arial" w:cs="Arial" w:eastAsia="Arial" w:hAnsi="Arial"/>
          <w:sz w:val="24"/>
          <w:szCs w:val="24"/>
          <w:color w:val="auto"/>
          <w:vertAlign w:val="superscript"/>
        </w:rPr>
        <w:t>(1)(4)</w:t>
      </w:r>
      <w:r>
        <w:rPr>
          <w:rFonts w:ascii="Arial" w:cs="Arial" w:eastAsia="Arial" w:hAnsi="Arial"/>
          <w:sz w:val="16"/>
          <w:szCs w:val="16"/>
          <w:color w:val="auto"/>
        </w:rPr>
        <w:t xml:space="preserve"> of 40.8%, an improvement from 42.4% in 2024</w:t>
      </w:r>
    </w:p>
    <w:p>
      <w:pPr>
        <w:spacing w:after="0" w:line="1" w:lineRule="exact"/>
        <w:rPr>
          <w:rFonts w:ascii="MS PGothic" w:cs="MS PGothic" w:eastAsia="MS PGothic" w:hAnsi="MS PGothic"/>
          <w:sz w:val="14"/>
          <w:szCs w:val="14"/>
          <w:color w:val="023C5B"/>
        </w:rPr>
      </w:pPr>
    </w:p>
    <w:p>
      <w:pPr>
        <w:ind w:left="363" w:right="340" w:hanging="363"/>
        <w:spacing w:after="0" w:line="201" w:lineRule="auto"/>
        <w:tabs>
          <w:tab w:leader="none" w:pos="363" w:val="left"/>
        </w:tabs>
        <w:numPr>
          <w:ilvl w:val="0"/>
          <w:numId w:val="80"/>
        </w:numPr>
        <w:rPr>
          <w:rFonts w:ascii="MS PGothic" w:cs="MS PGothic" w:eastAsia="MS PGothic" w:hAnsi="MS PGothic"/>
          <w:sz w:val="14"/>
          <w:szCs w:val="14"/>
          <w:color w:val="023C5B"/>
        </w:rPr>
      </w:pPr>
      <w:r>
        <w:rPr>
          <w:rFonts w:ascii="Arial" w:cs="Arial" w:eastAsia="Arial" w:hAnsi="Arial"/>
          <w:sz w:val="16"/>
          <w:szCs w:val="16"/>
          <w:color w:val="auto"/>
        </w:rPr>
        <w:t>Efficiency ratio</w:t>
      </w:r>
      <w:r>
        <w:rPr>
          <w:rFonts w:ascii="Arial" w:cs="Arial" w:eastAsia="Arial" w:hAnsi="Arial"/>
          <w:sz w:val="24"/>
          <w:szCs w:val="24"/>
          <w:color w:val="auto"/>
          <w:vertAlign w:val="superscript"/>
        </w:rPr>
        <w:t>(8)</w:t>
      </w:r>
      <w:r>
        <w:rPr>
          <w:rFonts w:ascii="Arial" w:cs="Arial" w:eastAsia="Arial" w:hAnsi="Arial"/>
          <w:sz w:val="16"/>
          <w:szCs w:val="16"/>
          <w:color w:val="auto"/>
        </w:rPr>
        <w:t xml:space="preserve"> of 57.1%, compared to 54.9% in 2024. Adjusted efficiency ratio</w:t>
      </w:r>
      <w:r>
        <w:rPr>
          <w:rFonts w:ascii="Arial" w:cs="Arial" w:eastAsia="Arial" w:hAnsi="Arial"/>
          <w:sz w:val="24"/>
          <w:szCs w:val="24"/>
          <w:color w:val="auto"/>
          <w:vertAlign w:val="superscript"/>
        </w:rPr>
        <w:t>(1)(8)</w:t>
      </w:r>
      <w:r>
        <w:rPr>
          <w:rFonts w:ascii="Arial" w:cs="Arial" w:eastAsia="Arial" w:hAnsi="Arial"/>
          <w:sz w:val="16"/>
          <w:szCs w:val="16"/>
          <w:color w:val="auto"/>
        </w:rPr>
        <w:t xml:space="preserve"> of 51.8%, an improvement from 54.0% in 2024</w:t>
      </w:r>
    </w:p>
    <w:p>
      <w:pPr>
        <w:spacing w:after="0" w:line="97" w:lineRule="exact"/>
        <w:rPr>
          <w:rFonts w:ascii="MS PGothic" w:cs="MS PGothic" w:eastAsia="MS PGothic" w:hAnsi="MS PGothic"/>
          <w:sz w:val="14"/>
          <w:szCs w:val="14"/>
          <w:color w:val="023C5B"/>
        </w:rPr>
      </w:pPr>
    </w:p>
    <w:p>
      <w:pPr>
        <w:ind w:left="363" w:hanging="363"/>
        <w:spacing w:after="0"/>
        <w:tabs>
          <w:tab w:leader="none" w:pos="363" w:val="left"/>
        </w:tabs>
        <w:numPr>
          <w:ilvl w:val="0"/>
          <w:numId w:val="80"/>
        </w:numPr>
        <w:rPr>
          <w:rFonts w:ascii="MS PGothic" w:cs="MS PGothic" w:eastAsia="MS PGothic" w:hAnsi="MS PGothic"/>
          <w:sz w:val="14"/>
          <w:szCs w:val="14"/>
          <w:color w:val="023C5B"/>
        </w:rPr>
      </w:pPr>
      <w:r>
        <w:rPr>
          <w:rFonts w:ascii="Arial" w:cs="Arial" w:eastAsia="Arial" w:hAnsi="Arial"/>
          <w:sz w:val="16"/>
          <w:szCs w:val="16"/>
          <w:color w:val="auto"/>
        </w:rPr>
        <w:t>ROA</w:t>
      </w:r>
      <w:r>
        <w:rPr>
          <w:rFonts w:ascii="Arial" w:cs="Arial" w:eastAsia="Arial" w:hAnsi="Arial"/>
          <w:sz w:val="24"/>
          <w:szCs w:val="24"/>
          <w:color w:val="auto"/>
          <w:vertAlign w:val="superscript"/>
        </w:rPr>
        <w:t>(5)</w:t>
      </w:r>
      <w:r>
        <w:rPr>
          <w:rFonts w:ascii="Arial" w:cs="Arial" w:eastAsia="Arial" w:hAnsi="Arial"/>
          <w:sz w:val="16"/>
          <w:szCs w:val="16"/>
          <w:color w:val="auto"/>
        </w:rPr>
        <w:t xml:space="preserve"> of 0.4% and adjusted ROA</w:t>
      </w:r>
      <w:r>
        <w:rPr>
          <w:rFonts w:ascii="Arial" w:cs="Arial" w:eastAsia="Arial" w:hAnsi="Arial"/>
          <w:sz w:val="24"/>
          <w:szCs w:val="24"/>
          <w:color w:val="auto"/>
          <w:vertAlign w:val="superscript"/>
        </w:rPr>
        <w:t>(1)(5)</w:t>
      </w:r>
      <w:r>
        <w:rPr>
          <w:rFonts w:ascii="Arial" w:cs="Arial" w:eastAsia="Arial" w:hAnsi="Arial"/>
          <w:sz w:val="16"/>
          <w:szCs w:val="16"/>
          <w:color w:val="auto"/>
        </w:rPr>
        <w:t xml:space="preserve"> of 1.8%, up from 1.2% in 2024</w:t>
      </w:r>
    </w:p>
    <w:p>
      <w:pPr>
        <w:spacing w:after="0" w:line="43" w:lineRule="exact"/>
        <w:rPr>
          <w:rFonts w:ascii="MS PGothic" w:cs="MS PGothic" w:eastAsia="MS PGothic" w:hAnsi="MS PGothic"/>
          <w:sz w:val="14"/>
          <w:szCs w:val="14"/>
          <w:color w:val="023C5B"/>
        </w:rPr>
      </w:pPr>
    </w:p>
    <w:p>
      <w:pPr>
        <w:ind w:left="363" w:right="320" w:hanging="363"/>
        <w:spacing w:after="0" w:line="201" w:lineRule="auto"/>
        <w:tabs>
          <w:tab w:leader="none" w:pos="363" w:val="left"/>
        </w:tabs>
        <w:numPr>
          <w:ilvl w:val="0"/>
          <w:numId w:val="80"/>
        </w:numPr>
        <w:rPr>
          <w:rFonts w:ascii="MS PGothic" w:cs="MS PGothic" w:eastAsia="MS PGothic" w:hAnsi="MS PGothic"/>
          <w:sz w:val="14"/>
          <w:szCs w:val="14"/>
          <w:color w:val="023C5B"/>
        </w:rPr>
      </w:pPr>
      <w:r>
        <w:rPr>
          <w:rFonts w:ascii="Arial" w:cs="Arial" w:eastAsia="Arial" w:hAnsi="Arial"/>
          <w:sz w:val="16"/>
          <w:szCs w:val="16"/>
          <w:color w:val="auto"/>
        </w:rPr>
        <w:t>ROTCE</w:t>
      </w:r>
      <w:r>
        <w:rPr>
          <w:rFonts w:ascii="Arial" w:cs="Arial" w:eastAsia="Arial" w:hAnsi="Arial"/>
          <w:sz w:val="24"/>
          <w:szCs w:val="24"/>
          <w:color w:val="auto"/>
          <w:vertAlign w:val="superscript"/>
        </w:rPr>
        <w:t>(1)(6)</w:t>
      </w:r>
      <w:r>
        <w:rPr>
          <w:rFonts w:ascii="Arial" w:cs="Arial" w:eastAsia="Arial" w:hAnsi="Arial"/>
          <w:sz w:val="16"/>
          <w:szCs w:val="16"/>
          <w:color w:val="auto"/>
        </w:rPr>
        <w:t xml:space="preserve"> of 3.2%, compared to 11.2% in 2024. Adjusted ROTCE</w:t>
      </w:r>
      <w:r>
        <w:rPr>
          <w:rFonts w:ascii="Arial" w:cs="Arial" w:eastAsia="Arial" w:hAnsi="Arial"/>
          <w:sz w:val="24"/>
          <w:szCs w:val="24"/>
          <w:color w:val="auto"/>
          <w:vertAlign w:val="superscript"/>
        </w:rPr>
        <w:t>(1)(6)</w:t>
      </w:r>
      <w:r>
        <w:rPr>
          <w:rFonts w:ascii="Arial" w:cs="Arial" w:eastAsia="Arial" w:hAnsi="Arial"/>
          <w:sz w:val="16"/>
          <w:szCs w:val="16"/>
          <w:color w:val="auto"/>
        </w:rPr>
        <w:t xml:space="preserve"> of 18.5%, up from 13.5% in 2024</w:t>
      </w:r>
    </w:p>
    <w:p>
      <w:pPr>
        <w:spacing w:after="0" w:line="97" w:lineRule="exact"/>
        <w:rPr>
          <w:rFonts w:ascii="MS PGothic" w:cs="MS PGothic" w:eastAsia="MS PGothic" w:hAnsi="MS PGothic"/>
          <w:sz w:val="14"/>
          <w:szCs w:val="14"/>
          <w:color w:val="023C5B"/>
        </w:rPr>
      </w:pPr>
    </w:p>
    <w:p>
      <w:pPr>
        <w:ind w:left="363" w:hanging="363"/>
        <w:spacing w:after="0"/>
        <w:tabs>
          <w:tab w:leader="none" w:pos="363" w:val="left"/>
        </w:tabs>
        <w:numPr>
          <w:ilvl w:val="0"/>
          <w:numId w:val="80"/>
        </w:numPr>
        <w:rPr>
          <w:rFonts w:ascii="MS PGothic" w:cs="MS PGothic" w:eastAsia="MS PGothic" w:hAnsi="MS PGothic"/>
          <w:sz w:val="14"/>
          <w:szCs w:val="14"/>
          <w:color w:val="023C5B"/>
        </w:rPr>
      </w:pPr>
      <w:r>
        <w:rPr>
          <w:rFonts w:ascii="Arial" w:cs="Arial" w:eastAsia="Arial" w:hAnsi="Arial"/>
          <w:sz w:val="16"/>
          <w:szCs w:val="16"/>
          <w:color w:val="auto"/>
        </w:rPr>
        <w:t>Tangible book value per common share</w:t>
      </w:r>
      <w:r>
        <w:rPr>
          <w:rFonts w:ascii="Arial" w:cs="Arial" w:eastAsia="Arial" w:hAnsi="Arial"/>
          <w:sz w:val="24"/>
          <w:szCs w:val="24"/>
          <w:color w:val="auto"/>
          <w:vertAlign w:val="superscript"/>
        </w:rPr>
        <w:t>(9)</w:t>
      </w:r>
      <w:r>
        <w:rPr>
          <w:rFonts w:ascii="Arial" w:cs="Arial" w:eastAsia="Arial" w:hAnsi="Arial"/>
          <w:sz w:val="16"/>
          <w:szCs w:val="16"/>
          <w:color w:val="auto"/>
        </w:rPr>
        <w:t xml:space="preserve"> of $107.72, an increase of 0.7% from 2024</w:t>
      </w:r>
    </w:p>
    <w:p>
      <w:pPr>
        <w:spacing w:after="0" w:line="46" w:lineRule="exact"/>
        <w:rPr>
          <w:rFonts w:ascii="MS PGothic" w:cs="MS PGothic" w:eastAsia="MS PGothic" w:hAnsi="MS PGothic"/>
          <w:sz w:val="14"/>
          <w:szCs w:val="14"/>
          <w:color w:val="023C5B"/>
        </w:rPr>
      </w:pPr>
    </w:p>
    <w:p>
      <w:pPr>
        <w:ind w:left="363" w:right="320" w:hanging="363"/>
        <w:spacing w:after="0" w:line="260" w:lineRule="auto"/>
        <w:tabs>
          <w:tab w:leader="none" w:pos="363" w:val="left"/>
        </w:tabs>
        <w:numPr>
          <w:ilvl w:val="0"/>
          <w:numId w:val="80"/>
        </w:numPr>
        <w:rPr>
          <w:rFonts w:ascii="MS PGothic" w:cs="MS PGothic" w:eastAsia="MS PGothic" w:hAnsi="MS PGothic"/>
          <w:sz w:val="14"/>
          <w:szCs w:val="14"/>
          <w:color w:val="023C5B"/>
        </w:rPr>
      </w:pPr>
      <w:r>
        <w:rPr>
          <w:rFonts w:ascii="Arial" w:cs="Arial" w:eastAsia="Arial" w:hAnsi="Arial"/>
          <w:sz w:val="16"/>
          <w:szCs w:val="16"/>
          <w:color w:val="auto"/>
        </w:rPr>
        <w:t>Total capital distribution to common stockholders was $5.3 billion as we completed $3.8 billion in share repurchases and paid $1.5 billion in common dividends</w:t>
      </w:r>
    </w:p>
    <w:p>
      <w:pPr>
        <w:spacing w:after="0" w:line="81" w:lineRule="exact"/>
        <w:rPr>
          <w:rFonts w:ascii="MS PGothic" w:cs="MS PGothic" w:eastAsia="MS PGothic" w:hAnsi="MS PGothic"/>
          <w:sz w:val="14"/>
          <w:szCs w:val="14"/>
          <w:color w:val="023C5B"/>
        </w:rPr>
      </w:pPr>
    </w:p>
    <w:p>
      <w:pPr>
        <w:jc w:val="both"/>
        <w:ind w:left="363" w:right="320" w:hanging="363"/>
        <w:spacing w:after="0" w:line="256" w:lineRule="auto"/>
        <w:tabs>
          <w:tab w:leader="none" w:pos="363" w:val="left"/>
        </w:tabs>
        <w:numPr>
          <w:ilvl w:val="0"/>
          <w:numId w:val="80"/>
        </w:numPr>
        <w:rPr>
          <w:rFonts w:ascii="MS PGothic" w:cs="MS PGothic" w:eastAsia="MS PGothic" w:hAnsi="MS PGothic"/>
          <w:sz w:val="14"/>
          <w:szCs w:val="14"/>
          <w:color w:val="023C5B"/>
        </w:rPr>
      </w:pPr>
      <w:r>
        <w:rPr>
          <w:rFonts w:ascii="Arial" w:cs="Arial" w:eastAsia="Arial" w:hAnsi="Arial"/>
          <w:sz w:val="16"/>
          <w:szCs w:val="16"/>
          <w:color w:val="auto"/>
        </w:rPr>
        <w:t>Ending 2025 stock price of $242.36, up 36% from 2024. Capital One shares significantly outperformed the KBW Bank Index and broader U.S. equity markets. Total shareholder return of 37.7%, 174.7%, and 168.0% over one-, three-, and five-year periods, respectively, through the period ended December 31, 2025</w:t>
      </w:r>
    </w:p>
    <w:p>
      <w:pPr>
        <w:spacing w:after="0" w:line="200" w:lineRule="exact"/>
        <w:rPr>
          <w:sz w:val="20"/>
          <w:szCs w:val="20"/>
          <w:color w:val="auto"/>
        </w:rPr>
      </w:pPr>
    </w:p>
    <w:p>
      <w:pPr>
        <w:sectPr>
          <w:pgSz w:w="11900" w:h="16838" w:orient="portrait"/>
          <w:cols w:equalWidth="0" w:num="2">
            <w:col w:w="2577" w:space="720"/>
            <w:col w:w="7783"/>
          </w:cols>
          <w:pgMar w:left="320" w:top="478" w:right="499" w:bottom="1440" w:gutter="0" w:footer="0" w:header="0"/>
          <w:type w:val="continuous"/>
        </w:sectPr>
      </w:pPr>
    </w:p>
    <w:p>
      <w:pPr>
        <w:spacing w:after="0" w:line="183" w:lineRule="exact"/>
        <w:rPr>
          <w:sz w:val="20"/>
          <w:szCs w:val="20"/>
          <w:color w:val="auto"/>
        </w:rPr>
      </w:pPr>
    </w:p>
    <w:p>
      <w:pPr>
        <w:jc w:val="both"/>
        <w:ind w:left="600" w:hanging="433"/>
        <w:spacing w:after="0" w:line="253" w:lineRule="auto"/>
        <w:tabs>
          <w:tab w:leader="none" w:pos="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Committee considers these metrics to be key financial performance measures in its assessment of the Company’s performance, including certain non-GAAP measures. We believe our non-GAAP measures help investors and other users of our financial information understand the effect of adjusting items on our selected reported results. These measures may not be comparable to similarly-titled measures reported by other companies. See Appendix A for our definition and reconciliation of these non-GAAP measures to the applicable amounts measured in accordance with GAAP.</w:t>
      </w:r>
    </w:p>
    <w:p>
      <w:pPr>
        <w:spacing w:after="0" w:line="101"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55" w:lineRule="exact"/>
        <w:rPr>
          <w:sz w:val="20"/>
          <w:szCs w:val="20"/>
          <w:color w:val="auto"/>
        </w:rPr>
      </w:pPr>
    </w:p>
    <w:p>
      <w:pPr>
        <w:jc w:val="both"/>
        <w:ind w:left="600" w:right="20" w:hanging="433"/>
        <w:spacing w:after="0" w:line="260" w:lineRule="auto"/>
        <w:tabs>
          <w:tab w:leader="none" w:pos="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Pre-provision earnings is a non-GAAP measure calculated based on total net revenue less non-interest expense for the period. Management believes that this financial metric is useful in assessing the ability of a lending institution to generate income in excess of its provision for credit losses. See Appendix A for our reconciliation of these non-GAAP measures to the applicable amounts measured in accordance with GAAP.</w:t>
      </w:r>
    </w:p>
    <w:p>
      <w:pPr>
        <w:spacing w:after="0" w:line="38"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Adjusted diluted EPS is a non-GAAP measure. See Appendix A for our reconciliation of this non-GAAP measure to the applicable amount measured in accordance with GAAP.</w:t>
      </w:r>
    </w:p>
    <w:p>
      <w:pPr>
        <w:spacing w:after="0" w:line="24" w:lineRule="exact"/>
        <w:rPr>
          <w:rFonts w:ascii="Arial" w:cs="Arial" w:eastAsia="Arial" w:hAnsi="Arial"/>
          <w:sz w:val="14"/>
          <w:szCs w:val="14"/>
          <w:color w:val="auto"/>
        </w:rPr>
      </w:pPr>
    </w:p>
    <w:p>
      <w:pPr>
        <w:jc w:val="both"/>
        <w:ind w:left="600" w:hanging="433"/>
        <w:spacing w:after="0" w:line="260" w:lineRule="auto"/>
        <w:tabs>
          <w:tab w:leader="none" w:pos="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Operating efficiency ratio is calculated based on operating expense for the period divided by total net revenue for the period, and reflects as-reported results in accordance with GAAP. Adjusted operating efficiency ratio is a non-GAAP measure. See Appendix A for our reconciliation of the non-GAAP measures to the applicable amounts measured in accordance with GAAP.</w:t>
      </w:r>
    </w:p>
    <w:p>
      <w:pPr>
        <w:spacing w:after="0" w:line="38" w:lineRule="exact"/>
        <w:rPr>
          <w:rFonts w:ascii="Arial" w:cs="Arial" w:eastAsia="Arial" w:hAnsi="Arial"/>
          <w:sz w:val="14"/>
          <w:szCs w:val="14"/>
          <w:color w:val="auto"/>
        </w:rPr>
      </w:pPr>
    </w:p>
    <w:p>
      <w:pPr>
        <w:jc w:val="both"/>
        <w:ind w:left="600" w:hanging="433"/>
        <w:spacing w:after="0" w:line="266" w:lineRule="auto"/>
        <w:tabs>
          <w:tab w:leader="none" w:pos="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ROA is calculated based on net income (loss) less income (loss) from discontinued operations, net of tax, for the period divided by average total assets for the period. Adjusted ROA is a non-GAAP measure. See Appendix A for our reconciliation of this non-GAAP measure to the applicable amount measured in accordance with GAAP.</w:t>
      </w:r>
    </w:p>
    <w:p>
      <w:pPr>
        <w:spacing w:after="0" w:line="204" w:lineRule="exact"/>
        <w:rPr>
          <w:rFonts w:ascii="Arial" w:cs="Arial" w:eastAsia="Arial" w:hAnsi="Arial"/>
          <w:sz w:val="14"/>
          <w:szCs w:val="14"/>
          <w:color w:val="auto"/>
        </w:rPr>
      </w:pPr>
    </w:p>
    <w:p>
      <w:pPr>
        <w:jc w:val="both"/>
        <w:ind w:left="600" w:hanging="433"/>
        <w:spacing w:after="0" w:line="245" w:lineRule="auto"/>
        <w:tabs>
          <w:tab w:leader="none" w:pos="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ROTCE and adjusted ROTCE are non-GAAP measures. ROTCE is calculated based on net income (loss) available to common stockholders less income (loss) from discontinued operations, net of tax, for the period, divided by average tangible common equity. Adjusted ROTCE is calculated based on adjusted net income available to common stockholders less discontinued operations (non-GAAP) (as disclosed in Appendix A) divided by average tangible common equity. Average tangible common equity is not adjusted. We consider these metrics to be part of the key financial performance measures that management uses when assessing returns and capital management over time. While these non-GAAP measures are widely used by investors, analysts, and bank regulatory agencies to assess the operating performance and capital position of financial services companies, they may not be comparable to similarly-titled measures reported by other companies. See Appendix A for our reconciliation of non-GAAP measures to the applicable amounts measured in accordance with GAAP. Adjusted ROTCE is not the same as PSU Adjusted ROTCE referenced within this proxy statement.</w:t>
      </w:r>
    </w:p>
    <w:p>
      <w:pPr>
        <w:spacing w:after="0" w:line="49"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Adjusted net income available to common stockholders is a non-GAAP measure. See Appendix A for our reconciliation of this non-GAAP measure to the applicable amount measured in accordance with GAAP.</w:t>
      </w:r>
    </w:p>
    <w:p>
      <w:pPr>
        <w:spacing w:after="0" w:line="24" w:lineRule="exact"/>
        <w:rPr>
          <w:rFonts w:ascii="Arial" w:cs="Arial" w:eastAsia="Arial" w:hAnsi="Arial"/>
          <w:sz w:val="14"/>
          <w:szCs w:val="14"/>
          <w:color w:val="auto"/>
        </w:rPr>
      </w:pPr>
    </w:p>
    <w:p>
      <w:pPr>
        <w:jc w:val="both"/>
        <w:ind w:left="600" w:hanging="433"/>
        <w:spacing w:after="0" w:line="260" w:lineRule="auto"/>
        <w:tabs>
          <w:tab w:leader="none" w:pos="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Efficiency ratio is calculated based on total non-interest expense for the period divided by total net revenue for the period and reflects as-reported results in accordance with GAAP. Adjusted efficiency ratio is a non-GAAP measure. See Appendix A for our reconciliation of the non-GAAP measures to the applicable amounts measured in accordance with GAAP.</w:t>
      </w:r>
    </w:p>
    <w:p>
      <w:pPr>
        <w:spacing w:after="0" w:line="38" w:lineRule="exact"/>
        <w:rPr>
          <w:rFonts w:ascii="Arial" w:cs="Arial" w:eastAsia="Arial" w:hAnsi="Arial"/>
          <w:sz w:val="14"/>
          <w:szCs w:val="14"/>
          <w:color w:val="auto"/>
        </w:rPr>
      </w:pPr>
    </w:p>
    <w:p>
      <w:pPr>
        <w:jc w:val="both"/>
        <w:ind w:left="600" w:hanging="433"/>
        <w:spacing w:after="0" w:line="249" w:lineRule="auto"/>
        <w:tabs>
          <w:tab w:leader="none" w:pos="6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Tangible book value per common share is a non-GAAP measure calculated based on tangible common equity divided by common shares outstanding. We consider this metric to be part of the key financial performance measures that management uses when assessing returns and capital management over time. While this non-GAAP measure is widely used by investors, analysts and bank regulatory agencies to assess the operating performance and capital position of financial services companies, it may not be comparable to similarly-titled measures reported by other companies. See Appendix A for our reconciliation of this non-GAAP measure to the applicable amounts measured in accordance with GAAP.</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240" w:type="dxa"/>
            <w:vAlign w:val="bottom"/>
            <w:shd w:val="clear" w:color="auto" w:fill="023C5B"/>
          </w:tcPr>
          <w:p>
            <w:pPr>
              <w:spacing w:after="0"/>
              <w:rPr>
                <w:sz w:val="23"/>
                <w:szCs w:val="23"/>
                <w:color w:val="auto"/>
              </w:rPr>
            </w:pPr>
          </w:p>
        </w:tc>
        <w:tc>
          <w:tcPr>
            <w:tcW w:w="2720" w:type="dxa"/>
            <w:vAlign w:val="bottom"/>
            <w:shd w:val="clear" w:color="auto" w:fill="023C5B"/>
          </w:tcPr>
          <w:p>
            <w:pPr>
              <w:spacing w:after="0"/>
              <w:rPr>
                <w:sz w:val="23"/>
                <w:szCs w:val="23"/>
                <w:color w:val="auto"/>
              </w:rPr>
            </w:pPr>
          </w:p>
        </w:tc>
        <w:tc>
          <w:tcPr>
            <w:tcW w:w="340" w:type="dxa"/>
            <w:vAlign w:val="bottom"/>
            <w:shd w:val="clear" w:color="auto" w:fill="023C5B"/>
          </w:tcPr>
          <w:p>
            <w:pPr>
              <w:spacing w:after="0"/>
              <w:rPr>
                <w:sz w:val="23"/>
                <w:szCs w:val="23"/>
                <w:color w:val="auto"/>
              </w:rPr>
            </w:pPr>
          </w:p>
        </w:tc>
        <w:tc>
          <w:tcPr>
            <w:tcW w:w="7620" w:type="dxa"/>
            <w:vAlign w:val="bottom"/>
            <w:shd w:val="clear" w:color="auto" w:fill="023C5B"/>
          </w:tcPr>
          <w:p>
            <w:pPr>
              <w:ind w:left="840"/>
              <w:spacing w:after="0"/>
              <w:rPr>
                <w:sz w:val="20"/>
                <w:szCs w:val="20"/>
                <w:color w:val="auto"/>
              </w:rPr>
            </w:pPr>
            <w:r>
              <w:rPr>
                <w:rFonts w:ascii="Arial" w:cs="Arial" w:eastAsia="Arial" w:hAnsi="Arial"/>
                <w:sz w:val="16"/>
                <w:szCs w:val="16"/>
                <w:b w:val="1"/>
                <w:bCs w:val="1"/>
                <w:color w:val="FFFFFF"/>
              </w:rPr>
              <w:t>Governance and Risk Management</w:t>
            </w:r>
          </w:p>
        </w:tc>
        <w:tc>
          <w:tcPr>
            <w:tcW w:w="0" w:type="dxa"/>
            <w:vAlign w:val="bottom"/>
          </w:tcPr>
          <w:p>
            <w:pPr>
              <w:spacing w:after="0"/>
              <w:rPr>
                <w:sz w:val="1"/>
                <w:szCs w:val="1"/>
                <w:color w:val="auto"/>
              </w:rPr>
            </w:pPr>
          </w:p>
        </w:tc>
      </w:tr>
      <w:tr>
        <w:trPr>
          <w:trHeight w:val="415"/>
        </w:trPr>
        <w:tc>
          <w:tcPr>
            <w:tcW w:w="240" w:type="dxa"/>
            <w:vAlign w:val="bottom"/>
            <w:shd w:val="clear" w:color="auto" w:fill="023C5B"/>
          </w:tcPr>
          <w:p>
            <w:pPr>
              <w:spacing w:after="0"/>
              <w:rPr>
                <w:sz w:val="24"/>
                <w:szCs w:val="24"/>
                <w:color w:val="auto"/>
              </w:rPr>
            </w:pPr>
          </w:p>
        </w:tc>
        <w:tc>
          <w:tcPr>
            <w:tcW w:w="2720" w:type="dxa"/>
            <w:vAlign w:val="bottom"/>
            <w:shd w:val="clear" w:color="auto" w:fill="023C5B"/>
          </w:tcPr>
          <w:p>
            <w:pPr>
              <w:ind w:left="480"/>
              <w:spacing w:after="0"/>
              <w:rPr>
                <w:sz w:val="20"/>
                <w:szCs w:val="20"/>
                <w:color w:val="auto"/>
              </w:rPr>
            </w:pPr>
            <w:r>
              <w:rPr>
                <w:rFonts w:ascii="Arial" w:cs="Arial" w:eastAsia="Arial" w:hAnsi="Arial"/>
                <w:sz w:val="16"/>
                <w:szCs w:val="16"/>
                <w:b w:val="1"/>
                <w:bCs w:val="1"/>
                <w:color w:val="FFFFFF"/>
              </w:rPr>
              <w:t>Performance Factor</w:t>
            </w:r>
          </w:p>
        </w:tc>
        <w:tc>
          <w:tcPr>
            <w:tcW w:w="340" w:type="dxa"/>
            <w:vAlign w:val="bottom"/>
            <w:shd w:val="clear" w:color="auto" w:fill="023C5B"/>
          </w:tcPr>
          <w:p>
            <w:pPr>
              <w:spacing w:after="0"/>
              <w:rPr>
                <w:sz w:val="24"/>
                <w:szCs w:val="24"/>
                <w:color w:val="auto"/>
              </w:rPr>
            </w:pPr>
          </w:p>
        </w:tc>
        <w:tc>
          <w:tcPr>
            <w:tcW w:w="7620" w:type="dxa"/>
            <w:vAlign w:val="bottom"/>
            <w:shd w:val="clear" w:color="auto" w:fill="023C5B"/>
          </w:tcPr>
          <w:p>
            <w:pPr>
              <w:ind w:left="3000"/>
              <w:spacing w:after="0"/>
              <w:rPr>
                <w:sz w:val="20"/>
                <w:szCs w:val="20"/>
                <w:color w:val="auto"/>
              </w:rPr>
            </w:pPr>
            <w:r>
              <w:rPr>
                <w:rFonts w:ascii="Arial" w:cs="Arial" w:eastAsia="Arial" w:hAnsi="Arial"/>
                <w:sz w:val="16"/>
                <w:szCs w:val="16"/>
                <w:b w:val="1"/>
                <w:bCs w:val="1"/>
                <w:color w:val="FFFFFF"/>
              </w:rPr>
              <w:t>2025 Performance</w:t>
            </w:r>
          </w:p>
        </w:tc>
        <w:tc>
          <w:tcPr>
            <w:tcW w:w="0" w:type="dxa"/>
            <w:vAlign w:val="bottom"/>
          </w:tcPr>
          <w:p>
            <w:pPr>
              <w:spacing w:after="0"/>
              <w:rPr>
                <w:sz w:val="1"/>
                <w:szCs w:val="1"/>
                <w:color w:val="auto"/>
              </w:rPr>
            </w:pPr>
          </w:p>
        </w:tc>
      </w:tr>
      <w:tr>
        <w:trPr>
          <w:trHeight w:val="60"/>
        </w:trPr>
        <w:tc>
          <w:tcPr>
            <w:tcW w:w="240" w:type="dxa"/>
            <w:vAlign w:val="bottom"/>
            <w:shd w:val="clear" w:color="auto" w:fill="023C5B"/>
          </w:tcPr>
          <w:p>
            <w:pPr>
              <w:spacing w:after="0"/>
              <w:rPr>
                <w:sz w:val="5"/>
                <w:szCs w:val="5"/>
                <w:color w:val="auto"/>
              </w:rPr>
            </w:pPr>
          </w:p>
        </w:tc>
        <w:tc>
          <w:tcPr>
            <w:tcW w:w="2720" w:type="dxa"/>
            <w:vAlign w:val="bottom"/>
            <w:shd w:val="clear" w:color="auto" w:fill="023C5B"/>
          </w:tcPr>
          <w:p>
            <w:pPr>
              <w:spacing w:after="0"/>
              <w:rPr>
                <w:sz w:val="5"/>
                <w:szCs w:val="5"/>
                <w:color w:val="auto"/>
              </w:rPr>
            </w:pPr>
          </w:p>
        </w:tc>
        <w:tc>
          <w:tcPr>
            <w:tcW w:w="340" w:type="dxa"/>
            <w:vAlign w:val="bottom"/>
            <w:shd w:val="clear" w:color="auto" w:fill="023C5B"/>
          </w:tcPr>
          <w:p>
            <w:pPr>
              <w:spacing w:after="0"/>
              <w:rPr>
                <w:sz w:val="5"/>
                <w:szCs w:val="5"/>
                <w:color w:val="auto"/>
              </w:rPr>
            </w:pPr>
          </w:p>
        </w:tc>
        <w:tc>
          <w:tcPr>
            <w:tcW w:w="7620" w:type="dxa"/>
            <w:vAlign w:val="bottom"/>
            <w:shd w:val="clear" w:color="auto" w:fill="023C5B"/>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2720" w:type="dxa"/>
            <w:vAlign w:val="bottom"/>
          </w:tcPr>
          <w:p>
            <w:pPr>
              <w:ind w:left="140"/>
              <w:spacing w:after="0"/>
              <w:rPr>
                <w:sz w:val="20"/>
                <w:szCs w:val="20"/>
                <w:color w:val="auto"/>
              </w:rPr>
            </w:pPr>
            <w:r>
              <w:rPr>
                <w:rFonts w:ascii="Arial" w:cs="Arial" w:eastAsia="Arial" w:hAnsi="Arial"/>
                <w:sz w:val="16"/>
                <w:szCs w:val="16"/>
                <w:color w:val="auto"/>
              </w:rPr>
              <w:t>Credit performance and</w:t>
            </w:r>
          </w:p>
        </w:tc>
        <w:tc>
          <w:tcPr>
            <w:tcW w:w="340" w:type="dxa"/>
            <w:vAlign w:val="bottom"/>
          </w:tcPr>
          <w:p>
            <w:pPr>
              <w:ind w:left="120"/>
              <w:spacing w:after="0" w:line="141" w:lineRule="exact"/>
              <w:rPr>
                <w:sz w:val="20"/>
                <w:szCs w:val="20"/>
                <w:color w:val="auto"/>
              </w:rPr>
            </w:pPr>
            <w:r>
              <w:rPr>
                <w:rFonts w:ascii="MS PGothic" w:cs="MS PGothic" w:eastAsia="MS PGothic" w:hAnsi="MS PGothic"/>
                <w:sz w:val="14"/>
                <w:szCs w:val="14"/>
                <w:color w:val="023C5B"/>
              </w:rPr>
              <w:t>∎</w:t>
            </w:r>
          </w:p>
        </w:tc>
        <w:tc>
          <w:tcPr>
            <w:tcW w:w="7620" w:type="dxa"/>
            <w:vAlign w:val="bottom"/>
          </w:tcPr>
          <w:p>
            <w:pPr>
              <w:ind w:left="140"/>
              <w:spacing w:after="0"/>
              <w:rPr>
                <w:sz w:val="20"/>
                <w:szCs w:val="20"/>
                <w:color w:val="auto"/>
              </w:rPr>
            </w:pPr>
            <w:r>
              <w:rPr>
                <w:rFonts w:ascii="Arial" w:cs="Arial" w:eastAsia="Arial" w:hAnsi="Arial"/>
                <w:sz w:val="16"/>
                <w:szCs w:val="16"/>
                <w:color w:val="auto"/>
              </w:rPr>
              <w:t>Net charge-off rate of 3.3%, an improvement from 3.4% in 2024</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6"/>
                <w:szCs w:val="16"/>
                <w:color w:val="auto"/>
              </w:rPr>
              <w:t>underwriting quality</w:t>
            </w:r>
          </w:p>
        </w:tc>
        <w:tc>
          <w:tcPr>
            <w:tcW w:w="3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023C5B"/>
              </w:rPr>
              <w:t>∎</w:t>
            </w:r>
          </w:p>
        </w:tc>
        <w:tc>
          <w:tcPr>
            <w:tcW w:w="7620" w:type="dxa"/>
            <w:vAlign w:val="bottom"/>
            <w:vMerge w:val="restart"/>
          </w:tcPr>
          <w:p>
            <w:pPr>
              <w:ind w:left="140"/>
              <w:spacing w:after="0"/>
              <w:rPr>
                <w:sz w:val="20"/>
                <w:szCs w:val="20"/>
                <w:color w:val="auto"/>
              </w:rPr>
            </w:pPr>
            <w:r>
              <w:rPr>
                <w:rFonts w:ascii="Arial" w:cs="Arial" w:eastAsia="Arial" w:hAnsi="Arial"/>
                <w:sz w:val="16"/>
                <w:szCs w:val="16"/>
                <w:color w:val="auto"/>
              </w:rPr>
              <w:t>Provision for credit losses of $20.7 billion for 2025 compared to $11.7 billion in 2024, primarily driven by</w:t>
            </w:r>
          </w:p>
        </w:tc>
        <w:tc>
          <w:tcPr>
            <w:tcW w:w="0" w:type="dxa"/>
            <w:vAlign w:val="bottom"/>
          </w:tcPr>
          <w:p>
            <w:pPr>
              <w:spacing w:after="0"/>
              <w:rPr>
                <w:sz w:val="1"/>
                <w:szCs w:val="1"/>
                <w:color w:val="auto"/>
              </w:rPr>
            </w:pPr>
          </w:p>
        </w:tc>
      </w:tr>
      <w:tr>
        <w:trPr>
          <w:trHeight w:val="96"/>
        </w:trPr>
        <w:tc>
          <w:tcPr>
            <w:tcW w:w="240" w:type="dxa"/>
            <w:vAlign w:val="bottom"/>
            <w:vMerge w:val="restart"/>
          </w:tcPr>
          <w:p>
            <w:pPr>
              <w:spacing w:after="0" w:line="141" w:lineRule="exact"/>
              <w:rPr>
                <w:sz w:val="20"/>
                <w:szCs w:val="20"/>
                <w:color w:val="auto"/>
              </w:rPr>
            </w:pPr>
            <w:r>
              <w:rPr>
                <w:rFonts w:ascii="MS PGothic" w:cs="MS PGothic" w:eastAsia="MS PGothic" w:hAnsi="MS PGothic"/>
                <w:sz w:val="14"/>
                <w:szCs w:val="14"/>
                <w:color w:val="023C5B"/>
              </w:rPr>
              <w:t>∎</w:t>
            </w:r>
          </w:p>
        </w:tc>
        <w:tc>
          <w:tcPr>
            <w:tcW w:w="2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7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40" w:type="dxa"/>
            <w:vAlign w:val="bottom"/>
            <w:vMerge w:val="continue"/>
          </w:tcPr>
          <w:p>
            <w:pPr>
              <w:spacing w:after="0"/>
              <w:rPr>
                <w:sz w:val="19"/>
                <w:szCs w:val="19"/>
                <w:color w:val="auto"/>
              </w:rPr>
            </w:pPr>
          </w:p>
        </w:tc>
        <w:tc>
          <w:tcPr>
            <w:tcW w:w="2720" w:type="dxa"/>
            <w:vAlign w:val="bottom"/>
          </w:tcPr>
          <w:p>
            <w:pPr>
              <w:ind w:left="140"/>
              <w:spacing w:after="0"/>
              <w:rPr>
                <w:sz w:val="20"/>
                <w:szCs w:val="20"/>
                <w:color w:val="auto"/>
              </w:rPr>
            </w:pPr>
            <w:r>
              <w:rPr>
                <w:rFonts w:ascii="Arial" w:cs="Arial" w:eastAsia="Arial" w:hAnsi="Arial"/>
                <w:sz w:val="16"/>
                <w:szCs w:val="16"/>
                <w:color w:val="auto"/>
              </w:rPr>
              <w:t>Risk management and compliance</w:t>
            </w:r>
          </w:p>
        </w:tc>
        <w:tc>
          <w:tcPr>
            <w:tcW w:w="34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the one-time allowance build from Discover</w:t>
            </w:r>
          </w:p>
        </w:tc>
        <w:tc>
          <w:tcPr>
            <w:tcW w:w="0" w:type="dxa"/>
            <w:vAlign w:val="bottom"/>
          </w:tcPr>
          <w:p>
            <w:pPr>
              <w:spacing w:after="0"/>
              <w:rPr>
                <w:sz w:val="1"/>
                <w:szCs w:val="1"/>
                <w:color w:val="auto"/>
              </w:rPr>
            </w:pPr>
          </w:p>
        </w:tc>
      </w:tr>
      <w:tr>
        <w:trPr>
          <w:trHeight w:val="270"/>
        </w:trPr>
        <w:tc>
          <w:tcPr>
            <w:tcW w:w="24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2720" w:type="dxa"/>
            <w:vAlign w:val="bottom"/>
          </w:tcPr>
          <w:p>
            <w:pPr>
              <w:ind w:left="140"/>
              <w:spacing w:after="0"/>
              <w:rPr>
                <w:sz w:val="20"/>
                <w:szCs w:val="20"/>
                <w:color w:val="auto"/>
              </w:rPr>
            </w:pPr>
            <w:r>
              <w:rPr>
                <w:rFonts w:ascii="Arial" w:cs="Arial" w:eastAsia="Arial" w:hAnsi="Arial"/>
                <w:sz w:val="16"/>
                <w:szCs w:val="16"/>
                <w:color w:val="auto"/>
              </w:rPr>
              <w:t>Balance sheet strength</w:t>
            </w:r>
          </w:p>
        </w:tc>
        <w:tc>
          <w:tcPr>
            <w:tcW w:w="340" w:type="dxa"/>
            <w:vAlign w:val="bottom"/>
          </w:tcPr>
          <w:p>
            <w:pPr>
              <w:ind w:left="120"/>
              <w:spacing w:after="0" w:line="141" w:lineRule="exact"/>
              <w:rPr>
                <w:sz w:val="20"/>
                <w:szCs w:val="20"/>
                <w:color w:val="auto"/>
              </w:rPr>
            </w:pPr>
            <w:r>
              <w:rPr>
                <w:rFonts w:ascii="MS PGothic" w:cs="MS PGothic" w:eastAsia="MS PGothic" w:hAnsi="MS PGothic"/>
                <w:sz w:val="14"/>
                <w:szCs w:val="14"/>
                <w:color w:val="023C5B"/>
              </w:rPr>
              <w:t>∎</w:t>
            </w:r>
          </w:p>
        </w:tc>
        <w:tc>
          <w:tcPr>
            <w:tcW w:w="7620" w:type="dxa"/>
            <w:vAlign w:val="bottom"/>
          </w:tcPr>
          <w:p>
            <w:pPr>
              <w:ind w:left="140"/>
              <w:spacing w:after="0"/>
              <w:rPr>
                <w:sz w:val="20"/>
                <w:szCs w:val="20"/>
                <w:color w:val="auto"/>
              </w:rPr>
            </w:pPr>
            <w:r>
              <w:rPr>
                <w:rFonts w:ascii="Arial" w:cs="Arial" w:eastAsia="Arial" w:hAnsi="Arial"/>
                <w:sz w:val="16"/>
                <w:szCs w:val="16"/>
                <w:color w:val="auto"/>
              </w:rPr>
              <w:t>Solid line of business credit loss performance in Card, Auto, and Commercial as compared to market and</w:t>
            </w:r>
          </w:p>
        </w:tc>
        <w:tc>
          <w:tcPr>
            <w:tcW w:w="0" w:type="dxa"/>
            <w:vAlign w:val="bottom"/>
          </w:tcPr>
          <w:p>
            <w:pPr>
              <w:spacing w:after="0"/>
              <w:rPr>
                <w:sz w:val="1"/>
                <w:szCs w:val="1"/>
                <w:color w:val="auto"/>
              </w:rPr>
            </w:pPr>
          </w:p>
        </w:tc>
      </w:tr>
      <w:tr>
        <w:trPr>
          <w:trHeight w:val="211"/>
        </w:trPr>
        <w:tc>
          <w:tcPr>
            <w:tcW w:w="240" w:type="dxa"/>
            <w:vAlign w:val="bottom"/>
            <w:vMerge w:val="restart"/>
          </w:tcPr>
          <w:p>
            <w:pPr>
              <w:spacing w:after="0" w:line="141" w:lineRule="exact"/>
              <w:rPr>
                <w:sz w:val="20"/>
                <w:szCs w:val="20"/>
                <w:color w:val="auto"/>
              </w:rPr>
            </w:pPr>
            <w:r>
              <w:rPr>
                <w:rFonts w:ascii="MS PGothic" w:cs="MS PGothic" w:eastAsia="MS PGothic" w:hAnsi="MS PGothic"/>
                <w:sz w:val="14"/>
                <w:szCs w:val="14"/>
                <w:color w:val="023C5B"/>
              </w:rPr>
              <w:t>∎</w:t>
            </w:r>
          </w:p>
        </w:tc>
        <w:tc>
          <w:tcPr>
            <w:tcW w:w="2720" w:type="dxa"/>
            <w:vAlign w:val="bottom"/>
            <w:vMerge w:val="restart"/>
          </w:tcPr>
          <w:p>
            <w:pPr>
              <w:ind w:left="140"/>
              <w:spacing w:after="0"/>
              <w:rPr>
                <w:sz w:val="20"/>
                <w:szCs w:val="20"/>
                <w:color w:val="auto"/>
              </w:rPr>
            </w:pPr>
            <w:r>
              <w:rPr>
                <w:rFonts w:ascii="Arial" w:cs="Arial" w:eastAsia="Arial" w:hAnsi="Arial"/>
                <w:sz w:val="16"/>
                <w:szCs w:val="16"/>
                <w:color w:val="auto"/>
              </w:rPr>
              <w:t>Board and executive governance</w:t>
            </w:r>
          </w:p>
        </w:tc>
        <w:tc>
          <w:tcPr>
            <w:tcW w:w="34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peer benchmarks</w:t>
            </w:r>
          </w:p>
        </w:tc>
        <w:tc>
          <w:tcPr>
            <w:tcW w:w="0" w:type="dxa"/>
            <w:vAlign w:val="bottom"/>
          </w:tcPr>
          <w:p>
            <w:pPr>
              <w:spacing w:after="0"/>
              <w:rPr>
                <w:sz w:val="1"/>
                <w:szCs w:val="1"/>
                <w:color w:val="auto"/>
              </w:rPr>
            </w:pPr>
          </w:p>
        </w:tc>
      </w:tr>
      <w:tr>
        <w:trPr>
          <w:trHeight w:val="109"/>
        </w:trPr>
        <w:tc>
          <w:tcPr>
            <w:tcW w:w="240" w:type="dxa"/>
            <w:vAlign w:val="bottom"/>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-1118870</wp:posOffset>
            </wp:positionV>
            <wp:extent cx="6929755" cy="28619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29755" cy="2861945"/>
                    </a:xfrm>
                    <a:prstGeom prst="rect">
                      <a:avLst/>
                    </a:prstGeom>
                    <a:noFill/>
                  </pic:spPr>
                </pic:pic>
              </a:graphicData>
            </a:graphic>
          </wp:anchor>
        </w:drawing>
      </w:r>
    </w:p>
    <w:p>
      <w:pPr>
        <w:ind w:left="3600" w:right="20" w:hanging="370"/>
        <w:spacing w:after="0" w:line="201" w:lineRule="auto"/>
        <w:tabs>
          <w:tab w:leader="none" w:pos="3600" w:val="left"/>
        </w:tabs>
        <w:numPr>
          <w:ilvl w:val="1"/>
          <w:numId w:val="83"/>
        </w:numPr>
        <w:rPr>
          <w:rFonts w:ascii="MS PGothic" w:cs="MS PGothic" w:eastAsia="MS PGothic" w:hAnsi="MS PGothic"/>
          <w:sz w:val="14"/>
          <w:szCs w:val="14"/>
          <w:color w:val="023C5B"/>
        </w:rPr>
      </w:pPr>
      <w:r>
        <w:rPr>
          <w:rFonts w:ascii="Arial" w:cs="Arial" w:eastAsia="Arial" w:hAnsi="Arial"/>
          <w:sz w:val="16"/>
          <w:szCs w:val="16"/>
          <w:color w:val="auto"/>
        </w:rPr>
        <w:t>Common equity Tier 1 capital ratio</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of 14.3%, an increase from 13.5% in 2024 and significantly above regulatory requirements</w:t>
      </w:r>
    </w:p>
    <w:p>
      <w:pPr>
        <w:spacing w:after="0" w:line="97" w:lineRule="exact"/>
        <w:rPr>
          <w:rFonts w:ascii="MS PGothic" w:cs="MS PGothic" w:eastAsia="MS PGothic" w:hAnsi="MS PGothic"/>
          <w:sz w:val="14"/>
          <w:szCs w:val="14"/>
          <w:color w:val="023C5B"/>
        </w:rPr>
      </w:pPr>
    </w:p>
    <w:p>
      <w:pPr>
        <w:ind w:left="3600" w:hanging="370"/>
        <w:spacing w:after="0"/>
        <w:tabs>
          <w:tab w:leader="none" w:pos="3600" w:val="left"/>
        </w:tabs>
        <w:numPr>
          <w:ilvl w:val="1"/>
          <w:numId w:val="83"/>
        </w:numPr>
        <w:rPr>
          <w:rFonts w:ascii="MS PGothic" w:cs="MS PGothic" w:eastAsia="MS PGothic" w:hAnsi="MS PGothic"/>
          <w:sz w:val="14"/>
          <w:szCs w:val="14"/>
          <w:color w:val="023C5B"/>
        </w:rPr>
      </w:pPr>
      <w:r>
        <w:rPr>
          <w:rFonts w:ascii="Arial" w:cs="Arial" w:eastAsia="Arial" w:hAnsi="Arial"/>
          <w:sz w:val="16"/>
          <w:szCs w:val="16"/>
          <w:color w:val="auto"/>
        </w:rPr>
        <w:t>Allowance coverage ratio of 5.2% at December 31, 2025, compared to 5.0% at December 31, 2024</w:t>
      </w:r>
    </w:p>
    <w:p>
      <w:pPr>
        <w:spacing w:after="0" w:line="123" w:lineRule="exact"/>
        <w:rPr>
          <w:rFonts w:ascii="MS PGothic" w:cs="MS PGothic" w:eastAsia="MS PGothic" w:hAnsi="MS PGothic"/>
          <w:sz w:val="14"/>
          <w:szCs w:val="14"/>
          <w:color w:val="023C5B"/>
        </w:rPr>
      </w:pPr>
    </w:p>
    <w:p>
      <w:pPr>
        <w:ind w:left="3600" w:hanging="370"/>
        <w:spacing w:after="0" w:line="279" w:lineRule="auto"/>
        <w:tabs>
          <w:tab w:leader="none" w:pos="3600" w:val="left"/>
        </w:tabs>
        <w:numPr>
          <w:ilvl w:val="1"/>
          <w:numId w:val="83"/>
        </w:numPr>
        <w:rPr>
          <w:rFonts w:ascii="MS PGothic" w:cs="MS PGothic" w:eastAsia="MS PGothic" w:hAnsi="MS PGothic"/>
          <w:sz w:val="14"/>
          <w:szCs w:val="14"/>
          <w:color w:val="023C5B"/>
        </w:rPr>
      </w:pPr>
      <w:r>
        <w:rPr>
          <w:rFonts w:ascii="Arial" w:cs="Arial" w:eastAsia="Arial" w:hAnsi="Arial"/>
          <w:sz w:val="16"/>
          <w:szCs w:val="16"/>
          <w:color w:val="auto"/>
        </w:rPr>
        <w:t>Strong liquidity, ending the year with an average LCR of 173% in the fourth quarter. Approximately 85% of Capital One’s $475.8 billion of total deposits are FDIC-insured</w:t>
      </w:r>
    </w:p>
    <w:p>
      <w:pPr>
        <w:spacing w:after="0" w:line="67" w:lineRule="exact"/>
        <w:rPr>
          <w:rFonts w:ascii="MS PGothic" w:cs="MS PGothic" w:eastAsia="MS PGothic" w:hAnsi="MS PGothic"/>
          <w:sz w:val="14"/>
          <w:szCs w:val="14"/>
          <w:color w:val="023C5B"/>
        </w:rPr>
      </w:pPr>
    </w:p>
    <w:p>
      <w:pPr>
        <w:ind w:left="3600" w:hanging="370"/>
        <w:spacing w:after="0"/>
        <w:tabs>
          <w:tab w:leader="none" w:pos="3600" w:val="left"/>
        </w:tabs>
        <w:numPr>
          <w:ilvl w:val="1"/>
          <w:numId w:val="83"/>
        </w:numPr>
        <w:rPr>
          <w:rFonts w:ascii="MS PGothic" w:cs="MS PGothic" w:eastAsia="MS PGothic" w:hAnsi="MS PGothic"/>
          <w:sz w:val="14"/>
          <w:szCs w:val="14"/>
          <w:color w:val="023C5B"/>
        </w:rPr>
      </w:pPr>
      <w:r>
        <w:rPr>
          <w:rFonts w:ascii="Arial" w:cs="Arial" w:eastAsia="Arial" w:hAnsi="Arial"/>
          <w:sz w:val="16"/>
          <w:szCs w:val="16"/>
          <w:color w:val="auto"/>
        </w:rPr>
        <w:t>Strong compliance, operational, cyber, and enterprise risk results and program management</w:t>
      </w:r>
    </w:p>
    <w:p>
      <w:pPr>
        <w:spacing w:after="0" w:line="123" w:lineRule="exact"/>
        <w:rPr>
          <w:rFonts w:ascii="MS PGothic" w:cs="MS PGothic" w:eastAsia="MS PGothic" w:hAnsi="MS PGothic"/>
          <w:sz w:val="14"/>
          <w:szCs w:val="14"/>
          <w:color w:val="023C5B"/>
        </w:rPr>
      </w:pPr>
    </w:p>
    <w:p>
      <w:pPr>
        <w:ind w:left="3600" w:hanging="370"/>
        <w:spacing w:after="0" w:line="279" w:lineRule="auto"/>
        <w:tabs>
          <w:tab w:leader="none" w:pos="3600" w:val="left"/>
        </w:tabs>
        <w:numPr>
          <w:ilvl w:val="1"/>
          <w:numId w:val="83"/>
        </w:numPr>
        <w:rPr>
          <w:rFonts w:ascii="MS PGothic" w:cs="MS PGothic" w:eastAsia="MS PGothic" w:hAnsi="MS PGothic"/>
          <w:sz w:val="14"/>
          <w:szCs w:val="14"/>
          <w:color w:val="023C5B"/>
        </w:rPr>
      </w:pPr>
      <w:r>
        <w:rPr>
          <w:rFonts w:ascii="Arial" w:cs="Arial" w:eastAsia="Arial" w:hAnsi="Arial"/>
          <w:sz w:val="16"/>
          <w:szCs w:val="16"/>
          <w:color w:val="auto"/>
        </w:rPr>
        <w:t>Achieved regulatory approval of the Discover Transaction and maintained strong dialogue and engagement with key regulatory stakeholders</w:t>
      </w:r>
    </w:p>
    <w:p>
      <w:pPr>
        <w:spacing w:after="0" w:line="67" w:lineRule="exact"/>
        <w:rPr>
          <w:rFonts w:ascii="MS PGothic" w:cs="MS PGothic" w:eastAsia="MS PGothic" w:hAnsi="MS PGothic"/>
          <w:sz w:val="14"/>
          <w:szCs w:val="14"/>
          <w:color w:val="023C5B"/>
        </w:rPr>
      </w:pPr>
    </w:p>
    <w:p>
      <w:pPr>
        <w:ind w:left="3600" w:hanging="370"/>
        <w:spacing w:after="0" w:line="279" w:lineRule="auto"/>
        <w:tabs>
          <w:tab w:leader="none" w:pos="3600" w:val="left"/>
        </w:tabs>
        <w:numPr>
          <w:ilvl w:val="1"/>
          <w:numId w:val="83"/>
        </w:numPr>
        <w:rPr>
          <w:rFonts w:ascii="MS PGothic" w:cs="MS PGothic" w:eastAsia="MS PGothic" w:hAnsi="MS PGothic"/>
          <w:sz w:val="14"/>
          <w:szCs w:val="14"/>
          <w:color w:val="023C5B"/>
        </w:rPr>
      </w:pPr>
      <w:r>
        <w:rPr>
          <w:rFonts w:ascii="Arial" w:cs="Arial" w:eastAsia="Arial" w:hAnsi="Arial"/>
          <w:sz w:val="16"/>
          <w:szCs w:val="16"/>
          <w:color w:val="auto"/>
        </w:rPr>
        <w:t>Active Board engagement and oversight of long-term strategy, culture, and values; risk management; talent management; and succession planning</w:t>
      </w:r>
    </w:p>
    <w:p>
      <w:pPr>
        <w:spacing w:after="0" w:line="200" w:lineRule="exact"/>
        <w:rPr>
          <w:rFonts w:ascii="MS PGothic" w:cs="MS PGothic" w:eastAsia="MS PGothic" w:hAnsi="MS PGothic"/>
          <w:sz w:val="14"/>
          <w:szCs w:val="14"/>
          <w:color w:val="023C5B"/>
        </w:rPr>
      </w:pPr>
    </w:p>
    <w:p>
      <w:pPr>
        <w:spacing w:after="0" w:line="326" w:lineRule="exact"/>
        <w:rPr>
          <w:rFonts w:ascii="MS PGothic" w:cs="MS PGothic" w:eastAsia="MS PGothic" w:hAnsi="MS PGothic"/>
          <w:sz w:val="14"/>
          <w:szCs w:val="14"/>
          <w:color w:val="023C5B"/>
        </w:rPr>
      </w:pPr>
    </w:p>
    <w:p>
      <w:pPr>
        <w:ind w:left="600" w:hanging="433"/>
        <w:spacing w:after="0"/>
        <w:tabs>
          <w:tab w:leader="none" w:pos="6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Common equity Tier 1 capital ratio is a regulatory capital measure calculated based on common equity Tier 1 capital divided by risk-weighted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76454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09"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tbl>
      <w:tblPr>
        <w:tblLayout w:type="fixed"/>
        <w:tblInd w:w="160" w:type="dxa"/>
        <w:tblCellMar>
          <w:top w:w="0" w:type="dxa"/>
          <w:left w:w="0" w:type="dxa"/>
          <w:bottom w:w="0" w:type="dxa"/>
          <w:right w:w="0" w:type="dxa"/>
        </w:tblCellMar>
      </w:tblPr>
      <w:tr>
        <w:trPr>
          <w:trHeight w:val="245"/>
        </w:trPr>
        <w:tc>
          <w:tcPr>
            <w:tcW w:w="2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20" w:type="dxa"/>
            <w:vAlign w:val="bottom"/>
          </w:tcPr>
          <w:p>
            <w:pPr>
              <w:jc w:val="right"/>
              <w:spacing w:after="0"/>
              <w:rPr>
                <w:sz w:val="20"/>
                <w:szCs w:val="20"/>
                <w:color w:val="auto"/>
              </w:rPr>
            </w:pPr>
            <w:r>
              <w:rPr>
                <w:rFonts w:ascii="Arial" w:cs="Arial" w:eastAsia="Arial" w:hAnsi="Arial"/>
                <w:sz w:val="18"/>
                <w:szCs w:val="18"/>
                <w:b w:val="1"/>
                <w:bCs w:val="1"/>
                <w:color w:val="023C5B"/>
              </w:rPr>
              <w:t>EXECUTIVE COMPENSATION</w:t>
            </w:r>
          </w:p>
        </w:tc>
        <w:tc>
          <w:tcPr>
            <w:tcW w:w="0" w:type="dxa"/>
            <w:vAlign w:val="bottom"/>
          </w:tcPr>
          <w:p>
            <w:pPr>
              <w:spacing w:after="0"/>
              <w:rPr>
                <w:sz w:val="1"/>
                <w:szCs w:val="1"/>
                <w:color w:val="auto"/>
              </w:rPr>
            </w:pPr>
          </w:p>
        </w:tc>
      </w:tr>
      <w:tr>
        <w:trPr>
          <w:trHeight w:val="41"/>
        </w:trPr>
        <w:tc>
          <w:tcPr>
            <w:tcW w:w="240" w:type="dxa"/>
            <w:vAlign w:val="bottom"/>
            <w:tcBorders>
              <w:bottom w:val="single" w:sz="8" w:color="023C5B"/>
            </w:tcBorders>
          </w:tcPr>
          <w:p>
            <w:pPr>
              <w:spacing w:after="0"/>
              <w:rPr>
                <w:sz w:val="3"/>
                <w:szCs w:val="3"/>
                <w:color w:val="auto"/>
              </w:rPr>
            </w:pPr>
          </w:p>
        </w:tc>
        <w:tc>
          <w:tcPr>
            <w:tcW w:w="2720" w:type="dxa"/>
            <w:vAlign w:val="bottom"/>
            <w:tcBorders>
              <w:bottom w:val="single" w:sz="8" w:color="023C5B"/>
            </w:tcBorders>
          </w:tcPr>
          <w:p>
            <w:pPr>
              <w:spacing w:after="0"/>
              <w:rPr>
                <w:sz w:val="3"/>
                <w:szCs w:val="3"/>
                <w:color w:val="auto"/>
              </w:rPr>
            </w:pPr>
          </w:p>
        </w:tc>
        <w:tc>
          <w:tcPr>
            <w:tcW w:w="340" w:type="dxa"/>
            <w:vAlign w:val="bottom"/>
            <w:tcBorders>
              <w:bottom w:val="single" w:sz="8" w:color="023C5B"/>
            </w:tcBorders>
          </w:tcPr>
          <w:p>
            <w:pPr>
              <w:spacing w:after="0"/>
              <w:rPr>
                <w:sz w:val="3"/>
                <w:szCs w:val="3"/>
                <w:color w:val="auto"/>
              </w:rPr>
            </w:pPr>
          </w:p>
        </w:tc>
        <w:tc>
          <w:tcPr>
            <w:tcW w:w="762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20" w:type="dxa"/>
            <w:vAlign w:val="bottom"/>
          </w:tcPr>
          <w:p>
            <w:pPr>
              <w:jc w:val="right"/>
              <w:spacing w:after="0"/>
              <w:rPr>
                <w:sz w:val="20"/>
                <w:szCs w:val="20"/>
                <w:color w:val="auto"/>
              </w:rPr>
            </w:pPr>
            <w:r>
              <w:rPr>
                <w:rFonts w:ascii="Arial" w:cs="Arial" w:eastAsia="Arial" w:hAnsi="Arial"/>
                <w:sz w:val="16"/>
                <w:szCs w:val="16"/>
                <w:b w:val="1"/>
                <w:bCs w:val="1"/>
                <w:color w:val="023C5B"/>
              </w:rPr>
              <w:t>Section V - Compensation Discussion and Analysis</w:t>
            </w:r>
          </w:p>
        </w:tc>
        <w:tc>
          <w:tcPr>
            <w:tcW w:w="0" w:type="dxa"/>
            <w:vAlign w:val="bottom"/>
          </w:tcPr>
          <w:p>
            <w:pPr>
              <w:spacing w:after="0"/>
              <w:rPr>
                <w:sz w:val="1"/>
                <w:szCs w:val="1"/>
                <w:color w:val="auto"/>
              </w:rPr>
            </w:pPr>
          </w:p>
        </w:tc>
      </w:tr>
      <w:tr>
        <w:trPr>
          <w:trHeight w:val="127"/>
        </w:trPr>
        <w:tc>
          <w:tcPr>
            <w:tcW w:w="2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240" w:type="dxa"/>
            <w:vAlign w:val="bottom"/>
            <w:shd w:val="clear" w:color="auto" w:fill="023C5B"/>
          </w:tcPr>
          <w:p>
            <w:pPr>
              <w:spacing w:after="0"/>
              <w:rPr>
                <w:sz w:val="22"/>
                <w:szCs w:val="22"/>
                <w:color w:val="auto"/>
              </w:rPr>
            </w:pPr>
          </w:p>
        </w:tc>
        <w:tc>
          <w:tcPr>
            <w:tcW w:w="2720" w:type="dxa"/>
            <w:vAlign w:val="bottom"/>
            <w:shd w:val="clear" w:color="auto" w:fill="023C5B"/>
          </w:tcPr>
          <w:p>
            <w:pPr>
              <w:spacing w:after="0"/>
              <w:rPr>
                <w:sz w:val="22"/>
                <w:szCs w:val="22"/>
                <w:color w:val="auto"/>
              </w:rPr>
            </w:pPr>
          </w:p>
        </w:tc>
        <w:tc>
          <w:tcPr>
            <w:tcW w:w="340" w:type="dxa"/>
            <w:vAlign w:val="bottom"/>
            <w:shd w:val="clear" w:color="auto" w:fill="023C5B"/>
          </w:tcPr>
          <w:p>
            <w:pPr>
              <w:spacing w:after="0"/>
              <w:rPr>
                <w:sz w:val="22"/>
                <w:szCs w:val="22"/>
                <w:color w:val="auto"/>
              </w:rPr>
            </w:pPr>
          </w:p>
        </w:tc>
        <w:tc>
          <w:tcPr>
            <w:tcW w:w="7620" w:type="dxa"/>
            <w:vAlign w:val="bottom"/>
            <w:shd w:val="clear" w:color="auto" w:fill="023C5B"/>
          </w:tcPr>
          <w:p>
            <w:pPr>
              <w:ind w:left="1300"/>
              <w:spacing w:after="0"/>
              <w:rPr>
                <w:sz w:val="20"/>
                <w:szCs w:val="20"/>
                <w:color w:val="auto"/>
              </w:rPr>
            </w:pPr>
            <w:r>
              <w:rPr>
                <w:rFonts w:ascii="Arial" w:cs="Arial" w:eastAsia="Arial" w:hAnsi="Arial"/>
                <w:sz w:val="16"/>
                <w:szCs w:val="16"/>
                <w:b w:val="1"/>
                <w:bCs w:val="1"/>
                <w:color w:val="FFFFFF"/>
              </w:rPr>
              <w:t>Strategic Performance</w:t>
            </w:r>
          </w:p>
        </w:tc>
        <w:tc>
          <w:tcPr>
            <w:tcW w:w="0" w:type="dxa"/>
            <w:vAlign w:val="bottom"/>
          </w:tcPr>
          <w:p>
            <w:pPr>
              <w:spacing w:after="0"/>
              <w:rPr>
                <w:sz w:val="1"/>
                <w:szCs w:val="1"/>
                <w:color w:val="auto"/>
              </w:rPr>
            </w:pPr>
          </w:p>
        </w:tc>
      </w:tr>
      <w:tr>
        <w:trPr>
          <w:trHeight w:val="482"/>
        </w:trPr>
        <w:tc>
          <w:tcPr>
            <w:tcW w:w="240" w:type="dxa"/>
            <w:vAlign w:val="bottom"/>
            <w:tcBorders>
              <w:bottom w:val="single" w:sz="8" w:color="023C5B"/>
            </w:tcBorders>
            <w:shd w:val="clear" w:color="auto" w:fill="023C5B"/>
          </w:tcPr>
          <w:p>
            <w:pPr>
              <w:spacing w:after="0"/>
              <w:rPr>
                <w:sz w:val="24"/>
                <w:szCs w:val="24"/>
                <w:color w:val="auto"/>
              </w:rPr>
            </w:pPr>
          </w:p>
        </w:tc>
        <w:tc>
          <w:tcPr>
            <w:tcW w:w="2720" w:type="dxa"/>
            <w:vAlign w:val="bottom"/>
            <w:tcBorders>
              <w:bottom w:val="single" w:sz="8" w:color="023C5B"/>
            </w:tcBorders>
            <w:shd w:val="clear" w:color="auto" w:fill="023C5B"/>
          </w:tcPr>
          <w:p>
            <w:pPr>
              <w:ind w:left="480"/>
              <w:spacing w:after="0"/>
              <w:rPr>
                <w:sz w:val="20"/>
                <w:szCs w:val="20"/>
                <w:color w:val="auto"/>
              </w:rPr>
            </w:pPr>
            <w:r>
              <w:rPr>
                <w:rFonts w:ascii="Arial" w:cs="Arial" w:eastAsia="Arial" w:hAnsi="Arial"/>
                <w:sz w:val="16"/>
                <w:szCs w:val="16"/>
                <w:b w:val="1"/>
                <w:bCs w:val="1"/>
                <w:color w:val="FFFFFF"/>
              </w:rPr>
              <w:t>Performance Factor</w:t>
            </w:r>
          </w:p>
        </w:tc>
        <w:tc>
          <w:tcPr>
            <w:tcW w:w="340" w:type="dxa"/>
            <w:vAlign w:val="bottom"/>
            <w:tcBorders>
              <w:bottom w:val="single" w:sz="8" w:color="023C5B"/>
            </w:tcBorders>
            <w:shd w:val="clear" w:color="auto" w:fill="023C5B"/>
          </w:tcPr>
          <w:p>
            <w:pPr>
              <w:spacing w:after="0"/>
              <w:rPr>
                <w:sz w:val="24"/>
                <w:szCs w:val="24"/>
                <w:color w:val="auto"/>
              </w:rPr>
            </w:pPr>
          </w:p>
        </w:tc>
        <w:tc>
          <w:tcPr>
            <w:tcW w:w="7620" w:type="dxa"/>
            <w:vAlign w:val="bottom"/>
            <w:tcBorders>
              <w:bottom w:val="single" w:sz="8" w:color="023C5B"/>
            </w:tcBorders>
            <w:shd w:val="clear" w:color="auto" w:fill="023C5B"/>
          </w:tcPr>
          <w:p>
            <w:pPr>
              <w:ind w:left="3000"/>
              <w:spacing w:after="0"/>
              <w:rPr>
                <w:sz w:val="20"/>
                <w:szCs w:val="20"/>
                <w:color w:val="auto"/>
              </w:rPr>
            </w:pPr>
            <w:r>
              <w:rPr>
                <w:rFonts w:ascii="Arial" w:cs="Arial" w:eastAsia="Arial" w:hAnsi="Arial"/>
                <w:sz w:val="16"/>
                <w:szCs w:val="16"/>
                <w:b w:val="1"/>
                <w:bCs w:val="1"/>
                <w:color w:val="FFFFFF"/>
              </w:rPr>
              <w:t>2025 Performance</w:t>
            </w:r>
          </w:p>
        </w:tc>
        <w:tc>
          <w:tcPr>
            <w:tcW w:w="0" w:type="dxa"/>
            <w:vAlign w:val="bottom"/>
          </w:tcPr>
          <w:p>
            <w:pPr>
              <w:spacing w:after="0"/>
              <w:rPr>
                <w:sz w:val="1"/>
                <w:szCs w:val="1"/>
                <w:color w:val="auto"/>
              </w:rPr>
            </w:pPr>
          </w:p>
        </w:tc>
      </w:tr>
      <w:tr>
        <w:trPr>
          <w:trHeight w:val="253"/>
        </w:trPr>
        <w:tc>
          <w:tcPr>
            <w:tcW w:w="24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2720" w:type="dxa"/>
            <w:vAlign w:val="bottom"/>
          </w:tcPr>
          <w:p>
            <w:pPr>
              <w:ind w:left="140"/>
              <w:spacing w:after="0"/>
              <w:rPr>
                <w:sz w:val="20"/>
                <w:szCs w:val="20"/>
                <w:color w:val="auto"/>
              </w:rPr>
            </w:pPr>
            <w:r>
              <w:rPr>
                <w:rFonts w:ascii="Arial" w:cs="Arial" w:eastAsia="Arial" w:hAnsi="Arial"/>
                <w:sz w:val="16"/>
                <w:szCs w:val="16"/>
                <w:color w:val="auto"/>
              </w:rPr>
              <w:t>Progress toward achievement of</w:t>
            </w:r>
          </w:p>
        </w:tc>
        <w:tc>
          <w:tcPr>
            <w:tcW w:w="340" w:type="dxa"/>
            <w:vAlign w:val="bottom"/>
          </w:tcPr>
          <w:p>
            <w:pPr>
              <w:ind w:left="120"/>
              <w:spacing w:after="0" w:line="141" w:lineRule="exact"/>
              <w:rPr>
                <w:sz w:val="20"/>
                <w:szCs w:val="20"/>
                <w:color w:val="auto"/>
              </w:rPr>
            </w:pPr>
            <w:r>
              <w:rPr>
                <w:rFonts w:ascii="MS PGothic" w:cs="MS PGothic" w:eastAsia="MS PGothic" w:hAnsi="MS PGothic"/>
                <w:sz w:val="14"/>
                <w:szCs w:val="14"/>
                <w:color w:val="023C5B"/>
              </w:rPr>
              <w:t>∎</w:t>
            </w:r>
          </w:p>
        </w:tc>
        <w:tc>
          <w:tcPr>
            <w:tcW w:w="7620" w:type="dxa"/>
            <w:vAlign w:val="bottom"/>
          </w:tcPr>
          <w:p>
            <w:pPr>
              <w:ind w:left="140"/>
              <w:spacing w:after="0"/>
              <w:rPr>
                <w:sz w:val="20"/>
                <w:szCs w:val="20"/>
                <w:color w:val="auto"/>
              </w:rPr>
            </w:pPr>
            <w:r>
              <w:rPr>
                <w:rFonts w:ascii="Arial" w:cs="Arial" w:eastAsia="Arial" w:hAnsi="Arial"/>
                <w:sz w:val="16"/>
                <w:szCs w:val="16"/>
                <w:color w:val="auto"/>
              </w:rPr>
              <w:t>Closed the Discover Transaction on May 18, 2025. Delivered successful initial integration activities and</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6"/>
                <w:szCs w:val="16"/>
                <w:color w:val="auto"/>
              </w:rPr>
              <w:t>long-term strategy</w:t>
            </w:r>
          </w:p>
        </w:tc>
        <w:tc>
          <w:tcPr>
            <w:tcW w:w="34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on track to deliver expected deal synergies</w:t>
            </w:r>
          </w:p>
        </w:tc>
        <w:tc>
          <w:tcPr>
            <w:tcW w:w="0" w:type="dxa"/>
            <w:vAlign w:val="bottom"/>
          </w:tcPr>
          <w:p>
            <w:pPr>
              <w:spacing w:after="0"/>
              <w:rPr>
                <w:sz w:val="1"/>
                <w:szCs w:val="1"/>
                <w:color w:val="auto"/>
              </w:rPr>
            </w:pPr>
          </w:p>
        </w:tc>
      </w:tr>
      <w:tr>
        <w:trPr>
          <w:trHeight w:val="284"/>
        </w:trPr>
        <w:tc>
          <w:tcPr>
            <w:tcW w:w="24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2720" w:type="dxa"/>
            <w:vAlign w:val="bottom"/>
          </w:tcPr>
          <w:p>
            <w:pPr>
              <w:ind w:left="140"/>
              <w:spacing w:after="0"/>
              <w:rPr>
                <w:sz w:val="20"/>
                <w:szCs w:val="20"/>
                <w:color w:val="auto"/>
              </w:rPr>
            </w:pPr>
            <w:r>
              <w:rPr>
                <w:rFonts w:ascii="Arial" w:cs="Arial" w:eastAsia="Arial" w:hAnsi="Arial"/>
                <w:sz w:val="16"/>
                <w:szCs w:val="16"/>
                <w:color w:val="auto"/>
              </w:rPr>
              <w:t>Execution against strategic</w:t>
            </w:r>
          </w:p>
        </w:tc>
        <w:tc>
          <w:tcPr>
            <w:tcW w:w="340" w:type="dxa"/>
            <w:vAlign w:val="bottom"/>
          </w:tcPr>
          <w:p>
            <w:pPr>
              <w:ind w:left="120"/>
              <w:spacing w:after="0" w:line="141" w:lineRule="exact"/>
              <w:rPr>
                <w:sz w:val="20"/>
                <w:szCs w:val="20"/>
                <w:color w:val="auto"/>
              </w:rPr>
            </w:pPr>
            <w:r>
              <w:rPr>
                <w:rFonts w:ascii="MS PGothic" w:cs="MS PGothic" w:eastAsia="MS PGothic" w:hAnsi="MS PGothic"/>
                <w:sz w:val="14"/>
                <w:szCs w:val="14"/>
                <w:color w:val="023C5B"/>
              </w:rPr>
              <w:t>∎</w:t>
            </w:r>
          </w:p>
        </w:tc>
        <w:tc>
          <w:tcPr>
            <w:tcW w:w="7620" w:type="dxa"/>
            <w:vAlign w:val="bottom"/>
          </w:tcPr>
          <w:p>
            <w:pPr>
              <w:ind w:left="140"/>
              <w:spacing w:after="0"/>
              <w:rPr>
                <w:sz w:val="20"/>
                <w:szCs w:val="20"/>
                <w:color w:val="auto"/>
              </w:rPr>
            </w:pPr>
            <w:r>
              <w:rPr>
                <w:rFonts w:ascii="Arial" w:cs="Arial" w:eastAsia="Arial" w:hAnsi="Arial"/>
                <w:sz w:val="16"/>
                <w:szCs w:val="16"/>
                <w:color w:val="auto"/>
              </w:rPr>
              <w:t>Launched new products and services and saw strong growth and engagement with flagship Card and</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6"/>
                <w:szCs w:val="16"/>
                <w:color w:val="auto"/>
              </w:rPr>
              <w:t>initiatives</w:t>
            </w:r>
          </w:p>
        </w:tc>
        <w:tc>
          <w:tcPr>
            <w:tcW w:w="34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Retail Banking products</w:t>
            </w:r>
          </w:p>
        </w:tc>
        <w:tc>
          <w:tcPr>
            <w:tcW w:w="0" w:type="dxa"/>
            <w:vAlign w:val="bottom"/>
          </w:tcPr>
          <w:p>
            <w:pPr>
              <w:spacing w:after="0"/>
              <w:rPr>
                <w:sz w:val="1"/>
                <w:szCs w:val="1"/>
                <w:color w:val="auto"/>
              </w:rPr>
            </w:pPr>
          </w:p>
        </w:tc>
      </w:tr>
      <w:tr>
        <w:trPr>
          <w:trHeight w:val="284"/>
        </w:trPr>
        <w:tc>
          <w:tcPr>
            <w:tcW w:w="24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2720" w:type="dxa"/>
            <w:vAlign w:val="bottom"/>
          </w:tcPr>
          <w:p>
            <w:pPr>
              <w:ind w:left="140"/>
              <w:spacing w:after="0"/>
              <w:rPr>
                <w:sz w:val="20"/>
                <w:szCs w:val="20"/>
                <w:color w:val="auto"/>
              </w:rPr>
            </w:pPr>
            <w:r>
              <w:rPr>
                <w:rFonts w:ascii="Arial" w:cs="Arial" w:eastAsia="Arial" w:hAnsi="Arial"/>
                <w:sz w:val="16"/>
                <w:szCs w:val="16"/>
                <w:color w:val="auto"/>
              </w:rPr>
              <w:t>Disciplined investments in</w:t>
            </w:r>
          </w:p>
        </w:tc>
        <w:tc>
          <w:tcPr>
            <w:tcW w:w="340" w:type="dxa"/>
            <w:vAlign w:val="bottom"/>
          </w:tcPr>
          <w:p>
            <w:pPr>
              <w:ind w:left="120"/>
              <w:spacing w:after="0" w:line="141" w:lineRule="exact"/>
              <w:rPr>
                <w:sz w:val="20"/>
                <w:szCs w:val="20"/>
                <w:color w:val="auto"/>
              </w:rPr>
            </w:pPr>
            <w:r>
              <w:rPr>
                <w:rFonts w:ascii="MS PGothic" w:cs="MS PGothic" w:eastAsia="MS PGothic" w:hAnsi="MS PGothic"/>
                <w:sz w:val="14"/>
                <w:szCs w:val="14"/>
                <w:color w:val="023C5B"/>
              </w:rPr>
              <w:t>∎</w:t>
            </w:r>
          </w:p>
        </w:tc>
        <w:tc>
          <w:tcPr>
            <w:tcW w:w="7620" w:type="dxa"/>
            <w:vAlign w:val="bottom"/>
          </w:tcPr>
          <w:p>
            <w:pPr>
              <w:ind w:left="140"/>
              <w:spacing w:after="0"/>
              <w:rPr>
                <w:sz w:val="20"/>
                <w:szCs w:val="20"/>
                <w:color w:val="auto"/>
              </w:rPr>
            </w:pPr>
            <w:r>
              <w:rPr>
                <w:rFonts w:ascii="Arial" w:cs="Arial" w:eastAsia="Arial" w:hAnsi="Arial"/>
                <w:sz w:val="16"/>
                <w:szCs w:val="16"/>
                <w:color w:val="auto"/>
              </w:rPr>
              <w:t>Expanded and enhanced our best-in-class digital experiences, including our award-winning mobile app,</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2720" w:type="dxa"/>
            <w:vAlign w:val="bottom"/>
          </w:tcPr>
          <w:p>
            <w:pPr>
              <w:ind w:left="140"/>
              <w:spacing w:after="0"/>
              <w:rPr>
                <w:sz w:val="20"/>
                <w:szCs w:val="20"/>
                <w:color w:val="auto"/>
              </w:rPr>
            </w:pPr>
            <w:r>
              <w:rPr>
                <w:rFonts w:ascii="Arial" w:cs="Arial" w:eastAsia="Arial" w:hAnsi="Arial"/>
                <w:sz w:val="16"/>
                <w:szCs w:val="16"/>
                <w:color w:val="auto"/>
              </w:rPr>
              <w:t>infrastructure, technology and</w:t>
            </w:r>
          </w:p>
        </w:tc>
        <w:tc>
          <w:tcPr>
            <w:tcW w:w="340" w:type="dxa"/>
            <w:vAlign w:val="bottom"/>
          </w:tcPr>
          <w:p>
            <w:pPr>
              <w:spacing w:after="0"/>
              <w:rPr>
                <w:sz w:val="16"/>
                <w:szCs w:val="16"/>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Capital One Auto Navigator platform, Capital One Travel, Capital One Shopping, and CreditWise</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6"/>
                <w:szCs w:val="16"/>
                <w:color w:val="auto"/>
              </w:rPr>
              <w:t>growth initiatives</w:t>
            </w:r>
          </w:p>
        </w:tc>
        <w:tc>
          <w:tcPr>
            <w:tcW w:w="3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023C5B"/>
              </w:rPr>
              <w:t>∎</w:t>
            </w:r>
          </w:p>
        </w:tc>
        <w:tc>
          <w:tcPr>
            <w:tcW w:w="7620" w:type="dxa"/>
            <w:vAlign w:val="bottom"/>
            <w:vMerge w:val="restart"/>
          </w:tcPr>
          <w:p>
            <w:pPr>
              <w:ind w:left="140"/>
              <w:spacing w:after="0"/>
              <w:rPr>
                <w:sz w:val="20"/>
                <w:szCs w:val="20"/>
                <w:color w:val="auto"/>
              </w:rPr>
            </w:pPr>
            <w:r>
              <w:rPr>
                <w:rFonts w:ascii="Arial" w:cs="Arial" w:eastAsia="Arial" w:hAnsi="Arial"/>
                <w:sz w:val="16"/>
                <w:szCs w:val="16"/>
                <w:color w:val="auto"/>
              </w:rPr>
              <w:t>Grew our national digital banking franchise with a focus on growing checking accounts and core deposits</w:t>
            </w:r>
          </w:p>
        </w:tc>
        <w:tc>
          <w:tcPr>
            <w:tcW w:w="0" w:type="dxa"/>
            <w:vAlign w:val="bottom"/>
          </w:tcPr>
          <w:p>
            <w:pPr>
              <w:spacing w:after="0"/>
              <w:rPr>
                <w:sz w:val="1"/>
                <w:szCs w:val="1"/>
                <w:color w:val="auto"/>
              </w:rPr>
            </w:pPr>
          </w:p>
        </w:tc>
      </w:tr>
      <w:tr>
        <w:trPr>
          <w:trHeight w:val="96"/>
        </w:trPr>
        <w:tc>
          <w:tcPr>
            <w:tcW w:w="240" w:type="dxa"/>
            <w:vAlign w:val="bottom"/>
            <w:vMerge w:val="restart"/>
          </w:tcPr>
          <w:p>
            <w:pPr>
              <w:spacing w:after="0" w:line="141" w:lineRule="exact"/>
              <w:rPr>
                <w:sz w:val="20"/>
                <w:szCs w:val="20"/>
                <w:color w:val="auto"/>
              </w:rPr>
            </w:pPr>
            <w:r>
              <w:rPr>
                <w:rFonts w:ascii="MS PGothic" w:cs="MS PGothic" w:eastAsia="MS PGothic" w:hAnsi="MS PGothic"/>
                <w:sz w:val="14"/>
                <w:szCs w:val="14"/>
                <w:color w:val="023C5B"/>
              </w:rPr>
              <w:t>∎</w:t>
            </w:r>
          </w:p>
        </w:tc>
        <w:tc>
          <w:tcPr>
            <w:tcW w:w="2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7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0" w:type="dxa"/>
            <w:vAlign w:val="bottom"/>
            <w:vMerge w:val="continue"/>
          </w:tcPr>
          <w:p>
            <w:pPr>
              <w:spacing w:after="0"/>
              <w:rPr>
                <w:sz w:val="16"/>
                <w:szCs w:val="16"/>
                <w:color w:val="auto"/>
              </w:rPr>
            </w:pPr>
          </w:p>
        </w:tc>
        <w:tc>
          <w:tcPr>
            <w:tcW w:w="2720" w:type="dxa"/>
            <w:vAlign w:val="bottom"/>
          </w:tcPr>
          <w:p>
            <w:pPr>
              <w:ind w:left="140"/>
              <w:spacing w:after="0"/>
              <w:rPr>
                <w:sz w:val="20"/>
                <w:szCs w:val="20"/>
                <w:color w:val="auto"/>
              </w:rPr>
            </w:pPr>
            <w:r>
              <w:rPr>
                <w:rFonts w:ascii="Arial" w:cs="Arial" w:eastAsia="Arial" w:hAnsi="Arial"/>
                <w:sz w:val="16"/>
                <w:szCs w:val="16"/>
                <w:color w:val="auto"/>
              </w:rPr>
              <w:t>CEO leadership and performance</w:t>
            </w:r>
          </w:p>
        </w:tc>
        <w:tc>
          <w:tcPr>
            <w:tcW w:w="340" w:type="dxa"/>
            <w:vAlign w:val="bottom"/>
          </w:tcPr>
          <w:p>
            <w:pPr>
              <w:spacing w:after="0"/>
              <w:rPr>
                <w:sz w:val="16"/>
                <w:szCs w:val="16"/>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as well as a unique national footprint of branches and showroom Cafés</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2720" w:type="dxa"/>
            <w:vAlign w:val="bottom"/>
          </w:tcPr>
          <w:p>
            <w:pPr>
              <w:ind w:left="140"/>
              <w:spacing w:after="0"/>
              <w:rPr>
                <w:sz w:val="20"/>
                <w:szCs w:val="20"/>
                <w:color w:val="auto"/>
              </w:rPr>
            </w:pPr>
            <w:r>
              <w:rPr>
                <w:rFonts w:ascii="Arial" w:cs="Arial" w:eastAsia="Arial" w:hAnsi="Arial"/>
                <w:sz w:val="16"/>
                <w:szCs w:val="16"/>
                <w:color w:val="auto"/>
              </w:rPr>
              <w:t>of executive team</w:t>
            </w:r>
          </w:p>
        </w:tc>
        <w:tc>
          <w:tcPr>
            <w:tcW w:w="3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023C5B"/>
              </w:rPr>
              <w:t>∎</w:t>
            </w:r>
          </w:p>
        </w:tc>
        <w:tc>
          <w:tcPr>
            <w:tcW w:w="7620" w:type="dxa"/>
            <w:vAlign w:val="bottom"/>
            <w:vMerge w:val="restart"/>
          </w:tcPr>
          <w:p>
            <w:pPr>
              <w:ind w:left="140"/>
              <w:spacing w:after="0"/>
              <w:rPr>
                <w:sz w:val="20"/>
                <w:szCs w:val="20"/>
                <w:color w:val="auto"/>
              </w:rPr>
            </w:pPr>
            <w:r>
              <w:rPr>
                <w:rFonts w:ascii="Arial" w:cs="Arial" w:eastAsia="Arial" w:hAnsi="Arial"/>
                <w:sz w:val="16"/>
                <w:szCs w:val="16"/>
                <w:color w:val="auto"/>
              </w:rPr>
              <w:t>Invested $5.9 billion in marketing as we took advantage of attractive market opportunities to build our</w:t>
            </w:r>
          </w:p>
        </w:tc>
        <w:tc>
          <w:tcPr>
            <w:tcW w:w="0" w:type="dxa"/>
            <w:vAlign w:val="bottom"/>
          </w:tcPr>
          <w:p>
            <w:pPr>
              <w:spacing w:after="0"/>
              <w:rPr>
                <w:sz w:val="1"/>
                <w:szCs w:val="1"/>
                <w:color w:val="auto"/>
              </w:rPr>
            </w:pPr>
          </w:p>
        </w:tc>
      </w:tr>
      <w:tr>
        <w:trPr>
          <w:trHeight w:val="96"/>
        </w:trPr>
        <w:tc>
          <w:tcPr>
            <w:tcW w:w="240" w:type="dxa"/>
            <w:vAlign w:val="bottom"/>
          </w:tcPr>
          <w:p>
            <w:pPr>
              <w:spacing w:after="0"/>
              <w:rPr>
                <w:sz w:val="8"/>
                <w:szCs w:val="8"/>
                <w:color w:val="auto"/>
              </w:rPr>
            </w:pPr>
          </w:p>
        </w:tc>
        <w:tc>
          <w:tcPr>
            <w:tcW w:w="2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7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brand, generate new customers, grow our Card and Retail Banking franchises, invest in premium</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products and experiences, and support the Discover credit card and network businesses</w:t>
            </w: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 w:type="dxa"/>
            <w:vAlign w:val="bottom"/>
          </w:tcPr>
          <w:p>
            <w:pPr>
              <w:ind w:left="120"/>
              <w:spacing w:after="0" w:line="141" w:lineRule="exact"/>
              <w:rPr>
                <w:sz w:val="20"/>
                <w:szCs w:val="20"/>
                <w:color w:val="auto"/>
              </w:rPr>
            </w:pPr>
            <w:r>
              <w:rPr>
                <w:rFonts w:ascii="MS PGothic" w:cs="MS PGothic" w:eastAsia="MS PGothic" w:hAnsi="MS PGothic"/>
                <w:sz w:val="14"/>
                <w:szCs w:val="14"/>
                <w:color w:val="023C5B"/>
              </w:rPr>
              <w:t>∎</w:t>
            </w:r>
          </w:p>
        </w:tc>
        <w:tc>
          <w:tcPr>
            <w:tcW w:w="7620" w:type="dxa"/>
            <w:vAlign w:val="bottom"/>
          </w:tcPr>
          <w:p>
            <w:pPr>
              <w:ind w:left="140"/>
              <w:spacing w:after="0"/>
              <w:rPr>
                <w:sz w:val="20"/>
                <w:szCs w:val="20"/>
                <w:color w:val="auto"/>
              </w:rPr>
            </w:pPr>
            <w:r>
              <w:rPr>
                <w:rFonts w:ascii="Arial" w:cs="Arial" w:eastAsia="Arial" w:hAnsi="Arial"/>
                <w:sz w:val="16"/>
                <w:szCs w:val="16"/>
                <w:color w:val="auto"/>
              </w:rPr>
              <w:t>Invested in technology talent, tools, data, and infrastructure to modernize our software and platforms and</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support AI capabilities and innovation</w:t>
            </w:r>
          </w:p>
        </w:tc>
        <w:tc>
          <w:tcPr>
            <w:tcW w:w="0" w:type="dxa"/>
            <w:vAlign w:val="bottom"/>
          </w:tcPr>
          <w:p>
            <w:pPr>
              <w:spacing w:after="0"/>
              <w:rPr>
                <w:sz w:val="1"/>
                <w:szCs w:val="1"/>
                <w:color w:val="auto"/>
              </w:rPr>
            </w:pPr>
          </w:p>
        </w:tc>
      </w:tr>
      <w:tr>
        <w:trPr>
          <w:trHeight w:val="124"/>
        </w:trPr>
        <w:tc>
          <w:tcPr>
            <w:tcW w:w="240" w:type="dxa"/>
            <w:vAlign w:val="bottom"/>
            <w:tcBorders>
              <w:bottom w:val="single" w:sz="8" w:color="023C5B"/>
            </w:tcBorders>
          </w:tcPr>
          <w:p>
            <w:pPr>
              <w:spacing w:after="0"/>
              <w:rPr>
                <w:sz w:val="10"/>
                <w:szCs w:val="10"/>
                <w:color w:val="auto"/>
              </w:rPr>
            </w:pPr>
          </w:p>
        </w:tc>
        <w:tc>
          <w:tcPr>
            <w:tcW w:w="2720" w:type="dxa"/>
            <w:vAlign w:val="bottom"/>
            <w:tcBorders>
              <w:bottom w:val="single" w:sz="8" w:color="023C5B"/>
            </w:tcBorders>
          </w:tcPr>
          <w:p>
            <w:pPr>
              <w:spacing w:after="0"/>
              <w:rPr>
                <w:sz w:val="10"/>
                <w:szCs w:val="10"/>
                <w:color w:val="auto"/>
              </w:rPr>
            </w:pPr>
          </w:p>
        </w:tc>
        <w:tc>
          <w:tcPr>
            <w:tcW w:w="340" w:type="dxa"/>
            <w:vAlign w:val="bottom"/>
            <w:tcBorders>
              <w:bottom w:val="single" w:sz="8" w:color="023C5B"/>
            </w:tcBorders>
          </w:tcPr>
          <w:p>
            <w:pPr>
              <w:spacing w:after="0"/>
              <w:rPr>
                <w:sz w:val="10"/>
                <w:szCs w:val="10"/>
                <w:color w:val="auto"/>
              </w:rPr>
            </w:pPr>
          </w:p>
        </w:tc>
        <w:tc>
          <w:tcPr>
            <w:tcW w:w="7620" w:type="dxa"/>
            <w:vAlign w:val="bottom"/>
            <w:tcBorders>
              <w:bottom w:val="single" w:sz="8" w:color="023C5B"/>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40" w:type="dxa"/>
            <w:vAlign w:val="bottom"/>
            <w:shd w:val="clear" w:color="auto" w:fill="023C5B"/>
          </w:tcPr>
          <w:p>
            <w:pPr>
              <w:spacing w:after="0"/>
              <w:rPr>
                <w:sz w:val="22"/>
                <w:szCs w:val="22"/>
                <w:color w:val="auto"/>
              </w:rPr>
            </w:pPr>
          </w:p>
        </w:tc>
        <w:tc>
          <w:tcPr>
            <w:tcW w:w="2720" w:type="dxa"/>
            <w:vAlign w:val="bottom"/>
            <w:shd w:val="clear" w:color="auto" w:fill="023C5B"/>
          </w:tcPr>
          <w:p>
            <w:pPr>
              <w:spacing w:after="0"/>
              <w:rPr>
                <w:sz w:val="22"/>
                <w:szCs w:val="22"/>
                <w:color w:val="auto"/>
              </w:rPr>
            </w:pPr>
          </w:p>
        </w:tc>
        <w:tc>
          <w:tcPr>
            <w:tcW w:w="340" w:type="dxa"/>
            <w:vAlign w:val="bottom"/>
            <w:shd w:val="clear" w:color="auto" w:fill="023C5B"/>
          </w:tcPr>
          <w:p>
            <w:pPr>
              <w:spacing w:after="0"/>
              <w:rPr>
                <w:sz w:val="22"/>
                <w:szCs w:val="22"/>
                <w:color w:val="auto"/>
              </w:rPr>
            </w:pPr>
          </w:p>
        </w:tc>
        <w:tc>
          <w:tcPr>
            <w:tcW w:w="7620" w:type="dxa"/>
            <w:vAlign w:val="bottom"/>
            <w:shd w:val="clear" w:color="auto" w:fill="023C5B"/>
          </w:tcPr>
          <w:p>
            <w:pPr>
              <w:ind w:left="440"/>
              <w:spacing w:after="0"/>
              <w:rPr>
                <w:sz w:val="20"/>
                <w:szCs w:val="20"/>
                <w:color w:val="auto"/>
              </w:rPr>
            </w:pPr>
            <w:r>
              <w:rPr>
                <w:rFonts w:ascii="Arial" w:cs="Arial" w:eastAsia="Arial" w:hAnsi="Arial"/>
                <w:sz w:val="16"/>
                <w:szCs w:val="16"/>
                <w:b w:val="1"/>
                <w:bCs w:val="1"/>
                <w:color w:val="FFFFFF"/>
              </w:rPr>
              <w:t>Winning with Our Customers and Associates</w:t>
            </w:r>
          </w:p>
        </w:tc>
        <w:tc>
          <w:tcPr>
            <w:tcW w:w="0" w:type="dxa"/>
            <w:vAlign w:val="bottom"/>
          </w:tcPr>
          <w:p>
            <w:pPr>
              <w:spacing w:after="0"/>
              <w:rPr>
                <w:sz w:val="1"/>
                <w:szCs w:val="1"/>
                <w:color w:val="auto"/>
              </w:rPr>
            </w:pPr>
          </w:p>
        </w:tc>
      </w:tr>
      <w:tr>
        <w:trPr>
          <w:trHeight w:val="167"/>
        </w:trPr>
        <w:tc>
          <w:tcPr>
            <w:tcW w:w="240" w:type="dxa"/>
            <w:vAlign w:val="bottom"/>
            <w:shd w:val="clear" w:color="auto" w:fill="023C5B"/>
          </w:tcPr>
          <w:p>
            <w:pPr>
              <w:spacing w:after="0"/>
              <w:rPr>
                <w:sz w:val="14"/>
                <w:szCs w:val="14"/>
                <w:color w:val="auto"/>
              </w:rPr>
            </w:pPr>
          </w:p>
        </w:tc>
        <w:tc>
          <w:tcPr>
            <w:tcW w:w="2720" w:type="dxa"/>
            <w:vAlign w:val="bottom"/>
            <w:shd w:val="clear" w:color="auto" w:fill="023C5B"/>
          </w:tcPr>
          <w:p>
            <w:pPr>
              <w:spacing w:after="0"/>
              <w:rPr>
                <w:sz w:val="14"/>
                <w:szCs w:val="14"/>
                <w:color w:val="auto"/>
              </w:rPr>
            </w:pPr>
          </w:p>
        </w:tc>
        <w:tc>
          <w:tcPr>
            <w:tcW w:w="340" w:type="dxa"/>
            <w:vAlign w:val="bottom"/>
            <w:shd w:val="clear" w:color="auto" w:fill="023C5B"/>
          </w:tcPr>
          <w:p>
            <w:pPr>
              <w:spacing w:after="0"/>
              <w:rPr>
                <w:sz w:val="14"/>
                <w:szCs w:val="14"/>
                <w:color w:val="auto"/>
              </w:rPr>
            </w:pPr>
          </w:p>
        </w:tc>
        <w:tc>
          <w:tcPr>
            <w:tcW w:w="7620" w:type="dxa"/>
            <w:vAlign w:val="bottom"/>
            <w:shd w:val="clear" w:color="auto" w:fill="023C5B"/>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-2759075</wp:posOffset>
            </wp:positionV>
            <wp:extent cx="6929755" cy="55537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29755" cy="555371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66"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FFFFFF"/>
        </w:rPr>
        <w:t>Performance Factor</w:t>
      </w:r>
    </w:p>
    <w:p>
      <w:pPr>
        <w:spacing w:after="0" w:line="150" w:lineRule="exact"/>
        <w:rPr>
          <w:sz w:val="20"/>
          <w:szCs w:val="20"/>
          <w:color w:val="auto"/>
        </w:rPr>
      </w:pPr>
    </w:p>
    <w:p>
      <w:pPr>
        <w:ind w:left="540" w:hanging="373"/>
        <w:spacing w:after="0"/>
        <w:tabs>
          <w:tab w:leader="none" w:pos="540" w:val="left"/>
        </w:tabs>
        <w:numPr>
          <w:ilvl w:val="0"/>
          <w:numId w:val="84"/>
        </w:numPr>
        <w:rPr>
          <w:rFonts w:ascii="MS PGothic" w:cs="MS PGothic" w:eastAsia="MS PGothic" w:hAnsi="MS PGothic"/>
          <w:sz w:val="14"/>
          <w:szCs w:val="14"/>
          <w:color w:val="023C5B"/>
        </w:rPr>
      </w:pPr>
      <w:r>
        <w:rPr>
          <w:rFonts w:ascii="Arial" w:cs="Arial" w:eastAsia="Arial" w:hAnsi="Arial"/>
          <w:sz w:val="16"/>
          <w:szCs w:val="16"/>
          <w:color w:val="auto"/>
        </w:rPr>
        <w:t>Customer advocacy and brand</w:t>
      </w:r>
    </w:p>
    <w:p>
      <w:pPr>
        <w:spacing w:after="0" w:line="123" w:lineRule="exact"/>
        <w:rPr>
          <w:rFonts w:ascii="MS PGothic" w:cs="MS PGothic" w:eastAsia="MS PGothic" w:hAnsi="MS PGothic"/>
          <w:sz w:val="14"/>
          <w:szCs w:val="14"/>
          <w:color w:val="023C5B"/>
        </w:rPr>
      </w:pPr>
    </w:p>
    <w:p>
      <w:pPr>
        <w:ind w:left="540" w:hanging="373"/>
        <w:spacing w:after="0" w:line="279" w:lineRule="auto"/>
        <w:tabs>
          <w:tab w:leader="none" w:pos="540" w:val="left"/>
        </w:tabs>
        <w:numPr>
          <w:ilvl w:val="0"/>
          <w:numId w:val="84"/>
        </w:numPr>
        <w:rPr>
          <w:rFonts w:ascii="MS PGothic" w:cs="MS PGothic" w:eastAsia="MS PGothic" w:hAnsi="MS PGothic"/>
          <w:sz w:val="14"/>
          <w:szCs w:val="14"/>
          <w:color w:val="023C5B"/>
        </w:rPr>
      </w:pPr>
      <w:r>
        <w:rPr>
          <w:rFonts w:ascii="Arial" w:cs="Arial" w:eastAsia="Arial" w:hAnsi="Arial"/>
          <w:sz w:val="16"/>
          <w:szCs w:val="16"/>
          <w:color w:val="auto"/>
        </w:rPr>
        <w:t>Recruitment and development of world-class talent</w:t>
      </w:r>
    </w:p>
    <w:p>
      <w:pPr>
        <w:spacing w:after="0" w:line="67" w:lineRule="exact"/>
        <w:rPr>
          <w:rFonts w:ascii="MS PGothic" w:cs="MS PGothic" w:eastAsia="MS PGothic" w:hAnsi="MS PGothic"/>
          <w:sz w:val="14"/>
          <w:szCs w:val="14"/>
          <w:color w:val="023C5B"/>
        </w:rPr>
      </w:pPr>
    </w:p>
    <w:p>
      <w:pPr>
        <w:ind w:left="540" w:right="380" w:hanging="373"/>
        <w:spacing w:after="0" w:line="279" w:lineRule="auto"/>
        <w:tabs>
          <w:tab w:leader="none" w:pos="540" w:val="left"/>
        </w:tabs>
        <w:numPr>
          <w:ilvl w:val="0"/>
          <w:numId w:val="84"/>
        </w:numPr>
        <w:rPr>
          <w:rFonts w:ascii="MS PGothic" w:cs="MS PGothic" w:eastAsia="MS PGothic" w:hAnsi="MS PGothic"/>
          <w:sz w:val="14"/>
          <w:szCs w:val="14"/>
          <w:color w:val="023C5B"/>
        </w:rPr>
      </w:pPr>
      <w:r>
        <w:rPr>
          <w:rFonts w:ascii="Arial" w:cs="Arial" w:eastAsia="Arial" w:hAnsi="Arial"/>
          <w:sz w:val="16"/>
          <w:szCs w:val="16"/>
          <w:color w:val="auto"/>
        </w:rPr>
        <w:t>Associate engagement and retention</w:t>
      </w:r>
    </w:p>
    <w:p>
      <w:pPr>
        <w:spacing w:after="0" w:line="67" w:lineRule="exact"/>
        <w:rPr>
          <w:rFonts w:ascii="MS PGothic" w:cs="MS PGothic" w:eastAsia="MS PGothic" w:hAnsi="MS PGothic"/>
          <w:sz w:val="14"/>
          <w:szCs w:val="14"/>
          <w:color w:val="023C5B"/>
        </w:rPr>
      </w:pPr>
    </w:p>
    <w:p>
      <w:pPr>
        <w:ind w:left="540" w:right="540" w:hanging="373"/>
        <w:spacing w:after="0" w:line="279" w:lineRule="auto"/>
        <w:tabs>
          <w:tab w:leader="none" w:pos="540" w:val="left"/>
        </w:tabs>
        <w:numPr>
          <w:ilvl w:val="0"/>
          <w:numId w:val="84"/>
        </w:numPr>
        <w:rPr>
          <w:rFonts w:ascii="MS PGothic" w:cs="MS PGothic" w:eastAsia="MS PGothic" w:hAnsi="MS PGothic"/>
          <w:sz w:val="14"/>
          <w:szCs w:val="14"/>
          <w:color w:val="023C5B"/>
        </w:rPr>
      </w:pPr>
      <w:r>
        <w:rPr>
          <w:rFonts w:ascii="Arial" w:cs="Arial" w:eastAsia="Arial" w:hAnsi="Arial"/>
          <w:sz w:val="16"/>
          <w:szCs w:val="16"/>
          <w:color w:val="auto"/>
        </w:rPr>
        <w:t>Corporate reputation and community engagement</w:t>
      </w:r>
    </w:p>
    <w:p>
      <w:pPr>
        <w:spacing w:after="0" w:line="67" w:lineRule="exact"/>
        <w:rPr>
          <w:rFonts w:ascii="MS PGothic" w:cs="MS PGothic" w:eastAsia="MS PGothic" w:hAnsi="MS PGothic"/>
          <w:sz w:val="14"/>
          <w:szCs w:val="14"/>
          <w:color w:val="023C5B"/>
        </w:rPr>
      </w:pPr>
    </w:p>
    <w:p>
      <w:pPr>
        <w:ind w:left="540" w:hanging="373"/>
        <w:spacing w:after="0"/>
        <w:tabs>
          <w:tab w:leader="none" w:pos="540" w:val="left"/>
        </w:tabs>
        <w:numPr>
          <w:ilvl w:val="0"/>
          <w:numId w:val="84"/>
        </w:numPr>
        <w:rPr>
          <w:rFonts w:ascii="MS PGothic" w:cs="MS PGothic" w:eastAsia="MS PGothic" w:hAnsi="MS PGothic"/>
          <w:sz w:val="14"/>
          <w:szCs w:val="14"/>
          <w:color w:val="023C5B"/>
        </w:rPr>
      </w:pPr>
      <w:r>
        <w:rPr>
          <w:rFonts w:ascii="Arial" w:cs="Arial" w:eastAsia="Arial" w:hAnsi="Arial"/>
          <w:sz w:val="16"/>
          <w:szCs w:val="16"/>
          <w:color w:val="auto"/>
        </w:rPr>
        <w:t>Live our values</w:t>
      </w:r>
    </w:p>
    <w:p>
      <w:pPr>
        <w:spacing w:after="0" w:line="123" w:lineRule="exact"/>
        <w:rPr>
          <w:rFonts w:ascii="MS PGothic" w:cs="MS PGothic" w:eastAsia="MS PGothic" w:hAnsi="MS PGothic"/>
          <w:sz w:val="14"/>
          <w:szCs w:val="14"/>
          <w:color w:val="023C5B"/>
        </w:rPr>
      </w:pPr>
    </w:p>
    <w:p>
      <w:pPr>
        <w:ind w:left="540" w:hanging="373"/>
        <w:spacing w:after="0"/>
        <w:tabs>
          <w:tab w:leader="none" w:pos="540" w:val="left"/>
        </w:tabs>
        <w:numPr>
          <w:ilvl w:val="0"/>
          <w:numId w:val="84"/>
        </w:numPr>
        <w:rPr>
          <w:rFonts w:ascii="MS PGothic" w:cs="MS PGothic" w:eastAsia="MS PGothic" w:hAnsi="MS PGothic"/>
          <w:sz w:val="14"/>
          <w:szCs w:val="14"/>
          <w:color w:val="023C5B"/>
        </w:rPr>
      </w:pPr>
      <w:r>
        <w:rPr>
          <w:rFonts w:ascii="Arial" w:cs="Arial" w:eastAsia="Arial" w:hAnsi="Arial"/>
          <w:sz w:val="16"/>
          <w:szCs w:val="16"/>
          <w:color w:val="auto"/>
        </w:rPr>
        <w:t>Champion our culture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3230"/>
        <w:spacing w:after="0"/>
        <w:rPr>
          <w:sz w:val="20"/>
          <w:szCs w:val="20"/>
          <w:color w:val="auto"/>
        </w:rPr>
      </w:pPr>
      <w:r>
        <w:rPr>
          <w:rFonts w:ascii="Arial" w:cs="Arial" w:eastAsia="Arial" w:hAnsi="Arial"/>
          <w:sz w:val="16"/>
          <w:szCs w:val="16"/>
          <w:b w:val="1"/>
          <w:bCs w:val="1"/>
          <w:color w:val="FFFFFF"/>
        </w:rPr>
        <w:t>2025 Performance</w:t>
      </w:r>
    </w:p>
    <w:p>
      <w:pPr>
        <w:spacing w:after="0" w:line="150" w:lineRule="exact"/>
        <w:rPr>
          <w:sz w:val="20"/>
          <w:szCs w:val="20"/>
          <w:color w:val="auto"/>
        </w:rPr>
      </w:pPr>
    </w:p>
    <w:p>
      <w:pPr>
        <w:ind w:left="370" w:hanging="370"/>
        <w:spacing w:after="0" w:line="279" w:lineRule="auto"/>
        <w:tabs>
          <w:tab w:leader="none" w:pos="370" w:val="left"/>
        </w:tabs>
        <w:numPr>
          <w:ilvl w:val="0"/>
          <w:numId w:val="85"/>
        </w:numPr>
        <w:rPr>
          <w:rFonts w:ascii="MS PGothic" w:cs="MS PGothic" w:eastAsia="MS PGothic" w:hAnsi="MS PGothic"/>
          <w:sz w:val="14"/>
          <w:szCs w:val="14"/>
          <w:color w:val="023C5B"/>
        </w:rPr>
      </w:pPr>
      <w:r>
        <w:rPr>
          <w:rFonts w:ascii="Arial" w:cs="Arial" w:eastAsia="Arial" w:hAnsi="Arial"/>
          <w:sz w:val="16"/>
          <w:szCs w:val="16"/>
          <w:color w:val="auto"/>
        </w:rPr>
        <w:t>Delivered strong organic growth, driven by both new customers and a deepening and broadening of existing customer and client relationships</w:t>
      </w:r>
    </w:p>
    <w:p>
      <w:pPr>
        <w:spacing w:after="0" w:line="67" w:lineRule="exact"/>
        <w:rPr>
          <w:rFonts w:ascii="MS PGothic" w:cs="MS PGothic" w:eastAsia="MS PGothic" w:hAnsi="MS PGothic"/>
          <w:sz w:val="14"/>
          <w:szCs w:val="14"/>
          <w:color w:val="023C5B"/>
        </w:rPr>
      </w:pPr>
    </w:p>
    <w:p>
      <w:pPr>
        <w:jc w:val="both"/>
        <w:ind w:left="370" w:hanging="370"/>
        <w:spacing w:after="0" w:line="262" w:lineRule="auto"/>
        <w:tabs>
          <w:tab w:leader="none" w:pos="370" w:val="left"/>
        </w:tabs>
        <w:numPr>
          <w:ilvl w:val="0"/>
          <w:numId w:val="85"/>
        </w:numPr>
        <w:rPr>
          <w:rFonts w:ascii="MS PGothic" w:cs="MS PGothic" w:eastAsia="MS PGothic" w:hAnsi="MS PGothic"/>
          <w:sz w:val="14"/>
          <w:szCs w:val="14"/>
          <w:color w:val="023C5B"/>
        </w:rPr>
      </w:pPr>
      <w:r>
        <w:rPr>
          <w:rFonts w:ascii="Arial" w:cs="Arial" w:eastAsia="Arial" w:hAnsi="Arial"/>
          <w:sz w:val="16"/>
          <w:szCs w:val="16"/>
          <w:color w:val="auto"/>
        </w:rPr>
        <w:t>Customer advocacy and Net Promoter Scores remained high across products, channels, and experiences. We received numerous external awards and accolades related to our products and customer experiences</w:t>
      </w:r>
    </w:p>
    <w:p>
      <w:pPr>
        <w:spacing w:after="0" w:line="79" w:lineRule="exact"/>
        <w:rPr>
          <w:rFonts w:ascii="MS PGothic" w:cs="MS PGothic" w:eastAsia="MS PGothic" w:hAnsi="MS PGothic"/>
          <w:sz w:val="14"/>
          <w:szCs w:val="14"/>
          <w:color w:val="023C5B"/>
        </w:rPr>
      </w:pPr>
    </w:p>
    <w:p>
      <w:pPr>
        <w:ind w:left="370" w:right="20" w:hanging="370"/>
        <w:spacing w:after="0" w:line="279" w:lineRule="auto"/>
        <w:tabs>
          <w:tab w:leader="none" w:pos="370" w:val="left"/>
        </w:tabs>
        <w:numPr>
          <w:ilvl w:val="0"/>
          <w:numId w:val="85"/>
        </w:numPr>
        <w:rPr>
          <w:rFonts w:ascii="MS PGothic" w:cs="MS PGothic" w:eastAsia="MS PGothic" w:hAnsi="MS PGothic"/>
          <w:sz w:val="14"/>
          <w:szCs w:val="14"/>
          <w:color w:val="023C5B"/>
        </w:rPr>
      </w:pPr>
      <w:r>
        <w:rPr>
          <w:rFonts w:ascii="Arial" w:cs="Arial" w:eastAsia="Arial" w:hAnsi="Arial"/>
          <w:sz w:val="16"/>
          <w:szCs w:val="16"/>
          <w:color w:val="auto"/>
        </w:rPr>
        <w:t>Welcomed thousands of new associates while investing in our talent model and in recruiting, training, and developing associates through enhanced resources and programming</w:t>
      </w:r>
    </w:p>
    <w:p>
      <w:pPr>
        <w:spacing w:after="0" w:line="67" w:lineRule="exact"/>
        <w:rPr>
          <w:rFonts w:ascii="MS PGothic" w:cs="MS PGothic" w:eastAsia="MS PGothic" w:hAnsi="MS PGothic"/>
          <w:sz w:val="14"/>
          <w:szCs w:val="14"/>
          <w:color w:val="023C5B"/>
        </w:rPr>
      </w:pPr>
    </w:p>
    <w:p>
      <w:pPr>
        <w:ind w:left="370" w:hanging="370"/>
        <w:spacing w:after="0"/>
        <w:tabs>
          <w:tab w:leader="none" w:pos="370" w:val="left"/>
        </w:tabs>
        <w:numPr>
          <w:ilvl w:val="0"/>
          <w:numId w:val="85"/>
        </w:numPr>
        <w:rPr>
          <w:rFonts w:ascii="MS PGothic" w:cs="MS PGothic" w:eastAsia="MS PGothic" w:hAnsi="MS PGothic"/>
          <w:sz w:val="14"/>
          <w:szCs w:val="14"/>
          <w:color w:val="023C5B"/>
        </w:rPr>
      </w:pPr>
      <w:r>
        <w:rPr>
          <w:rFonts w:ascii="Arial" w:cs="Arial" w:eastAsia="Arial" w:hAnsi="Arial"/>
          <w:sz w:val="16"/>
          <w:szCs w:val="16"/>
          <w:color w:val="auto"/>
        </w:rPr>
        <w:t>Onboarded legacy Discover employees into Capital One systems, benefits, and talent practices</w:t>
      </w:r>
    </w:p>
    <w:p>
      <w:pPr>
        <w:spacing w:after="0" w:line="123" w:lineRule="exact"/>
        <w:rPr>
          <w:rFonts w:ascii="MS PGothic" w:cs="MS PGothic" w:eastAsia="MS PGothic" w:hAnsi="MS PGothic"/>
          <w:sz w:val="14"/>
          <w:szCs w:val="14"/>
          <w:color w:val="023C5B"/>
        </w:rPr>
      </w:pPr>
    </w:p>
    <w:p>
      <w:pPr>
        <w:ind w:left="370" w:hanging="370"/>
        <w:spacing w:after="0" w:line="279" w:lineRule="auto"/>
        <w:tabs>
          <w:tab w:leader="none" w:pos="370" w:val="left"/>
        </w:tabs>
        <w:numPr>
          <w:ilvl w:val="0"/>
          <w:numId w:val="85"/>
        </w:numPr>
        <w:rPr>
          <w:rFonts w:ascii="MS PGothic" w:cs="MS PGothic" w:eastAsia="MS PGothic" w:hAnsi="MS PGothic"/>
          <w:sz w:val="14"/>
          <w:szCs w:val="14"/>
          <w:color w:val="023C5B"/>
        </w:rPr>
      </w:pPr>
      <w:r>
        <w:rPr>
          <w:rFonts w:ascii="Arial" w:cs="Arial" w:eastAsia="Arial" w:hAnsi="Arial"/>
          <w:sz w:val="16"/>
          <w:szCs w:val="16"/>
          <w:color w:val="auto"/>
        </w:rPr>
        <w:t>Maintained high associate engagement, inclusion, and morale as measured in regular enterprise-wide surveys and other listening channels</w:t>
      </w:r>
    </w:p>
    <w:p>
      <w:pPr>
        <w:spacing w:after="0" w:line="67" w:lineRule="exact"/>
        <w:rPr>
          <w:rFonts w:ascii="MS PGothic" w:cs="MS PGothic" w:eastAsia="MS PGothic" w:hAnsi="MS PGothic"/>
          <w:sz w:val="14"/>
          <w:szCs w:val="14"/>
          <w:color w:val="023C5B"/>
        </w:rPr>
      </w:pPr>
    </w:p>
    <w:p>
      <w:pPr>
        <w:ind w:left="370" w:hanging="370"/>
        <w:spacing w:after="0" w:line="279" w:lineRule="auto"/>
        <w:tabs>
          <w:tab w:leader="none" w:pos="370" w:val="left"/>
        </w:tabs>
        <w:numPr>
          <w:ilvl w:val="0"/>
          <w:numId w:val="85"/>
        </w:numPr>
        <w:rPr>
          <w:rFonts w:ascii="MS PGothic" w:cs="MS PGothic" w:eastAsia="MS PGothic" w:hAnsi="MS PGothic"/>
          <w:sz w:val="14"/>
          <w:szCs w:val="14"/>
          <w:color w:val="023C5B"/>
        </w:rPr>
      </w:pPr>
      <w:r>
        <w:rPr>
          <w:rFonts w:ascii="Arial" w:cs="Arial" w:eastAsia="Arial" w:hAnsi="Arial"/>
          <w:sz w:val="16"/>
          <w:szCs w:val="16"/>
          <w:color w:val="auto"/>
        </w:rPr>
        <w:t>Launched an historic $265 billion Community Benefits Plan in connection with the Discover Transaction, the largest acquisition-related community commitment plan in the history of the U.S. banking system</w:t>
      </w:r>
    </w:p>
    <w:p>
      <w:pPr>
        <w:spacing w:after="0" w:line="67" w:lineRule="exact"/>
        <w:rPr>
          <w:rFonts w:ascii="MS PGothic" w:cs="MS PGothic" w:eastAsia="MS PGothic" w:hAnsi="MS PGothic"/>
          <w:sz w:val="14"/>
          <w:szCs w:val="14"/>
          <w:color w:val="023C5B"/>
        </w:rPr>
      </w:pPr>
    </w:p>
    <w:p>
      <w:pPr>
        <w:ind w:left="370" w:hanging="370"/>
        <w:spacing w:after="0" w:line="279" w:lineRule="auto"/>
        <w:tabs>
          <w:tab w:leader="none" w:pos="370" w:val="left"/>
        </w:tabs>
        <w:numPr>
          <w:ilvl w:val="0"/>
          <w:numId w:val="85"/>
        </w:numPr>
        <w:rPr>
          <w:rFonts w:ascii="MS PGothic" w:cs="MS PGothic" w:eastAsia="MS PGothic" w:hAnsi="MS PGothic"/>
          <w:sz w:val="14"/>
          <w:szCs w:val="14"/>
          <w:color w:val="023C5B"/>
        </w:rPr>
      </w:pPr>
      <w:r>
        <w:rPr>
          <w:rFonts w:ascii="Arial" w:cs="Arial" w:eastAsia="Arial" w:hAnsi="Arial"/>
          <w:sz w:val="16"/>
          <w:szCs w:val="16"/>
          <w:color w:val="auto"/>
        </w:rPr>
        <w:t>Associates volunteered hundreds of thousands of hours with nonprofit organizations in the communities where Capital One operates, including over 18,000 hours of pro bono services</w:t>
      </w:r>
    </w:p>
    <w:p>
      <w:pPr>
        <w:spacing w:after="0" w:line="67" w:lineRule="exact"/>
        <w:rPr>
          <w:rFonts w:ascii="MS PGothic" w:cs="MS PGothic" w:eastAsia="MS PGothic" w:hAnsi="MS PGothic"/>
          <w:sz w:val="14"/>
          <w:szCs w:val="14"/>
          <w:color w:val="023C5B"/>
        </w:rPr>
      </w:pPr>
    </w:p>
    <w:p>
      <w:pPr>
        <w:ind w:left="370" w:right="20" w:hanging="370"/>
        <w:spacing w:after="0" w:line="207" w:lineRule="auto"/>
        <w:tabs>
          <w:tab w:leader="none" w:pos="370" w:val="left"/>
        </w:tabs>
        <w:numPr>
          <w:ilvl w:val="0"/>
          <w:numId w:val="85"/>
        </w:numPr>
        <w:rPr>
          <w:rFonts w:ascii="MS PGothic" w:cs="MS PGothic" w:eastAsia="MS PGothic" w:hAnsi="MS PGothic"/>
          <w:sz w:val="14"/>
          <w:szCs w:val="14"/>
          <w:color w:val="023C5B"/>
        </w:rPr>
      </w:pPr>
      <w:r>
        <w:rPr>
          <w:rFonts w:ascii="Arial" w:cs="Arial" w:eastAsia="Arial" w:hAnsi="Arial"/>
          <w:sz w:val="16"/>
          <w:szCs w:val="16"/>
          <w:color w:val="auto"/>
        </w:rPr>
        <w:t xml:space="preserve">Ranked #36 on </w:t>
      </w:r>
      <w:r>
        <w:rPr>
          <w:rFonts w:ascii="Arial" w:cs="Arial" w:eastAsia="Arial" w:hAnsi="Arial"/>
          <w:sz w:val="16"/>
          <w:szCs w:val="16"/>
          <w:i w:val="1"/>
          <w:iCs w:val="1"/>
          <w:color w:val="auto"/>
        </w:rPr>
        <w:t>Fortune</w:t>
      </w:r>
      <w:r>
        <w:rPr>
          <w:rFonts w:ascii="Arial" w:cs="Arial" w:eastAsia="Arial" w:hAnsi="Arial"/>
          <w:sz w:val="16"/>
          <w:szCs w:val="16"/>
          <w:color w:val="auto"/>
        </w:rPr>
        <w:t xml:space="preserve"> magazine’s 100 Best Companies to Work For</w:t>
      </w:r>
      <w:r>
        <w:rPr>
          <w:rFonts w:ascii="Arial" w:cs="Arial" w:eastAsia="Arial" w:hAnsi="Arial"/>
          <w:sz w:val="24"/>
          <w:szCs w:val="24"/>
          <w:color w:val="auto"/>
          <w:vertAlign w:val="superscript"/>
        </w:rPr>
        <w:t>®</w:t>
      </w:r>
      <w:r>
        <w:rPr>
          <w:rFonts w:ascii="Arial" w:cs="Arial" w:eastAsia="Arial" w:hAnsi="Arial"/>
          <w:sz w:val="16"/>
          <w:szCs w:val="16"/>
          <w:color w:val="auto"/>
        </w:rPr>
        <w:t xml:space="preserve"> list in 2025, which marks Capital One’s 14th consecutive year on this list</w:t>
      </w:r>
    </w:p>
    <w:p>
      <w:pPr>
        <w:spacing w:after="0" w:line="200" w:lineRule="exact"/>
        <w:rPr>
          <w:sz w:val="20"/>
          <w:szCs w:val="20"/>
          <w:color w:val="auto"/>
        </w:rPr>
      </w:pPr>
    </w:p>
    <w:p>
      <w:pPr>
        <w:sectPr>
          <w:pgSz w:w="11900" w:h="16838" w:orient="portrait"/>
          <w:cols w:equalWidth="0" w:num="2">
            <w:col w:w="2860" w:space="370"/>
            <w:col w:w="7850"/>
          </w:cols>
          <w:pgMar w:left="320" w:top="478" w:right="499" w:bottom="1440" w:gutter="0" w:footer="0" w:header="0"/>
          <w:type w:val="continuous"/>
        </w:sectPr>
      </w:pPr>
    </w:p>
    <w:p>
      <w:pPr>
        <w:spacing w:after="0" w:line="136"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023C5B"/>
        </w:rPr>
        <w:t>CEO Contribution to Company Performance</w:t>
      </w:r>
    </w:p>
    <w:p>
      <w:pPr>
        <w:spacing w:after="0" w:line="206"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In determining the CEO’s 2025 year-end incentive awards, in addition to the Company’s results as outlined above, the Committee and the Independent Directors assessed Mr. Fairbank’s contributions to Capital One’s 2025 performance.</w:t>
      </w:r>
    </w:p>
    <w:p>
      <w:pPr>
        <w:spacing w:after="0" w:line="91"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Under Mr. Fairbank’s leadership, the Company’s 2025 achievements were the result of strong execution during the calendar year; a pipeline of past initiatives that delivered growth, innovation, and efficiency; and the continued long-term investments in technology, risk management, and talent that position the Company for future success. Capital One’s completion of the Discover Transaction in May 2025 was a seminal moment, made possible by strategic choices, long-term investments, and sound risk management that spanned many years under Mr. Fairbank’s leadership.</w:t>
      </w:r>
    </w:p>
    <w:p>
      <w:pPr>
        <w:spacing w:after="0" w:line="182"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combination of top-line revenue growth, solid credit performance, and the partial-year impact of Discover resulted in strong adjusted earnings and capital generation for Capital One in 2025. The Company delivered resilient account and loan growth, solid credit performance, and strong stewardship of stockholder capital, while management simultaneously diligently orchestrated activities related to the Discover Transaction approval and post-close integration. Those activities included responding to regulatory requests; preparing for deal closing and integration; launching the $265 billion Community Benefit Plan; and delivering on critical financial, risk management, technology, HR system, and customer integrations at the time of closing and through the remainder of 2025.</w:t>
      </w:r>
    </w:p>
    <w:p>
      <w:pPr>
        <w:spacing w:after="0" w:line="18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Strong financial results and growing momentum on our long-term strategic vision were reflected in the market’s valuation of Capital One. The Company’s stock price rose 36%, 7.1 percentage points above the KBW Bank Index and significantly outpacing the S&amp;P 500 by 19.5 percentage points. Capital One’s total shareholder return was 37.7%, as compared to the KBW’s total return of 32.6% and the S&amp;P 500’s total return of 17.9%.</w:t>
      </w:r>
    </w:p>
    <w:p>
      <w:pPr>
        <w:spacing w:after="0" w:line="17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Committee and the Independent Directors recognized both Mr. Fairbank’s unwavering leadership in making past choices that laid the groundwork for current success, and in 2025, making investments and pursuing a strategic agenda to position the Company for future growth and opportunity. The Company continued to see the benefits of its long-term technology transformation that has included investing in infrastructure, platforms, data, and talent that are benefitting customers, differentiating Capital One in the market, and positioning the Company as an AI leader in banking. In 2025, Capital One launched new products, signed new partners, and expanded its suite of innovative digital tools and experiences. The Company also invested in marketing to attract new customers, deepen customer relationships, and scale nascent growth strategies for future success and returns. The Committee also recognized the efforts and activities in late 2025 that laid the groundwork for the Company’s January 2026 announcement of the definitive agreement to acquire Brex, a leading financial technology payments company.</w:t>
      </w:r>
    </w:p>
    <w:p>
      <w:pPr>
        <w:spacing w:after="0" w:line="180"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Under Mr. Fairbank’s leadership, Capital One maintained a keen focus on building and sustaining strong risk management practices and controls, while embedding resilience into its operations and financial choices. Capital One recruited world-class talent while maintaining high associate engagement and morale scores as measured in our regular enterprise-wide surveys. The Company was recognized externally for being an exceptional place to launch or grow one’s career, and the Committee considered Mr. Fairbank’s leadership in modeling and reinforcing the Company’s culture, values, and mission with associates, recruits, partners, suppliers, and investors.</w:t>
      </w:r>
    </w:p>
    <w:p>
      <w:pPr>
        <w:spacing w:after="0" w:line="18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Committee and the Independent Directors believe that the Company’s multi-year technological, operational, and risk management choices led by Mr. Fairbank—including those leading to the successful acquisition and initial integration of Discover—have resulted not only in strong stockholder returns, but also exceptional strategic, competitive, and financial positioning that will continue to drive stockholder value over time.</w:t>
      </w:r>
    </w:p>
    <w:p>
      <w:pPr>
        <w:spacing w:after="0" w:line="17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Committee and the Independent Directors considered peer group CEO compensation levels and structure, the tenures of peer companies’ CEOs, and the varying degrees of success those CEOs have had in leading their respective companies in 2025 and over time. They also took into account Mr. Fairbank’s unique role as the founder of Capital One. The Committee and the Independent Directors recognized that Mr. Fairbank does not receive a cash salary, 100% of his compensation is deferred for at least three years, and the vast majority of his performance year compensation is equity-based and determined after performance year-end based upon the Company’s results and his leadership and contributions to those results.</w:t>
      </w:r>
    </w:p>
    <w:p>
      <w:pPr>
        <w:spacing w:after="0" w:line="347"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Committee and the Independent Directors believe that the actions taken by Mr. Fairbank and the other NEOs throughout 2025 drove strong financial and operating results as well as continued momentum on the achievement of its long-term strategic objectives. These actions and choices have positioned the Company to deliver strong and sustainable financial performance, build an enduring customer franchise, maintain resilience, and create long-term value to stockholders.</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CEO Compensation by Performance Year</w:t>
      </w:r>
    </w:p>
    <w:p>
      <w:pPr>
        <w:spacing w:after="0" w:line="114"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Below is a table showing Mr. Fairbank’s compensation awards as they are attributable to the performance years indicated. Mr. Fairbank’s actual total 2025 performance year compensation was approximately $40 million. See “Year-End Incentive Opportunity” beginning on page 68 for additional information regarding the year-end incentive granted to Mr. Fairbank for performance year 2025.</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1260" w:type="dxa"/>
            <w:vAlign w:val="bottom"/>
            <w:shd w:val="clear" w:color="auto" w:fill="023C5B"/>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shd w:val="clear" w:color="auto" w:fill="023C5B"/>
          </w:tcPr>
          <w:p>
            <w:pPr>
              <w:spacing w:after="0"/>
              <w:rPr>
                <w:sz w:val="22"/>
                <w:szCs w:val="22"/>
                <w:color w:val="auto"/>
              </w:rPr>
            </w:pPr>
          </w:p>
        </w:tc>
        <w:tc>
          <w:tcPr>
            <w:tcW w:w="160" w:type="dxa"/>
            <w:vAlign w:val="bottom"/>
          </w:tcPr>
          <w:p>
            <w:pPr>
              <w:spacing w:after="0"/>
              <w:rPr>
                <w:sz w:val="22"/>
                <w:szCs w:val="22"/>
                <w:color w:val="auto"/>
              </w:rPr>
            </w:pPr>
          </w:p>
        </w:tc>
        <w:tc>
          <w:tcPr>
            <w:tcW w:w="2740" w:type="dxa"/>
            <w:vAlign w:val="bottom"/>
            <w:shd w:val="clear" w:color="auto" w:fill="023C5B"/>
          </w:tcPr>
          <w:p>
            <w:pPr>
              <w:spacing w:after="0"/>
              <w:rPr>
                <w:sz w:val="22"/>
                <w:szCs w:val="22"/>
                <w:color w:val="auto"/>
              </w:rPr>
            </w:pPr>
          </w:p>
        </w:tc>
        <w:tc>
          <w:tcPr>
            <w:tcW w:w="200" w:type="dxa"/>
            <w:vAlign w:val="bottom"/>
            <w:tcBorders>
              <w:right w:val="single" w:sz="8" w:color="023C5B"/>
            </w:tcBorders>
          </w:tcPr>
          <w:p>
            <w:pPr>
              <w:spacing w:after="0"/>
              <w:rPr>
                <w:sz w:val="22"/>
                <w:szCs w:val="22"/>
                <w:color w:val="auto"/>
              </w:rPr>
            </w:pPr>
          </w:p>
        </w:tc>
        <w:tc>
          <w:tcPr>
            <w:tcW w:w="880" w:type="dxa"/>
            <w:vAlign w:val="bottom"/>
            <w:shd w:val="clear" w:color="auto" w:fill="023C5B"/>
          </w:tcPr>
          <w:p>
            <w:pPr>
              <w:spacing w:after="0"/>
              <w:rPr>
                <w:sz w:val="22"/>
                <w:szCs w:val="22"/>
                <w:color w:val="auto"/>
              </w:rPr>
            </w:pPr>
          </w:p>
        </w:tc>
        <w:tc>
          <w:tcPr>
            <w:tcW w:w="40" w:type="dxa"/>
            <w:vAlign w:val="bottom"/>
            <w:shd w:val="clear" w:color="auto" w:fill="023C5B"/>
          </w:tcPr>
          <w:p>
            <w:pPr>
              <w:spacing w:after="0"/>
              <w:rPr>
                <w:sz w:val="22"/>
                <w:szCs w:val="22"/>
                <w:color w:val="auto"/>
              </w:rPr>
            </w:pPr>
          </w:p>
        </w:tc>
        <w:tc>
          <w:tcPr>
            <w:tcW w:w="2400" w:type="dxa"/>
            <w:vAlign w:val="bottom"/>
            <w:gridSpan w:val="4"/>
            <w:shd w:val="clear" w:color="auto" w:fill="023C5B"/>
          </w:tcPr>
          <w:p>
            <w:pPr>
              <w:ind w:left="40"/>
              <w:spacing w:after="0"/>
              <w:rPr>
                <w:sz w:val="20"/>
                <w:szCs w:val="20"/>
                <w:color w:val="auto"/>
              </w:rPr>
            </w:pPr>
            <w:r>
              <w:rPr>
                <w:rFonts w:ascii="Arial" w:cs="Arial" w:eastAsia="Arial" w:hAnsi="Arial"/>
                <w:sz w:val="16"/>
                <w:szCs w:val="16"/>
                <w:b w:val="1"/>
                <w:bCs w:val="1"/>
                <w:color w:val="FFFFFF"/>
              </w:rPr>
              <w:t>Year-End Incentive</w:t>
            </w:r>
          </w:p>
        </w:tc>
        <w:tc>
          <w:tcPr>
            <w:tcW w:w="160" w:type="dxa"/>
            <w:vAlign w:val="bottom"/>
          </w:tcPr>
          <w:p>
            <w:pPr>
              <w:spacing w:after="0"/>
              <w:rPr>
                <w:sz w:val="22"/>
                <w:szCs w:val="22"/>
                <w:color w:val="auto"/>
              </w:rPr>
            </w:pPr>
          </w:p>
        </w:tc>
        <w:tc>
          <w:tcPr>
            <w:tcW w:w="2320" w:type="dxa"/>
            <w:vAlign w:val="bottom"/>
            <w:shd w:val="clear" w:color="auto" w:fill="023C5B"/>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1260" w:type="dxa"/>
            <w:vAlign w:val="bottom"/>
            <w:shd w:val="clear" w:color="auto" w:fill="023C5B"/>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shd w:val="clear" w:color="auto" w:fill="023C5B"/>
          </w:tcPr>
          <w:p>
            <w:pPr>
              <w:spacing w:after="0"/>
              <w:rPr>
                <w:sz w:val="5"/>
                <w:szCs w:val="5"/>
                <w:color w:val="auto"/>
              </w:rPr>
            </w:pPr>
          </w:p>
        </w:tc>
        <w:tc>
          <w:tcPr>
            <w:tcW w:w="160" w:type="dxa"/>
            <w:vAlign w:val="bottom"/>
          </w:tcPr>
          <w:p>
            <w:pPr>
              <w:spacing w:after="0"/>
              <w:rPr>
                <w:sz w:val="5"/>
                <w:szCs w:val="5"/>
                <w:color w:val="auto"/>
              </w:rPr>
            </w:pPr>
          </w:p>
        </w:tc>
        <w:tc>
          <w:tcPr>
            <w:tcW w:w="2740" w:type="dxa"/>
            <w:vAlign w:val="bottom"/>
            <w:shd w:val="clear" w:color="auto" w:fill="023C5B"/>
          </w:tcPr>
          <w:p>
            <w:pPr>
              <w:spacing w:after="0"/>
              <w:rPr>
                <w:sz w:val="5"/>
                <w:szCs w:val="5"/>
                <w:color w:val="auto"/>
              </w:rPr>
            </w:pPr>
          </w:p>
        </w:tc>
        <w:tc>
          <w:tcPr>
            <w:tcW w:w="200" w:type="dxa"/>
            <w:vAlign w:val="bottom"/>
            <w:tcBorders>
              <w:right w:val="single" w:sz="8" w:color="023C5B"/>
            </w:tcBorders>
          </w:tcPr>
          <w:p>
            <w:pPr>
              <w:spacing w:after="0"/>
              <w:rPr>
                <w:sz w:val="5"/>
                <w:szCs w:val="5"/>
                <w:color w:val="auto"/>
              </w:rPr>
            </w:pPr>
          </w:p>
        </w:tc>
        <w:tc>
          <w:tcPr>
            <w:tcW w:w="880" w:type="dxa"/>
            <w:vAlign w:val="bottom"/>
            <w:vMerge w:val="restart"/>
            <w:shd w:val="clear" w:color="auto" w:fill="023C5B"/>
          </w:tcPr>
          <w:p>
            <w:pPr>
              <w:jc w:val="center"/>
              <w:spacing w:after="0"/>
              <w:rPr>
                <w:sz w:val="20"/>
                <w:szCs w:val="20"/>
                <w:color w:val="auto"/>
              </w:rPr>
            </w:pPr>
            <w:r>
              <w:rPr>
                <w:rFonts w:ascii="Arial" w:cs="Arial" w:eastAsia="Arial" w:hAnsi="Arial"/>
                <w:sz w:val="16"/>
                <w:szCs w:val="16"/>
                <w:b w:val="1"/>
                <w:bCs w:val="1"/>
                <w:color w:val="FFFFFF"/>
              </w:rPr>
              <w:t>Deferred</w:t>
            </w:r>
          </w:p>
        </w:tc>
        <w:tc>
          <w:tcPr>
            <w:tcW w:w="40" w:type="dxa"/>
            <w:vAlign w:val="bottom"/>
            <w:shd w:val="clear" w:color="auto" w:fill="023C5B"/>
          </w:tcPr>
          <w:p>
            <w:pPr>
              <w:spacing w:after="0"/>
              <w:rPr>
                <w:sz w:val="5"/>
                <w:szCs w:val="5"/>
                <w:color w:val="auto"/>
              </w:rPr>
            </w:pPr>
          </w:p>
        </w:tc>
        <w:tc>
          <w:tcPr>
            <w:tcW w:w="120" w:type="dxa"/>
            <w:vAlign w:val="bottom"/>
            <w:shd w:val="clear" w:color="auto" w:fill="023C5B"/>
          </w:tcPr>
          <w:p>
            <w:pPr>
              <w:spacing w:after="0"/>
              <w:rPr>
                <w:sz w:val="5"/>
                <w:szCs w:val="5"/>
                <w:color w:val="auto"/>
              </w:rPr>
            </w:pPr>
          </w:p>
        </w:tc>
        <w:tc>
          <w:tcPr>
            <w:tcW w:w="920" w:type="dxa"/>
            <w:vAlign w:val="bottom"/>
            <w:vMerge w:val="restart"/>
            <w:shd w:val="clear" w:color="auto" w:fill="023C5B"/>
          </w:tcPr>
          <w:p>
            <w:pPr>
              <w:jc w:val="center"/>
              <w:spacing w:after="0"/>
              <w:rPr>
                <w:sz w:val="20"/>
                <w:szCs w:val="20"/>
                <w:color w:val="auto"/>
              </w:rPr>
            </w:pPr>
            <w:r>
              <w:rPr>
                <w:rFonts w:ascii="Arial" w:cs="Arial" w:eastAsia="Arial" w:hAnsi="Arial"/>
                <w:sz w:val="16"/>
                <w:szCs w:val="16"/>
                <w:b w:val="1"/>
                <w:bCs w:val="1"/>
                <w:color w:val="FFFFFF"/>
              </w:rPr>
              <w:t>Cash-</w:t>
            </w:r>
          </w:p>
        </w:tc>
        <w:tc>
          <w:tcPr>
            <w:tcW w:w="160" w:type="dxa"/>
            <w:vAlign w:val="bottom"/>
            <w:shd w:val="clear" w:color="auto" w:fill="023C5B"/>
          </w:tcPr>
          <w:p>
            <w:pPr>
              <w:spacing w:after="0"/>
              <w:rPr>
                <w:sz w:val="5"/>
                <w:szCs w:val="5"/>
                <w:color w:val="auto"/>
              </w:rPr>
            </w:pPr>
          </w:p>
        </w:tc>
        <w:tc>
          <w:tcPr>
            <w:tcW w:w="1200" w:type="dxa"/>
            <w:vAlign w:val="bottom"/>
            <w:shd w:val="clear" w:color="auto" w:fill="023C5B"/>
          </w:tcPr>
          <w:p>
            <w:pPr>
              <w:spacing w:after="0"/>
              <w:rPr>
                <w:sz w:val="5"/>
                <w:szCs w:val="5"/>
                <w:color w:val="auto"/>
              </w:rPr>
            </w:pPr>
          </w:p>
        </w:tc>
        <w:tc>
          <w:tcPr>
            <w:tcW w:w="160" w:type="dxa"/>
            <w:vAlign w:val="bottom"/>
          </w:tcPr>
          <w:p>
            <w:pPr>
              <w:spacing w:after="0"/>
              <w:rPr>
                <w:sz w:val="5"/>
                <w:szCs w:val="5"/>
                <w:color w:val="auto"/>
              </w:rPr>
            </w:pPr>
          </w:p>
        </w:tc>
        <w:tc>
          <w:tcPr>
            <w:tcW w:w="2320" w:type="dxa"/>
            <w:vAlign w:val="bottom"/>
            <w:shd w:val="clear" w:color="auto" w:fill="023C5B"/>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1260" w:type="dxa"/>
            <w:vAlign w:val="bottom"/>
            <w:shd w:val="clear" w:color="auto" w:fill="023C5B"/>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shd w:val="clear" w:color="auto" w:fill="023C5B"/>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shd w:val="clear" w:color="auto" w:fill="023C5B"/>
          </w:tcPr>
          <w:p>
            <w:pPr>
              <w:spacing w:after="0"/>
              <w:rPr>
                <w:sz w:val="24"/>
                <w:szCs w:val="24"/>
                <w:color w:val="auto"/>
              </w:rPr>
            </w:pPr>
          </w:p>
        </w:tc>
        <w:tc>
          <w:tcPr>
            <w:tcW w:w="200" w:type="dxa"/>
            <w:vAlign w:val="bottom"/>
            <w:tcBorders>
              <w:right w:val="single" w:sz="8" w:color="023C5B"/>
            </w:tcBorders>
          </w:tcPr>
          <w:p>
            <w:pPr>
              <w:spacing w:after="0"/>
              <w:rPr>
                <w:sz w:val="24"/>
                <w:szCs w:val="24"/>
                <w:color w:val="auto"/>
              </w:rPr>
            </w:pPr>
          </w:p>
        </w:tc>
        <w:tc>
          <w:tcPr>
            <w:tcW w:w="880" w:type="dxa"/>
            <w:vAlign w:val="bottom"/>
            <w:vMerge w:val="continue"/>
            <w:shd w:val="clear" w:color="auto" w:fill="023C5B"/>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vMerge w:val="continue"/>
            <w:shd w:val="clear" w:color="auto" w:fill="023C5B"/>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shd w:val="clear" w:color="auto" w:fill="023C5B"/>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shd w:val="clear" w:color="auto" w:fill="023C5B"/>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60" w:type="dxa"/>
            <w:vAlign w:val="bottom"/>
            <w:shd w:val="clear" w:color="auto" w:fill="023C5B"/>
          </w:tcPr>
          <w:p>
            <w:pPr>
              <w:ind w:left="60"/>
              <w:spacing w:after="0"/>
              <w:rPr>
                <w:sz w:val="20"/>
                <w:szCs w:val="20"/>
                <w:color w:val="auto"/>
              </w:rPr>
            </w:pPr>
            <w:r>
              <w:rPr>
                <w:rFonts w:ascii="Arial" w:cs="Arial" w:eastAsia="Arial" w:hAnsi="Arial"/>
                <w:sz w:val="16"/>
                <w:szCs w:val="16"/>
                <w:b w:val="1"/>
                <w:bCs w:val="1"/>
                <w:color w:val="FFFFFF"/>
              </w:rPr>
              <w:t>  Performance</w:t>
            </w:r>
          </w:p>
        </w:tc>
        <w:tc>
          <w:tcPr>
            <w:tcW w:w="160" w:type="dxa"/>
            <w:vAlign w:val="bottom"/>
          </w:tcPr>
          <w:p>
            <w:pPr>
              <w:spacing w:after="0"/>
              <w:rPr>
                <w:sz w:val="16"/>
                <w:szCs w:val="16"/>
                <w:color w:val="auto"/>
              </w:rPr>
            </w:pPr>
          </w:p>
        </w:tc>
        <w:tc>
          <w:tcPr>
            <w:tcW w:w="600" w:type="dxa"/>
            <w:vAlign w:val="bottom"/>
            <w:shd w:val="clear" w:color="auto" w:fill="023C5B"/>
          </w:tcPr>
          <w:p>
            <w:pPr>
              <w:jc w:val="center"/>
              <w:ind w:left="20"/>
              <w:spacing w:after="0"/>
              <w:rPr>
                <w:sz w:val="20"/>
                <w:szCs w:val="20"/>
                <w:color w:val="auto"/>
              </w:rPr>
            </w:pPr>
            <w:r>
              <w:rPr>
                <w:rFonts w:ascii="Arial" w:cs="Arial" w:eastAsia="Arial" w:hAnsi="Arial"/>
                <w:sz w:val="16"/>
                <w:szCs w:val="16"/>
                <w:b w:val="1"/>
                <w:bCs w:val="1"/>
                <w:color w:val="FFFFFF"/>
                <w:w w:val="97"/>
              </w:rPr>
              <w:t>Cash</w:t>
            </w:r>
          </w:p>
        </w:tc>
        <w:tc>
          <w:tcPr>
            <w:tcW w:w="160" w:type="dxa"/>
            <w:vAlign w:val="bottom"/>
          </w:tcPr>
          <w:p>
            <w:pPr>
              <w:spacing w:after="0"/>
              <w:rPr>
                <w:sz w:val="16"/>
                <w:szCs w:val="16"/>
                <w:color w:val="auto"/>
              </w:rPr>
            </w:pPr>
          </w:p>
        </w:tc>
        <w:tc>
          <w:tcPr>
            <w:tcW w:w="2740" w:type="dxa"/>
            <w:vAlign w:val="bottom"/>
            <w:shd w:val="clear" w:color="auto" w:fill="023C5B"/>
          </w:tcPr>
          <w:p>
            <w:pPr>
              <w:spacing w:after="0"/>
              <w:rPr>
                <w:sz w:val="16"/>
                <w:szCs w:val="16"/>
                <w:color w:val="auto"/>
              </w:rPr>
            </w:pPr>
          </w:p>
        </w:tc>
        <w:tc>
          <w:tcPr>
            <w:tcW w:w="200" w:type="dxa"/>
            <w:vAlign w:val="bottom"/>
            <w:tcBorders>
              <w:right w:val="single" w:sz="8" w:color="023C5B"/>
            </w:tcBorders>
          </w:tcPr>
          <w:p>
            <w:pPr>
              <w:spacing w:after="0"/>
              <w:rPr>
                <w:sz w:val="16"/>
                <w:szCs w:val="16"/>
                <w:color w:val="auto"/>
              </w:rPr>
            </w:pPr>
          </w:p>
        </w:tc>
        <w:tc>
          <w:tcPr>
            <w:tcW w:w="88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Cash</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Settled</w:t>
            </w:r>
          </w:p>
        </w:tc>
        <w:tc>
          <w:tcPr>
            <w:tcW w:w="160" w:type="dxa"/>
            <w:vAlign w:val="bottom"/>
          </w:tcPr>
          <w:p>
            <w:pPr>
              <w:spacing w:after="0"/>
              <w:rPr>
                <w:sz w:val="16"/>
                <w:szCs w:val="16"/>
                <w:color w:val="auto"/>
              </w:rPr>
            </w:pPr>
          </w:p>
        </w:tc>
        <w:tc>
          <w:tcPr>
            <w:tcW w:w="1200" w:type="dxa"/>
            <w:vAlign w:val="bottom"/>
            <w:shd w:val="clear" w:color="auto" w:fill="023C5B"/>
          </w:tcPr>
          <w:p>
            <w:pPr>
              <w:ind w:left="60"/>
              <w:spacing w:after="0"/>
              <w:rPr>
                <w:sz w:val="20"/>
                <w:szCs w:val="20"/>
                <w:color w:val="auto"/>
              </w:rPr>
            </w:pPr>
            <w:r>
              <w:rPr>
                <w:rFonts w:ascii="Arial" w:cs="Arial" w:eastAsia="Arial" w:hAnsi="Arial"/>
                <w:sz w:val="16"/>
                <w:szCs w:val="16"/>
                <w:b w:val="1"/>
                <w:bCs w:val="1"/>
                <w:color w:val="FFFFFF"/>
              </w:rPr>
              <w:t>  Performance</w:t>
            </w:r>
          </w:p>
        </w:tc>
        <w:tc>
          <w:tcPr>
            <w:tcW w:w="160" w:type="dxa"/>
            <w:vAlign w:val="bottom"/>
          </w:tcPr>
          <w:p>
            <w:pPr>
              <w:spacing w:after="0"/>
              <w:rPr>
                <w:sz w:val="16"/>
                <w:szCs w:val="16"/>
                <w:color w:val="auto"/>
              </w:rPr>
            </w:pPr>
          </w:p>
        </w:tc>
        <w:tc>
          <w:tcPr>
            <w:tcW w:w="2320" w:type="dxa"/>
            <w:vAlign w:val="bottom"/>
            <w:shd w:val="clear" w:color="auto" w:fill="023C5B"/>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260" w:type="dxa"/>
            <w:vAlign w:val="bottom"/>
            <w:shd w:val="clear" w:color="auto" w:fill="023C5B"/>
          </w:tcPr>
          <w:p>
            <w:pPr>
              <w:ind w:left="460"/>
              <w:spacing w:after="0"/>
              <w:rPr>
                <w:sz w:val="20"/>
                <w:szCs w:val="20"/>
                <w:color w:val="auto"/>
              </w:rPr>
            </w:pPr>
            <w:r>
              <w:rPr>
                <w:rFonts w:ascii="Arial" w:cs="Arial" w:eastAsia="Arial" w:hAnsi="Arial"/>
                <w:sz w:val="16"/>
                <w:szCs w:val="16"/>
                <w:b w:val="1"/>
                <w:bCs w:val="1"/>
                <w:color w:val="FFFFFF"/>
              </w:rPr>
              <w:t>Year</w:t>
            </w:r>
          </w:p>
        </w:tc>
        <w:tc>
          <w:tcPr>
            <w:tcW w:w="160" w:type="dxa"/>
            <w:vAlign w:val="bottom"/>
          </w:tcPr>
          <w:p>
            <w:pPr>
              <w:spacing w:after="0"/>
              <w:rPr>
                <w:sz w:val="22"/>
                <w:szCs w:val="22"/>
                <w:color w:val="auto"/>
              </w:rPr>
            </w:pPr>
          </w:p>
        </w:tc>
        <w:tc>
          <w:tcPr>
            <w:tcW w:w="60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Salary</w:t>
            </w:r>
          </w:p>
        </w:tc>
        <w:tc>
          <w:tcPr>
            <w:tcW w:w="160" w:type="dxa"/>
            <w:vAlign w:val="bottom"/>
          </w:tcPr>
          <w:p>
            <w:pPr>
              <w:spacing w:after="0"/>
              <w:rPr>
                <w:sz w:val="22"/>
                <w:szCs w:val="22"/>
                <w:color w:val="auto"/>
              </w:rPr>
            </w:pPr>
          </w:p>
        </w:tc>
        <w:tc>
          <w:tcPr>
            <w:tcW w:w="2740" w:type="dxa"/>
            <w:vAlign w:val="bottom"/>
            <w:shd w:val="clear" w:color="auto" w:fill="023C5B"/>
          </w:tcPr>
          <w:p>
            <w:pPr>
              <w:jc w:val="center"/>
              <w:ind w:left="20"/>
              <w:spacing w:after="0"/>
              <w:rPr>
                <w:sz w:val="20"/>
                <w:szCs w:val="20"/>
                <w:color w:val="auto"/>
              </w:rPr>
            </w:pPr>
            <w:r>
              <w:rPr>
                <w:rFonts w:ascii="Arial" w:cs="Arial" w:eastAsia="Arial" w:hAnsi="Arial"/>
                <w:sz w:val="16"/>
                <w:szCs w:val="16"/>
                <w:b w:val="1"/>
                <w:bCs w:val="1"/>
                <w:color w:val="FFFFFF"/>
                <w:w w:val="99"/>
              </w:rPr>
              <w:t>Cash-Settled RSUs</w:t>
            </w:r>
          </w:p>
        </w:tc>
        <w:tc>
          <w:tcPr>
            <w:tcW w:w="200" w:type="dxa"/>
            <w:vAlign w:val="bottom"/>
            <w:tcBorders>
              <w:right w:val="single" w:sz="8" w:color="023C5B"/>
            </w:tcBorders>
          </w:tcPr>
          <w:p>
            <w:pPr>
              <w:spacing w:after="0"/>
              <w:rPr>
                <w:sz w:val="22"/>
                <w:szCs w:val="22"/>
                <w:color w:val="auto"/>
              </w:rPr>
            </w:pPr>
          </w:p>
        </w:tc>
        <w:tc>
          <w:tcPr>
            <w:tcW w:w="88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Bonus</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8"/>
              </w:rPr>
              <w:t>RSUs</w:t>
            </w:r>
          </w:p>
        </w:tc>
        <w:tc>
          <w:tcPr>
            <w:tcW w:w="160" w:type="dxa"/>
            <w:vAlign w:val="bottom"/>
          </w:tcPr>
          <w:p>
            <w:pPr>
              <w:spacing w:after="0"/>
              <w:rPr>
                <w:sz w:val="22"/>
                <w:szCs w:val="22"/>
                <w:color w:val="auto"/>
              </w:rPr>
            </w:pPr>
          </w:p>
        </w:tc>
        <w:tc>
          <w:tcPr>
            <w:tcW w:w="120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Shares</w:t>
            </w:r>
          </w:p>
        </w:tc>
        <w:tc>
          <w:tcPr>
            <w:tcW w:w="160" w:type="dxa"/>
            <w:vAlign w:val="bottom"/>
          </w:tcPr>
          <w:p>
            <w:pPr>
              <w:spacing w:after="0"/>
              <w:rPr>
                <w:sz w:val="22"/>
                <w:szCs w:val="22"/>
                <w:color w:val="auto"/>
              </w:rPr>
            </w:pPr>
          </w:p>
        </w:tc>
        <w:tc>
          <w:tcPr>
            <w:tcW w:w="2320" w:type="dxa"/>
            <w:vAlign w:val="bottom"/>
            <w:shd w:val="clear" w:color="auto" w:fill="023C5B"/>
          </w:tcPr>
          <w:p>
            <w:pPr>
              <w:jc w:val="center"/>
              <w:ind w:left="20"/>
              <w:spacing w:after="0"/>
              <w:rPr>
                <w:sz w:val="20"/>
                <w:szCs w:val="20"/>
                <w:color w:val="auto"/>
              </w:rPr>
            </w:pPr>
            <w:r>
              <w:rPr>
                <w:rFonts w:ascii="Arial" w:cs="Arial" w:eastAsia="Arial" w:hAnsi="Arial"/>
                <w:sz w:val="16"/>
                <w:szCs w:val="16"/>
                <w:b w:val="1"/>
                <w:bCs w:val="1"/>
                <w:color w:val="FFFFFF"/>
                <w:w w:val="99"/>
              </w:rPr>
              <w:t>Total</w:t>
            </w:r>
          </w:p>
        </w:tc>
        <w:tc>
          <w:tcPr>
            <w:tcW w:w="0" w:type="dxa"/>
            <w:vAlign w:val="bottom"/>
          </w:tcPr>
          <w:p>
            <w:pPr>
              <w:spacing w:after="0"/>
              <w:rPr>
                <w:sz w:val="1"/>
                <w:szCs w:val="1"/>
                <w:color w:val="auto"/>
              </w:rPr>
            </w:pPr>
          </w:p>
        </w:tc>
      </w:tr>
      <w:tr>
        <w:trPr>
          <w:trHeight w:val="281"/>
        </w:trPr>
        <w:tc>
          <w:tcPr>
            <w:tcW w:w="126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87"/>
              </w:rPr>
              <w:t>  2025</w:t>
            </w:r>
            <w:r>
              <w:rPr>
                <w:rFonts w:ascii="Arial" w:cs="Arial" w:eastAsia="Arial" w:hAnsi="Arial"/>
                <w:sz w:val="24"/>
                <w:szCs w:val="24"/>
                <w:color w:val="auto"/>
                <w:w w:val="87"/>
                <w:vertAlign w:val="superscript"/>
              </w:rPr>
              <w:t>(1)</w:t>
            </w:r>
          </w:p>
        </w:tc>
        <w:tc>
          <w:tcPr>
            <w:tcW w:w="160" w:type="dxa"/>
            <w:vAlign w:val="bottom"/>
          </w:tcPr>
          <w:p>
            <w:pPr>
              <w:spacing w:after="0"/>
              <w:rPr>
                <w:sz w:val="24"/>
                <w:szCs w:val="24"/>
                <w:color w:val="auto"/>
              </w:rPr>
            </w:pPr>
          </w:p>
        </w:tc>
        <w:tc>
          <w:tcPr>
            <w:tcW w:w="600" w:type="dxa"/>
            <w:vAlign w:val="bottom"/>
            <w:tcBorders>
              <w:bottom w:val="single" w:sz="8" w:color="023C5B"/>
            </w:tcBorders>
            <w:shd w:val="clear" w:color="auto" w:fill="E5EBEE"/>
          </w:tcPr>
          <w:p>
            <w:pPr>
              <w:jc w:val="cente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740" w:type="dxa"/>
            <w:vAlign w:val="bottom"/>
            <w:tcBorders>
              <w:bottom w:val="single" w:sz="8" w:color="023C5B"/>
            </w:tcBorders>
            <w:shd w:val="clear" w:color="auto" w:fill="E5EBEE"/>
          </w:tcPr>
          <w:p>
            <w:pPr>
              <w:jc w:val="center"/>
              <w:ind w:left="20"/>
              <w:spacing w:after="0"/>
              <w:rPr>
                <w:sz w:val="20"/>
                <w:szCs w:val="20"/>
                <w:color w:val="auto"/>
              </w:rPr>
            </w:pPr>
            <w:r>
              <w:rPr>
                <w:rFonts w:ascii="Arial" w:cs="Arial" w:eastAsia="Arial" w:hAnsi="Arial"/>
                <w:sz w:val="16"/>
                <w:szCs w:val="16"/>
                <w:color w:val="auto"/>
                <w:w w:val="99"/>
              </w:rPr>
              <w:t>$2,500,099</w:t>
            </w:r>
          </w:p>
        </w:tc>
        <w:tc>
          <w:tcPr>
            <w:tcW w:w="200" w:type="dxa"/>
            <w:vAlign w:val="bottom"/>
            <w:tcBorders>
              <w:right w:val="single" w:sz="8" w:color="E5EBEE"/>
            </w:tcBorders>
          </w:tcPr>
          <w:p>
            <w:pPr>
              <w:spacing w:after="0"/>
              <w:rPr>
                <w:sz w:val="24"/>
                <w:szCs w:val="24"/>
                <w:color w:val="auto"/>
              </w:rPr>
            </w:pPr>
          </w:p>
        </w:tc>
        <w:tc>
          <w:tcPr>
            <w:tcW w:w="880" w:type="dxa"/>
            <w:vAlign w:val="bottom"/>
            <w:tcBorders>
              <w:bottom w:val="single" w:sz="8" w:color="023C5B"/>
            </w:tcBorders>
            <w:shd w:val="clear" w:color="auto" w:fill="E5EBEE"/>
          </w:tcPr>
          <w:p>
            <w:pPr>
              <w:ind w:left="20"/>
              <w:spacing w:after="0"/>
              <w:rPr>
                <w:sz w:val="20"/>
                <w:szCs w:val="20"/>
                <w:color w:val="auto"/>
              </w:rPr>
            </w:pPr>
            <w:r>
              <w:rPr>
                <w:rFonts w:ascii="Arial" w:cs="Arial" w:eastAsia="Arial" w:hAnsi="Arial"/>
                <w:sz w:val="16"/>
                <w:szCs w:val="16"/>
                <w:color w:val="auto"/>
                <w:w w:val="97"/>
              </w:rPr>
              <w:t> </w:t>
            </w:r>
            <w:r>
              <w:rPr>
                <w:rFonts w:ascii="Arial" w:cs="Arial" w:eastAsia="Arial" w:hAnsi="Arial"/>
                <w:sz w:val="16"/>
                <w:szCs w:val="16"/>
                <w:color w:val="auto"/>
                <w:w w:val="97"/>
                <w:shd w:val="clear" w:color="auto" w:fill="E5EBEE"/>
              </w:rPr>
              <w:t>$6,700,000 </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023C5B"/>
            </w:tcBorders>
            <w:shd w:val="clear" w:color="auto" w:fill="E5EBEE"/>
          </w:tcPr>
          <w:p>
            <w:pPr>
              <w:ind w:left="60"/>
              <w:spacing w:after="0"/>
              <w:rPr>
                <w:sz w:val="20"/>
                <w:szCs w:val="20"/>
                <w:color w:val="auto"/>
              </w:rPr>
            </w:pPr>
            <w:r>
              <w:rPr>
                <w:rFonts w:ascii="Arial" w:cs="Arial" w:eastAsia="Arial" w:hAnsi="Arial"/>
                <w:sz w:val="16"/>
                <w:szCs w:val="16"/>
                <w:color w:val="auto"/>
                <w:w w:val="97"/>
              </w:rPr>
              <w:t> </w:t>
            </w:r>
            <w:r>
              <w:rPr>
                <w:rFonts w:ascii="Arial" w:cs="Arial" w:eastAsia="Arial" w:hAnsi="Arial"/>
                <w:sz w:val="16"/>
                <w:szCs w:val="16"/>
                <w:color w:val="auto"/>
                <w:w w:val="97"/>
                <w:shd w:val="clear" w:color="auto" w:fill="E5EBEE"/>
              </w:rPr>
              <w:t>$6,000,029 </w:t>
            </w:r>
          </w:p>
        </w:tc>
        <w:tc>
          <w:tcPr>
            <w:tcW w:w="160" w:type="dxa"/>
            <w:vAlign w:val="bottom"/>
          </w:tcPr>
          <w:p>
            <w:pPr>
              <w:spacing w:after="0"/>
              <w:rPr>
                <w:sz w:val="24"/>
                <w:szCs w:val="24"/>
                <w:color w:val="auto"/>
              </w:rPr>
            </w:pPr>
          </w:p>
        </w:tc>
        <w:tc>
          <w:tcPr>
            <w:tcW w:w="12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rPr>
              <w:t>$24,800,344</w:t>
            </w:r>
          </w:p>
        </w:tc>
        <w:tc>
          <w:tcPr>
            <w:tcW w:w="160" w:type="dxa"/>
            <w:vAlign w:val="bottom"/>
          </w:tcPr>
          <w:p>
            <w:pPr>
              <w:spacing w:after="0"/>
              <w:rPr>
                <w:sz w:val="24"/>
                <w:szCs w:val="24"/>
                <w:color w:val="auto"/>
              </w:rPr>
            </w:pPr>
          </w:p>
        </w:tc>
        <w:tc>
          <w:tcPr>
            <w:tcW w:w="2320" w:type="dxa"/>
            <w:vAlign w:val="bottom"/>
            <w:tcBorders>
              <w:bottom w:val="single" w:sz="8" w:color="023C5B"/>
            </w:tcBorders>
            <w:shd w:val="clear" w:color="auto" w:fill="E5EBEE"/>
          </w:tcPr>
          <w:p>
            <w:pPr>
              <w:jc w:val="center"/>
              <w:ind w:left="20"/>
              <w:spacing w:after="0"/>
              <w:rPr>
                <w:sz w:val="20"/>
                <w:szCs w:val="20"/>
                <w:color w:val="auto"/>
              </w:rPr>
            </w:pPr>
            <w:r>
              <w:rPr>
                <w:rFonts w:ascii="Arial" w:cs="Arial" w:eastAsia="Arial" w:hAnsi="Arial"/>
                <w:sz w:val="16"/>
                <w:szCs w:val="16"/>
                <w:color w:val="auto"/>
              </w:rPr>
              <w:t>$40,000,472</w:t>
            </w:r>
          </w:p>
        </w:tc>
        <w:tc>
          <w:tcPr>
            <w:tcW w:w="0" w:type="dxa"/>
            <w:vAlign w:val="bottom"/>
          </w:tcPr>
          <w:p>
            <w:pPr>
              <w:spacing w:after="0"/>
              <w:rPr>
                <w:sz w:val="1"/>
                <w:szCs w:val="1"/>
                <w:color w:val="auto"/>
              </w:rPr>
            </w:pPr>
          </w:p>
        </w:tc>
      </w:tr>
      <w:tr>
        <w:trPr>
          <w:trHeight w:val="326"/>
        </w:trPr>
        <w:tc>
          <w:tcPr>
            <w:tcW w:w="1260" w:type="dxa"/>
            <w:vAlign w:val="bottom"/>
          </w:tcPr>
          <w:p>
            <w:pPr>
              <w:jc w:val="center"/>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24"/>
                <w:szCs w:val="24"/>
                <w:color w:val="auto"/>
              </w:rPr>
            </w:pPr>
          </w:p>
        </w:tc>
        <w:tc>
          <w:tcPr>
            <w:tcW w:w="600" w:type="dxa"/>
            <w:vAlign w:val="bottom"/>
          </w:tcPr>
          <w:p>
            <w:pPr>
              <w:jc w:val="center"/>
              <w:ind w:left="20"/>
              <w:spacing w:after="0"/>
              <w:rPr>
                <w:sz w:val="20"/>
                <w:szCs w:val="20"/>
                <w:color w:val="auto"/>
              </w:rPr>
            </w:pPr>
            <w:r>
              <w:rPr>
                <w:rFonts w:ascii="Arial" w:cs="Arial" w:eastAsia="Arial" w:hAnsi="Arial"/>
                <w:sz w:val="16"/>
                <w:szCs w:val="16"/>
                <w:color w:val="auto"/>
              </w:rPr>
              <w:t>$—</w:t>
            </w:r>
          </w:p>
        </w:tc>
        <w:tc>
          <w:tcPr>
            <w:tcW w:w="2900" w:type="dxa"/>
            <w:vAlign w:val="bottom"/>
            <w:gridSpan w:val="2"/>
          </w:tcPr>
          <w:p>
            <w:pPr>
              <w:jc w:val="center"/>
              <w:ind w:left="180"/>
              <w:spacing w:after="0"/>
              <w:rPr>
                <w:sz w:val="20"/>
                <w:szCs w:val="20"/>
                <w:color w:val="auto"/>
              </w:rPr>
            </w:pPr>
            <w:r>
              <w:rPr>
                <w:rFonts w:ascii="Arial" w:cs="Arial" w:eastAsia="Arial" w:hAnsi="Arial"/>
                <w:sz w:val="16"/>
                <w:szCs w:val="16"/>
                <w:color w:val="auto"/>
                <w:w w:val="99"/>
              </w:rPr>
              <w:t>$2,500,125</w:t>
            </w: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color w:val="auto"/>
              </w:rPr>
              <w:t> $5,500,000 </w:t>
            </w:r>
          </w:p>
        </w:tc>
        <w:tc>
          <w:tcPr>
            <w:tcW w:w="12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color w:val="auto"/>
              </w:rPr>
              <w:t> $5,000,198 </w:t>
            </w:r>
          </w:p>
        </w:tc>
        <w:tc>
          <w:tcPr>
            <w:tcW w:w="1200" w:type="dxa"/>
            <w:vAlign w:val="bottom"/>
          </w:tcPr>
          <w:p>
            <w:pPr>
              <w:jc w:val="center"/>
              <w:spacing w:after="0"/>
              <w:rPr>
                <w:sz w:val="20"/>
                <w:szCs w:val="20"/>
                <w:color w:val="auto"/>
              </w:rPr>
            </w:pPr>
            <w:r>
              <w:rPr>
                <w:rFonts w:ascii="Arial" w:cs="Arial" w:eastAsia="Arial" w:hAnsi="Arial"/>
                <w:sz w:val="16"/>
                <w:szCs w:val="16"/>
                <w:color w:val="auto"/>
              </w:rPr>
              <w:t>$20,500,293</w:t>
            </w:r>
          </w:p>
        </w:tc>
        <w:tc>
          <w:tcPr>
            <w:tcW w:w="2480" w:type="dxa"/>
            <w:vAlign w:val="bottom"/>
            <w:gridSpan w:val="2"/>
          </w:tcPr>
          <w:p>
            <w:pPr>
              <w:jc w:val="center"/>
              <w:ind w:left="180"/>
              <w:spacing w:after="0"/>
              <w:rPr>
                <w:sz w:val="20"/>
                <w:szCs w:val="20"/>
                <w:color w:val="auto"/>
              </w:rPr>
            </w:pPr>
            <w:r>
              <w:rPr>
                <w:rFonts w:ascii="Arial" w:cs="Arial" w:eastAsia="Arial" w:hAnsi="Arial"/>
                <w:sz w:val="16"/>
                <w:szCs w:val="16"/>
                <w:color w:val="auto"/>
              </w:rPr>
              <w:t>$33,500,616</w:t>
            </w:r>
          </w:p>
        </w:tc>
        <w:tc>
          <w:tcPr>
            <w:tcW w:w="0" w:type="dxa"/>
            <w:vAlign w:val="bottom"/>
          </w:tcPr>
          <w:p>
            <w:pPr>
              <w:spacing w:after="0"/>
              <w:rPr>
                <w:sz w:val="1"/>
                <w:szCs w:val="1"/>
                <w:color w:val="auto"/>
              </w:rPr>
            </w:pPr>
          </w:p>
        </w:tc>
      </w:tr>
      <w:tr>
        <w:trPr>
          <w:trHeight w:val="261"/>
        </w:trPr>
        <w:tc>
          <w:tcPr>
            <w:tcW w:w="1260" w:type="dxa"/>
            <w:vAlign w:val="bottom"/>
            <w:tcBorders>
              <w:top w:val="single" w:sz="8" w:color="023C5B"/>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2"/>
                <w:szCs w:val="22"/>
                <w:color w:val="auto"/>
              </w:rPr>
            </w:pPr>
          </w:p>
        </w:tc>
        <w:tc>
          <w:tcPr>
            <w:tcW w:w="600" w:type="dxa"/>
            <w:vAlign w:val="bottom"/>
            <w:tcBorders>
              <w:top w:val="single" w:sz="8" w:color="023C5B"/>
              <w:bottom w:val="single" w:sz="8" w:color="023C5B"/>
            </w:tcBorders>
            <w:shd w:val="clear" w:color="auto" w:fill="E5EBEE"/>
          </w:tcPr>
          <w:p>
            <w:pPr>
              <w:jc w:val="cente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2740" w:type="dxa"/>
            <w:vAlign w:val="bottom"/>
            <w:tcBorders>
              <w:top w:val="single" w:sz="8" w:color="023C5B"/>
              <w:bottom w:val="single" w:sz="8" w:color="023C5B"/>
            </w:tcBorders>
            <w:shd w:val="clear" w:color="auto" w:fill="E5EBEE"/>
          </w:tcPr>
          <w:p>
            <w:pPr>
              <w:jc w:val="center"/>
              <w:ind w:left="20"/>
              <w:spacing w:after="0"/>
              <w:rPr>
                <w:sz w:val="20"/>
                <w:szCs w:val="20"/>
                <w:color w:val="auto"/>
              </w:rPr>
            </w:pPr>
            <w:r>
              <w:rPr>
                <w:rFonts w:ascii="Arial" w:cs="Arial" w:eastAsia="Arial" w:hAnsi="Arial"/>
                <w:sz w:val="16"/>
                <w:szCs w:val="16"/>
                <w:color w:val="auto"/>
                <w:w w:val="99"/>
              </w:rPr>
              <w:t>$2,500,032</w:t>
            </w:r>
          </w:p>
        </w:tc>
        <w:tc>
          <w:tcPr>
            <w:tcW w:w="200" w:type="dxa"/>
            <w:vAlign w:val="bottom"/>
            <w:tcBorders>
              <w:right w:val="single" w:sz="8" w:color="E5EBEE"/>
            </w:tcBorders>
          </w:tcPr>
          <w:p>
            <w:pPr>
              <w:spacing w:after="0"/>
              <w:rPr>
                <w:sz w:val="22"/>
                <w:szCs w:val="22"/>
                <w:color w:val="auto"/>
              </w:rPr>
            </w:pPr>
          </w:p>
        </w:tc>
        <w:tc>
          <w:tcPr>
            <w:tcW w:w="880" w:type="dxa"/>
            <w:vAlign w:val="bottom"/>
            <w:tcBorders>
              <w:top w:val="single" w:sz="8" w:color="023C5B"/>
              <w:bottom w:val="single" w:sz="8" w:color="023C5B"/>
            </w:tcBorders>
            <w:shd w:val="clear" w:color="auto" w:fill="E5EBEE"/>
          </w:tcPr>
          <w:p>
            <w:pPr>
              <w:ind w:left="20"/>
              <w:spacing w:after="0"/>
              <w:rPr>
                <w:sz w:val="20"/>
                <w:szCs w:val="20"/>
                <w:color w:val="auto"/>
              </w:rPr>
            </w:pPr>
            <w:r>
              <w:rPr>
                <w:rFonts w:ascii="Arial" w:cs="Arial" w:eastAsia="Arial" w:hAnsi="Arial"/>
                <w:sz w:val="16"/>
                <w:szCs w:val="16"/>
                <w:color w:val="auto"/>
                <w:w w:val="97"/>
              </w:rPr>
              <w:t> </w:t>
            </w:r>
            <w:r>
              <w:rPr>
                <w:rFonts w:ascii="Arial" w:cs="Arial" w:eastAsia="Arial" w:hAnsi="Arial"/>
                <w:sz w:val="16"/>
                <w:szCs w:val="16"/>
                <w:color w:val="auto"/>
                <w:w w:val="97"/>
                <w:shd w:val="clear" w:color="auto" w:fill="E5EBEE"/>
              </w:rPr>
              <w:t>$5,000,000 </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023C5B"/>
              <w:bottom w:val="single" w:sz="8" w:color="023C5B"/>
            </w:tcBorders>
            <w:shd w:val="clear" w:color="auto" w:fill="E5EBEE"/>
          </w:tcPr>
          <w:p>
            <w:pPr>
              <w:ind w:left="60"/>
              <w:spacing w:after="0"/>
              <w:rPr>
                <w:sz w:val="20"/>
                <w:szCs w:val="20"/>
                <w:color w:val="auto"/>
              </w:rPr>
            </w:pPr>
            <w:r>
              <w:rPr>
                <w:rFonts w:ascii="Arial" w:cs="Arial" w:eastAsia="Arial" w:hAnsi="Arial"/>
                <w:sz w:val="16"/>
                <w:szCs w:val="16"/>
                <w:color w:val="auto"/>
                <w:w w:val="97"/>
              </w:rPr>
              <w:t> </w:t>
            </w:r>
            <w:r>
              <w:rPr>
                <w:rFonts w:ascii="Arial" w:cs="Arial" w:eastAsia="Arial" w:hAnsi="Arial"/>
                <w:sz w:val="16"/>
                <w:szCs w:val="16"/>
                <w:color w:val="auto"/>
                <w:w w:val="97"/>
                <w:shd w:val="clear" w:color="auto" w:fill="E5EBEE"/>
              </w:rPr>
              <w:t>$4,700,046 </w:t>
            </w:r>
          </w:p>
        </w:tc>
        <w:tc>
          <w:tcPr>
            <w:tcW w:w="160" w:type="dxa"/>
            <w:vAlign w:val="bottom"/>
          </w:tcPr>
          <w:p>
            <w:pPr>
              <w:spacing w:after="0"/>
              <w:rPr>
                <w:sz w:val="22"/>
                <w:szCs w:val="22"/>
                <w:color w:val="auto"/>
              </w:rPr>
            </w:pPr>
          </w:p>
        </w:tc>
        <w:tc>
          <w:tcPr>
            <w:tcW w:w="1200" w:type="dxa"/>
            <w:vAlign w:val="bottom"/>
            <w:tcBorders>
              <w:top w:val="single" w:sz="8" w:color="023C5B"/>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rPr>
              <w:t>$16,800,085</w:t>
            </w:r>
          </w:p>
        </w:tc>
        <w:tc>
          <w:tcPr>
            <w:tcW w:w="160" w:type="dxa"/>
            <w:vAlign w:val="bottom"/>
          </w:tcPr>
          <w:p>
            <w:pPr>
              <w:spacing w:after="0"/>
              <w:rPr>
                <w:sz w:val="22"/>
                <w:szCs w:val="22"/>
                <w:color w:val="auto"/>
              </w:rPr>
            </w:pPr>
          </w:p>
        </w:tc>
        <w:tc>
          <w:tcPr>
            <w:tcW w:w="2320" w:type="dxa"/>
            <w:vAlign w:val="bottom"/>
            <w:tcBorders>
              <w:top w:val="single" w:sz="8" w:color="023C5B"/>
              <w:bottom w:val="single" w:sz="8" w:color="023C5B"/>
            </w:tcBorders>
            <w:shd w:val="clear" w:color="auto" w:fill="E5EBEE"/>
          </w:tcPr>
          <w:p>
            <w:pPr>
              <w:jc w:val="center"/>
              <w:ind w:left="20"/>
              <w:spacing w:after="0"/>
              <w:rPr>
                <w:sz w:val="20"/>
                <w:szCs w:val="20"/>
                <w:color w:val="auto"/>
              </w:rPr>
            </w:pPr>
            <w:r>
              <w:rPr>
                <w:rFonts w:ascii="Arial" w:cs="Arial" w:eastAsia="Arial" w:hAnsi="Arial"/>
                <w:sz w:val="16"/>
                <w:szCs w:val="16"/>
                <w:color w:val="auto"/>
              </w:rPr>
              <w:t>$29,000,163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-1061085</wp:posOffset>
            </wp:positionV>
            <wp:extent cx="213995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39950" cy="425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-585470</wp:posOffset>
            </wp:positionV>
            <wp:extent cx="69297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1" w:lineRule="exact"/>
        <w:rPr>
          <w:sz w:val="20"/>
          <w:szCs w:val="20"/>
          <w:color w:val="auto"/>
        </w:rPr>
      </w:pPr>
    </w:p>
    <w:p>
      <w:pPr>
        <w:ind w:left="600" w:hanging="433"/>
        <w:spacing w:after="0"/>
        <w:tabs>
          <w:tab w:leader="none" w:pos="6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Does not include the Discover-Related Special Award.</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Comparison to Summary Compensation Table Information</w:t>
      </w:r>
    </w:p>
    <w:p>
      <w:pPr>
        <w:spacing w:after="0" w:line="10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table above is presented to show how the Committee views Mr. Fairbank’s performance year compensation and to which year the compensation awards relate. This table differs substantially from the Summary Compensation Table beginning on page 98 and is therefore not a substitute for the information required in that table. Key differences between the Summary Compensation Table and the table above include:</w:t>
      </w:r>
    </w:p>
    <w:p>
      <w:pPr>
        <w:spacing w:after="0" w:line="205" w:lineRule="exact"/>
        <w:rPr>
          <w:sz w:val="20"/>
          <w:szCs w:val="20"/>
          <w:color w:val="auto"/>
        </w:rPr>
      </w:pPr>
    </w:p>
    <w:p>
      <w:pPr>
        <w:jc w:val="both"/>
        <w:ind w:left="1020" w:hanging="425"/>
        <w:spacing w:after="0" w:line="222" w:lineRule="auto"/>
        <w:tabs>
          <w:tab w:leader="none" w:pos="1020" w:val="left"/>
        </w:tabs>
        <w:numPr>
          <w:ilvl w:val="0"/>
          <w:numId w:val="8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table above reports equity-based awards as compensation for the performance year for which they were awarded, even if the award was granted in one year based on performance for the prior year. The Summary Compensation Table reports equity-based awards in the year in which they were granted. As a result, the performance share awards and cash-settled RSUs granted to Mr. Fairbank in February 2026 for the 2025 performance year, for example, are shown in the table above as 2025 compensation but are not included in the Summary Compensation Table.</w:t>
      </w:r>
    </w:p>
    <w:p>
      <w:pPr>
        <w:spacing w:after="0" w:line="209" w:lineRule="exact"/>
        <w:rPr>
          <w:rFonts w:ascii="MS PGothic" w:cs="MS PGothic" w:eastAsia="MS PGothic" w:hAnsi="MS PGothic"/>
          <w:sz w:val="29"/>
          <w:szCs w:val="29"/>
          <w:color w:val="023C5B"/>
          <w:vertAlign w:val="superscript"/>
        </w:rPr>
      </w:pPr>
    </w:p>
    <w:p>
      <w:pPr>
        <w:jc w:val="both"/>
        <w:ind w:left="1020" w:hanging="425"/>
        <w:spacing w:after="0" w:line="217" w:lineRule="auto"/>
        <w:tabs>
          <w:tab w:leader="none" w:pos="1020" w:val="left"/>
        </w:tabs>
        <w:numPr>
          <w:ilvl w:val="0"/>
          <w:numId w:val="8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Summary Compensation Table reports the change in pension value and non-qualified deferred compensation earnings, and all other compensation. These amounts generally are not a result of current-year compensation determinations and are not shown above.</w:t>
      </w:r>
    </w:p>
    <w:p>
      <w:pPr>
        <w:spacing w:after="0" w:line="206"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8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Summary Compensation Table includes Mr. Fairbank’s Discover-Related Special Award, which was not part of his performance year compensation, and is not included above.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Settlement of Performance Shares Granted in January 2023</w:t>
      </w:r>
    </w:p>
    <w:p>
      <w:pPr>
        <w:spacing w:after="0" w:line="103"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023C5B"/>
        </w:rPr>
        <w:t>Financial Performance Shares</w:t>
      </w:r>
    </w:p>
    <w:p>
      <w:pPr>
        <w:spacing w:after="0" w:line="206"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In January 2023 the Committee and the Independent Directors granted the NEOs Financial Performance Shares for the 2022 performance year, under which the NEOs could receive at vesting in 2026 between 0% to 150% of a target number of shares of the Company’s common stock based on the Company’s financial performance between January 1, 2023 and December 31, 2025 (“2023 Financial Performance Shares”). Each year, the Committee and the Independent Directors assess the Company’s relative performance based on the applicable performance share award metrics relative to the Performance Share Peers over the three-year performance period, and where</w:t>
      </w:r>
    </w:p>
    <w:p>
      <w:pPr>
        <w:spacing w:after="0" w:line="114"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appropriate, apply a performance share reduction based on the Company’s absolute performance. See “Performance Share Award Formula” on page 71 for a description of the formulas for the two metrics (PSU Adjusted ROTCE and D+TBV/Sh) applicable to the 2023 Financial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154940</wp:posOffset>
            </wp:positionV>
            <wp:extent cx="3651885" cy="12655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651885" cy="1265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Based on the Committee and the Independent Directors’ assessment of the Company’s relative and absolute performance over the three-year performance period, the 2023 Financial Performance Shares settled at 60% of their target value. The 2023 Financial Performance Shares vest two-thirds on the basis of D+TBV/Sh, and one-third on the basis of PSU Adjusted ROTCE. The Company performed at the 35th percentile relative to the KBW Index with respect to D+TBV/Sh and at the 35th percentile relative to the KBW Index with respect to PSU Adjusted ROTCE. In determining this final vesting for the 2023 Financial Performance Shares, the Committee and the Independent Directors considered the one-time impacts of the closing of the Discover Transaction on the Company’s reported financial results and determined it was appropriate to make an adjustment to the determination of the Company’s PSU Adjusted ROTCE and D+TBV/Sh to prevent dilution of the benefits intended to be made available under the 2004 Stock Incentive Plan and the 2023 Financial Performance Shares.</w:t>
      </w:r>
    </w:p>
    <w:p>
      <w:pPr>
        <w:spacing w:after="0" w:line="180" w:lineRule="exact"/>
        <w:rPr>
          <w:sz w:val="20"/>
          <w:szCs w:val="20"/>
          <w:color w:val="auto"/>
        </w:rPr>
      </w:pPr>
    </w:p>
    <w:p>
      <w:pPr>
        <w:jc w:val="both"/>
        <w:ind w:left="160"/>
        <w:spacing w:after="0" w:line="257" w:lineRule="auto"/>
        <w:rPr>
          <w:sz w:val="20"/>
          <w:szCs w:val="20"/>
          <w:color w:val="auto"/>
        </w:rPr>
      </w:pPr>
      <w:r>
        <w:rPr>
          <w:rFonts w:ascii="Arial" w:cs="Arial" w:eastAsia="Arial" w:hAnsi="Arial"/>
          <w:sz w:val="17"/>
          <w:szCs w:val="17"/>
          <w:color w:val="auto"/>
        </w:rPr>
        <w:t>The Company achieved positive PSU Adjusted ROTCE for each of the three years of the performance period such that the 2023 Financial Performance Shares settled without a performance share reduction. See “Absolute Performance Measure (Performance Share Reduction)</w:t>
      </w:r>
    </w:p>
    <w:p>
      <w:pPr>
        <w:spacing w:after="0" w:line="1" w:lineRule="exact"/>
        <w:rPr>
          <w:sz w:val="20"/>
          <w:szCs w:val="20"/>
          <w:color w:val="auto"/>
        </w:rPr>
      </w:pPr>
    </w:p>
    <w:p>
      <w:pPr>
        <w:ind w:left="160"/>
        <w:spacing w:after="0" w:line="244" w:lineRule="auto"/>
        <w:rPr>
          <w:sz w:val="20"/>
          <w:szCs w:val="20"/>
          <w:color w:val="auto"/>
        </w:rPr>
      </w:pPr>
      <w:r>
        <w:rPr>
          <w:rFonts w:ascii="Arial" w:cs="Arial" w:eastAsia="Arial" w:hAnsi="Arial"/>
          <w:sz w:val="18"/>
          <w:szCs w:val="18"/>
          <w:color w:val="auto"/>
        </w:rPr>
        <w:t>— Financial Performance Shares” on page 72 for more information regarding the performance share reduction feature applicable to the 2023 Financial Performance Shares.</w:t>
      </w:r>
    </w:p>
    <w:p>
      <w:pPr>
        <w:spacing w:after="0" w:line="178"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023C5B"/>
        </w:rPr>
        <w:t>TSR Performance Shares</w:t>
      </w:r>
    </w:p>
    <w:p>
      <w:pPr>
        <w:spacing w:after="0" w:line="206" w:lineRule="exact"/>
        <w:rPr>
          <w:sz w:val="20"/>
          <w:szCs w:val="20"/>
          <w:color w:val="auto"/>
        </w:rPr>
      </w:pPr>
    </w:p>
    <w:p>
      <w:pPr>
        <w:jc w:val="both"/>
        <w:ind w:left="160"/>
        <w:spacing w:after="0" w:line="258" w:lineRule="auto"/>
        <w:rPr>
          <w:sz w:val="20"/>
          <w:szCs w:val="20"/>
          <w:color w:val="auto"/>
        </w:rPr>
      </w:pPr>
      <w:r>
        <w:rPr>
          <w:rFonts w:ascii="Arial" w:cs="Arial" w:eastAsia="Arial" w:hAnsi="Arial"/>
          <w:sz w:val="17"/>
          <w:szCs w:val="17"/>
          <w:color w:val="auto"/>
        </w:rPr>
        <w:t>In January 2023, the Committee and the Independent Directors granted the CEO TSR Performance Shares under which the CEO could receive in 2026 between 0% and 150% of a target number of shares of the Company’s common stock based on the Company’s relative TSR between January 1, 2023 and December 31, 2025 (“2023 TSR Performance Shares”). The Committee and the Independent Directors assess the Company’s TSR relative to the Performance Share Peers over the three-year performance period. See “Performance Share Award Formula” on page 71 for a description of the performance share award formula applicable to the 2023 TSR Performance Shares.</w:t>
      </w:r>
    </w:p>
    <w:p>
      <w:pPr>
        <w:spacing w:after="0" w:line="16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Based on the Committee and the Independent Directors’ assessment of the Company’s relative performance over the three-year performance period, the 2023 TSR Performance Shares settled at 150% of their target value. The entire TSR Performance Share award vested based on the Company’s relative TSR, which was at the 95th percentile relative to the KBW Index.</w:t>
      </w:r>
    </w:p>
    <w:p>
      <w:pPr>
        <w:spacing w:after="0" w:line="97"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Additional Pay Elements</w:t>
      </w:r>
    </w:p>
    <w:p>
      <w:pPr>
        <w:spacing w:after="0" w:line="221" w:lineRule="exact"/>
        <w:rPr>
          <w:sz w:val="20"/>
          <w:szCs w:val="20"/>
          <w:color w:val="auto"/>
        </w:rPr>
      </w:pPr>
    </w:p>
    <w:p>
      <w:pPr>
        <w:jc w:val="both"/>
        <w:ind w:left="160" w:right="20"/>
        <w:spacing w:after="0" w:line="249" w:lineRule="auto"/>
        <w:rPr>
          <w:sz w:val="20"/>
          <w:szCs w:val="20"/>
          <w:color w:val="auto"/>
        </w:rPr>
      </w:pPr>
      <w:r>
        <w:rPr>
          <w:rFonts w:ascii="Arial" w:cs="Arial" w:eastAsia="Arial" w:hAnsi="Arial"/>
          <w:sz w:val="18"/>
          <w:szCs w:val="18"/>
          <w:color w:val="auto"/>
        </w:rPr>
        <w:t>As part of the CEO compensation program, the Committee and the Independent Directors also approved certain other programs intended to support Mr. Fairbank’s productivity, well-being, and security. These programs provide some level of personal benefit and are not generally available to all associates. For 2025, these programs included the following:</w:t>
      </w:r>
    </w:p>
    <w:p>
      <w:pPr>
        <w:spacing w:after="0" w:line="144" w:lineRule="exact"/>
        <w:rPr>
          <w:sz w:val="20"/>
          <w:szCs w:val="20"/>
          <w:color w:val="auto"/>
        </w:rPr>
      </w:pPr>
    </w:p>
    <w:p>
      <w:pPr>
        <w:ind w:left="1020" w:hanging="425"/>
        <w:spacing w:after="0"/>
        <w:tabs>
          <w:tab w:leader="none" w:pos="1020" w:val="left"/>
        </w:tabs>
        <w:numPr>
          <w:ilvl w:val="0"/>
          <w:numId w:val="89"/>
        </w:numPr>
        <w:rPr>
          <w:rFonts w:ascii="MS PGothic" w:cs="MS PGothic" w:eastAsia="MS PGothic" w:hAnsi="MS PGothic"/>
          <w:sz w:val="29"/>
          <w:szCs w:val="29"/>
          <w:color w:val="023C5B"/>
          <w:vertAlign w:val="superscript"/>
        </w:rPr>
      </w:pPr>
      <w:r>
        <w:rPr>
          <w:rFonts w:ascii="Arial" w:cs="Arial" w:eastAsia="Arial" w:hAnsi="Arial"/>
          <w:sz w:val="18"/>
          <w:szCs w:val="18"/>
          <w:color w:val="auto"/>
        </w:rPr>
        <w:t>Executive term life insurance with a benefit level of $5 million</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89"/>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ability to participate in a comprehensive voluntary annual health screening</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89"/>
        </w:numPr>
        <w:rPr>
          <w:rFonts w:ascii="MS PGothic" w:cs="MS PGothic" w:eastAsia="MS PGothic" w:hAnsi="MS PGothic"/>
          <w:sz w:val="29"/>
          <w:szCs w:val="29"/>
          <w:color w:val="023C5B"/>
          <w:vertAlign w:val="superscript"/>
        </w:rPr>
      </w:pPr>
      <w:r>
        <w:rPr>
          <w:rFonts w:ascii="Arial" w:cs="Arial" w:eastAsia="Arial" w:hAnsi="Arial"/>
          <w:sz w:val="18"/>
          <w:szCs w:val="18"/>
          <w:color w:val="auto"/>
        </w:rPr>
        <w:t>Maintenance for Mr. Fairbank’s home office</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89"/>
        </w:numPr>
        <w:rPr>
          <w:rFonts w:ascii="MS PGothic" w:cs="MS PGothic" w:eastAsia="MS PGothic" w:hAnsi="MS PGothic"/>
          <w:sz w:val="29"/>
          <w:szCs w:val="29"/>
          <w:color w:val="023C5B"/>
          <w:vertAlign w:val="superscript"/>
        </w:rPr>
      </w:pPr>
      <w:r>
        <w:rPr>
          <w:rFonts w:ascii="Arial" w:cs="Arial" w:eastAsia="Arial" w:hAnsi="Arial"/>
          <w:sz w:val="18"/>
          <w:szCs w:val="18"/>
          <w:color w:val="auto"/>
        </w:rPr>
        <w:t>Security services</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89"/>
        </w:numPr>
        <w:rPr>
          <w:rFonts w:ascii="MS PGothic" w:cs="MS PGothic" w:eastAsia="MS PGothic" w:hAnsi="MS PGothic"/>
          <w:sz w:val="29"/>
          <w:szCs w:val="29"/>
          <w:color w:val="023C5B"/>
          <w:vertAlign w:val="superscript"/>
        </w:rPr>
      </w:pPr>
      <w:r>
        <w:rPr>
          <w:rFonts w:ascii="Arial" w:cs="Arial" w:eastAsia="Arial" w:hAnsi="Arial"/>
          <w:sz w:val="18"/>
          <w:szCs w:val="18"/>
          <w:color w:val="auto"/>
        </w:rPr>
        <w:t>Personal use of the corporate aircraft services</w:t>
      </w:r>
    </w:p>
    <w:p>
      <w:pPr>
        <w:spacing w:after="0" w:line="180" w:lineRule="exact"/>
        <w:rPr>
          <w:sz w:val="20"/>
          <w:szCs w:val="20"/>
          <w:color w:val="auto"/>
        </w:rPr>
      </w:pPr>
    </w:p>
    <w:p>
      <w:pPr>
        <w:jc w:val="both"/>
        <w:ind w:left="160"/>
        <w:spacing w:after="0" w:line="248" w:lineRule="auto"/>
        <w:rPr>
          <w:sz w:val="20"/>
          <w:szCs w:val="20"/>
          <w:color w:val="auto"/>
        </w:rPr>
      </w:pPr>
      <w:r>
        <w:rPr>
          <w:rFonts w:ascii="Arial" w:cs="Arial" w:eastAsia="Arial" w:hAnsi="Arial"/>
          <w:sz w:val="18"/>
          <w:szCs w:val="18"/>
          <w:color w:val="auto"/>
        </w:rPr>
        <w:t>The Committee has determined that the nature and value of these programs are comparable to those offered to similarly situated executives at our peers. Additional details on these programs can be found in Section VII - Named Executive Officer Compensation beginning on page 98.</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NEO Compensation</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this section, “NEO Compensation,” the term “NEO” refers to the NEOs other than the CEO.</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2025 NEO Compensation Program and Components</w:t>
      </w:r>
    </w:p>
    <w:p>
      <w:pPr>
        <w:spacing w:after="0" w:line="221"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Committee annually reviews and approves the form, timing, and amount of compensation for all of our executive officers, including those who are ultimately reported as NEOs, and makes recommendations to the Independent Directors for final approval. The Committee takes into account each NEO’s historical performance, individual roles and responsibilities, contributions expected from each NEO in the future as well as the recommendations of the CEO, including his assessment of each NEO’s performance. In February 2025, the Committee and the Independent Directors approved the 2025 compensation program, which is designed to be consistent with the Company’s pay-for-performance philosophy.</w:t>
      </w:r>
    </w:p>
    <w:p>
      <w:pPr>
        <w:spacing w:after="0" w:line="18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Based on market practices and trends, a review of peer comparator information and in response to stockholder feedback, NEO total target compensation is composed of 20% base salary, 25% cash incentive opportunity, and 55% long-term incentive opportunity, which will consist of performance shares and stock-settled RSUs as determined by the Committee. The Committee believes that this pay mix balances stockholder interests while effectively rewarding and motivating key talent.</w:t>
      </w:r>
    </w:p>
    <w:p>
      <w:pPr>
        <w:spacing w:after="0" w:line="178" w:lineRule="exact"/>
        <w:rPr>
          <w:sz w:val="20"/>
          <w:szCs w:val="20"/>
          <w:color w:val="auto"/>
        </w:rPr>
      </w:pPr>
    </w:p>
    <w:p>
      <w:pPr>
        <w:jc w:val="both"/>
        <w:ind w:left="160"/>
        <w:spacing w:after="0" w:line="253" w:lineRule="auto"/>
        <w:rPr>
          <w:sz w:val="20"/>
          <w:szCs w:val="20"/>
          <w:color w:val="auto"/>
        </w:rPr>
      </w:pPr>
      <w:r>
        <w:rPr>
          <w:rFonts w:ascii="Arial" w:cs="Arial" w:eastAsia="Arial" w:hAnsi="Arial"/>
          <w:sz w:val="17"/>
          <w:szCs w:val="17"/>
          <w:color w:val="auto"/>
        </w:rPr>
        <w:t>For the 2025 performance year, the NEOs received a mix of approximately 50% cash and 50% equity-based compensation as follows: cash salary, determined at the beginning of the performance year; and a cash incentive and long-term incentive awards, determined following the end of the performance year based on the Committee’s evaluation of Company and individual performance during the past year. The long-term incentive awards granted for the 2025 performance year consisted of performance shares (approximately 27% of total awarded compensation) and stock-settled RSUs (approximately 23% of total awarded compensation). All of the equity awards vest over a three-year period. The terms of the performance share awards are substantially similar to the terms of the Financial Performance Share awards granted to our CEO for 2025, as described earlier under “Performance Share Awards” beginning on page 69. The table below summarizes the NEO compensation program that the Committee and the Independent Directors approved for the 2025 performance year.</w:t>
      </w:r>
    </w:p>
    <w:p>
      <w:pPr>
        <w:spacing w:after="0" w:line="103"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right="20"/>
        <w:spacing w:after="0" w:line="249" w:lineRule="auto"/>
        <w:rPr>
          <w:sz w:val="20"/>
          <w:szCs w:val="20"/>
          <w:color w:val="auto"/>
        </w:rPr>
      </w:pPr>
      <w:r>
        <w:rPr>
          <w:rFonts w:ascii="Arial" w:cs="Arial" w:eastAsia="Arial" w:hAnsi="Arial"/>
          <w:sz w:val="18"/>
          <w:szCs w:val="18"/>
          <w:color w:val="auto"/>
        </w:rPr>
        <w:t>The total target compensation of the NEOs for the 2025 performance year was composed of base salary awarded at the beginning of the performance year and a year-end incentive opportunity that, if granted, may consist of equity awards in the form of performance shares and/or RSUs, and a cash incentive.</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summarizes the components of the NEO compensation program for the 2025 performance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152400</wp:posOffset>
            </wp:positionV>
            <wp:extent cx="8255" cy="4330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433070"/>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152400</wp:posOffset>
            </wp:positionV>
            <wp:extent cx="8255" cy="4330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43307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152400</wp:posOffset>
            </wp:positionV>
            <wp:extent cx="8255" cy="4330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433070"/>
                    </a:xfrm>
                    <a:prstGeom prst="rect">
                      <a:avLst/>
                    </a:prstGeom>
                    <a:noFill/>
                  </pic:spPr>
                </pic:pic>
              </a:graphicData>
            </a:graphic>
          </wp:anchor>
        </w:drawing>
        <w:drawing>
          <wp:anchor simplePos="0" relativeHeight="251657728" behindDoc="1" locked="0" layoutInCell="0" allowOverlap="1">
            <wp:simplePos x="0" y="0"/>
            <wp:positionH relativeFrom="column">
              <wp:posOffset>1558290</wp:posOffset>
            </wp:positionH>
            <wp:positionV relativeFrom="paragraph">
              <wp:posOffset>152400</wp:posOffset>
            </wp:positionV>
            <wp:extent cx="8255" cy="4330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433070"/>
                    </a:xfrm>
                    <a:prstGeom prst="rect">
                      <a:avLst/>
                    </a:prstGeom>
                    <a:noFill/>
                  </pic:spPr>
                </pic:pic>
              </a:graphicData>
            </a:graphic>
          </wp:anchor>
        </w:drawing>
      </w:r>
    </w:p>
    <w:p>
      <w:pPr>
        <w:spacing w:after="0" w:line="220" w:lineRule="exact"/>
        <w:rPr>
          <w:sz w:val="20"/>
          <w:szCs w:val="20"/>
          <w:color w:val="auto"/>
        </w:rPr>
      </w:pPr>
    </w:p>
    <w:tbl>
      <w:tblPr>
        <w:tblLayout w:type="fixed"/>
        <w:tblInd w:w="170" w:type="dxa"/>
        <w:tblCellMar>
          <w:top w:w="0" w:type="dxa"/>
          <w:left w:w="0" w:type="dxa"/>
          <w:bottom w:w="0" w:type="dxa"/>
          <w:right w:w="0" w:type="dxa"/>
        </w:tblCellMar>
      </w:tblPr>
      <w:tr>
        <w:trPr>
          <w:trHeight w:val="227"/>
        </w:trPr>
        <w:tc>
          <w:tcPr>
            <w:tcW w:w="2320" w:type="dxa"/>
            <w:vAlign w:val="bottom"/>
            <w:tcBorders>
              <w:left w:val="single" w:sz="8" w:color="023C5B"/>
              <w:right w:val="single" w:sz="8" w:color="023C5B"/>
            </w:tcBorders>
            <w:shd w:val="clear" w:color="auto" w:fill="023C5B"/>
          </w:tcPr>
          <w:p>
            <w:pPr>
              <w:spacing w:after="0"/>
              <w:rPr>
                <w:sz w:val="19"/>
                <w:szCs w:val="19"/>
                <w:color w:val="auto"/>
              </w:rPr>
            </w:pPr>
          </w:p>
        </w:tc>
        <w:tc>
          <w:tcPr>
            <w:tcW w:w="1740" w:type="dxa"/>
            <w:vAlign w:val="bottom"/>
            <w:tcBorders>
              <w:right w:val="single" w:sz="8" w:color="023C5B"/>
            </w:tcBorders>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Timing of</w:t>
            </w:r>
          </w:p>
        </w:tc>
        <w:tc>
          <w:tcPr>
            <w:tcW w:w="2280" w:type="dxa"/>
            <w:vAlign w:val="bottom"/>
            <w:tcBorders>
              <w:right w:val="single" w:sz="8" w:color="023C5B"/>
            </w:tcBorders>
            <w:shd w:val="clear" w:color="auto" w:fill="023C5B"/>
          </w:tcPr>
          <w:p>
            <w:pPr>
              <w:spacing w:after="0"/>
              <w:rPr>
                <w:sz w:val="19"/>
                <w:szCs w:val="19"/>
                <w:color w:val="auto"/>
              </w:rPr>
            </w:pPr>
          </w:p>
        </w:tc>
        <w:tc>
          <w:tcPr>
            <w:tcW w:w="2300" w:type="dxa"/>
            <w:vAlign w:val="bottom"/>
            <w:tcBorders>
              <w:right w:val="single" w:sz="8" w:color="023C5B"/>
            </w:tcBorders>
            <w:vMerge w:val="restart"/>
            <w:shd w:val="clear" w:color="auto" w:fill="023C5B"/>
          </w:tcPr>
          <w:p>
            <w:pPr>
              <w:ind w:left="900"/>
              <w:spacing w:after="0"/>
              <w:rPr>
                <w:sz w:val="20"/>
                <w:szCs w:val="20"/>
                <w:color w:val="auto"/>
              </w:rPr>
            </w:pPr>
            <w:r>
              <w:rPr>
                <w:rFonts w:ascii="Arial" w:cs="Arial" w:eastAsia="Arial" w:hAnsi="Arial"/>
                <w:sz w:val="16"/>
                <w:szCs w:val="16"/>
                <w:b w:val="1"/>
                <w:bCs w:val="1"/>
                <w:color w:val="FFFFFF"/>
              </w:rPr>
              <w:t>Vesting</w:t>
            </w:r>
          </w:p>
        </w:tc>
        <w:tc>
          <w:tcPr>
            <w:tcW w:w="280" w:type="dxa"/>
            <w:vAlign w:val="bottom"/>
            <w:shd w:val="clear" w:color="auto" w:fill="023C5B"/>
          </w:tcPr>
          <w:p>
            <w:pPr>
              <w:spacing w:after="0"/>
              <w:rPr>
                <w:sz w:val="19"/>
                <w:szCs w:val="19"/>
                <w:color w:val="auto"/>
              </w:rPr>
            </w:pPr>
          </w:p>
        </w:tc>
        <w:tc>
          <w:tcPr>
            <w:tcW w:w="2000" w:type="dxa"/>
            <w:vAlign w:val="bottom"/>
            <w:shd w:val="clear" w:color="auto" w:fill="023C5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20" w:type="dxa"/>
            <w:vAlign w:val="bottom"/>
            <w:tcBorders>
              <w:left w:val="single" w:sz="8" w:color="023C5B"/>
              <w:right w:val="single" w:sz="8" w:color="023C5B"/>
            </w:tcBorders>
            <w:shd w:val="clear" w:color="auto" w:fill="023C5B"/>
          </w:tcPr>
          <w:p>
            <w:pPr>
              <w:ind w:left="680"/>
              <w:spacing w:after="0" w:line="174" w:lineRule="exact"/>
              <w:rPr>
                <w:sz w:val="20"/>
                <w:szCs w:val="20"/>
                <w:color w:val="auto"/>
              </w:rPr>
            </w:pPr>
            <w:r>
              <w:rPr>
                <w:rFonts w:ascii="Arial" w:cs="Arial" w:eastAsia="Arial" w:hAnsi="Arial"/>
                <w:sz w:val="16"/>
                <w:szCs w:val="16"/>
                <w:b w:val="1"/>
                <w:bCs w:val="1"/>
                <w:color w:val="FFFFFF"/>
              </w:rPr>
              <w:t>Compensation</w:t>
            </w:r>
          </w:p>
        </w:tc>
        <w:tc>
          <w:tcPr>
            <w:tcW w:w="1740" w:type="dxa"/>
            <w:vAlign w:val="bottom"/>
            <w:tcBorders>
              <w:right w:val="single" w:sz="8" w:color="023C5B"/>
            </w:tcBorders>
            <w:shd w:val="clear" w:color="auto" w:fill="023C5B"/>
          </w:tcPr>
          <w:p>
            <w:pPr>
              <w:jc w:val="center"/>
              <w:spacing w:after="0" w:line="174" w:lineRule="exact"/>
              <w:rPr>
                <w:sz w:val="20"/>
                <w:szCs w:val="20"/>
                <w:color w:val="auto"/>
              </w:rPr>
            </w:pPr>
            <w:r>
              <w:rPr>
                <w:rFonts w:ascii="Arial" w:cs="Arial" w:eastAsia="Arial" w:hAnsi="Arial"/>
                <w:sz w:val="16"/>
                <w:szCs w:val="16"/>
                <w:b w:val="1"/>
                <w:bCs w:val="1"/>
                <w:color w:val="FFFFFF"/>
                <w:w w:val="98"/>
              </w:rPr>
              <w:t>Award</w:t>
            </w:r>
          </w:p>
        </w:tc>
        <w:tc>
          <w:tcPr>
            <w:tcW w:w="2280" w:type="dxa"/>
            <w:vAlign w:val="bottom"/>
            <w:tcBorders>
              <w:right w:val="single" w:sz="8" w:color="023C5B"/>
            </w:tcBorders>
            <w:shd w:val="clear" w:color="auto" w:fill="023C5B"/>
          </w:tcPr>
          <w:p>
            <w:pPr>
              <w:spacing w:after="0"/>
              <w:rPr>
                <w:sz w:val="15"/>
                <w:szCs w:val="15"/>
                <w:color w:val="auto"/>
              </w:rPr>
            </w:pPr>
          </w:p>
        </w:tc>
        <w:tc>
          <w:tcPr>
            <w:tcW w:w="2300" w:type="dxa"/>
            <w:vAlign w:val="bottom"/>
            <w:tcBorders>
              <w:right w:val="single" w:sz="8" w:color="023C5B"/>
            </w:tcBorders>
            <w:vMerge w:val="continue"/>
            <w:shd w:val="clear" w:color="auto" w:fill="023C5B"/>
          </w:tcPr>
          <w:p>
            <w:pPr>
              <w:spacing w:after="0"/>
              <w:rPr>
                <w:sz w:val="15"/>
                <w:szCs w:val="15"/>
                <w:color w:val="auto"/>
              </w:rPr>
            </w:pPr>
          </w:p>
        </w:tc>
        <w:tc>
          <w:tcPr>
            <w:tcW w:w="280" w:type="dxa"/>
            <w:vAlign w:val="bottom"/>
            <w:shd w:val="clear" w:color="auto" w:fill="023C5B"/>
          </w:tcPr>
          <w:p>
            <w:pPr>
              <w:spacing w:after="0"/>
              <w:rPr>
                <w:sz w:val="15"/>
                <w:szCs w:val="15"/>
                <w:color w:val="auto"/>
              </w:rPr>
            </w:pPr>
          </w:p>
        </w:tc>
        <w:tc>
          <w:tcPr>
            <w:tcW w:w="2000" w:type="dxa"/>
            <w:vAlign w:val="bottom"/>
            <w:shd w:val="clear" w:color="auto" w:fill="023C5B"/>
          </w:tcPr>
          <w:p>
            <w:pPr>
              <w:ind w:left="240"/>
              <w:spacing w:after="0" w:line="174" w:lineRule="exact"/>
              <w:rPr>
                <w:sz w:val="20"/>
                <w:szCs w:val="20"/>
                <w:color w:val="auto"/>
              </w:rPr>
            </w:pPr>
            <w:r>
              <w:rPr>
                <w:rFonts w:ascii="Arial" w:cs="Arial" w:eastAsia="Arial" w:hAnsi="Arial"/>
                <w:sz w:val="16"/>
                <w:szCs w:val="16"/>
                <w:b w:val="1"/>
                <w:bCs w:val="1"/>
                <w:color w:val="FFFFFF"/>
              </w:rPr>
              <w:t>Performance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320" w:type="dxa"/>
            <w:vAlign w:val="bottom"/>
            <w:tcBorders>
              <w:left w:val="single" w:sz="8" w:color="023C5B"/>
              <w:bottom w:val="single" w:sz="8" w:color="023C5B"/>
              <w:right w:val="single" w:sz="8" w:color="023C5B"/>
            </w:tcBorders>
            <w:shd w:val="clear" w:color="auto" w:fill="023C5B"/>
          </w:tcPr>
          <w:p>
            <w:pPr>
              <w:ind w:left="920"/>
              <w:spacing w:after="0"/>
              <w:rPr>
                <w:sz w:val="20"/>
                <w:szCs w:val="20"/>
                <w:color w:val="auto"/>
              </w:rPr>
            </w:pPr>
            <w:r>
              <w:rPr>
                <w:rFonts w:ascii="Arial" w:cs="Arial" w:eastAsia="Arial" w:hAnsi="Arial"/>
                <w:sz w:val="16"/>
                <w:szCs w:val="16"/>
                <w:b w:val="1"/>
                <w:bCs w:val="1"/>
                <w:color w:val="FFFFFF"/>
              </w:rPr>
              <w:t>Element</w:t>
            </w:r>
          </w:p>
        </w:tc>
        <w:tc>
          <w:tcPr>
            <w:tcW w:w="1740" w:type="dxa"/>
            <w:vAlign w:val="bottom"/>
            <w:tcBorders>
              <w:bottom w:val="single" w:sz="8" w:color="023C5B"/>
              <w:right w:val="single" w:sz="8" w:color="023C5B"/>
            </w:tcBorders>
            <w:shd w:val="clear" w:color="auto" w:fill="023C5B"/>
          </w:tcPr>
          <w:p>
            <w:pPr>
              <w:jc w:val="center"/>
              <w:spacing w:after="0"/>
              <w:rPr>
                <w:sz w:val="20"/>
                <w:szCs w:val="20"/>
                <w:color w:val="auto"/>
              </w:rPr>
            </w:pPr>
            <w:r>
              <w:rPr>
                <w:rFonts w:ascii="Arial" w:cs="Arial" w:eastAsia="Arial" w:hAnsi="Arial"/>
                <w:sz w:val="16"/>
                <w:szCs w:val="16"/>
                <w:b w:val="1"/>
                <w:bCs w:val="1"/>
                <w:color w:val="FFFFFF"/>
              </w:rPr>
              <w:t>Determination</w:t>
            </w:r>
          </w:p>
        </w:tc>
        <w:tc>
          <w:tcPr>
            <w:tcW w:w="2280" w:type="dxa"/>
            <w:vAlign w:val="bottom"/>
            <w:tcBorders>
              <w:bottom w:val="single" w:sz="8" w:color="023C5B"/>
              <w:right w:val="single" w:sz="8" w:color="023C5B"/>
            </w:tcBorders>
            <w:shd w:val="clear" w:color="auto" w:fill="023C5B"/>
          </w:tcPr>
          <w:p>
            <w:pPr>
              <w:ind w:left="560"/>
              <w:spacing w:after="0"/>
              <w:rPr>
                <w:sz w:val="20"/>
                <w:szCs w:val="20"/>
                <w:color w:val="auto"/>
              </w:rPr>
            </w:pPr>
            <w:r>
              <w:rPr>
                <w:rFonts w:ascii="Arial" w:cs="Arial" w:eastAsia="Arial" w:hAnsi="Arial"/>
                <w:sz w:val="16"/>
                <w:szCs w:val="16"/>
                <w:b w:val="1"/>
                <w:bCs w:val="1"/>
                <w:color w:val="FFFFFF"/>
              </w:rPr>
              <w:t>Basis for Award</w:t>
            </w:r>
          </w:p>
        </w:tc>
        <w:tc>
          <w:tcPr>
            <w:tcW w:w="2300" w:type="dxa"/>
            <w:vAlign w:val="bottom"/>
            <w:tcBorders>
              <w:bottom w:val="single" w:sz="8" w:color="023C5B"/>
              <w:right w:val="single" w:sz="8" w:color="023C5B"/>
            </w:tcBorders>
            <w:shd w:val="clear" w:color="auto" w:fill="023C5B"/>
          </w:tcPr>
          <w:p>
            <w:pPr>
              <w:ind w:left="840"/>
              <w:spacing w:after="0"/>
              <w:rPr>
                <w:sz w:val="20"/>
                <w:szCs w:val="20"/>
                <w:color w:val="auto"/>
              </w:rPr>
            </w:pPr>
            <w:r>
              <w:rPr>
                <w:rFonts w:ascii="Arial" w:cs="Arial" w:eastAsia="Arial" w:hAnsi="Arial"/>
                <w:sz w:val="16"/>
                <w:szCs w:val="16"/>
                <w:b w:val="1"/>
                <w:bCs w:val="1"/>
                <w:color w:val="FFFFFF"/>
              </w:rPr>
              <w:t>Schedule</w:t>
            </w:r>
          </w:p>
        </w:tc>
        <w:tc>
          <w:tcPr>
            <w:tcW w:w="280" w:type="dxa"/>
            <w:vAlign w:val="bottom"/>
            <w:tcBorders>
              <w:bottom w:val="single" w:sz="8" w:color="023C5B"/>
            </w:tcBorders>
            <w:shd w:val="clear" w:color="auto" w:fill="023C5B"/>
          </w:tcPr>
          <w:p>
            <w:pPr>
              <w:spacing w:after="0"/>
              <w:rPr>
                <w:sz w:val="24"/>
                <w:szCs w:val="24"/>
                <w:color w:val="auto"/>
              </w:rPr>
            </w:pPr>
          </w:p>
        </w:tc>
        <w:tc>
          <w:tcPr>
            <w:tcW w:w="2000" w:type="dxa"/>
            <w:vAlign w:val="bottom"/>
            <w:tcBorders>
              <w:bottom w:val="single" w:sz="8" w:color="023C5B"/>
            </w:tcBorders>
            <w:shd w:val="clear" w:color="auto" w:fill="023C5B"/>
          </w:tcPr>
          <w:p>
            <w:pPr>
              <w:ind w:left="100"/>
              <w:spacing w:after="0"/>
              <w:rPr>
                <w:sz w:val="20"/>
                <w:szCs w:val="20"/>
                <w:color w:val="auto"/>
              </w:rPr>
            </w:pPr>
            <w:r>
              <w:rPr>
                <w:rFonts w:ascii="Arial" w:cs="Arial" w:eastAsia="Arial" w:hAnsi="Arial"/>
                <w:sz w:val="16"/>
                <w:szCs w:val="16"/>
                <w:b w:val="1"/>
                <w:bCs w:val="1"/>
                <w:color w:val="FFFFFF"/>
              </w:rPr>
              <w:t>Recovery Provisions</w:t>
            </w:r>
          </w:p>
        </w:tc>
        <w:tc>
          <w:tcPr>
            <w:tcW w:w="20" w:type="dxa"/>
            <w:vAlign w:val="bottom"/>
            <w:tcBorders>
              <w:bottom w:val="single" w:sz="8" w:color="023C5B"/>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320" w:type="dxa"/>
            <w:vAlign w:val="bottom"/>
            <w:tcBorders>
              <w:left w:val="single" w:sz="8" w:color="023C5B"/>
              <w:right w:val="single" w:sz="8" w:color="023C5B"/>
            </w:tcBorders>
          </w:tcPr>
          <w:p>
            <w:pPr>
              <w:ind w:left="80"/>
              <w:spacing w:after="0"/>
              <w:rPr>
                <w:sz w:val="20"/>
                <w:szCs w:val="20"/>
                <w:color w:val="auto"/>
              </w:rPr>
            </w:pPr>
            <w:r>
              <w:rPr>
                <w:rFonts w:ascii="Arial" w:cs="Arial" w:eastAsia="Arial" w:hAnsi="Arial"/>
                <w:sz w:val="16"/>
                <w:szCs w:val="16"/>
                <w:b w:val="1"/>
                <w:bCs w:val="1"/>
                <w:color w:val="auto"/>
              </w:rPr>
              <w:t>  Base Salary</w:t>
            </w:r>
          </w:p>
        </w:tc>
        <w:tc>
          <w:tcPr>
            <w:tcW w:w="1740" w:type="dxa"/>
            <w:vAlign w:val="bottom"/>
            <w:tcBorders>
              <w:right w:val="single" w:sz="8" w:color="023C5B"/>
            </w:tcBorders>
          </w:tcPr>
          <w:p>
            <w:pPr>
              <w:ind w:left="80"/>
              <w:spacing w:after="0"/>
              <w:rPr>
                <w:sz w:val="20"/>
                <w:szCs w:val="20"/>
                <w:color w:val="auto"/>
              </w:rPr>
            </w:pPr>
            <w:r>
              <w:rPr>
                <w:rFonts w:ascii="Arial" w:cs="Arial" w:eastAsia="Arial" w:hAnsi="Arial"/>
                <w:sz w:val="16"/>
                <w:szCs w:val="16"/>
                <w:color w:val="auto"/>
              </w:rPr>
              <w:t>February 2025</w:t>
            </w:r>
          </w:p>
        </w:tc>
        <w:tc>
          <w:tcPr>
            <w:tcW w:w="2280" w:type="dxa"/>
            <w:vAlign w:val="bottom"/>
            <w:tcBorders>
              <w:right w:val="single" w:sz="8" w:color="023C5B"/>
            </w:tcBorders>
          </w:tcPr>
          <w:p>
            <w:pPr>
              <w:ind w:left="80"/>
              <w:spacing w:after="0"/>
              <w:rPr>
                <w:sz w:val="20"/>
                <w:szCs w:val="20"/>
                <w:color w:val="auto"/>
              </w:rPr>
            </w:pPr>
            <w:r>
              <w:rPr>
                <w:rFonts w:ascii="Arial" w:cs="Arial" w:eastAsia="Arial" w:hAnsi="Arial"/>
                <w:sz w:val="16"/>
                <w:szCs w:val="16"/>
                <w:color w:val="auto"/>
              </w:rPr>
              <w:t>Overall experience, skills,</w:t>
            </w:r>
          </w:p>
        </w:tc>
        <w:tc>
          <w:tcPr>
            <w:tcW w:w="23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Paid in cash throughout the</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Not applicable</w:t>
            </w:r>
          </w:p>
        </w:tc>
        <w:tc>
          <w:tcPr>
            <w:tcW w:w="20" w:type="dxa"/>
            <w:vAlign w:val="bottom"/>
            <w:shd w:val="clear" w:color="auto" w:fill="023C5B"/>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20" w:type="dxa"/>
            <w:vAlign w:val="bottom"/>
            <w:tcBorders>
              <w:left w:val="single" w:sz="8" w:color="023C5B"/>
              <w:right w:val="single" w:sz="8" w:color="023C5B"/>
            </w:tcBorders>
          </w:tcPr>
          <w:p>
            <w:pPr>
              <w:spacing w:after="0"/>
              <w:rPr>
                <w:sz w:val="16"/>
                <w:szCs w:val="16"/>
                <w:color w:val="auto"/>
              </w:rPr>
            </w:pPr>
          </w:p>
        </w:tc>
        <w:tc>
          <w:tcPr>
            <w:tcW w:w="1740" w:type="dxa"/>
            <w:vAlign w:val="bottom"/>
            <w:tcBorders>
              <w:right w:val="single" w:sz="8" w:color="023C5B"/>
            </w:tcBorders>
          </w:tcPr>
          <w:p>
            <w:pPr>
              <w:spacing w:after="0"/>
              <w:rPr>
                <w:sz w:val="16"/>
                <w:szCs w:val="16"/>
                <w:color w:val="auto"/>
              </w:rPr>
            </w:pPr>
          </w:p>
        </w:tc>
        <w:tc>
          <w:tcPr>
            <w:tcW w:w="2280" w:type="dxa"/>
            <w:vAlign w:val="bottom"/>
            <w:tcBorders>
              <w:right w:val="single" w:sz="8" w:color="023C5B"/>
            </w:tcBorders>
          </w:tcPr>
          <w:p>
            <w:pPr>
              <w:ind w:left="80"/>
              <w:spacing w:after="0"/>
              <w:rPr>
                <w:sz w:val="20"/>
                <w:szCs w:val="20"/>
                <w:color w:val="auto"/>
              </w:rPr>
            </w:pPr>
            <w:r>
              <w:rPr>
                <w:rFonts w:ascii="Arial" w:cs="Arial" w:eastAsia="Arial" w:hAnsi="Arial"/>
                <w:sz w:val="16"/>
                <w:szCs w:val="16"/>
                <w:color w:val="auto"/>
              </w:rPr>
              <w:t>performance, knowledge, and</w:t>
            </w:r>
          </w:p>
        </w:tc>
        <w:tc>
          <w:tcPr>
            <w:tcW w:w="23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performance year</w:t>
            </w: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320" w:type="dxa"/>
            <w:vAlign w:val="bottom"/>
            <w:tcBorders>
              <w:left w:val="single" w:sz="8" w:color="023C5B"/>
              <w:right w:val="single" w:sz="8" w:color="023C5B"/>
            </w:tcBorders>
          </w:tcPr>
          <w:p>
            <w:pPr>
              <w:spacing w:after="0"/>
              <w:rPr>
                <w:sz w:val="18"/>
                <w:szCs w:val="18"/>
                <w:color w:val="auto"/>
              </w:rPr>
            </w:pPr>
          </w:p>
        </w:tc>
        <w:tc>
          <w:tcPr>
            <w:tcW w:w="1740" w:type="dxa"/>
            <w:vAlign w:val="bottom"/>
            <w:tcBorders>
              <w:right w:val="single" w:sz="8" w:color="023C5B"/>
            </w:tcBorders>
          </w:tcPr>
          <w:p>
            <w:pPr>
              <w:spacing w:after="0"/>
              <w:rPr>
                <w:sz w:val="18"/>
                <w:szCs w:val="18"/>
                <w:color w:val="auto"/>
              </w:rPr>
            </w:pPr>
          </w:p>
        </w:tc>
        <w:tc>
          <w:tcPr>
            <w:tcW w:w="2280" w:type="dxa"/>
            <w:vAlign w:val="bottom"/>
            <w:tcBorders>
              <w:right w:val="single" w:sz="8" w:color="023C5B"/>
            </w:tcBorders>
          </w:tcPr>
          <w:p>
            <w:pPr>
              <w:ind w:left="80"/>
              <w:spacing w:after="0"/>
              <w:rPr>
                <w:sz w:val="20"/>
                <w:szCs w:val="20"/>
                <w:color w:val="auto"/>
              </w:rPr>
            </w:pPr>
            <w:r>
              <w:rPr>
                <w:rFonts w:ascii="Arial" w:cs="Arial" w:eastAsia="Arial" w:hAnsi="Arial"/>
                <w:sz w:val="16"/>
                <w:szCs w:val="16"/>
                <w:color w:val="auto"/>
              </w:rPr>
              <w:t>market data</w:t>
            </w:r>
          </w:p>
        </w:tc>
        <w:tc>
          <w:tcPr>
            <w:tcW w:w="2300" w:type="dxa"/>
            <w:vAlign w:val="bottom"/>
            <w:tcBorders>
              <w:right w:val="single" w:sz="8" w:color="023C5B"/>
            </w:tcBorders>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shd w:val="clear" w:color="auto" w:fill="023C5B"/>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320" w:type="dxa"/>
            <w:vAlign w:val="bottom"/>
            <w:tcBorders>
              <w:left w:val="single" w:sz="8" w:color="023C5B"/>
              <w:bottom w:val="single" w:sz="8" w:color="023C5B"/>
              <w:right w:val="single" w:sz="8" w:color="023C5B"/>
            </w:tcBorders>
          </w:tcPr>
          <w:p>
            <w:pPr>
              <w:spacing w:after="0"/>
              <w:rPr>
                <w:sz w:val="10"/>
                <w:szCs w:val="10"/>
                <w:color w:val="auto"/>
              </w:rPr>
            </w:pPr>
          </w:p>
        </w:tc>
        <w:tc>
          <w:tcPr>
            <w:tcW w:w="1740" w:type="dxa"/>
            <w:vAlign w:val="bottom"/>
            <w:tcBorders>
              <w:bottom w:val="single" w:sz="8" w:color="023C5B"/>
              <w:right w:val="single" w:sz="8" w:color="023C5B"/>
            </w:tcBorders>
          </w:tcPr>
          <w:p>
            <w:pPr>
              <w:spacing w:after="0"/>
              <w:rPr>
                <w:sz w:val="10"/>
                <w:szCs w:val="10"/>
                <w:color w:val="auto"/>
              </w:rPr>
            </w:pPr>
          </w:p>
        </w:tc>
        <w:tc>
          <w:tcPr>
            <w:tcW w:w="2280" w:type="dxa"/>
            <w:vAlign w:val="bottom"/>
            <w:tcBorders>
              <w:bottom w:val="single" w:sz="8" w:color="023C5B"/>
              <w:right w:val="single" w:sz="8" w:color="023C5B"/>
            </w:tcBorders>
          </w:tcPr>
          <w:p>
            <w:pPr>
              <w:spacing w:after="0"/>
              <w:rPr>
                <w:sz w:val="10"/>
                <w:szCs w:val="10"/>
                <w:color w:val="auto"/>
              </w:rPr>
            </w:pPr>
          </w:p>
        </w:tc>
        <w:tc>
          <w:tcPr>
            <w:tcW w:w="2300" w:type="dxa"/>
            <w:vAlign w:val="bottom"/>
            <w:tcBorders>
              <w:bottom w:val="single" w:sz="8" w:color="023C5B"/>
              <w:right w:val="single" w:sz="8" w:color="023C5B"/>
            </w:tcBorders>
          </w:tcPr>
          <w:p>
            <w:pPr>
              <w:spacing w:after="0"/>
              <w:rPr>
                <w:sz w:val="10"/>
                <w:szCs w:val="10"/>
                <w:color w:val="auto"/>
              </w:rPr>
            </w:pPr>
          </w:p>
        </w:tc>
        <w:tc>
          <w:tcPr>
            <w:tcW w:w="280" w:type="dxa"/>
            <w:vAlign w:val="bottom"/>
            <w:tcBorders>
              <w:bottom w:val="single" w:sz="8" w:color="023C5B"/>
            </w:tcBorders>
          </w:tcPr>
          <w:p>
            <w:pPr>
              <w:spacing w:after="0"/>
              <w:rPr>
                <w:sz w:val="10"/>
                <w:szCs w:val="10"/>
                <w:color w:val="auto"/>
              </w:rPr>
            </w:pPr>
          </w:p>
        </w:tc>
        <w:tc>
          <w:tcPr>
            <w:tcW w:w="2000" w:type="dxa"/>
            <w:vAlign w:val="bottom"/>
            <w:tcBorders>
              <w:bottom w:val="single" w:sz="8" w:color="023C5B"/>
            </w:tcBorders>
          </w:tcPr>
          <w:p>
            <w:pPr>
              <w:spacing w:after="0"/>
              <w:rPr>
                <w:sz w:val="10"/>
                <w:szCs w:val="10"/>
                <w:color w:val="auto"/>
              </w:rPr>
            </w:pPr>
          </w:p>
        </w:tc>
        <w:tc>
          <w:tcPr>
            <w:tcW w:w="20" w:type="dxa"/>
            <w:vAlign w:val="bottom"/>
            <w:tcBorders>
              <w:bottom w:val="single" w:sz="8" w:color="023C5B"/>
            </w:tcBorders>
            <w:shd w:val="clear" w:color="auto" w:fill="023C5B"/>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2320" w:type="dxa"/>
            <w:vAlign w:val="bottom"/>
            <w:tcBorders>
              <w:left w:val="single" w:sz="8" w:color="023C5B"/>
              <w:right w:val="single" w:sz="8" w:color="023C5B"/>
            </w:tcBorders>
          </w:tcPr>
          <w:p>
            <w:pPr>
              <w:ind w:left="80"/>
              <w:spacing w:after="0"/>
              <w:rPr>
                <w:sz w:val="20"/>
                <w:szCs w:val="20"/>
                <w:color w:val="auto"/>
              </w:rPr>
            </w:pPr>
            <w:r>
              <w:rPr>
                <w:rFonts w:ascii="Arial" w:cs="Arial" w:eastAsia="Arial" w:hAnsi="Arial"/>
                <w:sz w:val="16"/>
                <w:szCs w:val="16"/>
                <w:b w:val="1"/>
                <w:bCs w:val="1"/>
                <w:color w:val="auto"/>
              </w:rPr>
              <w:t>  Cash Incentive</w:t>
            </w:r>
          </w:p>
        </w:tc>
        <w:tc>
          <w:tcPr>
            <w:tcW w:w="1740" w:type="dxa"/>
            <w:vAlign w:val="bottom"/>
            <w:tcBorders>
              <w:right w:val="single" w:sz="8" w:color="023C5B"/>
            </w:tcBorders>
          </w:tcPr>
          <w:p>
            <w:pPr>
              <w:ind w:left="80"/>
              <w:spacing w:after="0"/>
              <w:rPr>
                <w:sz w:val="20"/>
                <w:szCs w:val="20"/>
                <w:color w:val="auto"/>
              </w:rPr>
            </w:pPr>
            <w:r>
              <w:rPr>
                <w:rFonts w:ascii="Arial" w:cs="Arial" w:eastAsia="Arial" w:hAnsi="Arial"/>
                <w:sz w:val="16"/>
                <w:szCs w:val="16"/>
                <w:color w:val="auto"/>
              </w:rPr>
              <w:t>February 2026</w:t>
            </w:r>
          </w:p>
        </w:tc>
        <w:tc>
          <w:tcPr>
            <w:tcW w:w="2280" w:type="dxa"/>
            <w:vAlign w:val="bottom"/>
            <w:tcBorders>
              <w:right w:val="single" w:sz="8" w:color="023C5B"/>
            </w:tcBorders>
          </w:tcPr>
          <w:p>
            <w:pPr>
              <w:ind w:left="80"/>
              <w:spacing w:after="0"/>
              <w:rPr>
                <w:sz w:val="20"/>
                <w:szCs w:val="20"/>
                <w:color w:val="auto"/>
              </w:rPr>
            </w:pPr>
            <w:r>
              <w:rPr>
                <w:rFonts w:ascii="Arial" w:cs="Arial" w:eastAsia="Arial" w:hAnsi="Arial"/>
                <w:sz w:val="16"/>
                <w:szCs w:val="16"/>
                <w:color w:val="auto"/>
              </w:rPr>
              <w:t>Reward for 2025 Company</w:t>
            </w:r>
          </w:p>
        </w:tc>
        <w:tc>
          <w:tcPr>
            <w:tcW w:w="23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Paid in cash in February 2026</w:t>
            </w:r>
          </w:p>
        </w:tc>
        <w:tc>
          <w:tcPr>
            <w:tcW w:w="28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000" w:type="dxa"/>
            <w:vAlign w:val="bottom"/>
          </w:tcPr>
          <w:p>
            <w:pPr>
              <w:ind w:left="80"/>
              <w:spacing w:after="0"/>
              <w:rPr>
                <w:sz w:val="20"/>
                <w:szCs w:val="20"/>
                <w:color w:val="auto"/>
              </w:rPr>
            </w:pPr>
            <w:r>
              <w:rPr>
                <w:rFonts w:ascii="Arial" w:cs="Arial" w:eastAsia="Arial" w:hAnsi="Arial"/>
                <w:sz w:val="16"/>
                <w:szCs w:val="16"/>
                <w:color w:val="auto"/>
              </w:rPr>
              <w:t>Financial restatement</w:t>
            </w:r>
          </w:p>
        </w:tc>
        <w:tc>
          <w:tcPr>
            <w:tcW w:w="20" w:type="dxa"/>
            <w:vAlign w:val="bottom"/>
            <w:shd w:val="clear" w:color="auto" w:fill="023C5B"/>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20" w:type="dxa"/>
            <w:vAlign w:val="bottom"/>
            <w:tcBorders>
              <w:left w:val="single" w:sz="8" w:color="023C5B"/>
              <w:right w:val="single" w:sz="8" w:color="023C5B"/>
            </w:tcBorders>
          </w:tcPr>
          <w:p>
            <w:pPr>
              <w:spacing w:after="0"/>
              <w:rPr>
                <w:sz w:val="18"/>
                <w:szCs w:val="18"/>
                <w:color w:val="auto"/>
              </w:rPr>
            </w:pPr>
          </w:p>
        </w:tc>
        <w:tc>
          <w:tcPr>
            <w:tcW w:w="1740" w:type="dxa"/>
            <w:vAlign w:val="bottom"/>
            <w:tcBorders>
              <w:right w:val="single" w:sz="8" w:color="023C5B"/>
            </w:tcBorders>
          </w:tcPr>
          <w:p>
            <w:pPr>
              <w:spacing w:after="0"/>
              <w:rPr>
                <w:sz w:val="18"/>
                <w:szCs w:val="18"/>
                <w:color w:val="auto"/>
              </w:rPr>
            </w:pPr>
          </w:p>
        </w:tc>
        <w:tc>
          <w:tcPr>
            <w:tcW w:w="2280" w:type="dxa"/>
            <w:vAlign w:val="bottom"/>
            <w:tcBorders>
              <w:right w:val="single" w:sz="8" w:color="023C5B"/>
            </w:tcBorders>
          </w:tcPr>
          <w:p>
            <w:pPr>
              <w:ind w:left="80"/>
              <w:spacing w:after="0"/>
              <w:rPr>
                <w:sz w:val="20"/>
                <w:szCs w:val="20"/>
                <w:color w:val="auto"/>
              </w:rPr>
            </w:pPr>
            <w:r>
              <w:rPr>
                <w:rFonts w:ascii="Arial" w:cs="Arial" w:eastAsia="Arial" w:hAnsi="Arial"/>
                <w:sz w:val="16"/>
                <w:szCs w:val="16"/>
                <w:color w:val="auto"/>
              </w:rPr>
              <w:t>Performance</w:t>
            </w:r>
          </w:p>
        </w:tc>
        <w:tc>
          <w:tcPr>
            <w:tcW w:w="2300" w:type="dxa"/>
            <w:vAlign w:val="bottom"/>
            <w:tcBorders>
              <w:right w:val="single" w:sz="8" w:color="023C5B"/>
            </w:tcBorders>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ind w:left="80"/>
              <w:spacing w:after="0"/>
              <w:rPr>
                <w:sz w:val="20"/>
                <w:szCs w:val="20"/>
                <w:color w:val="auto"/>
              </w:rPr>
            </w:pPr>
            <w:r>
              <w:rPr>
                <w:rFonts w:ascii="Arial" w:cs="Arial" w:eastAsia="Arial" w:hAnsi="Arial"/>
                <w:sz w:val="16"/>
                <w:szCs w:val="16"/>
                <w:color w:val="auto"/>
              </w:rPr>
              <w:t>clawback</w:t>
            </w:r>
          </w:p>
        </w:tc>
        <w:tc>
          <w:tcPr>
            <w:tcW w:w="20" w:type="dxa"/>
            <w:vAlign w:val="bottom"/>
            <w:shd w:val="clear" w:color="auto" w:fill="023C5B"/>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320" w:type="dxa"/>
            <w:vAlign w:val="bottom"/>
            <w:tcBorders>
              <w:left w:val="single" w:sz="8" w:color="023C5B"/>
              <w:bottom w:val="single" w:sz="8" w:color="023C5B"/>
              <w:right w:val="single" w:sz="8" w:color="023C5B"/>
            </w:tcBorders>
          </w:tcPr>
          <w:p>
            <w:pPr>
              <w:spacing w:after="0"/>
              <w:rPr>
                <w:sz w:val="10"/>
                <w:szCs w:val="10"/>
                <w:color w:val="auto"/>
              </w:rPr>
            </w:pPr>
          </w:p>
        </w:tc>
        <w:tc>
          <w:tcPr>
            <w:tcW w:w="1740" w:type="dxa"/>
            <w:vAlign w:val="bottom"/>
            <w:tcBorders>
              <w:bottom w:val="single" w:sz="8" w:color="023C5B"/>
              <w:right w:val="single" w:sz="8" w:color="023C5B"/>
            </w:tcBorders>
          </w:tcPr>
          <w:p>
            <w:pPr>
              <w:spacing w:after="0"/>
              <w:rPr>
                <w:sz w:val="10"/>
                <w:szCs w:val="10"/>
                <w:color w:val="auto"/>
              </w:rPr>
            </w:pPr>
          </w:p>
        </w:tc>
        <w:tc>
          <w:tcPr>
            <w:tcW w:w="2280" w:type="dxa"/>
            <w:vAlign w:val="bottom"/>
            <w:tcBorders>
              <w:bottom w:val="single" w:sz="8" w:color="023C5B"/>
              <w:right w:val="single" w:sz="8" w:color="023C5B"/>
            </w:tcBorders>
          </w:tcPr>
          <w:p>
            <w:pPr>
              <w:spacing w:after="0"/>
              <w:rPr>
                <w:sz w:val="10"/>
                <w:szCs w:val="10"/>
                <w:color w:val="auto"/>
              </w:rPr>
            </w:pPr>
          </w:p>
        </w:tc>
        <w:tc>
          <w:tcPr>
            <w:tcW w:w="2300" w:type="dxa"/>
            <w:vAlign w:val="bottom"/>
            <w:tcBorders>
              <w:bottom w:val="single" w:sz="8" w:color="023C5B"/>
              <w:right w:val="single" w:sz="8" w:color="023C5B"/>
            </w:tcBorders>
          </w:tcPr>
          <w:p>
            <w:pPr>
              <w:spacing w:after="0"/>
              <w:rPr>
                <w:sz w:val="10"/>
                <w:szCs w:val="10"/>
                <w:color w:val="auto"/>
              </w:rPr>
            </w:pPr>
          </w:p>
        </w:tc>
        <w:tc>
          <w:tcPr>
            <w:tcW w:w="280" w:type="dxa"/>
            <w:vAlign w:val="bottom"/>
            <w:tcBorders>
              <w:bottom w:val="single" w:sz="8" w:color="023C5B"/>
            </w:tcBorders>
          </w:tcPr>
          <w:p>
            <w:pPr>
              <w:spacing w:after="0"/>
              <w:rPr>
                <w:sz w:val="10"/>
                <w:szCs w:val="10"/>
                <w:color w:val="auto"/>
              </w:rPr>
            </w:pPr>
          </w:p>
        </w:tc>
        <w:tc>
          <w:tcPr>
            <w:tcW w:w="2000" w:type="dxa"/>
            <w:vAlign w:val="bottom"/>
            <w:tcBorders>
              <w:bottom w:val="single" w:sz="8" w:color="023C5B"/>
            </w:tcBorders>
          </w:tcPr>
          <w:p>
            <w:pPr>
              <w:spacing w:after="0"/>
              <w:rPr>
                <w:sz w:val="10"/>
                <w:szCs w:val="10"/>
                <w:color w:val="auto"/>
              </w:rPr>
            </w:pPr>
          </w:p>
        </w:tc>
        <w:tc>
          <w:tcPr>
            <w:tcW w:w="20" w:type="dxa"/>
            <w:vAlign w:val="bottom"/>
            <w:tcBorders>
              <w:bottom w:val="single" w:sz="8" w:color="023C5B"/>
            </w:tcBorders>
            <w:shd w:val="clear" w:color="auto" w:fill="023C5B"/>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320" w:type="dxa"/>
            <w:vAlign w:val="bottom"/>
            <w:tcBorders>
              <w:left w:val="single" w:sz="8" w:color="023C5B"/>
              <w:right w:val="single" w:sz="8" w:color="023C5B"/>
            </w:tcBorders>
          </w:tcPr>
          <w:p>
            <w:pPr>
              <w:ind w:left="80"/>
              <w:spacing w:after="0"/>
              <w:rPr>
                <w:sz w:val="20"/>
                <w:szCs w:val="20"/>
                <w:color w:val="auto"/>
              </w:rPr>
            </w:pPr>
            <w:r>
              <w:rPr>
                <w:rFonts w:ascii="Arial" w:cs="Arial" w:eastAsia="Arial" w:hAnsi="Arial"/>
                <w:sz w:val="16"/>
                <w:szCs w:val="16"/>
                <w:b w:val="1"/>
                <w:bCs w:val="1"/>
                <w:color w:val="auto"/>
              </w:rPr>
              <w:t>  Performance Shares</w:t>
            </w:r>
          </w:p>
        </w:tc>
        <w:tc>
          <w:tcPr>
            <w:tcW w:w="1740" w:type="dxa"/>
            <w:vAlign w:val="bottom"/>
            <w:tcBorders>
              <w:right w:val="single" w:sz="8" w:color="023C5B"/>
            </w:tcBorders>
          </w:tcPr>
          <w:p>
            <w:pPr>
              <w:ind w:left="80"/>
              <w:spacing w:after="0"/>
              <w:rPr>
                <w:sz w:val="20"/>
                <w:szCs w:val="20"/>
                <w:color w:val="auto"/>
              </w:rPr>
            </w:pPr>
            <w:r>
              <w:rPr>
                <w:rFonts w:ascii="Arial" w:cs="Arial" w:eastAsia="Arial" w:hAnsi="Arial"/>
                <w:sz w:val="16"/>
                <w:szCs w:val="16"/>
                <w:color w:val="auto"/>
              </w:rPr>
              <w:t>February 2026</w:t>
            </w:r>
          </w:p>
        </w:tc>
        <w:tc>
          <w:tcPr>
            <w:tcW w:w="2280" w:type="dxa"/>
            <w:vAlign w:val="bottom"/>
            <w:tcBorders>
              <w:right w:val="single" w:sz="8" w:color="023C5B"/>
            </w:tcBorders>
          </w:tcPr>
          <w:p>
            <w:pPr>
              <w:ind w:left="80"/>
              <w:spacing w:after="0"/>
              <w:rPr>
                <w:sz w:val="20"/>
                <w:szCs w:val="20"/>
                <w:color w:val="auto"/>
              </w:rPr>
            </w:pPr>
            <w:r>
              <w:rPr>
                <w:rFonts w:ascii="Arial" w:cs="Arial" w:eastAsia="Arial" w:hAnsi="Arial"/>
                <w:sz w:val="16"/>
                <w:szCs w:val="16"/>
                <w:color w:val="auto"/>
              </w:rPr>
              <w:t>Reward for 2025 Individual</w:t>
            </w:r>
          </w:p>
        </w:tc>
        <w:tc>
          <w:tcPr>
            <w:tcW w:w="23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Vest at the end of the 3-year</w:t>
            </w:r>
          </w:p>
        </w:tc>
        <w:tc>
          <w:tcPr>
            <w:tcW w:w="28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000" w:type="dxa"/>
            <w:vAlign w:val="bottom"/>
          </w:tcPr>
          <w:p>
            <w:pPr>
              <w:ind w:left="80"/>
              <w:spacing w:after="0"/>
              <w:rPr>
                <w:sz w:val="20"/>
                <w:szCs w:val="20"/>
                <w:color w:val="auto"/>
              </w:rPr>
            </w:pPr>
            <w:r>
              <w:rPr>
                <w:rFonts w:ascii="Arial" w:cs="Arial" w:eastAsia="Arial" w:hAnsi="Arial"/>
                <w:sz w:val="16"/>
                <w:szCs w:val="16"/>
                <w:color w:val="auto"/>
              </w:rPr>
              <w:t>Performance share</w:t>
            </w:r>
          </w:p>
        </w:tc>
        <w:tc>
          <w:tcPr>
            <w:tcW w:w="20" w:type="dxa"/>
            <w:vAlign w:val="bottom"/>
            <w:shd w:val="clear" w:color="auto" w:fill="023C5B"/>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320" w:type="dxa"/>
            <w:vAlign w:val="bottom"/>
            <w:tcBorders>
              <w:left w:val="single" w:sz="8" w:color="023C5B"/>
              <w:right w:val="single" w:sz="8" w:color="023C5B"/>
            </w:tcBorders>
          </w:tcPr>
          <w:p>
            <w:pPr>
              <w:spacing w:after="0"/>
              <w:rPr>
                <w:sz w:val="16"/>
                <w:szCs w:val="16"/>
                <w:color w:val="auto"/>
              </w:rPr>
            </w:pPr>
          </w:p>
        </w:tc>
        <w:tc>
          <w:tcPr>
            <w:tcW w:w="1740" w:type="dxa"/>
            <w:vAlign w:val="bottom"/>
            <w:tcBorders>
              <w:right w:val="single" w:sz="8" w:color="023C5B"/>
            </w:tcBorders>
          </w:tcPr>
          <w:p>
            <w:pPr>
              <w:spacing w:after="0"/>
              <w:rPr>
                <w:sz w:val="16"/>
                <w:szCs w:val="16"/>
                <w:color w:val="auto"/>
              </w:rPr>
            </w:pPr>
          </w:p>
        </w:tc>
        <w:tc>
          <w:tcPr>
            <w:tcW w:w="2280" w:type="dxa"/>
            <w:vAlign w:val="bottom"/>
            <w:tcBorders>
              <w:right w:val="single" w:sz="8" w:color="023C5B"/>
            </w:tcBorders>
          </w:tcPr>
          <w:p>
            <w:pPr>
              <w:ind w:left="80"/>
              <w:spacing w:after="0"/>
              <w:rPr>
                <w:sz w:val="20"/>
                <w:szCs w:val="20"/>
                <w:color w:val="auto"/>
              </w:rPr>
            </w:pPr>
            <w:r>
              <w:rPr>
                <w:rFonts w:ascii="Arial" w:cs="Arial" w:eastAsia="Arial" w:hAnsi="Arial"/>
                <w:sz w:val="16"/>
                <w:szCs w:val="16"/>
                <w:color w:val="auto"/>
              </w:rPr>
              <w:t>Performance and Incentive for</w:t>
            </w:r>
          </w:p>
        </w:tc>
        <w:tc>
          <w:tcPr>
            <w:tcW w:w="23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performance period based on</w:t>
            </w:r>
          </w:p>
        </w:tc>
        <w:tc>
          <w:tcPr>
            <w:tcW w:w="280" w:type="dxa"/>
            <w:vAlign w:val="bottom"/>
          </w:tcPr>
          <w:p>
            <w:pPr>
              <w:spacing w:after="0"/>
              <w:rPr>
                <w:sz w:val="16"/>
                <w:szCs w:val="16"/>
                <w:color w:val="auto"/>
              </w:rPr>
            </w:pPr>
          </w:p>
        </w:tc>
        <w:tc>
          <w:tcPr>
            <w:tcW w:w="2000" w:type="dxa"/>
            <w:vAlign w:val="bottom"/>
          </w:tcPr>
          <w:p>
            <w:pPr>
              <w:ind w:left="80"/>
              <w:spacing w:after="0"/>
              <w:rPr>
                <w:sz w:val="20"/>
                <w:szCs w:val="20"/>
                <w:color w:val="auto"/>
              </w:rPr>
            </w:pPr>
            <w:r>
              <w:rPr>
                <w:rFonts w:ascii="Arial" w:cs="Arial" w:eastAsia="Arial" w:hAnsi="Arial"/>
                <w:sz w:val="16"/>
                <w:szCs w:val="16"/>
                <w:color w:val="auto"/>
              </w:rPr>
              <w:t>reduction</w:t>
            </w:r>
          </w:p>
        </w:tc>
        <w:tc>
          <w:tcPr>
            <w:tcW w:w="20" w:type="dxa"/>
            <w:vAlign w:val="bottom"/>
            <w:shd w:val="clear" w:color="auto" w:fill="023C5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20" w:type="dxa"/>
            <w:vAlign w:val="bottom"/>
            <w:tcBorders>
              <w:left w:val="single" w:sz="8" w:color="023C5B"/>
              <w:right w:val="single" w:sz="8" w:color="023C5B"/>
            </w:tcBorders>
          </w:tcPr>
          <w:p>
            <w:pPr>
              <w:spacing w:after="0"/>
              <w:rPr>
                <w:sz w:val="17"/>
                <w:szCs w:val="17"/>
                <w:color w:val="auto"/>
              </w:rPr>
            </w:pPr>
          </w:p>
        </w:tc>
        <w:tc>
          <w:tcPr>
            <w:tcW w:w="1740" w:type="dxa"/>
            <w:vAlign w:val="bottom"/>
            <w:tcBorders>
              <w:right w:val="single" w:sz="8" w:color="023C5B"/>
            </w:tcBorders>
          </w:tcPr>
          <w:p>
            <w:pPr>
              <w:spacing w:after="0"/>
              <w:rPr>
                <w:sz w:val="17"/>
                <w:szCs w:val="17"/>
                <w:color w:val="auto"/>
              </w:rPr>
            </w:pPr>
          </w:p>
        </w:tc>
        <w:tc>
          <w:tcPr>
            <w:tcW w:w="2280" w:type="dxa"/>
            <w:vAlign w:val="bottom"/>
            <w:tcBorders>
              <w:right w:val="single" w:sz="8" w:color="023C5B"/>
            </w:tcBorders>
          </w:tcPr>
          <w:p>
            <w:pPr>
              <w:ind w:left="80"/>
              <w:spacing w:after="0"/>
              <w:rPr>
                <w:sz w:val="20"/>
                <w:szCs w:val="20"/>
                <w:color w:val="auto"/>
              </w:rPr>
            </w:pPr>
            <w:r>
              <w:rPr>
                <w:rFonts w:ascii="Arial" w:cs="Arial" w:eastAsia="Arial" w:hAnsi="Arial"/>
                <w:sz w:val="16"/>
                <w:szCs w:val="16"/>
                <w:color w:val="auto"/>
              </w:rPr>
              <w:t>Long-term Company</w:t>
            </w:r>
          </w:p>
        </w:tc>
        <w:tc>
          <w:tcPr>
            <w:tcW w:w="23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achievement of performance</w:t>
            </w:r>
          </w:p>
        </w:tc>
        <w:tc>
          <w:tcPr>
            <w:tcW w:w="28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000" w:type="dxa"/>
            <w:vAlign w:val="bottom"/>
          </w:tcPr>
          <w:p>
            <w:pPr>
              <w:ind w:left="80"/>
              <w:spacing w:after="0"/>
              <w:rPr>
                <w:sz w:val="20"/>
                <w:szCs w:val="20"/>
                <w:color w:val="auto"/>
              </w:rPr>
            </w:pPr>
            <w:r>
              <w:rPr>
                <w:rFonts w:ascii="Arial" w:cs="Arial" w:eastAsia="Arial" w:hAnsi="Arial"/>
                <w:sz w:val="16"/>
                <w:szCs w:val="16"/>
                <w:color w:val="auto"/>
              </w:rPr>
              <w:t>Misconduct clawback</w:t>
            </w:r>
          </w:p>
        </w:tc>
        <w:tc>
          <w:tcPr>
            <w:tcW w:w="20" w:type="dxa"/>
            <w:vAlign w:val="bottom"/>
            <w:shd w:val="clear" w:color="auto" w:fill="023C5B"/>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320" w:type="dxa"/>
            <w:vAlign w:val="bottom"/>
            <w:tcBorders>
              <w:left w:val="single" w:sz="8" w:color="023C5B"/>
              <w:right w:val="single" w:sz="8" w:color="023C5B"/>
            </w:tcBorders>
          </w:tcPr>
          <w:p>
            <w:pPr>
              <w:spacing w:after="0"/>
              <w:rPr>
                <w:sz w:val="18"/>
                <w:szCs w:val="18"/>
                <w:color w:val="auto"/>
              </w:rPr>
            </w:pPr>
          </w:p>
        </w:tc>
        <w:tc>
          <w:tcPr>
            <w:tcW w:w="1740" w:type="dxa"/>
            <w:vAlign w:val="bottom"/>
            <w:tcBorders>
              <w:right w:val="single" w:sz="8" w:color="023C5B"/>
            </w:tcBorders>
          </w:tcPr>
          <w:p>
            <w:pPr>
              <w:spacing w:after="0"/>
              <w:rPr>
                <w:sz w:val="18"/>
                <w:szCs w:val="18"/>
                <w:color w:val="auto"/>
              </w:rPr>
            </w:pPr>
          </w:p>
        </w:tc>
        <w:tc>
          <w:tcPr>
            <w:tcW w:w="2280" w:type="dxa"/>
            <w:vAlign w:val="bottom"/>
            <w:tcBorders>
              <w:right w:val="single" w:sz="8" w:color="023C5B"/>
            </w:tcBorders>
          </w:tcPr>
          <w:p>
            <w:pPr>
              <w:ind w:left="80"/>
              <w:spacing w:after="0"/>
              <w:rPr>
                <w:sz w:val="20"/>
                <w:szCs w:val="20"/>
                <w:color w:val="auto"/>
              </w:rPr>
            </w:pPr>
            <w:r>
              <w:rPr>
                <w:rFonts w:ascii="Arial" w:cs="Arial" w:eastAsia="Arial" w:hAnsi="Arial"/>
                <w:sz w:val="16"/>
                <w:szCs w:val="16"/>
                <w:color w:val="auto"/>
              </w:rPr>
              <w:t>Performance</w:t>
            </w:r>
          </w:p>
        </w:tc>
        <w:tc>
          <w:tcPr>
            <w:tcW w:w="23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factors</w:t>
            </w:r>
          </w:p>
        </w:tc>
        <w:tc>
          <w:tcPr>
            <w:tcW w:w="28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000" w:type="dxa"/>
            <w:vAlign w:val="bottom"/>
            <w:vMerge w:val="restart"/>
          </w:tcPr>
          <w:p>
            <w:pPr>
              <w:ind w:left="80"/>
              <w:spacing w:after="0"/>
              <w:rPr>
                <w:sz w:val="20"/>
                <w:szCs w:val="20"/>
                <w:color w:val="auto"/>
              </w:rPr>
            </w:pPr>
            <w:r>
              <w:rPr>
                <w:rFonts w:ascii="Arial" w:cs="Arial" w:eastAsia="Arial" w:hAnsi="Arial"/>
                <w:sz w:val="16"/>
                <w:szCs w:val="16"/>
                <w:color w:val="auto"/>
              </w:rPr>
              <w:t>Financial restatement</w:t>
            </w:r>
          </w:p>
        </w:tc>
        <w:tc>
          <w:tcPr>
            <w:tcW w:w="20" w:type="dxa"/>
            <w:vAlign w:val="bottom"/>
            <w:shd w:val="clear" w:color="auto" w:fill="023C5B"/>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320" w:type="dxa"/>
            <w:vAlign w:val="bottom"/>
            <w:tcBorders>
              <w:left w:val="single" w:sz="8" w:color="023C5B"/>
              <w:right w:val="single" w:sz="8" w:color="023C5B"/>
            </w:tcBorders>
          </w:tcPr>
          <w:p>
            <w:pPr>
              <w:spacing w:after="0"/>
              <w:rPr>
                <w:sz w:val="3"/>
                <w:szCs w:val="3"/>
                <w:color w:val="auto"/>
              </w:rPr>
            </w:pPr>
          </w:p>
        </w:tc>
        <w:tc>
          <w:tcPr>
            <w:tcW w:w="1740" w:type="dxa"/>
            <w:vAlign w:val="bottom"/>
            <w:tcBorders>
              <w:right w:val="single" w:sz="8" w:color="023C5B"/>
            </w:tcBorders>
          </w:tcPr>
          <w:p>
            <w:pPr>
              <w:spacing w:after="0"/>
              <w:rPr>
                <w:sz w:val="3"/>
                <w:szCs w:val="3"/>
                <w:color w:val="auto"/>
              </w:rPr>
            </w:pPr>
          </w:p>
        </w:tc>
        <w:tc>
          <w:tcPr>
            <w:tcW w:w="2280" w:type="dxa"/>
            <w:vAlign w:val="bottom"/>
            <w:tcBorders>
              <w:right w:val="single" w:sz="8" w:color="023C5B"/>
            </w:tcBorders>
          </w:tcPr>
          <w:p>
            <w:pPr>
              <w:spacing w:after="0"/>
              <w:rPr>
                <w:sz w:val="3"/>
                <w:szCs w:val="3"/>
                <w:color w:val="auto"/>
              </w:rPr>
            </w:pPr>
          </w:p>
        </w:tc>
        <w:tc>
          <w:tcPr>
            <w:tcW w:w="2300" w:type="dxa"/>
            <w:vAlign w:val="bottom"/>
            <w:tcBorders>
              <w:right w:val="single" w:sz="8" w:color="023C5B"/>
            </w:tcBorders>
          </w:tcPr>
          <w:p>
            <w:pPr>
              <w:spacing w:after="0"/>
              <w:rPr>
                <w:sz w:val="3"/>
                <w:szCs w:val="3"/>
                <w:color w:val="auto"/>
              </w:rPr>
            </w:pPr>
          </w:p>
        </w:tc>
        <w:tc>
          <w:tcPr>
            <w:tcW w:w="280" w:type="dxa"/>
            <w:vAlign w:val="bottom"/>
            <w:vMerge w:val="continue"/>
          </w:tcPr>
          <w:p>
            <w:pPr>
              <w:spacing w:after="0"/>
              <w:rPr>
                <w:sz w:val="3"/>
                <w:szCs w:val="3"/>
                <w:color w:val="auto"/>
              </w:rPr>
            </w:pPr>
          </w:p>
        </w:tc>
        <w:tc>
          <w:tcPr>
            <w:tcW w:w="2000" w:type="dxa"/>
            <w:vAlign w:val="bottom"/>
            <w:vMerge w:val="continue"/>
          </w:tcPr>
          <w:p>
            <w:pPr>
              <w:spacing w:after="0"/>
              <w:rPr>
                <w:sz w:val="3"/>
                <w:szCs w:val="3"/>
                <w:color w:val="auto"/>
              </w:rPr>
            </w:pPr>
          </w:p>
        </w:tc>
        <w:tc>
          <w:tcPr>
            <w:tcW w:w="20" w:type="dxa"/>
            <w:vAlign w:val="bottom"/>
            <w:shd w:val="clear" w:color="auto" w:fill="023C5B"/>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320" w:type="dxa"/>
            <w:vAlign w:val="bottom"/>
            <w:tcBorders>
              <w:left w:val="single" w:sz="8" w:color="023C5B"/>
              <w:right w:val="single" w:sz="8" w:color="023C5B"/>
            </w:tcBorders>
          </w:tcPr>
          <w:p>
            <w:pPr>
              <w:spacing w:after="0"/>
              <w:rPr>
                <w:sz w:val="18"/>
                <w:szCs w:val="18"/>
                <w:color w:val="auto"/>
              </w:rPr>
            </w:pPr>
          </w:p>
        </w:tc>
        <w:tc>
          <w:tcPr>
            <w:tcW w:w="1740" w:type="dxa"/>
            <w:vAlign w:val="bottom"/>
            <w:tcBorders>
              <w:right w:val="single" w:sz="8" w:color="023C5B"/>
            </w:tcBorders>
          </w:tcPr>
          <w:p>
            <w:pPr>
              <w:spacing w:after="0"/>
              <w:rPr>
                <w:sz w:val="18"/>
                <w:szCs w:val="18"/>
                <w:color w:val="auto"/>
              </w:rPr>
            </w:pPr>
          </w:p>
        </w:tc>
        <w:tc>
          <w:tcPr>
            <w:tcW w:w="2280" w:type="dxa"/>
            <w:vAlign w:val="bottom"/>
            <w:tcBorders>
              <w:right w:val="single" w:sz="8" w:color="023C5B"/>
            </w:tcBorders>
          </w:tcPr>
          <w:p>
            <w:pPr>
              <w:spacing w:after="0"/>
              <w:rPr>
                <w:sz w:val="18"/>
                <w:szCs w:val="18"/>
                <w:color w:val="auto"/>
              </w:rPr>
            </w:pPr>
          </w:p>
        </w:tc>
        <w:tc>
          <w:tcPr>
            <w:tcW w:w="2300" w:type="dxa"/>
            <w:vAlign w:val="bottom"/>
            <w:tcBorders>
              <w:right w:val="single" w:sz="8" w:color="023C5B"/>
            </w:tcBorders>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ind w:left="80"/>
              <w:spacing w:after="0"/>
              <w:rPr>
                <w:sz w:val="20"/>
                <w:szCs w:val="20"/>
                <w:color w:val="auto"/>
              </w:rPr>
            </w:pPr>
            <w:r>
              <w:rPr>
                <w:rFonts w:ascii="Arial" w:cs="Arial" w:eastAsia="Arial" w:hAnsi="Arial"/>
                <w:sz w:val="16"/>
                <w:szCs w:val="16"/>
                <w:color w:val="auto"/>
              </w:rPr>
              <w:t>clawback</w:t>
            </w:r>
          </w:p>
        </w:tc>
        <w:tc>
          <w:tcPr>
            <w:tcW w:w="20" w:type="dxa"/>
            <w:vAlign w:val="bottom"/>
            <w:shd w:val="clear" w:color="auto" w:fill="023C5B"/>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320" w:type="dxa"/>
            <w:vAlign w:val="bottom"/>
            <w:tcBorders>
              <w:left w:val="single" w:sz="8" w:color="023C5B"/>
              <w:bottom w:val="single" w:sz="8" w:color="023C5B"/>
              <w:right w:val="single" w:sz="8" w:color="023C5B"/>
            </w:tcBorders>
          </w:tcPr>
          <w:p>
            <w:pPr>
              <w:spacing w:after="0"/>
              <w:rPr>
                <w:sz w:val="10"/>
                <w:szCs w:val="10"/>
                <w:color w:val="auto"/>
              </w:rPr>
            </w:pPr>
          </w:p>
        </w:tc>
        <w:tc>
          <w:tcPr>
            <w:tcW w:w="1740" w:type="dxa"/>
            <w:vAlign w:val="bottom"/>
            <w:tcBorders>
              <w:right w:val="single" w:sz="8" w:color="023C5B"/>
            </w:tcBorders>
          </w:tcPr>
          <w:p>
            <w:pPr>
              <w:spacing w:after="0"/>
              <w:rPr>
                <w:sz w:val="10"/>
                <w:szCs w:val="10"/>
                <w:color w:val="auto"/>
              </w:rPr>
            </w:pPr>
          </w:p>
        </w:tc>
        <w:tc>
          <w:tcPr>
            <w:tcW w:w="2280" w:type="dxa"/>
            <w:vAlign w:val="bottom"/>
            <w:tcBorders>
              <w:right w:val="single" w:sz="8" w:color="023C5B"/>
            </w:tcBorders>
          </w:tcPr>
          <w:p>
            <w:pPr>
              <w:spacing w:after="0"/>
              <w:rPr>
                <w:sz w:val="10"/>
                <w:szCs w:val="10"/>
                <w:color w:val="auto"/>
              </w:rPr>
            </w:pPr>
          </w:p>
        </w:tc>
        <w:tc>
          <w:tcPr>
            <w:tcW w:w="2300" w:type="dxa"/>
            <w:vAlign w:val="bottom"/>
            <w:tcBorders>
              <w:bottom w:val="single" w:sz="8" w:color="023C5B"/>
              <w:right w:val="single" w:sz="8" w:color="023C5B"/>
            </w:tcBorders>
          </w:tcPr>
          <w:p>
            <w:pPr>
              <w:spacing w:after="0"/>
              <w:rPr>
                <w:sz w:val="10"/>
                <w:szCs w:val="10"/>
                <w:color w:val="auto"/>
              </w:rPr>
            </w:pPr>
          </w:p>
        </w:tc>
        <w:tc>
          <w:tcPr>
            <w:tcW w:w="280" w:type="dxa"/>
            <w:vAlign w:val="bottom"/>
            <w:tcBorders>
              <w:bottom w:val="single" w:sz="8" w:color="023C5B"/>
            </w:tcBorders>
          </w:tcPr>
          <w:p>
            <w:pPr>
              <w:spacing w:after="0"/>
              <w:rPr>
                <w:sz w:val="10"/>
                <w:szCs w:val="10"/>
                <w:color w:val="auto"/>
              </w:rPr>
            </w:pPr>
          </w:p>
        </w:tc>
        <w:tc>
          <w:tcPr>
            <w:tcW w:w="2000" w:type="dxa"/>
            <w:vAlign w:val="bottom"/>
            <w:tcBorders>
              <w:bottom w:val="single" w:sz="8" w:color="023C5B"/>
            </w:tcBorders>
          </w:tcPr>
          <w:p>
            <w:pPr>
              <w:spacing w:after="0"/>
              <w:rPr>
                <w:sz w:val="10"/>
                <w:szCs w:val="10"/>
                <w:color w:val="auto"/>
              </w:rPr>
            </w:pPr>
          </w:p>
        </w:tc>
        <w:tc>
          <w:tcPr>
            <w:tcW w:w="20" w:type="dxa"/>
            <w:vAlign w:val="bottom"/>
            <w:tcBorders>
              <w:bottom w:val="single" w:sz="8" w:color="023C5B"/>
            </w:tcBorders>
            <w:shd w:val="clear" w:color="auto" w:fill="023C5B"/>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320" w:type="dxa"/>
            <w:vAlign w:val="bottom"/>
            <w:tcBorders>
              <w:left w:val="single" w:sz="8" w:color="023C5B"/>
              <w:right w:val="single" w:sz="8" w:color="023C5B"/>
            </w:tcBorders>
          </w:tcPr>
          <w:p>
            <w:pPr>
              <w:ind w:left="80"/>
              <w:spacing w:after="0"/>
              <w:rPr>
                <w:sz w:val="20"/>
                <w:szCs w:val="20"/>
                <w:color w:val="auto"/>
              </w:rPr>
            </w:pPr>
            <w:r>
              <w:rPr>
                <w:rFonts w:ascii="Arial" w:cs="Arial" w:eastAsia="Arial" w:hAnsi="Arial"/>
                <w:sz w:val="16"/>
                <w:szCs w:val="16"/>
                <w:b w:val="1"/>
                <w:bCs w:val="1"/>
                <w:color w:val="auto"/>
              </w:rPr>
              <w:t>  Stock-Settled RSUs</w:t>
            </w:r>
          </w:p>
        </w:tc>
        <w:tc>
          <w:tcPr>
            <w:tcW w:w="1740" w:type="dxa"/>
            <w:vAlign w:val="bottom"/>
            <w:tcBorders>
              <w:right w:val="single" w:sz="8" w:color="023C5B"/>
            </w:tcBorders>
          </w:tcPr>
          <w:p>
            <w:pPr>
              <w:spacing w:after="0"/>
              <w:rPr>
                <w:sz w:val="21"/>
                <w:szCs w:val="21"/>
                <w:color w:val="auto"/>
              </w:rPr>
            </w:pPr>
          </w:p>
        </w:tc>
        <w:tc>
          <w:tcPr>
            <w:tcW w:w="2280" w:type="dxa"/>
            <w:vAlign w:val="bottom"/>
            <w:tcBorders>
              <w:right w:val="single" w:sz="8" w:color="023C5B"/>
            </w:tcBorders>
          </w:tcPr>
          <w:p>
            <w:pPr>
              <w:spacing w:after="0"/>
              <w:rPr>
                <w:sz w:val="21"/>
                <w:szCs w:val="21"/>
                <w:color w:val="auto"/>
              </w:rPr>
            </w:pPr>
          </w:p>
        </w:tc>
        <w:tc>
          <w:tcPr>
            <w:tcW w:w="2300" w:type="dxa"/>
            <w:vAlign w:val="bottom"/>
            <w:tcBorders>
              <w:right w:val="single" w:sz="8" w:color="023C5B"/>
            </w:tcBorders>
          </w:tcPr>
          <w:p>
            <w:pPr>
              <w:ind w:left="100"/>
              <w:spacing w:after="0"/>
              <w:rPr>
                <w:sz w:val="20"/>
                <w:szCs w:val="20"/>
                <w:color w:val="auto"/>
              </w:rPr>
            </w:pPr>
            <w:r>
              <w:rPr>
                <w:rFonts w:ascii="Arial" w:cs="Arial" w:eastAsia="Arial" w:hAnsi="Arial"/>
                <w:sz w:val="16"/>
                <w:szCs w:val="16"/>
                <w:color w:val="auto"/>
              </w:rPr>
              <w:t>3-year ratable vesting</w:t>
            </w:r>
          </w:p>
        </w:tc>
        <w:tc>
          <w:tcPr>
            <w:tcW w:w="28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000" w:type="dxa"/>
            <w:vAlign w:val="bottom"/>
          </w:tcPr>
          <w:p>
            <w:pPr>
              <w:ind w:left="80"/>
              <w:spacing w:after="0"/>
              <w:rPr>
                <w:sz w:val="20"/>
                <w:szCs w:val="20"/>
                <w:color w:val="auto"/>
              </w:rPr>
            </w:pPr>
            <w:r>
              <w:rPr>
                <w:rFonts w:ascii="Arial" w:cs="Arial" w:eastAsia="Arial" w:hAnsi="Arial"/>
                <w:sz w:val="16"/>
                <w:szCs w:val="16"/>
                <w:color w:val="auto"/>
              </w:rPr>
              <w:t>Performance-based</w:t>
            </w:r>
          </w:p>
        </w:tc>
        <w:tc>
          <w:tcPr>
            <w:tcW w:w="20" w:type="dxa"/>
            <w:vAlign w:val="bottom"/>
            <w:shd w:val="clear" w:color="auto" w:fill="023C5B"/>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320" w:type="dxa"/>
            <w:vAlign w:val="bottom"/>
            <w:tcBorders>
              <w:left w:val="single" w:sz="8" w:color="023C5B"/>
              <w:right w:val="single" w:sz="8" w:color="023C5B"/>
            </w:tcBorders>
          </w:tcPr>
          <w:p>
            <w:pPr>
              <w:spacing w:after="0"/>
              <w:rPr>
                <w:sz w:val="18"/>
                <w:szCs w:val="18"/>
                <w:color w:val="auto"/>
              </w:rPr>
            </w:pPr>
          </w:p>
        </w:tc>
        <w:tc>
          <w:tcPr>
            <w:tcW w:w="1740" w:type="dxa"/>
            <w:vAlign w:val="bottom"/>
            <w:tcBorders>
              <w:right w:val="single" w:sz="8" w:color="023C5B"/>
            </w:tcBorders>
          </w:tcPr>
          <w:p>
            <w:pPr>
              <w:spacing w:after="0"/>
              <w:rPr>
                <w:sz w:val="18"/>
                <w:szCs w:val="18"/>
                <w:color w:val="auto"/>
              </w:rPr>
            </w:pPr>
          </w:p>
        </w:tc>
        <w:tc>
          <w:tcPr>
            <w:tcW w:w="2280" w:type="dxa"/>
            <w:vAlign w:val="bottom"/>
            <w:tcBorders>
              <w:right w:val="single" w:sz="8" w:color="023C5B"/>
            </w:tcBorders>
          </w:tcPr>
          <w:p>
            <w:pPr>
              <w:spacing w:after="0"/>
              <w:rPr>
                <w:sz w:val="18"/>
                <w:szCs w:val="18"/>
                <w:color w:val="auto"/>
              </w:rPr>
            </w:pPr>
          </w:p>
        </w:tc>
        <w:tc>
          <w:tcPr>
            <w:tcW w:w="2300" w:type="dxa"/>
            <w:vAlign w:val="bottom"/>
            <w:tcBorders>
              <w:right w:val="single" w:sz="8" w:color="023C5B"/>
            </w:tcBorders>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ind w:left="80"/>
              <w:spacing w:after="0"/>
              <w:rPr>
                <w:sz w:val="20"/>
                <w:szCs w:val="20"/>
                <w:color w:val="auto"/>
              </w:rPr>
            </w:pPr>
            <w:r>
              <w:rPr>
                <w:rFonts w:ascii="Arial" w:cs="Arial" w:eastAsia="Arial" w:hAnsi="Arial"/>
                <w:sz w:val="16"/>
                <w:szCs w:val="16"/>
                <w:color w:val="auto"/>
              </w:rPr>
              <w:t>vesting provisions</w:t>
            </w:r>
          </w:p>
        </w:tc>
        <w:tc>
          <w:tcPr>
            <w:tcW w:w="20" w:type="dxa"/>
            <w:vAlign w:val="bottom"/>
            <w:shd w:val="clear" w:color="auto" w:fill="023C5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023C5B"/>
              <w:right w:val="single" w:sz="8" w:color="023C5B"/>
            </w:tcBorders>
          </w:tcPr>
          <w:p>
            <w:pPr>
              <w:spacing w:after="0"/>
              <w:rPr>
                <w:sz w:val="20"/>
                <w:szCs w:val="20"/>
                <w:color w:val="auto"/>
              </w:rPr>
            </w:pPr>
          </w:p>
        </w:tc>
        <w:tc>
          <w:tcPr>
            <w:tcW w:w="1740" w:type="dxa"/>
            <w:vAlign w:val="bottom"/>
            <w:tcBorders>
              <w:right w:val="single" w:sz="8" w:color="023C5B"/>
            </w:tcBorders>
          </w:tcPr>
          <w:p>
            <w:pPr>
              <w:spacing w:after="0"/>
              <w:rPr>
                <w:sz w:val="20"/>
                <w:szCs w:val="20"/>
                <w:color w:val="auto"/>
              </w:rPr>
            </w:pPr>
          </w:p>
        </w:tc>
        <w:tc>
          <w:tcPr>
            <w:tcW w:w="2280" w:type="dxa"/>
            <w:vAlign w:val="bottom"/>
            <w:tcBorders>
              <w:right w:val="single" w:sz="8" w:color="023C5B"/>
            </w:tcBorders>
          </w:tcPr>
          <w:p>
            <w:pPr>
              <w:spacing w:after="0"/>
              <w:rPr>
                <w:sz w:val="20"/>
                <w:szCs w:val="20"/>
                <w:color w:val="auto"/>
              </w:rPr>
            </w:pPr>
          </w:p>
        </w:tc>
        <w:tc>
          <w:tcPr>
            <w:tcW w:w="2300" w:type="dxa"/>
            <w:vAlign w:val="bottom"/>
            <w:tcBorders>
              <w:right w:val="single" w:sz="8" w:color="023C5B"/>
            </w:tcBorders>
          </w:tcPr>
          <w:p>
            <w:pPr>
              <w:spacing w:after="0"/>
              <w:rPr>
                <w:sz w:val="20"/>
                <w:szCs w:val="20"/>
                <w:color w:val="auto"/>
              </w:rPr>
            </w:pPr>
          </w:p>
        </w:tc>
        <w:tc>
          <w:tcPr>
            <w:tcW w:w="28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000" w:type="dxa"/>
            <w:vAlign w:val="bottom"/>
          </w:tcPr>
          <w:p>
            <w:pPr>
              <w:ind w:left="80"/>
              <w:spacing w:after="0"/>
              <w:rPr>
                <w:sz w:val="20"/>
                <w:szCs w:val="20"/>
                <w:color w:val="auto"/>
              </w:rPr>
            </w:pPr>
            <w:r>
              <w:rPr>
                <w:rFonts w:ascii="Arial" w:cs="Arial" w:eastAsia="Arial" w:hAnsi="Arial"/>
                <w:sz w:val="16"/>
                <w:szCs w:val="16"/>
                <w:color w:val="auto"/>
              </w:rPr>
              <w:t>Misconduct clawback</w:t>
            </w:r>
          </w:p>
        </w:tc>
        <w:tc>
          <w:tcPr>
            <w:tcW w:w="20" w:type="dxa"/>
            <w:vAlign w:val="bottom"/>
            <w:shd w:val="clear" w:color="auto" w:fill="023C5B"/>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320" w:type="dxa"/>
            <w:vAlign w:val="bottom"/>
            <w:tcBorders>
              <w:left w:val="single" w:sz="8" w:color="023C5B"/>
              <w:right w:val="single" w:sz="8" w:color="023C5B"/>
            </w:tcBorders>
          </w:tcPr>
          <w:p>
            <w:pPr>
              <w:spacing w:after="0"/>
              <w:rPr>
                <w:sz w:val="17"/>
                <w:szCs w:val="17"/>
                <w:color w:val="auto"/>
              </w:rPr>
            </w:pPr>
          </w:p>
        </w:tc>
        <w:tc>
          <w:tcPr>
            <w:tcW w:w="1740" w:type="dxa"/>
            <w:vAlign w:val="bottom"/>
            <w:tcBorders>
              <w:right w:val="single" w:sz="8" w:color="023C5B"/>
            </w:tcBorders>
          </w:tcPr>
          <w:p>
            <w:pPr>
              <w:spacing w:after="0"/>
              <w:rPr>
                <w:sz w:val="17"/>
                <w:szCs w:val="17"/>
                <w:color w:val="auto"/>
              </w:rPr>
            </w:pPr>
          </w:p>
        </w:tc>
        <w:tc>
          <w:tcPr>
            <w:tcW w:w="2280" w:type="dxa"/>
            <w:vAlign w:val="bottom"/>
            <w:tcBorders>
              <w:right w:val="single" w:sz="8" w:color="023C5B"/>
            </w:tcBorders>
          </w:tcPr>
          <w:p>
            <w:pPr>
              <w:spacing w:after="0"/>
              <w:rPr>
                <w:sz w:val="17"/>
                <w:szCs w:val="17"/>
                <w:color w:val="auto"/>
              </w:rPr>
            </w:pPr>
          </w:p>
        </w:tc>
        <w:tc>
          <w:tcPr>
            <w:tcW w:w="2300" w:type="dxa"/>
            <w:vAlign w:val="bottom"/>
            <w:tcBorders>
              <w:right w:val="single" w:sz="8" w:color="023C5B"/>
            </w:tcBorders>
          </w:tcPr>
          <w:p>
            <w:pPr>
              <w:spacing w:after="0"/>
              <w:rPr>
                <w:sz w:val="17"/>
                <w:szCs w:val="17"/>
                <w:color w:val="auto"/>
              </w:rPr>
            </w:pPr>
          </w:p>
        </w:tc>
        <w:tc>
          <w:tcPr>
            <w:tcW w:w="280" w:type="dxa"/>
            <w:vAlign w:val="bottom"/>
          </w:tcPr>
          <w:p>
            <w:pPr>
              <w:ind w:left="100"/>
              <w:spacing w:after="0" w:line="141" w:lineRule="exact"/>
              <w:rPr>
                <w:sz w:val="20"/>
                <w:szCs w:val="20"/>
                <w:color w:val="auto"/>
              </w:rPr>
            </w:pPr>
            <w:r>
              <w:rPr>
                <w:rFonts w:ascii="MS PGothic" w:cs="MS PGothic" w:eastAsia="MS PGothic" w:hAnsi="MS PGothic"/>
                <w:sz w:val="14"/>
                <w:szCs w:val="14"/>
                <w:color w:val="023C5B"/>
              </w:rPr>
              <w:t>∎</w:t>
            </w:r>
          </w:p>
        </w:tc>
        <w:tc>
          <w:tcPr>
            <w:tcW w:w="2000" w:type="dxa"/>
            <w:vAlign w:val="bottom"/>
          </w:tcPr>
          <w:p>
            <w:pPr>
              <w:ind w:left="80"/>
              <w:spacing w:after="0"/>
              <w:rPr>
                <w:sz w:val="20"/>
                <w:szCs w:val="20"/>
                <w:color w:val="auto"/>
              </w:rPr>
            </w:pPr>
            <w:r>
              <w:rPr>
                <w:rFonts w:ascii="Arial" w:cs="Arial" w:eastAsia="Arial" w:hAnsi="Arial"/>
                <w:sz w:val="16"/>
                <w:szCs w:val="16"/>
                <w:color w:val="auto"/>
              </w:rPr>
              <w:t>Financial restatement</w:t>
            </w:r>
          </w:p>
        </w:tc>
        <w:tc>
          <w:tcPr>
            <w:tcW w:w="20" w:type="dxa"/>
            <w:vAlign w:val="bottom"/>
            <w:shd w:val="clear" w:color="auto" w:fill="023C5B"/>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320" w:type="dxa"/>
            <w:vAlign w:val="bottom"/>
            <w:tcBorders>
              <w:left w:val="single" w:sz="8" w:color="023C5B"/>
              <w:right w:val="single" w:sz="8" w:color="023C5B"/>
            </w:tcBorders>
          </w:tcPr>
          <w:p>
            <w:pPr>
              <w:spacing w:after="0"/>
              <w:rPr>
                <w:sz w:val="18"/>
                <w:szCs w:val="18"/>
                <w:color w:val="auto"/>
              </w:rPr>
            </w:pPr>
          </w:p>
        </w:tc>
        <w:tc>
          <w:tcPr>
            <w:tcW w:w="1740" w:type="dxa"/>
            <w:vAlign w:val="bottom"/>
            <w:tcBorders>
              <w:right w:val="single" w:sz="8" w:color="023C5B"/>
            </w:tcBorders>
          </w:tcPr>
          <w:p>
            <w:pPr>
              <w:spacing w:after="0"/>
              <w:rPr>
                <w:sz w:val="18"/>
                <w:szCs w:val="18"/>
                <w:color w:val="auto"/>
              </w:rPr>
            </w:pPr>
          </w:p>
        </w:tc>
        <w:tc>
          <w:tcPr>
            <w:tcW w:w="2280" w:type="dxa"/>
            <w:vAlign w:val="bottom"/>
            <w:tcBorders>
              <w:right w:val="single" w:sz="8" w:color="023C5B"/>
            </w:tcBorders>
          </w:tcPr>
          <w:p>
            <w:pPr>
              <w:spacing w:after="0"/>
              <w:rPr>
                <w:sz w:val="18"/>
                <w:szCs w:val="18"/>
                <w:color w:val="auto"/>
              </w:rPr>
            </w:pPr>
          </w:p>
        </w:tc>
        <w:tc>
          <w:tcPr>
            <w:tcW w:w="2300" w:type="dxa"/>
            <w:vAlign w:val="bottom"/>
            <w:tcBorders>
              <w:right w:val="single" w:sz="8" w:color="023C5B"/>
            </w:tcBorders>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ind w:left="80"/>
              <w:spacing w:after="0"/>
              <w:rPr>
                <w:sz w:val="20"/>
                <w:szCs w:val="20"/>
                <w:color w:val="auto"/>
              </w:rPr>
            </w:pPr>
            <w:r>
              <w:rPr>
                <w:rFonts w:ascii="Arial" w:cs="Arial" w:eastAsia="Arial" w:hAnsi="Arial"/>
                <w:sz w:val="16"/>
                <w:szCs w:val="16"/>
                <w:color w:val="auto"/>
              </w:rPr>
              <w:t>clawback</w:t>
            </w:r>
          </w:p>
        </w:tc>
        <w:tc>
          <w:tcPr>
            <w:tcW w:w="20" w:type="dxa"/>
            <w:vAlign w:val="bottom"/>
            <w:shd w:val="clear" w:color="auto" w:fill="023C5B"/>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320" w:type="dxa"/>
            <w:vAlign w:val="bottom"/>
            <w:tcBorders>
              <w:left w:val="single" w:sz="8" w:color="023C5B"/>
              <w:bottom w:val="single" w:sz="8" w:color="023C5B"/>
              <w:right w:val="single" w:sz="8" w:color="023C5B"/>
            </w:tcBorders>
          </w:tcPr>
          <w:p>
            <w:pPr>
              <w:spacing w:after="0"/>
              <w:rPr>
                <w:sz w:val="10"/>
                <w:szCs w:val="10"/>
                <w:color w:val="auto"/>
              </w:rPr>
            </w:pPr>
          </w:p>
        </w:tc>
        <w:tc>
          <w:tcPr>
            <w:tcW w:w="1740" w:type="dxa"/>
            <w:vAlign w:val="bottom"/>
            <w:tcBorders>
              <w:bottom w:val="single" w:sz="8" w:color="023C5B"/>
              <w:right w:val="single" w:sz="8" w:color="023C5B"/>
            </w:tcBorders>
          </w:tcPr>
          <w:p>
            <w:pPr>
              <w:spacing w:after="0"/>
              <w:rPr>
                <w:sz w:val="10"/>
                <w:szCs w:val="10"/>
                <w:color w:val="auto"/>
              </w:rPr>
            </w:pPr>
          </w:p>
        </w:tc>
        <w:tc>
          <w:tcPr>
            <w:tcW w:w="2280" w:type="dxa"/>
            <w:vAlign w:val="bottom"/>
            <w:tcBorders>
              <w:bottom w:val="single" w:sz="8" w:color="023C5B"/>
              <w:right w:val="single" w:sz="8" w:color="023C5B"/>
            </w:tcBorders>
          </w:tcPr>
          <w:p>
            <w:pPr>
              <w:spacing w:after="0"/>
              <w:rPr>
                <w:sz w:val="10"/>
                <w:szCs w:val="10"/>
                <w:color w:val="auto"/>
              </w:rPr>
            </w:pPr>
          </w:p>
        </w:tc>
        <w:tc>
          <w:tcPr>
            <w:tcW w:w="2300" w:type="dxa"/>
            <w:vAlign w:val="bottom"/>
            <w:tcBorders>
              <w:bottom w:val="single" w:sz="8" w:color="023C5B"/>
              <w:right w:val="single" w:sz="8" w:color="023C5B"/>
            </w:tcBorders>
          </w:tcPr>
          <w:p>
            <w:pPr>
              <w:spacing w:after="0"/>
              <w:rPr>
                <w:sz w:val="10"/>
                <w:szCs w:val="10"/>
                <w:color w:val="auto"/>
              </w:rPr>
            </w:pPr>
          </w:p>
        </w:tc>
        <w:tc>
          <w:tcPr>
            <w:tcW w:w="280" w:type="dxa"/>
            <w:vAlign w:val="bottom"/>
            <w:tcBorders>
              <w:bottom w:val="single" w:sz="8" w:color="023C5B"/>
            </w:tcBorders>
          </w:tcPr>
          <w:p>
            <w:pPr>
              <w:spacing w:after="0"/>
              <w:rPr>
                <w:sz w:val="10"/>
                <w:szCs w:val="10"/>
                <w:color w:val="auto"/>
              </w:rPr>
            </w:pPr>
          </w:p>
        </w:tc>
        <w:tc>
          <w:tcPr>
            <w:tcW w:w="2000" w:type="dxa"/>
            <w:vAlign w:val="bottom"/>
            <w:tcBorders>
              <w:bottom w:val="single" w:sz="8" w:color="023C5B"/>
            </w:tcBorders>
          </w:tcPr>
          <w:p>
            <w:pPr>
              <w:spacing w:after="0"/>
              <w:rPr>
                <w:sz w:val="10"/>
                <w:szCs w:val="10"/>
                <w:color w:val="auto"/>
              </w:rPr>
            </w:pPr>
          </w:p>
        </w:tc>
        <w:tc>
          <w:tcPr>
            <w:tcW w:w="20" w:type="dxa"/>
            <w:vAlign w:val="bottom"/>
            <w:tcBorders>
              <w:bottom w:val="single" w:sz="8" w:color="023C5B"/>
            </w:tcBorders>
            <w:shd w:val="clear" w:color="auto" w:fill="023C5B"/>
          </w:tcPr>
          <w:p>
            <w:pPr>
              <w:spacing w:after="0"/>
              <w:rPr>
                <w:sz w:val="10"/>
                <w:szCs w:val="1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160" w:right="20"/>
        <w:spacing w:after="0" w:line="249" w:lineRule="auto"/>
        <w:rPr>
          <w:sz w:val="20"/>
          <w:szCs w:val="20"/>
          <w:color w:val="auto"/>
        </w:rPr>
      </w:pPr>
      <w:r>
        <w:rPr>
          <w:rFonts w:ascii="Arial" w:cs="Arial" w:eastAsia="Arial" w:hAnsi="Arial"/>
          <w:sz w:val="18"/>
          <w:szCs w:val="18"/>
          <w:color w:val="auto"/>
        </w:rPr>
        <w:t>See “Additional Performance Conditions and Recovery Provisions” beginning on page 88 for more details regarding the performance and recovery provisions applicable to each element of compensation that the Committee approved for the 2025 performance year for the NEOs.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Based on the above framework, the Committee and the Independent Directors determined the 2025 total target compensation for each</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NEO by considering the following factors:</w:t>
      </w:r>
    </w:p>
    <w:p>
      <w:pPr>
        <w:spacing w:after="0" w:line="162" w:lineRule="exact"/>
        <w:rPr>
          <w:sz w:val="20"/>
          <w:szCs w:val="20"/>
          <w:color w:val="auto"/>
        </w:rPr>
      </w:pPr>
    </w:p>
    <w:p>
      <w:pPr>
        <w:ind w:left="1020" w:hanging="425"/>
        <w:spacing w:after="0"/>
        <w:tabs>
          <w:tab w:leader="none" w:pos="1020" w:val="left"/>
        </w:tabs>
        <w:numPr>
          <w:ilvl w:val="0"/>
          <w:numId w:val="9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each NEO’s performance relative to the Company’s strategic objectives</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9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Capital One’s financial performance</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9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NEO’s appropriate management of risk</w:t>
      </w:r>
    </w:p>
    <w:p>
      <w:pPr>
        <w:spacing w:after="0" w:line="206" w:lineRule="exact"/>
        <w:rPr>
          <w:rFonts w:ascii="MS PGothic" w:cs="MS PGothic" w:eastAsia="MS PGothic" w:hAnsi="MS PGothic"/>
          <w:sz w:val="29"/>
          <w:szCs w:val="29"/>
          <w:color w:val="023C5B"/>
          <w:vertAlign w:val="superscript"/>
        </w:rPr>
      </w:pPr>
    </w:p>
    <w:p>
      <w:pPr>
        <w:jc w:val="both"/>
        <w:ind w:left="1020" w:right="20" w:hanging="425"/>
        <w:spacing w:after="0" w:line="217" w:lineRule="auto"/>
        <w:tabs>
          <w:tab w:leader="none" w:pos="1020" w:val="left"/>
        </w:tabs>
        <w:numPr>
          <w:ilvl w:val="0"/>
          <w:numId w:val="9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role and qualifications of each NEO (for example, the NEO’s scope of responsibility, experience, and tenure and the demonstration of competencies consistent with the Company’s values and the ability to deliver strong, sustainable business results)</w:t>
      </w:r>
    </w:p>
    <w:p>
      <w:pPr>
        <w:spacing w:after="0" w:line="151" w:lineRule="exact"/>
        <w:rPr>
          <w:rFonts w:ascii="MS PGothic" w:cs="MS PGothic" w:eastAsia="MS PGothic" w:hAnsi="MS PGothic"/>
          <w:sz w:val="29"/>
          <w:szCs w:val="29"/>
          <w:color w:val="023C5B"/>
          <w:vertAlign w:val="superscript"/>
        </w:rPr>
      </w:pPr>
    </w:p>
    <w:p>
      <w:pPr>
        <w:ind w:left="1020" w:hanging="425"/>
        <w:spacing w:after="0"/>
        <w:tabs>
          <w:tab w:leader="none" w:pos="1020" w:val="left"/>
        </w:tabs>
        <w:numPr>
          <w:ilvl w:val="0"/>
          <w:numId w:val="9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appropriate internal pay differentials and the desire to foster teamwork and collaboration</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9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historical pay levels</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90"/>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available role-specific market compensation data from peer comparator companies</w:t>
      </w:r>
    </w:p>
    <w:p>
      <w:pPr>
        <w:spacing w:after="0" w:line="123"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-125095</wp:posOffset>
            </wp:positionV>
            <wp:extent cx="8255" cy="1784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100"/>
          </w:cols>
          <w:pgMar w:left="320" w:top="478"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91" w:lineRule="exact"/>
        <w:rPr>
          <w:sz w:val="20"/>
          <w:szCs w:val="20"/>
          <w:color w:val="auto"/>
        </w:rPr>
      </w:pPr>
    </w:p>
    <w:p>
      <w:pPr>
        <w:ind w:left="1020" w:hanging="425"/>
        <w:spacing w:after="0"/>
        <w:tabs>
          <w:tab w:leader="none" w:pos="1020" w:val="left"/>
        </w:tabs>
        <w:numPr>
          <w:ilvl w:val="0"/>
          <w:numId w:val="91"/>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available information on the structure of compensation packages for senior executives at peer comparator companies</w:t>
      </w:r>
    </w:p>
    <w:p>
      <w:pPr>
        <w:spacing w:after="0" w:line="179" w:lineRule="exact"/>
        <w:rPr>
          <w:rFonts w:ascii="MS PGothic" w:cs="MS PGothic" w:eastAsia="MS PGothic" w:hAnsi="MS PGothic"/>
          <w:sz w:val="29"/>
          <w:szCs w:val="29"/>
          <w:color w:val="023C5B"/>
          <w:vertAlign w:val="superscript"/>
        </w:rPr>
      </w:pPr>
    </w:p>
    <w:p>
      <w:pPr>
        <w:ind w:left="1020" w:hanging="425"/>
        <w:spacing w:after="0" w:line="232" w:lineRule="auto"/>
        <w:tabs>
          <w:tab w:leader="none" w:pos="1020" w:val="left"/>
        </w:tabs>
        <w:numPr>
          <w:ilvl w:val="0"/>
          <w:numId w:val="91"/>
        </w:numPr>
        <w:rPr>
          <w:rFonts w:ascii="MS PGothic" w:cs="MS PGothic" w:eastAsia="MS PGothic" w:hAnsi="MS PGothic"/>
          <w:sz w:val="27"/>
          <w:szCs w:val="27"/>
          <w:color w:val="023C5B"/>
          <w:vertAlign w:val="superscript"/>
        </w:rPr>
      </w:pPr>
      <w:r>
        <w:rPr>
          <w:rFonts w:ascii="Arial" w:cs="Arial" w:eastAsia="Arial" w:hAnsi="Arial"/>
          <w:sz w:val="17"/>
          <w:szCs w:val="17"/>
          <w:color w:val="auto"/>
        </w:rPr>
        <w:t>market trends in executive compensation (for example, current rates of pay and the prevalence and types of incentive vehicles)</w:t>
      </w:r>
    </w:p>
    <w:p>
      <w:pPr>
        <w:spacing w:after="0" w:line="180" w:lineRule="exact"/>
        <w:rPr>
          <w:rFonts w:ascii="MS PGothic" w:cs="MS PGothic" w:eastAsia="MS PGothic" w:hAnsi="MS PGothic"/>
          <w:sz w:val="27"/>
          <w:szCs w:val="27"/>
          <w:color w:val="023C5B"/>
          <w:vertAlign w:val="superscript"/>
        </w:rPr>
      </w:pPr>
    </w:p>
    <w:p>
      <w:pPr>
        <w:ind w:left="1020" w:hanging="425"/>
        <w:spacing w:after="0" w:line="216" w:lineRule="auto"/>
        <w:tabs>
          <w:tab w:leader="none" w:pos="1020" w:val="left"/>
        </w:tabs>
        <w:numPr>
          <w:ilvl w:val="0"/>
          <w:numId w:val="91"/>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overall structure of the executive compensation program</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Base Salaries</w:t>
      </w:r>
    </w:p>
    <w:p>
      <w:pPr>
        <w:spacing w:after="0" w:line="207"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In 2025, the Committee and the Independent Directors approved 2025 cash base salaries for the NEOs ranging from approximately $1.1 million to $1.4 million. Individual details for each NEO are provided in the “NEO Compensation by Performance Year” table found on page 85.</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Year-End Incentive Awards</w:t>
      </w:r>
    </w:p>
    <w:p>
      <w:pPr>
        <w:spacing w:after="0" w:line="20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A portion of the NEOs’ 2025 compensation consisted of an opportunity for a year-end incentive award based on Company and the NEO’s individual performance in 2025. This award, if granted, may consist of long-term incentive awards in the form of performance shares and/or RSUs, and a cash incentive award. In February 2026, the Committee and the Independent Directors determined to award each NEO performance shares, a cash incentive award, and RSUs as recognition of Company and NEO individual performance in 2025. The year-end incentive awards are subject to performance-based vesting and clawback provisions as discussed below under “Additional Performance Conditions and Recovery Provisions” beginning on page 88.</w:t>
      </w:r>
    </w:p>
    <w:p>
      <w:pPr>
        <w:spacing w:after="0" w:line="183"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023C5B"/>
        </w:rPr>
        <w:t>Cash Incentive Awards</w:t>
      </w:r>
    </w:p>
    <w:p>
      <w:pPr>
        <w:spacing w:after="0" w:line="20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cash incentive awards provided to the NEOs are based on the Committee’s evaluation of the Company’s performance during 2025. For purposes of the cash incentive awards, the Committee and the Independent Directors assess the Company’s performance based on the Performance Factors. The Committee believes that these factors appropriately reflect and balance near-term performance and long-term success for the Company’s customers, associates, and stockholders. See “Company Performance Assessment” beginning on page 74 for details regarding the Performance Factors.</w:t>
      </w:r>
    </w:p>
    <w:p>
      <w:pPr>
        <w:spacing w:after="0" w:line="182"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In February 2026, the Committee and the Independent Directors approved cash incentive awards for the NEOs ranging from approximately $ 2.1 million to $2.7 million based on the Company’s performance in 2025. Individual details for each NEO are provided in the table below showing compensation by performance year. The assessment of Company performance for the NEOs is consistent with the assessment performed in connection with the CEO year-end incentive award. The Committee and the Independent Directors determined that these awards were appropriate in light of the Company’s performance as described under “2025 Year-End Incentive Determination” beginning on page 73 in connection with the determinations by the Committee and the Independent Directors relating to the CEO’s year-end incentive awards.</w:t>
      </w:r>
    </w:p>
    <w:p>
      <w:pPr>
        <w:spacing w:after="0" w:line="183"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023C5B"/>
        </w:rPr>
        <w:t>Long-Term Incentive Awards</w:t>
      </w:r>
    </w:p>
    <w:p>
      <w:pPr>
        <w:spacing w:after="0" w:line="206"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Long-term incentive awards are designed to reward individual performance and align a significant portion of compensation with achievement of both annual and long-term performance goals. In determining the actual amounts to be awarded to each NEO, the Committee considered each NEO’s contribution to the Company’s performance for 2025, as well as the individual performance of each NEO. The Committee also received input from the CEO on his assessment of each NEO’s individual performance and his recommendations for compensation of the NEOs. The CEO also assessed the degree to which the NEO balanced risks inherent in the NEO’s role. These assessments included the use of both quantitative and qualitative risk measures and were compiled by the Chief Enterprise Risk Officer and reviewed by the Chief Human Resources Officer, and separately the Chief Audit Officer compiled and reviewed the assessment for the Chief Enterprise Risk Officer and Chief Credit and Financial Risk Officer, before such assessments were presented to the Committee and the Independent Directors for their consideration.</w:t>
      </w:r>
    </w:p>
    <w:p>
      <w:pPr>
        <w:spacing w:after="0" w:line="113"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In February 2026, the Committee and the Independent Directors granted annual long-term incentive awards, consisting of stock-settled RSUs and performance shares, to the NEOs, as recognition for individual NEO performance in 2025 and to drive further long-term performance. The long-term incentive awards granted to these NEOs for performance year 2025 ranged from approximately $3.3 million to $4.0 million. Long-term incentive awards are linked to performance in two ways:</w:t>
      </w:r>
    </w:p>
    <w:p>
      <w:pPr>
        <w:spacing w:after="0" w:line="150" w:lineRule="exact"/>
        <w:rPr>
          <w:sz w:val="20"/>
          <w:szCs w:val="20"/>
          <w:color w:val="auto"/>
        </w:rPr>
      </w:pPr>
    </w:p>
    <w:p>
      <w:pPr>
        <w:ind w:left="1020" w:hanging="425"/>
        <w:spacing w:after="0"/>
        <w:tabs>
          <w:tab w:leader="none" w:pos="1020" w:val="left"/>
        </w:tabs>
        <w:numPr>
          <w:ilvl w:val="0"/>
          <w:numId w:val="9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size of the award is based on each NEO’s individual performance assessment for the year just completed</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9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ultimate value of the award is dependent on Capital One’s performance over time</w:t>
      </w:r>
    </w:p>
    <w:p>
      <w:pPr>
        <w:spacing w:after="0" w:line="180"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terms of the performance share awards are substantially similar to the terms of the Financial Performance Shares awarded to our CEO for performance year 2025, as described earlier under “Performance Share Award Metrics” beginning on page 70. The NEOs do not receive TSR Performance Shares. The NEO stock-settled RSUs vest ratably in one-third increments starting on the first anniversary of the grant date.</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2025 NEO Year-End Incentive Compensation Decisions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Andrew M. Young - Chief Financial Officer</w:t>
      </w:r>
    </w:p>
    <w:p>
      <w:pPr>
        <w:spacing w:after="0" w:line="20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Mr. Young was awarded a cash incentive of $2,059,500 and long-term incentive awards consisting of 6,759 stock-settled RSUs and a target amount of 8,111 performance shares with a total grant date fair value for both awards of $3,321,066. The Committee and the Independent Directors determined to grant these awards in recognition of Mr. Young’s strong leadership of the Company’s finance organization. This included his pivotal role in successful change management around significant Company initiatives, his effectiveness in driving completion of the Discover Transaction, and his skilled management of investor communications. Additionally, the Committee and Independent Directors considered his accomplished oversight of the Company’s investments, liquidity needs, and capital requirements, as well as his sound judgment, contributions to strategic opportunities and positioning of the Company, and his dedication to talent development and Company culture.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Matthew W. Cooper - General Counsel and Corporate Secretary and President, Discover Integration</w:t>
      </w:r>
    </w:p>
    <w:p>
      <w:pPr>
        <w:spacing w:after="0" w:line="208"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Mr. Cooper was awarded a cash incentive of $2,400,000 and long-term incentive awards consisting of 8,239 stock-settled RSUs and a target amount of 9,887 performance shares with a total grant date fair value for both awards of $4,048,261. The Committee and the Independent Directors determined to grant these awards to Mr. Cooper based upon his effective management of the integration and regulatory components of the Discover Transaction, his leadership as a cultural ambassador to Discover, his excellent execution of significant and complex legal matters, and his role as a key advisor on the Company’s strategic initiatives and risk management. The Committee and the Independent Directors also considered Mr. Cooper’s broad knowledge and strategic value, his success in building a strong and talented legal team at all levels, and his commitment to thoughtful, people-focused leadership.</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Mark Daniel Mouadeb - President, Card</w:t>
      </w:r>
    </w:p>
    <w:p>
      <w:pPr>
        <w:spacing w:after="0" w:line="208"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Mr. Mouadeb was awarded a cash incentive of $2,457,000 and long-term incentive awards consisting of 7,331 stock-settled RSUs and a target amount of 8,798 performance shares with a total grant date fair value for both awards of $3,602,251. The Committee and the Independent Directors determined to grant these awards based upon Mr. Mouadeb’s exceptional leadership of the Card business, where he drove strong performance, leveraged growth opportunities and delivered high-quality products. The Committee and the Independent Directors also considered his success in integrating Discover Card onto Capital One’s systems and leading international business alignment, his pivotal role in modernizing technology for the Card business, and his contribution of strategic business solutions to position the business for market growth, while maintaining credit quality.</w:t>
      </w:r>
    </w:p>
    <w:p>
      <w:pPr>
        <w:spacing w:after="0" w:line="107"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Frank G. LaPrade, III - Chief Enterprise Services Officer and Chief of Staff to the CEO</w:t>
      </w:r>
    </w:p>
    <w:p>
      <w:pPr>
        <w:spacing w:after="0" w:line="20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Mr. LaPrade was awarded a cash incentive of $2,730,000 and long-term incentive awards consisting of 8,150 stock-settled RSUs and a target amount of 9,779 performance shares with a total grant date fair value for both awards of $4,004,263. The Committee and the Independent Directors based their consideration on Mr. LaPrade’s critical involvement in numerous strategic priorities, including his leadership in transforming the Company’s technology and data infrastructure, guiding the market strategy for the Discover Transaction and Community Benefits Plan, and expertly negotiating key vendor contracts. The Committee and the Independent Directors also considered his achievements of high-performing brand campaigns, his balanced decision-making, and his prudent, thorough approach to risk management, as well as his significant ability to inspire teams across the enterprise, his skill in addressing complex challenges, and his proven success in attracting, developing, and retaining high-caliber associates.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NEO Compensation by Performance Year</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 below shows actual NEO compensation as it is attributable to the performance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160655</wp:posOffset>
            </wp:positionV>
            <wp:extent cx="4271645" cy="32696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271645" cy="3269615"/>
                    </a:xfrm>
                    <a:prstGeom prst="rect">
                      <a:avLst/>
                    </a:prstGeom>
                    <a:noFill/>
                  </pic:spPr>
                </pic:pic>
              </a:graphicData>
            </a:graphic>
          </wp:anchor>
        </w:drawing>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301"/>
        </w:trPr>
        <w:tc>
          <w:tcPr>
            <w:tcW w:w="1220" w:type="dxa"/>
            <w:vAlign w:val="bottom"/>
            <w:shd w:val="clear" w:color="auto" w:fill="023C5B"/>
          </w:tcPr>
          <w:p>
            <w:pPr>
              <w:spacing w:after="0"/>
              <w:rPr>
                <w:sz w:val="24"/>
                <w:szCs w:val="24"/>
                <w:color w:val="auto"/>
              </w:rPr>
            </w:pPr>
          </w:p>
        </w:tc>
        <w:tc>
          <w:tcPr>
            <w:tcW w:w="2980" w:type="dxa"/>
            <w:vAlign w:val="bottom"/>
            <w:shd w:val="clear" w:color="auto" w:fill="023C5B"/>
          </w:tcPr>
          <w:p>
            <w:pPr>
              <w:spacing w:after="0"/>
              <w:rPr>
                <w:sz w:val="24"/>
                <w:szCs w:val="24"/>
                <w:color w:val="auto"/>
              </w:rPr>
            </w:pPr>
          </w:p>
        </w:tc>
        <w:tc>
          <w:tcPr>
            <w:tcW w:w="40" w:type="dxa"/>
            <w:vAlign w:val="bottom"/>
            <w:tcBorders>
              <w:right w:val="single" w:sz="8" w:color="023C5B"/>
            </w:tcBorders>
            <w:shd w:val="clear" w:color="auto" w:fill="023C5B"/>
          </w:tcPr>
          <w:p>
            <w:pPr>
              <w:spacing w:after="0"/>
              <w:rPr>
                <w:sz w:val="24"/>
                <w:szCs w:val="24"/>
                <w:color w:val="auto"/>
              </w:rPr>
            </w:pPr>
          </w:p>
        </w:tc>
        <w:tc>
          <w:tcPr>
            <w:tcW w:w="1220" w:type="dxa"/>
            <w:vAlign w:val="bottom"/>
            <w:shd w:val="clear" w:color="auto" w:fill="023C5B"/>
          </w:tcPr>
          <w:p>
            <w:pPr>
              <w:spacing w:after="0"/>
              <w:rPr>
                <w:sz w:val="24"/>
                <w:szCs w:val="24"/>
                <w:color w:val="auto"/>
              </w:rPr>
            </w:pPr>
          </w:p>
        </w:tc>
        <w:tc>
          <w:tcPr>
            <w:tcW w:w="20" w:type="dxa"/>
            <w:vAlign w:val="bottom"/>
            <w:shd w:val="clear" w:color="auto" w:fill="023C5B"/>
          </w:tcPr>
          <w:p>
            <w:pPr>
              <w:spacing w:after="0"/>
              <w:rPr>
                <w:sz w:val="24"/>
                <w:szCs w:val="24"/>
                <w:color w:val="auto"/>
              </w:rPr>
            </w:pPr>
          </w:p>
        </w:tc>
        <w:tc>
          <w:tcPr>
            <w:tcW w:w="20" w:type="dxa"/>
            <w:vAlign w:val="bottom"/>
            <w:shd w:val="clear" w:color="auto" w:fill="023C5B"/>
          </w:tcPr>
          <w:p>
            <w:pPr>
              <w:spacing w:after="0"/>
              <w:rPr>
                <w:sz w:val="24"/>
                <w:szCs w:val="24"/>
                <w:color w:val="auto"/>
              </w:rPr>
            </w:pPr>
          </w:p>
        </w:tc>
        <w:tc>
          <w:tcPr>
            <w:tcW w:w="124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Base Salary</w:t>
            </w:r>
          </w:p>
        </w:tc>
        <w:tc>
          <w:tcPr>
            <w:tcW w:w="900" w:type="dxa"/>
            <w:vAlign w:val="bottom"/>
            <w:shd w:val="clear" w:color="auto" w:fill="023C5B"/>
          </w:tcPr>
          <w:p>
            <w:pPr>
              <w:spacing w:after="0"/>
              <w:rPr>
                <w:sz w:val="24"/>
                <w:szCs w:val="24"/>
                <w:color w:val="auto"/>
              </w:rPr>
            </w:pPr>
          </w:p>
        </w:tc>
        <w:tc>
          <w:tcPr>
            <w:tcW w:w="2340" w:type="dxa"/>
            <w:vAlign w:val="bottom"/>
            <w:gridSpan w:val="6"/>
            <w:shd w:val="clear" w:color="auto" w:fill="023C5B"/>
          </w:tcPr>
          <w:p>
            <w:pPr>
              <w:ind w:left="20"/>
              <w:spacing w:after="0"/>
              <w:rPr>
                <w:sz w:val="20"/>
                <w:szCs w:val="20"/>
                <w:color w:val="auto"/>
              </w:rPr>
            </w:pPr>
            <w:r>
              <w:rPr>
                <w:rFonts w:ascii="Arial" w:cs="Arial" w:eastAsia="Arial" w:hAnsi="Arial"/>
                <w:sz w:val="16"/>
                <w:szCs w:val="16"/>
                <w:b w:val="1"/>
                <w:bCs w:val="1"/>
                <w:color w:val="FFFFFF"/>
              </w:rPr>
              <w:t>Year-End Incentive</w:t>
            </w:r>
          </w:p>
        </w:tc>
        <w:tc>
          <w:tcPr>
            <w:tcW w:w="20" w:type="dxa"/>
            <w:vAlign w:val="bottom"/>
            <w:shd w:val="clear" w:color="auto" w:fill="023C5B"/>
          </w:tcPr>
          <w:p>
            <w:pPr>
              <w:spacing w:after="0"/>
              <w:rPr>
                <w:sz w:val="24"/>
                <w:szCs w:val="24"/>
                <w:color w:val="auto"/>
              </w:rPr>
            </w:pPr>
          </w:p>
        </w:tc>
        <w:tc>
          <w:tcPr>
            <w:tcW w:w="920" w:type="dxa"/>
            <w:vAlign w:val="bottom"/>
            <w:shd w:val="clear" w:color="auto" w:fill="023C5B"/>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220" w:type="dxa"/>
            <w:vAlign w:val="bottom"/>
            <w:shd w:val="clear" w:color="auto" w:fill="023C5B"/>
          </w:tcPr>
          <w:p>
            <w:pPr>
              <w:spacing w:after="0"/>
              <w:rPr>
                <w:sz w:val="24"/>
                <w:szCs w:val="24"/>
                <w:color w:val="auto"/>
              </w:rPr>
            </w:pPr>
          </w:p>
        </w:tc>
        <w:tc>
          <w:tcPr>
            <w:tcW w:w="2980" w:type="dxa"/>
            <w:vAlign w:val="bottom"/>
            <w:shd w:val="clear" w:color="auto" w:fill="023C5B"/>
          </w:tcPr>
          <w:p>
            <w:pPr>
              <w:spacing w:after="0"/>
              <w:rPr>
                <w:sz w:val="24"/>
                <w:szCs w:val="24"/>
                <w:color w:val="auto"/>
              </w:rPr>
            </w:pPr>
          </w:p>
        </w:tc>
        <w:tc>
          <w:tcPr>
            <w:tcW w:w="40" w:type="dxa"/>
            <w:vAlign w:val="bottom"/>
            <w:tcBorders>
              <w:right w:val="single" w:sz="8" w:color="023C5B"/>
            </w:tcBorders>
            <w:shd w:val="clear" w:color="auto" w:fill="023C5B"/>
          </w:tcPr>
          <w:p>
            <w:pPr>
              <w:spacing w:after="0"/>
              <w:rPr>
                <w:sz w:val="24"/>
                <w:szCs w:val="24"/>
                <w:color w:val="auto"/>
              </w:rPr>
            </w:pPr>
          </w:p>
        </w:tc>
        <w:tc>
          <w:tcPr>
            <w:tcW w:w="1220" w:type="dxa"/>
            <w:vAlign w:val="bottom"/>
            <w:shd w:val="clear" w:color="auto" w:fill="023C5B"/>
          </w:tcPr>
          <w:p>
            <w:pPr>
              <w:spacing w:after="0"/>
              <w:rPr>
                <w:sz w:val="24"/>
                <w:szCs w:val="24"/>
                <w:color w:val="auto"/>
              </w:rPr>
            </w:pPr>
          </w:p>
        </w:tc>
        <w:tc>
          <w:tcPr>
            <w:tcW w:w="20" w:type="dxa"/>
            <w:vAlign w:val="bottom"/>
            <w:shd w:val="clear" w:color="auto" w:fill="023C5B"/>
          </w:tcPr>
          <w:p>
            <w:pPr>
              <w:spacing w:after="0"/>
              <w:rPr>
                <w:sz w:val="24"/>
                <w:szCs w:val="24"/>
                <w:color w:val="auto"/>
              </w:rPr>
            </w:pPr>
          </w:p>
        </w:tc>
        <w:tc>
          <w:tcPr>
            <w:tcW w:w="20" w:type="dxa"/>
            <w:vAlign w:val="bottom"/>
            <w:shd w:val="clear" w:color="auto" w:fill="023C5B"/>
          </w:tcPr>
          <w:p>
            <w:pPr>
              <w:spacing w:after="0"/>
              <w:rPr>
                <w:sz w:val="24"/>
                <w:szCs w:val="24"/>
                <w:color w:val="auto"/>
              </w:rPr>
            </w:pPr>
          </w:p>
        </w:tc>
        <w:tc>
          <w:tcPr>
            <w:tcW w:w="1180" w:type="dxa"/>
            <w:vAlign w:val="bottom"/>
            <w:shd w:val="clear" w:color="auto" w:fill="023C5B"/>
          </w:tcPr>
          <w:p>
            <w:pPr>
              <w:spacing w:after="0"/>
              <w:rPr>
                <w:sz w:val="24"/>
                <w:szCs w:val="24"/>
                <w:color w:val="auto"/>
              </w:rPr>
            </w:pPr>
          </w:p>
        </w:tc>
        <w:tc>
          <w:tcPr>
            <w:tcW w:w="60" w:type="dxa"/>
            <w:vAlign w:val="bottom"/>
            <w:shd w:val="clear" w:color="auto" w:fill="023C5B"/>
          </w:tcPr>
          <w:p>
            <w:pPr>
              <w:spacing w:after="0"/>
              <w:rPr>
                <w:sz w:val="24"/>
                <w:szCs w:val="24"/>
                <w:color w:val="auto"/>
              </w:rPr>
            </w:pPr>
          </w:p>
        </w:tc>
        <w:tc>
          <w:tcPr>
            <w:tcW w:w="900" w:type="dxa"/>
            <w:vAlign w:val="bottom"/>
            <w:shd w:val="clear" w:color="auto" w:fill="023C5B"/>
          </w:tcPr>
          <w:p>
            <w:pPr>
              <w:spacing w:after="0"/>
              <w:rPr>
                <w:sz w:val="24"/>
                <w:szCs w:val="24"/>
                <w:color w:val="auto"/>
              </w:rPr>
            </w:pPr>
          </w:p>
        </w:tc>
        <w:tc>
          <w:tcPr>
            <w:tcW w:w="40" w:type="dxa"/>
            <w:vAlign w:val="bottom"/>
            <w:shd w:val="clear" w:color="auto" w:fill="023C5B"/>
          </w:tcPr>
          <w:p>
            <w:pPr>
              <w:spacing w:after="0"/>
              <w:rPr>
                <w:sz w:val="24"/>
                <w:szCs w:val="24"/>
                <w:color w:val="auto"/>
              </w:rPr>
            </w:pPr>
          </w:p>
        </w:tc>
        <w:tc>
          <w:tcPr>
            <w:tcW w:w="40" w:type="dxa"/>
            <w:vAlign w:val="bottom"/>
            <w:shd w:val="clear" w:color="auto" w:fill="023C5B"/>
          </w:tcPr>
          <w:p>
            <w:pPr>
              <w:spacing w:after="0"/>
              <w:rPr>
                <w:sz w:val="24"/>
                <w:szCs w:val="24"/>
                <w:color w:val="auto"/>
              </w:rPr>
            </w:pPr>
          </w:p>
        </w:tc>
        <w:tc>
          <w:tcPr>
            <w:tcW w:w="2260" w:type="dxa"/>
            <w:vAlign w:val="bottom"/>
            <w:gridSpan w:val="4"/>
            <w:shd w:val="clear" w:color="auto" w:fill="023C5B"/>
          </w:tcPr>
          <w:p>
            <w:pPr>
              <w:jc w:val="center"/>
              <w:spacing w:after="0"/>
              <w:rPr>
                <w:sz w:val="20"/>
                <w:szCs w:val="20"/>
                <w:color w:val="auto"/>
              </w:rPr>
            </w:pPr>
            <w:r>
              <w:rPr>
                <w:rFonts w:ascii="Arial" w:cs="Arial" w:eastAsia="Arial" w:hAnsi="Arial"/>
                <w:sz w:val="16"/>
                <w:szCs w:val="16"/>
                <w:b w:val="1"/>
                <w:bCs w:val="1"/>
                <w:color w:val="FFFFFF"/>
              </w:rPr>
              <w:t>Long-Term Incentive</w:t>
            </w:r>
          </w:p>
        </w:tc>
        <w:tc>
          <w:tcPr>
            <w:tcW w:w="20" w:type="dxa"/>
            <w:vAlign w:val="bottom"/>
            <w:shd w:val="clear" w:color="auto" w:fill="023C5B"/>
          </w:tcPr>
          <w:p>
            <w:pPr>
              <w:spacing w:after="0"/>
              <w:rPr>
                <w:sz w:val="24"/>
                <w:szCs w:val="24"/>
                <w:color w:val="auto"/>
              </w:rPr>
            </w:pPr>
          </w:p>
        </w:tc>
        <w:tc>
          <w:tcPr>
            <w:tcW w:w="920" w:type="dxa"/>
            <w:vAlign w:val="bottom"/>
            <w:shd w:val="clear" w:color="auto" w:fill="023C5B"/>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220" w:type="dxa"/>
            <w:vAlign w:val="bottom"/>
            <w:shd w:val="clear" w:color="auto" w:fill="023C5B"/>
          </w:tcPr>
          <w:p>
            <w:pPr>
              <w:spacing w:after="0"/>
              <w:rPr>
                <w:sz w:val="24"/>
                <w:szCs w:val="24"/>
                <w:color w:val="auto"/>
              </w:rPr>
            </w:pPr>
          </w:p>
        </w:tc>
        <w:tc>
          <w:tcPr>
            <w:tcW w:w="2980" w:type="dxa"/>
            <w:vAlign w:val="bottom"/>
            <w:shd w:val="clear" w:color="auto" w:fill="023C5B"/>
          </w:tcPr>
          <w:p>
            <w:pPr>
              <w:spacing w:after="0"/>
              <w:rPr>
                <w:sz w:val="24"/>
                <w:szCs w:val="24"/>
                <w:color w:val="auto"/>
              </w:rPr>
            </w:pPr>
          </w:p>
        </w:tc>
        <w:tc>
          <w:tcPr>
            <w:tcW w:w="40" w:type="dxa"/>
            <w:vAlign w:val="bottom"/>
            <w:tcBorders>
              <w:right w:val="single" w:sz="8" w:color="023C5B"/>
            </w:tcBorders>
            <w:shd w:val="clear" w:color="auto" w:fill="023C5B"/>
          </w:tcPr>
          <w:p>
            <w:pPr>
              <w:spacing w:after="0"/>
              <w:rPr>
                <w:sz w:val="24"/>
                <w:szCs w:val="24"/>
                <w:color w:val="auto"/>
              </w:rPr>
            </w:pPr>
          </w:p>
        </w:tc>
        <w:tc>
          <w:tcPr>
            <w:tcW w:w="1220" w:type="dxa"/>
            <w:vAlign w:val="bottom"/>
            <w:shd w:val="clear" w:color="auto" w:fill="023C5B"/>
          </w:tcPr>
          <w:p>
            <w:pPr>
              <w:spacing w:after="0"/>
              <w:rPr>
                <w:sz w:val="24"/>
                <w:szCs w:val="24"/>
                <w:color w:val="auto"/>
              </w:rPr>
            </w:pPr>
          </w:p>
        </w:tc>
        <w:tc>
          <w:tcPr>
            <w:tcW w:w="20" w:type="dxa"/>
            <w:vAlign w:val="bottom"/>
            <w:shd w:val="clear" w:color="auto" w:fill="023C5B"/>
          </w:tcPr>
          <w:p>
            <w:pPr>
              <w:spacing w:after="0"/>
              <w:rPr>
                <w:sz w:val="24"/>
                <w:szCs w:val="24"/>
                <w:color w:val="auto"/>
              </w:rPr>
            </w:pPr>
          </w:p>
        </w:tc>
        <w:tc>
          <w:tcPr>
            <w:tcW w:w="20" w:type="dxa"/>
            <w:vAlign w:val="bottom"/>
            <w:shd w:val="clear" w:color="auto" w:fill="023C5B"/>
          </w:tcPr>
          <w:p>
            <w:pPr>
              <w:spacing w:after="0"/>
              <w:rPr>
                <w:sz w:val="24"/>
                <w:szCs w:val="24"/>
                <w:color w:val="auto"/>
              </w:rPr>
            </w:pPr>
          </w:p>
        </w:tc>
        <w:tc>
          <w:tcPr>
            <w:tcW w:w="1180" w:type="dxa"/>
            <w:vAlign w:val="bottom"/>
            <w:shd w:val="clear" w:color="auto" w:fill="023C5B"/>
          </w:tcPr>
          <w:p>
            <w:pPr>
              <w:spacing w:after="0"/>
              <w:rPr>
                <w:sz w:val="24"/>
                <w:szCs w:val="24"/>
                <w:color w:val="auto"/>
              </w:rPr>
            </w:pPr>
          </w:p>
        </w:tc>
        <w:tc>
          <w:tcPr>
            <w:tcW w:w="60" w:type="dxa"/>
            <w:vAlign w:val="bottom"/>
            <w:shd w:val="clear" w:color="auto" w:fill="023C5B"/>
          </w:tcPr>
          <w:p>
            <w:pPr>
              <w:spacing w:after="0"/>
              <w:rPr>
                <w:sz w:val="24"/>
                <w:szCs w:val="24"/>
                <w:color w:val="auto"/>
              </w:rPr>
            </w:pPr>
          </w:p>
        </w:tc>
        <w:tc>
          <w:tcPr>
            <w:tcW w:w="900" w:type="dxa"/>
            <w:vAlign w:val="bottom"/>
            <w:shd w:val="clear" w:color="auto" w:fill="023C5B"/>
          </w:tcPr>
          <w:p>
            <w:pPr>
              <w:spacing w:after="0"/>
              <w:rPr>
                <w:sz w:val="24"/>
                <w:szCs w:val="24"/>
                <w:color w:val="auto"/>
              </w:rPr>
            </w:pPr>
          </w:p>
        </w:tc>
        <w:tc>
          <w:tcPr>
            <w:tcW w:w="40" w:type="dxa"/>
            <w:vAlign w:val="bottom"/>
            <w:shd w:val="clear" w:color="auto" w:fill="023C5B"/>
          </w:tcPr>
          <w:p>
            <w:pPr>
              <w:spacing w:after="0"/>
              <w:rPr>
                <w:sz w:val="24"/>
                <w:szCs w:val="24"/>
                <w:color w:val="auto"/>
              </w:rPr>
            </w:pPr>
          </w:p>
        </w:tc>
        <w:tc>
          <w:tcPr>
            <w:tcW w:w="40" w:type="dxa"/>
            <w:vAlign w:val="bottom"/>
            <w:shd w:val="clear" w:color="auto" w:fill="023C5B"/>
          </w:tcPr>
          <w:p>
            <w:pPr>
              <w:spacing w:after="0"/>
              <w:rPr>
                <w:sz w:val="24"/>
                <w:szCs w:val="24"/>
                <w:color w:val="auto"/>
              </w:rPr>
            </w:pPr>
          </w:p>
        </w:tc>
        <w:tc>
          <w:tcPr>
            <w:tcW w:w="100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Stock-</w:t>
            </w:r>
          </w:p>
        </w:tc>
        <w:tc>
          <w:tcPr>
            <w:tcW w:w="1220" w:type="dxa"/>
            <w:vAlign w:val="bottom"/>
            <w:shd w:val="clear" w:color="auto" w:fill="023C5B"/>
          </w:tcPr>
          <w:p>
            <w:pPr>
              <w:spacing w:after="0"/>
              <w:rPr>
                <w:sz w:val="24"/>
                <w:szCs w:val="24"/>
                <w:color w:val="auto"/>
              </w:rPr>
            </w:pPr>
          </w:p>
        </w:tc>
        <w:tc>
          <w:tcPr>
            <w:tcW w:w="40" w:type="dxa"/>
            <w:vAlign w:val="bottom"/>
            <w:shd w:val="clear" w:color="auto" w:fill="023C5B"/>
          </w:tcPr>
          <w:p>
            <w:pPr>
              <w:spacing w:after="0"/>
              <w:rPr>
                <w:sz w:val="24"/>
                <w:szCs w:val="24"/>
                <w:color w:val="auto"/>
              </w:rPr>
            </w:pPr>
          </w:p>
        </w:tc>
        <w:tc>
          <w:tcPr>
            <w:tcW w:w="20" w:type="dxa"/>
            <w:vAlign w:val="bottom"/>
            <w:shd w:val="clear" w:color="auto" w:fill="023C5B"/>
          </w:tcPr>
          <w:p>
            <w:pPr>
              <w:spacing w:after="0"/>
              <w:rPr>
                <w:sz w:val="24"/>
                <w:szCs w:val="24"/>
                <w:color w:val="auto"/>
              </w:rPr>
            </w:pPr>
          </w:p>
        </w:tc>
        <w:tc>
          <w:tcPr>
            <w:tcW w:w="920" w:type="dxa"/>
            <w:vAlign w:val="bottom"/>
            <w:shd w:val="clear" w:color="auto" w:fill="023C5B"/>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20" w:type="dxa"/>
            <w:vAlign w:val="bottom"/>
            <w:shd w:val="clear" w:color="auto" w:fill="023C5B"/>
          </w:tcPr>
          <w:p>
            <w:pPr>
              <w:spacing w:after="0"/>
              <w:rPr>
                <w:sz w:val="16"/>
                <w:szCs w:val="16"/>
                <w:color w:val="auto"/>
              </w:rPr>
            </w:pPr>
          </w:p>
        </w:tc>
        <w:tc>
          <w:tcPr>
            <w:tcW w:w="2980" w:type="dxa"/>
            <w:vAlign w:val="bottom"/>
            <w:shd w:val="clear" w:color="auto" w:fill="023C5B"/>
          </w:tcPr>
          <w:p>
            <w:pPr>
              <w:spacing w:after="0"/>
              <w:rPr>
                <w:sz w:val="16"/>
                <w:szCs w:val="16"/>
                <w:color w:val="auto"/>
              </w:rPr>
            </w:pPr>
          </w:p>
        </w:tc>
        <w:tc>
          <w:tcPr>
            <w:tcW w:w="40" w:type="dxa"/>
            <w:vAlign w:val="bottom"/>
            <w:tcBorders>
              <w:right w:val="single" w:sz="8" w:color="023C5B"/>
            </w:tcBorders>
            <w:shd w:val="clear" w:color="auto" w:fill="023C5B"/>
          </w:tcPr>
          <w:p>
            <w:pPr>
              <w:spacing w:after="0"/>
              <w:rPr>
                <w:sz w:val="16"/>
                <w:szCs w:val="16"/>
                <w:color w:val="auto"/>
              </w:rPr>
            </w:pPr>
          </w:p>
        </w:tc>
        <w:tc>
          <w:tcPr>
            <w:tcW w:w="1240" w:type="dxa"/>
            <w:vAlign w:val="bottom"/>
            <w:gridSpan w:val="2"/>
            <w:shd w:val="clear" w:color="auto" w:fill="023C5B"/>
          </w:tcPr>
          <w:p>
            <w:pPr>
              <w:ind w:left="60"/>
              <w:spacing w:after="0"/>
              <w:rPr>
                <w:sz w:val="20"/>
                <w:szCs w:val="20"/>
                <w:color w:val="auto"/>
              </w:rPr>
            </w:pPr>
            <w:r>
              <w:rPr>
                <w:rFonts w:ascii="Arial" w:cs="Arial" w:eastAsia="Arial" w:hAnsi="Arial"/>
                <w:sz w:val="16"/>
                <w:szCs w:val="16"/>
                <w:b w:val="1"/>
                <w:bCs w:val="1"/>
                <w:color w:val="FFFFFF"/>
              </w:rPr>
              <w:t>  Performance</w:t>
            </w:r>
          </w:p>
        </w:tc>
        <w:tc>
          <w:tcPr>
            <w:tcW w:w="20" w:type="dxa"/>
            <w:vAlign w:val="bottom"/>
            <w:shd w:val="clear" w:color="auto" w:fill="023C5B"/>
          </w:tcPr>
          <w:p>
            <w:pPr>
              <w:spacing w:after="0"/>
              <w:rPr>
                <w:sz w:val="16"/>
                <w:szCs w:val="16"/>
                <w:color w:val="auto"/>
              </w:rPr>
            </w:pPr>
          </w:p>
        </w:tc>
        <w:tc>
          <w:tcPr>
            <w:tcW w:w="118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900" w:type="dxa"/>
            <w:vAlign w:val="bottom"/>
            <w:shd w:val="clear" w:color="auto" w:fill="023C5B"/>
          </w:tcPr>
          <w:p>
            <w:pPr>
              <w:ind w:left="300"/>
              <w:spacing w:after="0"/>
              <w:rPr>
                <w:sz w:val="20"/>
                <w:szCs w:val="20"/>
                <w:color w:val="auto"/>
              </w:rPr>
            </w:pPr>
            <w:r>
              <w:rPr>
                <w:rFonts w:ascii="Arial" w:cs="Arial" w:eastAsia="Arial" w:hAnsi="Arial"/>
                <w:sz w:val="16"/>
                <w:szCs w:val="16"/>
                <w:b w:val="1"/>
                <w:bCs w:val="1"/>
                <w:color w:val="FFFFFF"/>
              </w:rPr>
              <w:t>Cash</w:t>
            </w:r>
          </w:p>
        </w:tc>
        <w:tc>
          <w:tcPr>
            <w:tcW w:w="40" w:type="dxa"/>
            <w:vAlign w:val="bottom"/>
            <w:shd w:val="clear" w:color="auto" w:fill="023C5B"/>
          </w:tcPr>
          <w:p>
            <w:pPr>
              <w:spacing w:after="0"/>
              <w:rPr>
                <w:sz w:val="16"/>
                <w:szCs w:val="16"/>
                <w:color w:val="auto"/>
              </w:rPr>
            </w:pPr>
          </w:p>
        </w:tc>
        <w:tc>
          <w:tcPr>
            <w:tcW w:w="40" w:type="dxa"/>
            <w:vAlign w:val="bottom"/>
            <w:shd w:val="clear" w:color="auto" w:fill="023C5B"/>
          </w:tcPr>
          <w:p>
            <w:pPr>
              <w:spacing w:after="0"/>
              <w:rPr>
                <w:sz w:val="16"/>
                <w:szCs w:val="16"/>
                <w:color w:val="auto"/>
              </w:rPr>
            </w:pPr>
          </w:p>
        </w:tc>
        <w:tc>
          <w:tcPr>
            <w:tcW w:w="2260" w:type="dxa"/>
            <w:vAlign w:val="bottom"/>
            <w:gridSpan w:val="4"/>
            <w:shd w:val="clear" w:color="auto" w:fill="023C5B"/>
          </w:tcPr>
          <w:p>
            <w:pPr>
              <w:jc w:val="center"/>
              <w:spacing w:after="0"/>
              <w:rPr>
                <w:sz w:val="20"/>
                <w:szCs w:val="20"/>
                <w:color w:val="auto"/>
              </w:rPr>
            </w:pPr>
            <w:r>
              <w:rPr>
                <w:rFonts w:ascii="Arial" w:cs="Arial" w:eastAsia="Arial" w:hAnsi="Arial"/>
                <w:sz w:val="16"/>
                <w:szCs w:val="16"/>
                <w:b w:val="1"/>
                <w:bCs w:val="1"/>
                <w:color w:val="FFFFFF"/>
                <w:w w:val="96"/>
              </w:rPr>
              <w:t>    Settled       Performance  </w:t>
            </w:r>
          </w:p>
        </w:tc>
        <w:tc>
          <w:tcPr>
            <w:tcW w:w="20" w:type="dxa"/>
            <w:vAlign w:val="bottom"/>
            <w:shd w:val="clear" w:color="auto" w:fill="023C5B"/>
          </w:tcPr>
          <w:p>
            <w:pPr>
              <w:spacing w:after="0"/>
              <w:rPr>
                <w:sz w:val="16"/>
                <w:szCs w:val="16"/>
                <w:color w:val="auto"/>
              </w:rPr>
            </w:pPr>
          </w:p>
        </w:tc>
        <w:tc>
          <w:tcPr>
            <w:tcW w:w="920" w:type="dxa"/>
            <w:vAlign w:val="bottom"/>
            <w:shd w:val="clear" w:color="auto" w:fill="023C5B"/>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40" w:type="dxa"/>
            <w:vAlign w:val="bottom"/>
            <w:tcBorders>
              <w:right w:val="single" w:sz="8" w:color="023C5B"/>
            </w:tcBorders>
            <w:gridSpan w:val="3"/>
            <w:shd w:val="clear" w:color="auto" w:fill="023C5B"/>
          </w:tcPr>
          <w:p>
            <w:pPr>
              <w:spacing w:after="0"/>
              <w:rPr>
                <w:sz w:val="20"/>
                <w:szCs w:val="20"/>
                <w:color w:val="auto"/>
              </w:rPr>
            </w:pPr>
            <w:r>
              <w:rPr>
                <w:rFonts w:ascii="Arial" w:cs="Arial" w:eastAsia="Arial" w:hAnsi="Arial"/>
                <w:sz w:val="16"/>
                <w:szCs w:val="16"/>
                <w:b w:val="1"/>
                <w:bCs w:val="1"/>
                <w:color w:val="FFFFFF"/>
              </w:rPr>
              <w:t>  Name</w:t>
            </w:r>
          </w:p>
        </w:tc>
        <w:tc>
          <w:tcPr>
            <w:tcW w:w="1240" w:type="dxa"/>
            <w:vAlign w:val="bottom"/>
            <w:gridSpan w:val="2"/>
            <w:shd w:val="clear" w:color="auto" w:fill="023C5B"/>
          </w:tcPr>
          <w:p>
            <w:pPr>
              <w:ind w:left="460"/>
              <w:spacing w:after="0"/>
              <w:rPr>
                <w:sz w:val="20"/>
                <w:szCs w:val="20"/>
                <w:color w:val="auto"/>
              </w:rPr>
            </w:pPr>
            <w:r>
              <w:rPr>
                <w:rFonts w:ascii="Arial" w:cs="Arial" w:eastAsia="Arial" w:hAnsi="Arial"/>
                <w:sz w:val="16"/>
                <w:szCs w:val="16"/>
                <w:b w:val="1"/>
                <w:bCs w:val="1"/>
                <w:color w:val="FFFFFF"/>
              </w:rPr>
              <w:t>Year</w:t>
            </w:r>
          </w:p>
        </w:tc>
        <w:tc>
          <w:tcPr>
            <w:tcW w:w="20" w:type="dxa"/>
            <w:vAlign w:val="bottom"/>
            <w:shd w:val="clear" w:color="auto" w:fill="023C5B"/>
          </w:tcPr>
          <w:p>
            <w:pPr>
              <w:spacing w:after="0"/>
              <w:rPr>
                <w:sz w:val="18"/>
                <w:szCs w:val="18"/>
                <w:color w:val="auto"/>
              </w:rPr>
            </w:pPr>
          </w:p>
        </w:tc>
        <w:tc>
          <w:tcPr>
            <w:tcW w:w="1240" w:type="dxa"/>
            <w:vAlign w:val="bottom"/>
            <w:gridSpan w:val="2"/>
            <w:shd w:val="clear" w:color="auto" w:fill="023C5B"/>
          </w:tcPr>
          <w:p>
            <w:pPr>
              <w:jc w:val="center"/>
              <w:ind w:right="40"/>
              <w:spacing w:after="0"/>
              <w:rPr>
                <w:sz w:val="20"/>
                <w:szCs w:val="20"/>
                <w:color w:val="auto"/>
              </w:rPr>
            </w:pPr>
            <w:r>
              <w:rPr>
                <w:rFonts w:ascii="Arial" w:cs="Arial" w:eastAsia="Arial" w:hAnsi="Arial"/>
                <w:sz w:val="16"/>
                <w:szCs w:val="16"/>
                <w:b w:val="1"/>
                <w:bCs w:val="1"/>
                <w:color w:val="FFFFFF"/>
                <w:w w:val="93"/>
              </w:rPr>
              <w:t>  Cash Salary  </w:t>
            </w:r>
          </w:p>
        </w:tc>
        <w:tc>
          <w:tcPr>
            <w:tcW w:w="900" w:type="dxa"/>
            <w:vAlign w:val="bottom"/>
            <w:shd w:val="clear" w:color="auto" w:fill="023C5B"/>
          </w:tcPr>
          <w:p>
            <w:pPr>
              <w:ind w:left="60"/>
              <w:spacing w:after="0"/>
              <w:rPr>
                <w:sz w:val="20"/>
                <w:szCs w:val="20"/>
                <w:color w:val="auto"/>
              </w:rPr>
            </w:pPr>
            <w:r>
              <w:rPr>
                <w:rFonts w:ascii="Arial" w:cs="Arial" w:eastAsia="Arial" w:hAnsi="Arial"/>
                <w:sz w:val="16"/>
                <w:szCs w:val="16"/>
                <w:b w:val="1"/>
                <w:bCs w:val="1"/>
                <w:color w:val="FFFFFF"/>
              </w:rPr>
              <w:t>  Incentive</w:t>
            </w:r>
          </w:p>
        </w:tc>
        <w:tc>
          <w:tcPr>
            <w:tcW w:w="40" w:type="dxa"/>
            <w:vAlign w:val="bottom"/>
            <w:shd w:val="clear" w:color="auto" w:fill="023C5B"/>
          </w:tcPr>
          <w:p>
            <w:pPr>
              <w:spacing w:after="0"/>
              <w:rPr>
                <w:sz w:val="18"/>
                <w:szCs w:val="18"/>
                <w:color w:val="auto"/>
              </w:rPr>
            </w:pPr>
          </w:p>
        </w:tc>
        <w:tc>
          <w:tcPr>
            <w:tcW w:w="40" w:type="dxa"/>
            <w:vAlign w:val="bottom"/>
            <w:shd w:val="clear" w:color="auto" w:fill="023C5B"/>
          </w:tcPr>
          <w:p>
            <w:pPr>
              <w:spacing w:after="0"/>
              <w:rPr>
                <w:sz w:val="18"/>
                <w:szCs w:val="18"/>
                <w:color w:val="auto"/>
              </w:rPr>
            </w:pPr>
          </w:p>
        </w:tc>
        <w:tc>
          <w:tcPr>
            <w:tcW w:w="100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8"/>
              </w:rPr>
              <w:t>RSUs</w:t>
            </w:r>
          </w:p>
        </w:tc>
        <w:tc>
          <w:tcPr>
            <w:tcW w:w="1260" w:type="dxa"/>
            <w:vAlign w:val="bottom"/>
            <w:gridSpan w:val="2"/>
            <w:shd w:val="clear" w:color="auto" w:fill="023C5B"/>
          </w:tcPr>
          <w:p>
            <w:pPr>
              <w:ind w:left="360"/>
              <w:spacing w:after="0"/>
              <w:rPr>
                <w:sz w:val="20"/>
                <w:szCs w:val="20"/>
                <w:color w:val="auto"/>
              </w:rPr>
            </w:pPr>
            <w:r>
              <w:rPr>
                <w:rFonts w:ascii="Arial" w:cs="Arial" w:eastAsia="Arial" w:hAnsi="Arial"/>
                <w:sz w:val="16"/>
                <w:szCs w:val="16"/>
                <w:b w:val="1"/>
                <w:bCs w:val="1"/>
                <w:color w:val="FFFFFF"/>
              </w:rPr>
              <w:t>Shares</w:t>
            </w:r>
          </w:p>
        </w:tc>
        <w:tc>
          <w:tcPr>
            <w:tcW w:w="20" w:type="dxa"/>
            <w:vAlign w:val="bottom"/>
            <w:shd w:val="clear" w:color="auto" w:fill="023C5B"/>
          </w:tcPr>
          <w:p>
            <w:pPr>
              <w:spacing w:after="0"/>
              <w:rPr>
                <w:sz w:val="18"/>
                <w:szCs w:val="18"/>
                <w:color w:val="auto"/>
              </w:rPr>
            </w:pPr>
          </w:p>
        </w:tc>
        <w:tc>
          <w:tcPr>
            <w:tcW w:w="920" w:type="dxa"/>
            <w:vAlign w:val="bottom"/>
            <w:shd w:val="clear" w:color="auto" w:fill="023C5B"/>
          </w:tcPr>
          <w:p>
            <w:pPr>
              <w:ind w:left="60"/>
              <w:spacing w:after="0"/>
              <w:rPr>
                <w:sz w:val="20"/>
                <w:szCs w:val="20"/>
                <w:color w:val="auto"/>
              </w:rPr>
            </w:pPr>
            <w:r>
              <w:rPr>
                <w:rFonts w:ascii="Arial" w:cs="Arial" w:eastAsia="Arial" w:hAnsi="Arial"/>
                <w:sz w:val="16"/>
                <w:szCs w:val="16"/>
                <w:b w:val="1"/>
                <w:bCs w:val="1"/>
                <w:color w:val="FFFFFF"/>
              </w:rPr>
              <w:t xml:space="preserve">     Total    </w:t>
            </w:r>
          </w:p>
        </w:tc>
        <w:tc>
          <w:tcPr>
            <w:tcW w:w="0" w:type="dxa"/>
            <w:vAlign w:val="bottom"/>
          </w:tcPr>
          <w:p>
            <w:pPr>
              <w:spacing w:after="0"/>
              <w:rPr>
                <w:sz w:val="1"/>
                <w:szCs w:val="1"/>
                <w:color w:val="auto"/>
              </w:rPr>
            </w:pPr>
          </w:p>
        </w:tc>
      </w:tr>
      <w:tr>
        <w:trPr>
          <w:trHeight w:val="321"/>
        </w:trPr>
        <w:tc>
          <w:tcPr>
            <w:tcW w:w="4240" w:type="dxa"/>
            <w:vAlign w:val="bottom"/>
            <w:tcBorders>
              <w:right w:val="single" w:sz="8" w:color="E5EBEE"/>
            </w:tcBorders>
            <w:gridSpan w:val="3"/>
          </w:tcPr>
          <w:p>
            <w:pPr>
              <w:ind w:left="80"/>
              <w:spacing w:after="0"/>
              <w:rPr>
                <w:sz w:val="20"/>
                <w:szCs w:val="20"/>
                <w:color w:val="auto"/>
              </w:rPr>
            </w:pPr>
            <w:r>
              <w:rPr>
                <w:rFonts w:ascii="Arial" w:cs="Arial" w:eastAsia="Arial" w:hAnsi="Arial"/>
                <w:sz w:val="16"/>
                <w:szCs w:val="16"/>
                <w:color w:val="auto"/>
              </w:rPr>
              <w:t>Andrew M. Young</w:t>
            </w:r>
          </w:p>
        </w:tc>
        <w:tc>
          <w:tcPr>
            <w:tcW w:w="12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0"/>
              </w:rPr>
              <w:t>2025</w:t>
            </w:r>
            <w:r>
              <w:rPr>
                <w:rFonts w:ascii="Arial" w:cs="Arial" w:eastAsia="Arial" w:hAnsi="Arial"/>
                <w:sz w:val="24"/>
                <w:szCs w:val="24"/>
                <w:color w:val="auto"/>
                <w:w w:val="90"/>
                <w:vertAlign w:val="superscript"/>
              </w:rPr>
              <w:t>(1)</w:t>
            </w:r>
          </w:p>
        </w:tc>
        <w:tc>
          <w:tcPr>
            <w:tcW w:w="20" w:type="dxa"/>
            <w:vAlign w:val="bottom"/>
            <w:shd w:val="clear" w:color="auto" w:fill="E5EBEE"/>
          </w:tcPr>
          <w:p>
            <w:pPr>
              <w:spacing w:after="0"/>
              <w:rPr>
                <w:sz w:val="24"/>
                <w:szCs w:val="24"/>
                <w:color w:val="auto"/>
              </w:rPr>
            </w:pPr>
          </w:p>
        </w:tc>
        <w:tc>
          <w:tcPr>
            <w:tcW w:w="120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w w:val="99"/>
              </w:rPr>
              <w:t>$1,091,308</w:t>
            </w:r>
          </w:p>
        </w:tc>
        <w:tc>
          <w:tcPr>
            <w:tcW w:w="60" w:type="dxa"/>
            <w:vAlign w:val="bottom"/>
            <w:shd w:val="clear" w:color="auto" w:fill="E5EBEE"/>
          </w:tcPr>
          <w:p>
            <w:pPr>
              <w:spacing w:after="0"/>
              <w:rPr>
                <w:sz w:val="24"/>
                <w:szCs w:val="24"/>
                <w:color w:val="auto"/>
              </w:rPr>
            </w:pPr>
          </w:p>
        </w:tc>
        <w:tc>
          <w:tcPr>
            <w:tcW w:w="900" w:type="dxa"/>
            <w:vAlign w:val="bottom"/>
            <w:shd w:val="clear" w:color="auto" w:fill="E5EBEE"/>
          </w:tcPr>
          <w:p>
            <w:pPr>
              <w:jc w:val="center"/>
              <w:ind w:left="20"/>
              <w:spacing w:after="0"/>
              <w:rPr>
                <w:sz w:val="20"/>
                <w:szCs w:val="20"/>
                <w:color w:val="auto"/>
              </w:rPr>
            </w:pPr>
            <w:r>
              <w:rPr>
                <w:rFonts w:ascii="Arial" w:cs="Arial" w:eastAsia="Arial" w:hAnsi="Arial"/>
                <w:sz w:val="16"/>
                <w:szCs w:val="16"/>
                <w:color w:val="auto"/>
                <w:w w:val="99"/>
              </w:rPr>
              <w:t>$2,059,500</w:t>
            </w:r>
          </w:p>
        </w:tc>
        <w:tc>
          <w:tcPr>
            <w:tcW w:w="1020" w:type="dxa"/>
            <w:vAlign w:val="bottom"/>
            <w:gridSpan w:val="3"/>
            <w:shd w:val="clear" w:color="auto" w:fill="E5EBEE"/>
          </w:tcPr>
          <w:p>
            <w:pPr>
              <w:jc w:val="center"/>
              <w:ind w:left="60"/>
              <w:spacing w:after="0"/>
              <w:rPr>
                <w:sz w:val="20"/>
                <w:szCs w:val="20"/>
                <w:color w:val="auto"/>
              </w:rPr>
            </w:pPr>
            <w:r>
              <w:rPr>
                <w:rFonts w:ascii="Arial" w:cs="Arial" w:eastAsia="Arial" w:hAnsi="Arial"/>
                <w:sz w:val="16"/>
                <w:szCs w:val="16"/>
                <w:color w:val="auto"/>
                <w:w w:val="99"/>
              </w:rPr>
              <w:t>$1,509,555</w:t>
            </w:r>
          </w:p>
        </w:tc>
        <w:tc>
          <w:tcPr>
            <w:tcW w:w="60" w:type="dxa"/>
            <w:vAlign w:val="bottom"/>
            <w:shd w:val="clear" w:color="auto" w:fill="E5EBEE"/>
          </w:tcPr>
          <w:p>
            <w:pPr>
              <w:spacing w:after="0"/>
              <w:rPr>
                <w:sz w:val="24"/>
                <w:szCs w:val="24"/>
                <w:color w:val="auto"/>
              </w:rPr>
            </w:pPr>
          </w:p>
        </w:tc>
        <w:tc>
          <w:tcPr>
            <w:tcW w:w="12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7"/>
              </w:rPr>
              <w:t>$1,811,511</w:t>
            </w:r>
          </w:p>
        </w:tc>
        <w:tc>
          <w:tcPr>
            <w:tcW w:w="40" w:type="dxa"/>
            <w:vAlign w:val="bottom"/>
            <w:shd w:val="clear" w:color="auto" w:fill="E5EBEE"/>
          </w:tcPr>
          <w:p>
            <w:pPr>
              <w:spacing w:after="0"/>
              <w:rPr>
                <w:sz w:val="24"/>
                <w:szCs w:val="24"/>
                <w:color w:val="auto"/>
              </w:rPr>
            </w:pPr>
          </w:p>
        </w:tc>
        <w:tc>
          <w:tcPr>
            <w:tcW w:w="940" w:type="dxa"/>
            <w:vAlign w:val="bottom"/>
            <w:gridSpan w:val="2"/>
            <w:shd w:val="clear" w:color="auto" w:fill="E5EBEE"/>
          </w:tcPr>
          <w:p>
            <w:pPr>
              <w:jc w:val="center"/>
              <w:ind w:left="20"/>
              <w:spacing w:after="0"/>
              <w:rPr>
                <w:sz w:val="20"/>
                <w:szCs w:val="20"/>
                <w:color w:val="auto"/>
              </w:rPr>
            </w:pPr>
            <w:r>
              <w:rPr>
                <w:rFonts w:ascii="Arial" w:cs="Arial" w:eastAsia="Arial" w:hAnsi="Arial"/>
                <w:sz w:val="16"/>
                <w:szCs w:val="16"/>
                <w:color w:val="auto"/>
                <w:w w:val="99"/>
              </w:rPr>
              <w:t>$6,471,874</w:t>
            </w:r>
          </w:p>
        </w:tc>
        <w:tc>
          <w:tcPr>
            <w:tcW w:w="0" w:type="dxa"/>
            <w:vAlign w:val="bottom"/>
          </w:tcPr>
          <w:p>
            <w:pPr>
              <w:spacing w:after="0"/>
              <w:rPr>
                <w:sz w:val="1"/>
                <w:szCs w:val="1"/>
                <w:color w:val="auto"/>
              </w:rPr>
            </w:pPr>
          </w:p>
        </w:tc>
      </w:tr>
      <w:tr>
        <w:trPr>
          <w:trHeight w:val="251"/>
        </w:trPr>
        <w:tc>
          <w:tcPr>
            <w:tcW w:w="12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2024</w:t>
            </w:r>
          </w:p>
        </w:tc>
        <w:tc>
          <w:tcPr>
            <w:tcW w:w="2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9"/>
              </w:rPr>
              <w:t>$1,034,577</w:t>
            </w:r>
          </w:p>
        </w:tc>
        <w:tc>
          <w:tcPr>
            <w:tcW w:w="60" w:type="dxa"/>
            <w:vAlign w:val="bottom"/>
          </w:tcPr>
          <w:p>
            <w:pPr>
              <w:spacing w:after="0"/>
              <w:rPr>
                <w:sz w:val="21"/>
                <w:szCs w:val="21"/>
                <w:color w:val="auto"/>
              </w:rPr>
            </w:pPr>
          </w:p>
        </w:tc>
        <w:tc>
          <w:tcPr>
            <w:tcW w:w="900" w:type="dxa"/>
            <w:vAlign w:val="bottom"/>
          </w:tcPr>
          <w:p>
            <w:pPr>
              <w:jc w:val="center"/>
              <w:ind w:left="20"/>
              <w:spacing w:after="0"/>
              <w:rPr>
                <w:sz w:val="20"/>
                <w:szCs w:val="20"/>
                <w:color w:val="auto"/>
              </w:rPr>
            </w:pPr>
            <w:r>
              <w:rPr>
                <w:rFonts w:ascii="Arial" w:cs="Arial" w:eastAsia="Arial" w:hAnsi="Arial"/>
                <w:sz w:val="16"/>
                <w:szCs w:val="16"/>
                <w:color w:val="auto"/>
                <w:w w:val="99"/>
              </w:rPr>
              <w:t>$1,950,000</w:t>
            </w:r>
          </w:p>
        </w:tc>
        <w:tc>
          <w:tcPr>
            <w:tcW w:w="1020" w:type="dxa"/>
            <w:vAlign w:val="bottom"/>
            <w:gridSpan w:val="3"/>
          </w:tcPr>
          <w:p>
            <w:pPr>
              <w:jc w:val="center"/>
              <w:ind w:left="60"/>
              <w:spacing w:after="0"/>
              <w:rPr>
                <w:sz w:val="20"/>
                <w:szCs w:val="20"/>
                <w:color w:val="auto"/>
              </w:rPr>
            </w:pPr>
            <w:r>
              <w:rPr>
                <w:rFonts w:ascii="Arial" w:cs="Arial" w:eastAsia="Arial" w:hAnsi="Arial"/>
                <w:sz w:val="16"/>
                <w:szCs w:val="16"/>
                <w:color w:val="auto"/>
                <w:w w:val="99"/>
              </w:rPr>
              <w:t>$1,300,180</w:t>
            </w:r>
          </w:p>
        </w:tc>
        <w:tc>
          <w:tcPr>
            <w:tcW w:w="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$1,560,136</w:t>
            </w:r>
          </w:p>
        </w:tc>
        <w:tc>
          <w:tcPr>
            <w:tcW w:w="40" w:type="dxa"/>
            <w:vAlign w:val="bottom"/>
          </w:tcPr>
          <w:p>
            <w:pPr>
              <w:spacing w:after="0"/>
              <w:rPr>
                <w:sz w:val="21"/>
                <w:szCs w:val="21"/>
                <w:color w:val="auto"/>
              </w:rPr>
            </w:pPr>
          </w:p>
        </w:tc>
        <w:tc>
          <w:tcPr>
            <w:tcW w:w="940" w:type="dxa"/>
            <w:vAlign w:val="bottom"/>
            <w:gridSpan w:val="2"/>
          </w:tcPr>
          <w:p>
            <w:pPr>
              <w:jc w:val="center"/>
              <w:ind w:left="20"/>
              <w:spacing w:after="0"/>
              <w:rPr>
                <w:sz w:val="20"/>
                <w:szCs w:val="20"/>
                <w:color w:val="auto"/>
              </w:rPr>
            </w:pPr>
            <w:r>
              <w:rPr>
                <w:rFonts w:ascii="Arial" w:cs="Arial" w:eastAsia="Arial" w:hAnsi="Arial"/>
                <w:sz w:val="16"/>
                <w:szCs w:val="16"/>
                <w:color w:val="auto"/>
                <w:w w:val="99"/>
              </w:rPr>
              <w:t>$5,844,892</w:t>
            </w:r>
          </w:p>
        </w:tc>
        <w:tc>
          <w:tcPr>
            <w:tcW w:w="0" w:type="dxa"/>
            <w:vAlign w:val="bottom"/>
          </w:tcPr>
          <w:p>
            <w:pPr>
              <w:spacing w:after="0"/>
              <w:rPr>
                <w:sz w:val="1"/>
                <w:szCs w:val="1"/>
                <w:color w:val="auto"/>
              </w:rPr>
            </w:pPr>
          </w:p>
        </w:tc>
      </w:tr>
      <w:tr>
        <w:trPr>
          <w:trHeight w:val="70"/>
        </w:trPr>
        <w:tc>
          <w:tcPr>
            <w:tcW w:w="12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12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0" w:type="dxa"/>
            <w:vAlign w:val="bottom"/>
            <w:tcBorders>
              <w:right w:val="single" w:sz="8" w:color="E5EBEE"/>
            </w:tcBorders>
          </w:tcPr>
          <w:p>
            <w:pPr>
              <w:spacing w:after="0"/>
              <w:rPr>
                <w:sz w:val="21"/>
                <w:szCs w:val="21"/>
                <w:color w:val="auto"/>
              </w:rPr>
            </w:pPr>
          </w:p>
        </w:tc>
        <w:tc>
          <w:tcPr>
            <w:tcW w:w="122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2023</w:t>
            </w:r>
          </w:p>
        </w:tc>
        <w:tc>
          <w:tcPr>
            <w:tcW w:w="20" w:type="dxa"/>
            <w:vAlign w:val="bottom"/>
            <w:shd w:val="clear" w:color="auto" w:fill="E5EBEE"/>
          </w:tcPr>
          <w:p>
            <w:pPr>
              <w:spacing w:after="0"/>
              <w:rPr>
                <w:sz w:val="21"/>
                <w:szCs w:val="21"/>
                <w:color w:val="auto"/>
              </w:rPr>
            </w:pPr>
          </w:p>
        </w:tc>
        <w:tc>
          <w:tcPr>
            <w:tcW w:w="120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rPr>
              <w:t>$987,577</w:t>
            </w:r>
          </w:p>
        </w:tc>
        <w:tc>
          <w:tcPr>
            <w:tcW w:w="60" w:type="dxa"/>
            <w:vAlign w:val="bottom"/>
            <w:shd w:val="clear" w:color="auto" w:fill="E5EBEE"/>
          </w:tcPr>
          <w:p>
            <w:pPr>
              <w:spacing w:after="0"/>
              <w:rPr>
                <w:sz w:val="21"/>
                <w:szCs w:val="21"/>
                <w:color w:val="auto"/>
              </w:rPr>
            </w:pPr>
          </w:p>
        </w:tc>
        <w:tc>
          <w:tcPr>
            <w:tcW w:w="900" w:type="dxa"/>
            <w:vAlign w:val="bottom"/>
            <w:shd w:val="clear" w:color="auto" w:fill="E5EBEE"/>
          </w:tcPr>
          <w:p>
            <w:pPr>
              <w:jc w:val="center"/>
              <w:ind w:left="20"/>
              <w:spacing w:after="0"/>
              <w:rPr>
                <w:sz w:val="20"/>
                <w:szCs w:val="20"/>
                <w:color w:val="auto"/>
              </w:rPr>
            </w:pPr>
            <w:r>
              <w:rPr>
                <w:rFonts w:ascii="Arial" w:cs="Arial" w:eastAsia="Arial" w:hAnsi="Arial"/>
                <w:sz w:val="16"/>
                <w:szCs w:val="16"/>
                <w:color w:val="auto"/>
                <w:w w:val="99"/>
              </w:rPr>
              <w:t>$1,864,500</w:t>
            </w:r>
          </w:p>
        </w:tc>
        <w:tc>
          <w:tcPr>
            <w:tcW w:w="1020" w:type="dxa"/>
            <w:vAlign w:val="bottom"/>
            <w:gridSpan w:val="3"/>
            <w:shd w:val="clear" w:color="auto" w:fill="E5EBEE"/>
          </w:tcPr>
          <w:p>
            <w:pPr>
              <w:jc w:val="center"/>
              <w:ind w:left="60"/>
              <w:spacing w:after="0"/>
              <w:rPr>
                <w:sz w:val="20"/>
                <w:szCs w:val="20"/>
                <w:color w:val="auto"/>
              </w:rPr>
            </w:pPr>
            <w:r>
              <w:rPr>
                <w:rFonts w:ascii="Arial" w:cs="Arial" w:eastAsia="Arial" w:hAnsi="Arial"/>
                <w:sz w:val="16"/>
                <w:szCs w:val="16"/>
                <w:color w:val="auto"/>
                <w:w w:val="99"/>
              </w:rPr>
              <w:t>$1,242,796</w:t>
            </w:r>
          </w:p>
        </w:tc>
        <w:tc>
          <w:tcPr>
            <w:tcW w:w="60" w:type="dxa"/>
            <w:vAlign w:val="bottom"/>
            <w:shd w:val="clear" w:color="auto" w:fill="E5EBEE"/>
          </w:tcPr>
          <w:p>
            <w:pPr>
              <w:spacing w:after="0"/>
              <w:rPr>
                <w:sz w:val="21"/>
                <w:szCs w:val="21"/>
                <w:color w:val="auto"/>
              </w:rPr>
            </w:pPr>
          </w:p>
        </w:tc>
        <w:tc>
          <w:tcPr>
            <w:tcW w:w="12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$1,491,328</w:t>
            </w:r>
          </w:p>
        </w:tc>
        <w:tc>
          <w:tcPr>
            <w:tcW w:w="40" w:type="dxa"/>
            <w:vAlign w:val="bottom"/>
            <w:shd w:val="clear" w:color="auto" w:fill="E5EBEE"/>
          </w:tcPr>
          <w:p>
            <w:pPr>
              <w:spacing w:after="0"/>
              <w:rPr>
                <w:sz w:val="21"/>
                <w:szCs w:val="21"/>
                <w:color w:val="auto"/>
              </w:rPr>
            </w:pPr>
          </w:p>
        </w:tc>
        <w:tc>
          <w:tcPr>
            <w:tcW w:w="940" w:type="dxa"/>
            <w:vAlign w:val="bottom"/>
            <w:gridSpan w:val="2"/>
            <w:shd w:val="clear" w:color="auto" w:fill="E5EBEE"/>
          </w:tcPr>
          <w:p>
            <w:pPr>
              <w:jc w:val="center"/>
              <w:ind w:left="20"/>
              <w:spacing w:after="0"/>
              <w:rPr>
                <w:sz w:val="20"/>
                <w:szCs w:val="20"/>
                <w:color w:val="auto"/>
              </w:rPr>
            </w:pPr>
            <w:r>
              <w:rPr>
                <w:rFonts w:ascii="Arial" w:cs="Arial" w:eastAsia="Arial" w:hAnsi="Arial"/>
                <w:sz w:val="16"/>
                <w:szCs w:val="16"/>
                <w:color w:val="auto"/>
                <w:w w:val="99"/>
              </w:rPr>
              <w:t>$5,586,201</w:t>
            </w:r>
          </w:p>
        </w:tc>
        <w:tc>
          <w:tcPr>
            <w:tcW w:w="0" w:type="dxa"/>
            <w:vAlign w:val="bottom"/>
          </w:tcPr>
          <w:p>
            <w:pPr>
              <w:spacing w:after="0"/>
              <w:rPr>
                <w:sz w:val="1"/>
                <w:szCs w:val="1"/>
                <w:color w:val="auto"/>
              </w:rPr>
            </w:pPr>
          </w:p>
        </w:tc>
      </w:tr>
      <w:tr>
        <w:trPr>
          <w:trHeight w:val="70"/>
        </w:trPr>
        <w:tc>
          <w:tcPr>
            <w:tcW w:w="1220" w:type="dxa"/>
            <w:vAlign w:val="bottom"/>
            <w:tcBorders>
              <w:bottom w:val="single" w:sz="8" w:color="023C5B"/>
            </w:tcBorders>
          </w:tcPr>
          <w:p>
            <w:pPr>
              <w:spacing w:after="0"/>
              <w:rPr>
                <w:sz w:val="6"/>
                <w:szCs w:val="6"/>
                <w:color w:val="auto"/>
              </w:rPr>
            </w:pPr>
          </w:p>
        </w:tc>
        <w:tc>
          <w:tcPr>
            <w:tcW w:w="2980" w:type="dxa"/>
            <w:vAlign w:val="bottom"/>
            <w:tcBorders>
              <w:bottom w:val="single" w:sz="8" w:color="023C5B"/>
            </w:tcBorders>
          </w:tcPr>
          <w:p>
            <w:pPr>
              <w:spacing w:after="0"/>
              <w:rPr>
                <w:sz w:val="6"/>
                <w:szCs w:val="6"/>
                <w:color w:val="auto"/>
              </w:rPr>
            </w:pPr>
          </w:p>
        </w:tc>
        <w:tc>
          <w:tcPr>
            <w:tcW w:w="40" w:type="dxa"/>
            <w:vAlign w:val="bottom"/>
            <w:tcBorders>
              <w:right w:val="single" w:sz="8" w:color="E5EBEE"/>
            </w:tcBorders>
          </w:tcPr>
          <w:p>
            <w:pPr>
              <w:spacing w:after="0"/>
              <w:rPr>
                <w:sz w:val="6"/>
                <w:szCs w:val="6"/>
                <w:color w:val="auto"/>
              </w:rPr>
            </w:pPr>
          </w:p>
        </w:tc>
        <w:tc>
          <w:tcPr>
            <w:tcW w:w="1220" w:type="dxa"/>
            <w:vAlign w:val="bottom"/>
            <w:tcBorders>
              <w:bottom w:val="single" w:sz="8" w:color="023C5B"/>
            </w:tcBorders>
            <w:shd w:val="clear" w:color="auto" w:fill="E5EBEE"/>
          </w:tcPr>
          <w:p>
            <w:pPr>
              <w:spacing w:after="0"/>
              <w:rPr>
                <w:sz w:val="6"/>
                <w:szCs w:val="6"/>
                <w:color w:val="auto"/>
              </w:rPr>
            </w:pPr>
          </w:p>
        </w:tc>
        <w:tc>
          <w:tcPr>
            <w:tcW w:w="20" w:type="dxa"/>
            <w:vAlign w:val="bottom"/>
            <w:shd w:val="clear" w:color="auto" w:fill="E5EBEE"/>
          </w:tcPr>
          <w:p>
            <w:pPr>
              <w:spacing w:after="0"/>
              <w:rPr>
                <w:sz w:val="6"/>
                <w:szCs w:val="6"/>
                <w:color w:val="auto"/>
              </w:rPr>
            </w:pPr>
          </w:p>
        </w:tc>
        <w:tc>
          <w:tcPr>
            <w:tcW w:w="20" w:type="dxa"/>
            <w:vAlign w:val="bottom"/>
            <w:shd w:val="clear" w:color="auto" w:fill="E5EBEE"/>
          </w:tcPr>
          <w:p>
            <w:pPr>
              <w:spacing w:after="0"/>
              <w:rPr>
                <w:sz w:val="6"/>
                <w:szCs w:val="6"/>
                <w:color w:val="auto"/>
              </w:rPr>
            </w:pPr>
          </w:p>
        </w:tc>
        <w:tc>
          <w:tcPr>
            <w:tcW w:w="1180" w:type="dxa"/>
            <w:vAlign w:val="bottom"/>
            <w:tcBorders>
              <w:bottom w:val="single" w:sz="8" w:color="023C5B"/>
            </w:tcBorders>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900" w:type="dxa"/>
            <w:vAlign w:val="bottom"/>
            <w:tcBorders>
              <w:bottom w:val="single" w:sz="8" w:color="023C5B"/>
            </w:tcBorders>
            <w:shd w:val="clear" w:color="auto" w:fill="E5EBEE"/>
          </w:tcPr>
          <w:p>
            <w:pPr>
              <w:spacing w:after="0"/>
              <w:rPr>
                <w:sz w:val="6"/>
                <w:szCs w:val="6"/>
                <w:color w:val="auto"/>
              </w:rPr>
            </w:pPr>
          </w:p>
        </w:tc>
        <w:tc>
          <w:tcPr>
            <w:tcW w:w="40" w:type="dxa"/>
            <w:vAlign w:val="bottom"/>
            <w:tcBorders>
              <w:bottom w:val="single" w:sz="8" w:color="023C5B"/>
            </w:tcBorders>
            <w:shd w:val="clear" w:color="auto" w:fill="E5EBEE"/>
          </w:tcPr>
          <w:p>
            <w:pPr>
              <w:spacing w:after="0"/>
              <w:rPr>
                <w:sz w:val="6"/>
                <w:szCs w:val="6"/>
                <w:color w:val="auto"/>
              </w:rPr>
            </w:pPr>
          </w:p>
        </w:tc>
        <w:tc>
          <w:tcPr>
            <w:tcW w:w="40" w:type="dxa"/>
            <w:vAlign w:val="bottom"/>
            <w:shd w:val="clear" w:color="auto" w:fill="E5EBEE"/>
          </w:tcPr>
          <w:p>
            <w:pPr>
              <w:spacing w:after="0"/>
              <w:rPr>
                <w:sz w:val="6"/>
                <w:szCs w:val="6"/>
                <w:color w:val="auto"/>
              </w:rPr>
            </w:pPr>
          </w:p>
        </w:tc>
        <w:tc>
          <w:tcPr>
            <w:tcW w:w="940" w:type="dxa"/>
            <w:vAlign w:val="bottom"/>
            <w:tcBorders>
              <w:bottom w:val="single" w:sz="8" w:color="023C5B"/>
            </w:tcBorders>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1220" w:type="dxa"/>
            <w:vAlign w:val="bottom"/>
            <w:tcBorders>
              <w:bottom w:val="single" w:sz="8" w:color="023C5B"/>
            </w:tcBorders>
            <w:shd w:val="clear" w:color="auto" w:fill="E5EBEE"/>
          </w:tcPr>
          <w:p>
            <w:pPr>
              <w:spacing w:after="0"/>
              <w:rPr>
                <w:sz w:val="6"/>
                <w:szCs w:val="6"/>
                <w:color w:val="auto"/>
              </w:rPr>
            </w:pPr>
          </w:p>
        </w:tc>
        <w:tc>
          <w:tcPr>
            <w:tcW w:w="40" w:type="dxa"/>
            <w:vAlign w:val="bottom"/>
            <w:shd w:val="clear" w:color="auto" w:fill="E5EBEE"/>
          </w:tcPr>
          <w:p>
            <w:pPr>
              <w:spacing w:after="0"/>
              <w:rPr>
                <w:sz w:val="6"/>
                <w:szCs w:val="6"/>
                <w:color w:val="auto"/>
              </w:rPr>
            </w:pPr>
          </w:p>
        </w:tc>
        <w:tc>
          <w:tcPr>
            <w:tcW w:w="20" w:type="dxa"/>
            <w:vAlign w:val="bottom"/>
            <w:shd w:val="clear" w:color="auto" w:fill="E5EBEE"/>
          </w:tcPr>
          <w:p>
            <w:pPr>
              <w:spacing w:after="0"/>
              <w:rPr>
                <w:sz w:val="6"/>
                <w:szCs w:val="6"/>
                <w:color w:val="auto"/>
              </w:rPr>
            </w:pPr>
          </w:p>
        </w:tc>
        <w:tc>
          <w:tcPr>
            <w:tcW w:w="920" w:type="dxa"/>
            <w:vAlign w:val="bottom"/>
            <w:tcBorders>
              <w:bottom w:val="single" w:sz="8" w:color="023C5B"/>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4240" w:type="dxa"/>
            <w:vAlign w:val="bottom"/>
            <w:gridSpan w:val="3"/>
            <w:vMerge w:val="restart"/>
          </w:tcPr>
          <w:p>
            <w:pPr>
              <w:ind w:left="80"/>
              <w:spacing w:after="0"/>
              <w:rPr>
                <w:sz w:val="20"/>
                <w:szCs w:val="20"/>
                <w:color w:val="auto"/>
              </w:rPr>
            </w:pPr>
            <w:r>
              <w:rPr>
                <w:rFonts w:ascii="Arial" w:cs="Arial" w:eastAsia="Arial" w:hAnsi="Arial"/>
                <w:sz w:val="16"/>
                <w:szCs w:val="16"/>
                <w:color w:val="auto"/>
              </w:rPr>
              <w:t>Matthew W. Cooper</w:t>
            </w:r>
            <w:r>
              <w:rPr>
                <w:rFonts w:ascii="Arial" w:cs="Arial" w:eastAsia="Arial" w:hAnsi="Arial"/>
                <w:sz w:val="24"/>
                <w:szCs w:val="24"/>
                <w:color w:val="auto"/>
                <w:vertAlign w:val="superscript"/>
              </w:rPr>
              <w:t>(2)</w:t>
            </w:r>
          </w:p>
        </w:tc>
        <w:tc>
          <w:tcPr>
            <w:tcW w:w="1220" w:type="dxa"/>
            <w:vAlign w:val="bottom"/>
          </w:tcPr>
          <w:p>
            <w:pPr>
              <w:jc w:val="center"/>
              <w:spacing w:after="0" w:line="260" w:lineRule="exact"/>
              <w:rPr>
                <w:sz w:val="20"/>
                <w:szCs w:val="20"/>
                <w:color w:val="auto"/>
              </w:rPr>
            </w:pPr>
            <w:r>
              <w:rPr>
                <w:rFonts w:ascii="Arial" w:cs="Arial" w:eastAsia="Arial" w:hAnsi="Arial"/>
                <w:sz w:val="16"/>
                <w:szCs w:val="16"/>
                <w:color w:val="auto"/>
                <w:w w:val="90"/>
              </w:rPr>
              <w:t>2025</w:t>
            </w:r>
            <w:r>
              <w:rPr>
                <w:rFonts w:ascii="Arial" w:cs="Arial" w:eastAsia="Arial" w:hAnsi="Arial"/>
                <w:sz w:val="24"/>
                <w:szCs w:val="24"/>
                <w:color w:val="auto"/>
                <w:w w:val="90"/>
                <w:vertAlign w:val="superscript"/>
              </w:rPr>
              <w:t>(1)</w:t>
            </w:r>
          </w:p>
        </w:tc>
        <w:tc>
          <w:tcPr>
            <w:tcW w:w="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9"/>
              </w:rPr>
              <w:t>$1,260,846</w:t>
            </w:r>
          </w:p>
        </w:tc>
        <w:tc>
          <w:tcPr>
            <w:tcW w:w="60" w:type="dxa"/>
            <w:vAlign w:val="bottom"/>
          </w:tcPr>
          <w:p>
            <w:pPr>
              <w:spacing w:after="0"/>
              <w:rPr>
                <w:sz w:val="22"/>
                <w:szCs w:val="22"/>
                <w:color w:val="auto"/>
              </w:rPr>
            </w:pPr>
          </w:p>
        </w:tc>
        <w:tc>
          <w:tcPr>
            <w:tcW w:w="900" w:type="dxa"/>
            <w:vAlign w:val="bottom"/>
          </w:tcPr>
          <w:p>
            <w:pPr>
              <w:jc w:val="center"/>
              <w:ind w:left="20"/>
              <w:spacing w:after="0"/>
              <w:rPr>
                <w:sz w:val="20"/>
                <w:szCs w:val="20"/>
                <w:color w:val="auto"/>
              </w:rPr>
            </w:pPr>
            <w:r>
              <w:rPr>
                <w:rFonts w:ascii="Arial" w:cs="Arial" w:eastAsia="Arial" w:hAnsi="Arial"/>
                <w:sz w:val="16"/>
                <w:szCs w:val="16"/>
                <w:color w:val="auto"/>
                <w:w w:val="99"/>
              </w:rPr>
              <w:t>$2,400,000</w:t>
            </w:r>
          </w:p>
        </w:tc>
        <w:tc>
          <w:tcPr>
            <w:tcW w:w="1020" w:type="dxa"/>
            <w:vAlign w:val="bottom"/>
            <w:gridSpan w:val="3"/>
          </w:tcPr>
          <w:p>
            <w:pPr>
              <w:jc w:val="center"/>
              <w:ind w:left="60"/>
              <w:spacing w:after="0"/>
              <w:rPr>
                <w:sz w:val="20"/>
                <w:szCs w:val="20"/>
                <w:color w:val="auto"/>
              </w:rPr>
            </w:pPr>
            <w:r>
              <w:rPr>
                <w:rFonts w:ascii="Arial" w:cs="Arial" w:eastAsia="Arial" w:hAnsi="Arial"/>
                <w:sz w:val="16"/>
                <w:szCs w:val="16"/>
                <w:color w:val="auto"/>
                <w:w w:val="99"/>
              </w:rPr>
              <w:t>$1,840,098</w:t>
            </w:r>
          </w:p>
        </w:tc>
        <w:tc>
          <w:tcPr>
            <w:tcW w:w="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$2,208,163</w:t>
            </w:r>
          </w:p>
        </w:tc>
        <w:tc>
          <w:tcPr>
            <w:tcW w:w="40" w:type="dxa"/>
            <w:vAlign w:val="bottom"/>
          </w:tcPr>
          <w:p>
            <w:pPr>
              <w:spacing w:after="0"/>
              <w:rPr>
                <w:sz w:val="22"/>
                <w:szCs w:val="22"/>
                <w:color w:val="auto"/>
              </w:rPr>
            </w:pPr>
          </w:p>
        </w:tc>
        <w:tc>
          <w:tcPr>
            <w:tcW w:w="940" w:type="dxa"/>
            <w:vAlign w:val="bottom"/>
            <w:gridSpan w:val="2"/>
          </w:tcPr>
          <w:p>
            <w:pPr>
              <w:jc w:val="center"/>
              <w:ind w:left="20"/>
              <w:spacing w:after="0"/>
              <w:rPr>
                <w:sz w:val="20"/>
                <w:szCs w:val="20"/>
                <w:color w:val="auto"/>
              </w:rPr>
            </w:pPr>
            <w:r>
              <w:rPr>
                <w:rFonts w:ascii="Arial" w:cs="Arial" w:eastAsia="Arial" w:hAnsi="Arial"/>
                <w:sz w:val="16"/>
                <w:szCs w:val="16"/>
                <w:color w:val="auto"/>
                <w:w w:val="99"/>
              </w:rPr>
              <w:t>$7,709,107</w:t>
            </w:r>
          </w:p>
        </w:tc>
        <w:tc>
          <w:tcPr>
            <w:tcW w:w="0" w:type="dxa"/>
            <w:vAlign w:val="bottom"/>
          </w:tcPr>
          <w:p>
            <w:pPr>
              <w:spacing w:after="0"/>
              <w:rPr>
                <w:sz w:val="1"/>
                <w:szCs w:val="1"/>
                <w:color w:val="auto"/>
              </w:rPr>
            </w:pPr>
          </w:p>
        </w:tc>
      </w:tr>
      <w:tr>
        <w:trPr>
          <w:trHeight w:val="40"/>
        </w:trPr>
        <w:tc>
          <w:tcPr>
            <w:tcW w:w="4240" w:type="dxa"/>
            <w:vAlign w:val="bottom"/>
            <w:gridSpan w:val="3"/>
            <w:vMerge w:val="continue"/>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1"/>
        </w:trPr>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0" w:type="dxa"/>
            <w:vAlign w:val="bottom"/>
            <w:tcBorders>
              <w:right w:val="single" w:sz="8" w:color="E5EBEE"/>
            </w:tcBorders>
          </w:tcPr>
          <w:p>
            <w:pPr>
              <w:spacing w:after="0"/>
              <w:rPr>
                <w:sz w:val="24"/>
                <w:szCs w:val="24"/>
                <w:color w:val="auto"/>
              </w:rPr>
            </w:pPr>
          </w:p>
        </w:tc>
        <w:tc>
          <w:tcPr>
            <w:tcW w:w="12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0"/>
              </w:rPr>
              <w:t>2024</w:t>
            </w:r>
            <w:r>
              <w:rPr>
                <w:rFonts w:ascii="Arial" w:cs="Arial" w:eastAsia="Arial" w:hAnsi="Arial"/>
                <w:sz w:val="24"/>
                <w:szCs w:val="24"/>
                <w:color w:val="auto"/>
                <w:w w:val="90"/>
                <w:vertAlign w:val="superscript"/>
              </w:rPr>
              <w:t>(1)</w:t>
            </w:r>
          </w:p>
        </w:tc>
        <w:tc>
          <w:tcPr>
            <w:tcW w:w="20" w:type="dxa"/>
            <w:vAlign w:val="bottom"/>
            <w:shd w:val="clear" w:color="auto" w:fill="E5EBEE"/>
          </w:tcPr>
          <w:p>
            <w:pPr>
              <w:spacing w:after="0"/>
              <w:rPr>
                <w:sz w:val="24"/>
                <w:szCs w:val="24"/>
                <w:color w:val="auto"/>
              </w:rPr>
            </w:pPr>
          </w:p>
        </w:tc>
        <w:tc>
          <w:tcPr>
            <w:tcW w:w="120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w w:val="99"/>
              </w:rPr>
              <w:t>$1,110,077</w:t>
            </w:r>
          </w:p>
        </w:tc>
        <w:tc>
          <w:tcPr>
            <w:tcW w:w="60" w:type="dxa"/>
            <w:vAlign w:val="bottom"/>
            <w:shd w:val="clear" w:color="auto" w:fill="E5EBEE"/>
          </w:tcPr>
          <w:p>
            <w:pPr>
              <w:spacing w:after="0"/>
              <w:rPr>
                <w:sz w:val="24"/>
                <w:szCs w:val="24"/>
                <w:color w:val="auto"/>
              </w:rPr>
            </w:pPr>
          </w:p>
        </w:tc>
        <w:tc>
          <w:tcPr>
            <w:tcW w:w="900" w:type="dxa"/>
            <w:vAlign w:val="bottom"/>
            <w:shd w:val="clear" w:color="auto" w:fill="E5EBEE"/>
          </w:tcPr>
          <w:p>
            <w:pPr>
              <w:jc w:val="center"/>
              <w:ind w:left="20"/>
              <w:spacing w:after="0"/>
              <w:rPr>
                <w:sz w:val="20"/>
                <w:szCs w:val="20"/>
                <w:color w:val="auto"/>
              </w:rPr>
            </w:pPr>
            <w:r>
              <w:rPr>
                <w:rFonts w:ascii="Arial" w:cs="Arial" w:eastAsia="Arial" w:hAnsi="Arial"/>
                <w:sz w:val="16"/>
                <w:szCs w:val="16"/>
                <w:color w:val="auto"/>
                <w:w w:val="99"/>
              </w:rPr>
              <w:t>$2,089,500</w:t>
            </w:r>
          </w:p>
        </w:tc>
        <w:tc>
          <w:tcPr>
            <w:tcW w:w="1020" w:type="dxa"/>
            <w:vAlign w:val="bottom"/>
            <w:gridSpan w:val="3"/>
            <w:shd w:val="clear" w:color="auto" w:fill="E5EBEE"/>
          </w:tcPr>
          <w:p>
            <w:pPr>
              <w:jc w:val="center"/>
              <w:ind w:left="60"/>
              <w:spacing w:after="0"/>
              <w:rPr>
                <w:sz w:val="20"/>
                <w:szCs w:val="20"/>
                <w:color w:val="auto"/>
              </w:rPr>
            </w:pPr>
            <w:r>
              <w:rPr>
                <w:rFonts w:ascii="Arial" w:cs="Arial" w:eastAsia="Arial" w:hAnsi="Arial"/>
                <w:sz w:val="16"/>
                <w:szCs w:val="16"/>
                <w:color w:val="auto"/>
                <w:w w:val="99"/>
              </w:rPr>
              <w:t>$1,601,160</w:t>
            </w:r>
          </w:p>
        </w:tc>
        <w:tc>
          <w:tcPr>
            <w:tcW w:w="60" w:type="dxa"/>
            <w:vAlign w:val="bottom"/>
            <w:shd w:val="clear" w:color="auto" w:fill="E5EBEE"/>
          </w:tcPr>
          <w:p>
            <w:pPr>
              <w:spacing w:after="0"/>
              <w:rPr>
                <w:sz w:val="24"/>
                <w:szCs w:val="24"/>
                <w:color w:val="auto"/>
              </w:rPr>
            </w:pPr>
          </w:p>
        </w:tc>
        <w:tc>
          <w:tcPr>
            <w:tcW w:w="12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$1,921,352</w:t>
            </w:r>
          </w:p>
        </w:tc>
        <w:tc>
          <w:tcPr>
            <w:tcW w:w="40" w:type="dxa"/>
            <w:vAlign w:val="bottom"/>
            <w:shd w:val="clear" w:color="auto" w:fill="E5EBEE"/>
          </w:tcPr>
          <w:p>
            <w:pPr>
              <w:spacing w:after="0"/>
              <w:rPr>
                <w:sz w:val="24"/>
                <w:szCs w:val="24"/>
                <w:color w:val="auto"/>
              </w:rPr>
            </w:pPr>
          </w:p>
        </w:tc>
        <w:tc>
          <w:tcPr>
            <w:tcW w:w="940" w:type="dxa"/>
            <w:vAlign w:val="bottom"/>
            <w:gridSpan w:val="2"/>
            <w:shd w:val="clear" w:color="auto" w:fill="E5EBEE"/>
          </w:tcPr>
          <w:p>
            <w:pPr>
              <w:jc w:val="center"/>
              <w:ind w:left="20"/>
              <w:spacing w:after="0"/>
              <w:rPr>
                <w:sz w:val="20"/>
                <w:szCs w:val="20"/>
                <w:color w:val="auto"/>
              </w:rPr>
            </w:pPr>
            <w:r>
              <w:rPr>
                <w:rFonts w:ascii="Arial" w:cs="Arial" w:eastAsia="Arial" w:hAnsi="Arial"/>
                <w:sz w:val="16"/>
                <w:szCs w:val="16"/>
                <w:color w:val="auto"/>
                <w:w w:val="99"/>
              </w:rPr>
              <w:t>$6,722,089</w:t>
            </w:r>
          </w:p>
        </w:tc>
        <w:tc>
          <w:tcPr>
            <w:tcW w:w="0" w:type="dxa"/>
            <w:vAlign w:val="bottom"/>
          </w:tcPr>
          <w:p>
            <w:pPr>
              <w:spacing w:after="0"/>
              <w:rPr>
                <w:sz w:val="1"/>
                <w:szCs w:val="1"/>
                <w:color w:val="auto"/>
              </w:rPr>
            </w:pPr>
          </w:p>
        </w:tc>
      </w:tr>
      <w:tr>
        <w:trPr>
          <w:trHeight w:val="251"/>
        </w:trPr>
        <w:tc>
          <w:tcPr>
            <w:tcW w:w="12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2023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6"/>
              </w:rPr>
              <w:t>$—</w:t>
            </w:r>
          </w:p>
        </w:tc>
        <w:tc>
          <w:tcPr>
            <w:tcW w:w="900" w:type="dxa"/>
            <w:vAlign w:val="bottom"/>
          </w:tcPr>
          <w:p>
            <w:pPr>
              <w:jc w:val="center"/>
              <w:ind w:left="20"/>
              <w:spacing w:after="0"/>
              <w:rPr>
                <w:sz w:val="20"/>
                <w:szCs w:val="20"/>
                <w:color w:val="auto"/>
              </w:rPr>
            </w:pPr>
            <w:r>
              <w:rPr>
                <w:rFonts w:ascii="Arial" w:cs="Arial" w:eastAsia="Arial" w:hAnsi="Arial"/>
                <w:sz w:val="16"/>
                <w:szCs w:val="16"/>
                <w:color w:val="auto"/>
                <w:w w:val="96"/>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96"/>
              </w:rPr>
              <w:t>$—</w:t>
            </w:r>
          </w:p>
        </w:tc>
        <w:tc>
          <w:tcPr>
            <w:tcW w:w="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0"/>
        </w:trPr>
        <w:tc>
          <w:tcPr>
            <w:tcW w:w="1220" w:type="dxa"/>
            <w:vAlign w:val="bottom"/>
            <w:tcBorders>
              <w:bottom w:val="single" w:sz="8" w:color="023C5B"/>
            </w:tcBorders>
          </w:tcPr>
          <w:p>
            <w:pPr>
              <w:spacing w:after="0"/>
              <w:rPr>
                <w:sz w:val="6"/>
                <w:szCs w:val="6"/>
                <w:color w:val="auto"/>
              </w:rPr>
            </w:pPr>
          </w:p>
        </w:tc>
        <w:tc>
          <w:tcPr>
            <w:tcW w:w="2980" w:type="dxa"/>
            <w:vAlign w:val="bottom"/>
            <w:tcBorders>
              <w:bottom w:val="single" w:sz="8" w:color="023C5B"/>
            </w:tcBorders>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Borders>
              <w:bottom w:val="single" w:sz="8" w:color="023C5B"/>
            </w:tcBorders>
          </w:tcPr>
          <w:p>
            <w:pPr>
              <w:spacing w:after="0"/>
              <w:rPr>
                <w:sz w:val="6"/>
                <w:szCs w:val="6"/>
                <w:color w:val="auto"/>
              </w:rPr>
            </w:pPr>
          </w:p>
        </w:tc>
        <w:tc>
          <w:tcPr>
            <w:tcW w:w="20" w:type="dxa"/>
            <w:vAlign w:val="bottom"/>
            <w:tcBorders>
              <w:bottom w:val="single" w:sz="8" w:color="E5EBEE"/>
            </w:tcBorders>
          </w:tcPr>
          <w:p>
            <w:pPr>
              <w:spacing w:after="0"/>
              <w:rPr>
                <w:sz w:val="6"/>
                <w:szCs w:val="6"/>
                <w:color w:val="auto"/>
              </w:rPr>
            </w:pPr>
          </w:p>
        </w:tc>
        <w:tc>
          <w:tcPr>
            <w:tcW w:w="20" w:type="dxa"/>
            <w:vAlign w:val="bottom"/>
            <w:tcBorders>
              <w:bottom w:val="single" w:sz="8" w:color="E5EBEE"/>
            </w:tcBorders>
          </w:tcPr>
          <w:p>
            <w:pPr>
              <w:spacing w:after="0"/>
              <w:rPr>
                <w:sz w:val="6"/>
                <w:szCs w:val="6"/>
                <w:color w:val="auto"/>
              </w:rPr>
            </w:pPr>
          </w:p>
        </w:tc>
        <w:tc>
          <w:tcPr>
            <w:tcW w:w="1180" w:type="dxa"/>
            <w:vAlign w:val="bottom"/>
            <w:tcBorders>
              <w:bottom w:val="single" w:sz="8" w:color="023C5B"/>
            </w:tcBorders>
          </w:tcPr>
          <w:p>
            <w:pPr>
              <w:spacing w:after="0"/>
              <w:rPr>
                <w:sz w:val="6"/>
                <w:szCs w:val="6"/>
                <w:color w:val="auto"/>
              </w:rPr>
            </w:pPr>
          </w:p>
        </w:tc>
        <w:tc>
          <w:tcPr>
            <w:tcW w:w="60" w:type="dxa"/>
            <w:vAlign w:val="bottom"/>
            <w:tcBorders>
              <w:bottom w:val="single" w:sz="8" w:color="E5EBEE"/>
            </w:tcBorders>
          </w:tcPr>
          <w:p>
            <w:pPr>
              <w:spacing w:after="0"/>
              <w:rPr>
                <w:sz w:val="6"/>
                <w:szCs w:val="6"/>
                <w:color w:val="auto"/>
              </w:rPr>
            </w:pPr>
          </w:p>
        </w:tc>
        <w:tc>
          <w:tcPr>
            <w:tcW w:w="900" w:type="dxa"/>
            <w:vAlign w:val="bottom"/>
            <w:tcBorders>
              <w:bottom w:val="single" w:sz="8" w:color="023C5B"/>
            </w:tcBorders>
          </w:tcPr>
          <w:p>
            <w:pPr>
              <w:spacing w:after="0"/>
              <w:rPr>
                <w:sz w:val="6"/>
                <w:szCs w:val="6"/>
                <w:color w:val="auto"/>
              </w:rPr>
            </w:pPr>
          </w:p>
        </w:tc>
        <w:tc>
          <w:tcPr>
            <w:tcW w:w="40" w:type="dxa"/>
            <w:vAlign w:val="bottom"/>
            <w:tcBorders>
              <w:bottom w:val="single" w:sz="8" w:color="023C5B"/>
            </w:tcBorders>
          </w:tcPr>
          <w:p>
            <w:pPr>
              <w:spacing w:after="0"/>
              <w:rPr>
                <w:sz w:val="6"/>
                <w:szCs w:val="6"/>
                <w:color w:val="auto"/>
              </w:rPr>
            </w:pPr>
          </w:p>
        </w:tc>
        <w:tc>
          <w:tcPr>
            <w:tcW w:w="40" w:type="dxa"/>
            <w:vAlign w:val="bottom"/>
            <w:tcBorders>
              <w:bottom w:val="single" w:sz="8" w:color="E5EBEE"/>
            </w:tcBorders>
          </w:tcPr>
          <w:p>
            <w:pPr>
              <w:spacing w:after="0"/>
              <w:rPr>
                <w:sz w:val="6"/>
                <w:szCs w:val="6"/>
                <w:color w:val="auto"/>
              </w:rPr>
            </w:pPr>
          </w:p>
        </w:tc>
        <w:tc>
          <w:tcPr>
            <w:tcW w:w="940" w:type="dxa"/>
            <w:vAlign w:val="bottom"/>
            <w:tcBorders>
              <w:bottom w:val="single" w:sz="8" w:color="023C5B"/>
            </w:tcBorders>
          </w:tcPr>
          <w:p>
            <w:pPr>
              <w:spacing w:after="0"/>
              <w:rPr>
                <w:sz w:val="6"/>
                <w:szCs w:val="6"/>
                <w:color w:val="auto"/>
              </w:rPr>
            </w:pPr>
          </w:p>
        </w:tc>
        <w:tc>
          <w:tcPr>
            <w:tcW w:w="60" w:type="dxa"/>
            <w:vAlign w:val="bottom"/>
            <w:tcBorders>
              <w:bottom w:val="single" w:sz="8" w:color="E5EBEE"/>
            </w:tcBorders>
          </w:tcPr>
          <w:p>
            <w:pPr>
              <w:spacing w:after="0"/>
              <w:rPr>
                <w:sz w:val="6"/>
                <w:szCs w:val="6"/>
                <w:color w:val="auto"/>
              </w:rPr>
            </w:pPr>
          </w:p>
        </w:tc>
        <w:tc>
          <w:tcPr>
            <w:tcW w:w="1220" w:type="dxa"/>
            <w:vAlign w:val="bottom"/>
            <w:tcBorders>
              <w:bottom w:val="single" w:sz="8" w:color="023C5B"/>
            </w:tcBorders>
          </w:tcPr>
          <w:p>
            <w:pPr>
              <w:spacing w:after="0"/>
              <w:rPr>
                <w:sz w:val="6"/>
                <w:szCs w:val="6"/>
                <w:color w:val="auto"/>
              </w:rPr>
            </w:pPr>
          </w:p>
        </w:tc>
        <w:tc>
          <w:tcPr>
            <w:tcW w:w="40" w:type="dxa"/>
            <w:vAlign w:val="bottom"/>
            <w:tcBorders>
              <w:bottom w:val="single" w:sz="8" w:color="E5EBEE"/>
            </w:tcBorders>
          </w:tcPr>
          <w:p>
            <w:pPr>
              <w:spacing w:after="0"/>
              <w:rPr>
                <w:sz w:val="6"/>
                <w:szCs w:val="6"/>
                <w:color w:val="auto"/>
              </w:rPr>
            </w:pPr>
          </w:p>
        </w:tc>
        <w:tc>
          <w:tcPr>
            <w:tcW w:w="20" w:type="dxa"/>
            <w:vAlign w:val="bottom"/>
            <w:tcBorders>
              <w:bottom w:val="single" w:sz="8" w:color="E5EBEE"/>
            </w:tcBorders>
          </w:tcPr>
          <w:p>
            <w:pPr>
              <w:spacing w:after="0"/>
              <w:rPr>
                <w:sz w:val="6"/>
                <w:szCs w:val="6"/>
                <w:color w:val="auto"/>
              </w:rPr>
            </w:pPr>
          </w:p>
        </w:tc>
        <w:tc>
          <w:tcPr>
            <w:tcW w:w="920" w:type="dxa"/>
            <w:vAlign w:val="bottom"/>
            <w:tcBorders>
              <w:bottom w:val="single" w:sz="8" w:color="023C5B"/>
            </w:tcBorders>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4240" w:type="dxa"/>
            <w:vAlign w:val="bottom"/>
            <w:tcBorders>
              <w:right w:val="single" w:sz="8" w:color="E5EBEE"/>
            </w:tcBorders>
            <w:gridSpan w:val="3"/>
          </w:tcPr>
          <w:p>
            <w:pPr>
              <w:ind w:left="80"/>
              <w:spacing w:after="0"/>
              <w:rPr>
                <w:sz w:val="20"/>
                <w:szCs w:val="20"/>
                <w:color w:val="auto"/>
              </w:rPr>
            </w:pPr>
            <w:r>
              <w:rPr>
                <w:rFonts w:ascii="Arial" w:cs="Arial" w:eastAsia="Arial" w:hAnsi="Arial"/>
                <w:sz w:val="16"/>
                <w:szCs w:val="16"/>
                <w:color w:val="auto"/>
              </w:rPr>
              <w:t>Mark Daniel Mouadeb</w:t>
            </w:r>
            <w:r>
              <w:rPr>
                <w:rFonts w:ascii="Arial" w:cs="Arial" w:eastAsia="Arial" w:hAnsi="Arial"/>
                <w:sz w:val="24"/>
                <w:szCs w:val="24"/>
                <w:color w:val="auto"/>
                <w:vertAlign w:val="superscript"/>
              </w:rPr>
              <w:t>(3)</w:t>
            </w:r>
          </w:p>
        </w:tc>
        <w:tc>
          <w:tcPr>
            <w:tcW w:w="12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0"/>
              </w:rPr>
              <w:t>2025</w:t>
            </w:r>
            <w:r>
              <w:rPr>
                <w:rFonts w:ascii="Arial" w:cs="Arial" w:eastAsia="Arial" w:hAnsi="Arial"/>
                <w:sz w:val="24"/>
                <w:szCs w:val="24"/>
                <w:color w:val="auto"/>
                <w:w w:val="90"/>
                <w:vertAlign w:val="superscript"/>
              </w:rPr>
              <w:t>(1)</w:t>
            </w:r>
          </w:p>
        </w:tc>
        <w:tc>
          <w:tcPr>
            <w:tcW w:w="20" w:type="dxa"/>
            <w:vAlign w:val="bottom"/>
            <w:shd w:val="clear" w:color="auto" w:fill="E5EBEE"/>
          </w:tcPr>
          <w:p>
            <w:pPr>
              <w:spacing w:after="0"/>
              <w:rPr>
                <w:sz w:val="24"/>
                <w:szCs w:val="24"/>
                <w:color w:val="auto"/>
              </w:rPr>
            </w:pPr>
          </w:p>
        </w:tc>
        <w:tc>
          <w:tcPr>
            <w:tcW w:w="120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w w:val="99"/>
              </w:rPr>
              <w:t>$1,271,923</w:t>
            </w:r>
          </w:p>
        </w:tc>
        <w:tc>
          <w:tcPr>
            <w:tcW w:w="60" w:type="dxa"/>
            <w:vAlign w:val="bottom"/>
            <w:shd w:val="clear" w:color="auto" w:fill="E5EBEE"/>
          </w:tcPr>
          <w:p>
            <w:pPr>
              <w:spacing w:after="0"/>
              <w:rPr>
                <w:sz w:val="24"/>
                <w:szCs w:val="24"/>
                <w:color w:val="auto"/>
              </w:rPr>
            </w:pPr>
          </w:p>
        </w:tc>
        <w:tc>
          <w:tcPr>
            <w:tcW w:w="900" w:type="dxa"/>
            <w:vAlign w:val="bottom"/>
            <w:shd w:val="clear" w:color="auto" w:fill="E5EBEE"/>
          </w:tcPr>
          <w:p>
            <w:pPr>
              <w:jc w:val="center"/>
              <w:ind w:left="20"/>
              <w:spacing w:after="0"/>
              <w:rPr>
                <w:sz w:val="20"/>
                <w:szCs w:val="20"/>
                <w:color w:val="auto"/>
              </w:rPr>
            </w:pPr>
            <w:r>
              <w:rPr>
                <w:rFonts w:ascii="Arial" w:cs="Arial" w:eastAsia="Arial" w:hAnsi="Arial"/>
                <w:sz w:val="16"/>
                <w:szCs w:val="16"/>
                <w:color w:val="auto"/>
                <w:w w:val="99"/>
              </w:rPr>
              <w:t>$2,457,000</w:t>
            </w:r>
          </w:p>
        </w:tc>
        <w:tc>
          <w:tcPr>
            <w:tcW w:w="1020" w:type="dxa"/>
            <w:vAlign w:val="bottom"/>
            <w:gridSpan w:val="3"/>
            <w:shd w:val="clear" w:color="auto" w:fill="E5EBEE"/>
          </w:tcPr>
          <w:p>
            <w:pPr>
              <w:jc w:val="center"/>
              <w:ind w:left="60"/>
              <w:spacing w:after="0"/>
              <w:rPr>
                <w:sz w:val="20"/>
                <w:szCs w:val="20"/>
                <w:color w:val="auto"/>
              </w:rPr>
            </w:pPr>
            <w:r>
              <w:rPr>
                <w:rFonts w:ascii="Arial" w:cs="Arial" w:eastAsia="Arial" w:hAnsi="Arial"/>
                <w:sz w:val="16"/>
                <w:szCs w:val="16"/>
                <w:color w:val="auto"/>
                <w:w w:val="99"/>
              </w:rPr>
              <w:t>$1,637,306</w:t>
            </w:r>
          </w:p>
        </w:tc>
        <w:tc>
          <w:tcPr>
            <w:tcW w:w="60" w:type="dxa"/>
            <w:vAlign w:val="bottom"/>
            <w:shd w:val="clear" w:color="auto" w:fill="E5EBEE"/>
          </w:tcPr>
          <w:p>
            <w:pPr>
              <w:spacing w:after="0"/>
              <w:rPr>
                <w:sz w:val="24"/>
                <w:szCs w:val="24"/>
                <w:color w:val="auto"/>
              </w:rPr>
            </w:pPr>
          </w:p>
        </w:tc>
        <w:tc>
          <w:tcPr>
            <w:tcW w:w="12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$1,964,945</w:t>
            </w:r>
          </w:p>
        </w:tc>
        <w:tc>
          <w:tcPr>
            <w:tcW w:w="40" w:type="dxa"/>
            <w:vAlign w:val="bottom"/>
            <w:shd w:val="clear" w:color="auto" w:fill="E5EBEE"/>
          </w:tcPr>
          <w:p>
            <w:pPr>
              <w:spacing w:after="0"/>
              <w:rPr>
                <w:sz w:val="24"/>
                <w:szCs w:val="24"/>
                <w:color w:val="auto"/>
              </w:rPr>
            </w:pPr>
          </w:p>
        </w:tc>
        <w:tc>
          <w:tcPr>
            <w:tcW w:w="940" w:type="dxa"/>
            <w:vAlign w:val="bottom"/>
            <w:gridSpan w:val="2"/>
            <w:shd w:val="clear" w:color="auto" w:fill="E5EBEE"/>
          </w:tcPr>
          <w:p>
            <w:pPr>
              <w:jc w:val="center"/>
              <w:ind w:left="20"/>
              <w:spacing w:after="0"/>
              <w:rPr>
                <w:sz w:val="20"/>
                <w:szCs w:val="20"/>
                <w:color w:val="auto"/>
              </w:rPr>
            </w:pPr>
            <w:r>
              <w:rPr>
                <w:rFonts w:ascii="Arial" w:cs="Arial" w:eastAsia="Arial" w:hAnsi="Arial"/>
                <w:sz w:val="16"/>
                <w:szCs w:val="16"/>
                <w:color w:val="auto"/>
                <w:w w:val="99"/>
              </w:rPr>
              <w:t>$7,331,174</w:t>
            </w:r>
          </w:p>
        </w:tc>
        <w:tc>
          <w:tcPr>
            <w:tcW w:w="0" w:type="dxa"/>
            <w:vAlign w:val="bottom"/>
          </w:tcPr>
          <w:p>
            <w:pPr>
              <w:spacing w:after="0"/>
              <w:rPr>
                <w:sz w:val="1"/>
                <w:szCs w:val="1"/>
                <w:color w:val="auto"/>
              </w:rPr>
            </w:pPr>
          </w:p>
        </w:tc>
      </w:tr>
      <w:tr>
        <w:trPr>
          <w:trHeight w:val="251"/>
        </w:trPr>
        <w:tc>
          <w:tcPr>
            <w:tcW w:w="12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2024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6"/>
              </w:rPr>
              <w:t>$—</w:t>
            </w:r>
          </w:p>
        </w:tc>
        <w:tc>
          <w:tcPr>
            <w:tcW w:w="900" w:type="dxa"/>
            <w:vAlign w:val="bottom"/>
          </w:tcPr>
          <w:p>
            <w:pPr>
              <w:jc w:val="center"/>
              <w:ind w:left="20"/>
              <w:spacing w:after="0"/>
              <w:rPr>
                <w:sz w:val="20"/>
                <w:szCs w:val="20"/>
                <w:color w:val="auto"/>
              </w:rPr>
            </w:pPr>
            <w:r>
              <w:rPr>
                <w:rFonts w:ascii="Arial" w:cs="Arial" w:eastAsia="Arial" w:hAnsi="Arial"/>
                <w:sz w:val="16"/>
                <w:szCs w:val="16"/>
                <w:color w:val="auto"/>
                <w:w w:val="96"/>
              </w:rPr>
              <w: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gridSpan w:val="2"/>
          </w:tcPr>
          <w:p>
            <w:pPr>
              <w:jc w:val="center"/>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center"/>
              <w:spacing w:after="0"/>
              <w:rPr>
                <w:sz w:val="20"/>
                <w:szCs w:val="20"/>
                <w:color w:val="auto"/>
              </w:rPr>
            </w:pPr>
            <w:r>
              <w:rPr>
                <w:rFonts w:ascii="Arial" w:cs="Arial" w:eastAsia="Arial" w:hAnsi="Arial"/>
                <w:sz w:val="16"/>
                <w:szCs w:val="16"/>
                <w:color w:val="auto"/>
                <w:w w:val="96"/>
              </w:rPr>
              <w:t>$—</w:t>
            </w:r>
          </w:p>
        </w:tc>
        <w:tc>
          <w:tcPr>
            <w:tcW w:w="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0"/>
        </w:trPr>
        <w:tc>
          <w:tcPr>
            <w:tcW w:w="12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12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0" w:type="dxa"/>
            <w:vAlign w:val="bottom"/>
            <w:tcBorders>
              <w:right w:val="single" w:sz="8" w:color="E5EBEE"/>
            </w:tcBorders>
          </w:tcPr>
          <w:p>
            <w:pPr>
              <w:spacing w:after="0"/>
              <w:rPr>
                <w:sz w:val="21"/>
                <w:szCs w:val="21"/>
                <w:color w:val="auto"/>
              </w:rPr>
            </w:pPr>
          </w:p>
        </w:tc>
        <w:tc>
          <w:tcPr>
            <w:tcW w:w="122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2023</w:t>
            </w:r>
          </w:p>
        </w:tc>
        <w:tc>
          <w:tcPr>
            <w:tcW w:w="20" w:type="dxa"/>
            <w:vAlign w:val="bottom"/>
            <w:shd w:val="clear" w:color="auto" w:fill="E5EBEE"/>
          </w:tcPr>
          <w:p>
            <w:pPr>
              <w:spacing w:after="0"/>
              <w:rPr>
                <w:sz w:val="21"/>
                <w:szCs w:val="21"/>
                <w:color w:val="auto"/>
              </w:rPr>
            </w:pPr>
          </w:p>
        </w:tc>
        <w:tc>
          <w:tcPr>
            <w:tcW w:w="20" w:type="dxa"/>
            <w:vAlign w:val="bottom"/>
            <w:shd w:val="clear" w:color="auto" w:fill="E5EBEE"/>
          </w:tcPr>
          <w:p>
            <w:pPr>
              <w:spacing w:after="0"/>
              <w:rPr>
                <w:sz w:val="21"/>
                <w:szCs w:val="21"/>
                <w:color w:val="auto"/>
              </w:rPr>
            </w:pPr>
          </w:p>
        </w:tc>
        <w:tc>
          <w:tcPr>
            <w:tcW w:w="124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w w:val="96"/>
              </w:rPr>
              <w:t>$—</w:t>
            </w:r>
          </w:p>
        </w:tc>
        <w:tc>
          <w:tcPr>
            <w:tcW w:w="900" w:type="dxa"/>
            <w:vAlign w:val="bottom"/>
            <w:shd w:val="clear" w:color="auto" w:fill="E5EBEE"/>
          </w:tcPr>
          <w:p>
            <w:pPr>
              <w:jc w:val="center"/>
              <w:ind w:left="20"/>
              <w:spacing w:after="0"/>
              <w:rPr>
                <w:sz w:val="20"/>
                <w:szCs w:val="20"/>
                <w:color w:val="auto"/>
              </w:rPr>
            </w:pPr>
            <w:r>
              <w:rPr>
                <w:rFonts w:ascii="Arial" w:cs="Arial" w:eastAsia="Arial" w:hAnsi="Arial"/>
                <w:sz w:val="16"/>
                <w:szCs w:val="16"/>
                <w:color w:val="auto"/>
                <w:w w:val="96"/>
              </w:rPr>
              <w:t>$—</w:t>
            </w:r>
          </w:p>
        </w:tc>
        <w:tc>
          <w:tcPr>
            <w:tcW w:w="40" w:type="dxa"/>
            <w:vAlign w:val="bottom"/>
            <w:shd w:val="clear" w:color="auto" w:fill="E5EBEE"/>
          </w:tcPr>
          <w:p>
            <w:pPr>
              <w:spacing w:after="0"/>
              <w:rPr>
                <w:sz w:val="21"/>
                <w:szCs w:val="21"/>
                <w:color w:val="auto"/>
              </w:rPr>
            </w:pPr>
          </w:p>
        </w:tc>
        <w:tc>
          <w:tcPr>
            <w:tcW w:w="40" w:type="dxa"/>
            <w:vAlign w:val="bottom"/>
            <w:shd w:val="clear" w:color="auto" w:fill="E5EBEE"/>
          </w:tcPr>
          <w:p>
            <w:pPr>
              <w:spacing w:after="0"/>
              <w:rPr>
                <w:sz w:val="21"/>
                <w:szCs w:val="21"/>
                <w:color w:val="auto"/>
              </w:rPr>
            </w:pP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w w:val="96"/>
              </w:rPr>
              <w:t>$—</w:t>
            </w:r>
          </w:p>
        </w:tc>
        <w:tc>
          <w:tcPr>
            <w:tcW w:w="20" w:type="dxa"/>
            <w:vAlign w:val="bottom"/>
            <w:shd w:val="clear" w:color="auto" w:fill="E5EBEE"/>
          </w:tcPr>
          <w:p>
            <w:pPr>
              <w:spacing w:after="0"/>
              <w:rPr>
                <w:sz w:val="21"/>
                <w:szCs w:val="21"/>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0"/>
        </w:trPr>
        <w:tc>
          <w:tcPr>
            <w:tcW w:w="1220" w:type="dxa"/>
            <w:vAlign w:val="bottom"/>
            <w:tcBorders>
              <w:bottom w:val="single" w:sz="8" w:color="023C5B"/>
            </w:tcBorders>
          </w:tcPr>
          <w:p>
            <w:pPr>
              <w:spacing w:after="0"/>
              <w:rPr>
                <w:sz w:val="6"/>
                <w:szCs w:val="6"/>
                <w:color w:val="auto"/>
              </w:rPr>
            </w:pPr>
          </w:p>
        </w:tc>
        <w:tc>
          <w:tcPr>
            <w:tcW w:w="2980" w:type="dxa"/>
            <w:vAlign w:val="bottom"/>
            <w:tcBorders>
              <w:bottom w:val="single" w:sz="8" w:color="023C5B"/>
            </w:tcBorders>
          </w:tcPr>
          <w:p>
            <w:pPr>
              <w:spacing w:after="0"/>
              <w:rPr>
                <w:sz w:val="6"/>
                <w:szCs w:val="6"/>
                <w:color w:val="auto"/>
              </w:rPr>
            </w:pPr>
          </w:p>
        </w:tc>
        <w:tc>
          <w:tcPr>
            <w:tcW w:w="40" w:type="dxa"/>
            <w:vAlign w:val="bottom"/>
            <w:tcBorders>
              <w:right w:val="single" w:sz="8" w:color="E5EBEE"/>
            </w:tcBorders>
          </w:tcPr>
          <w:p>
            <w:pPr>
              <w:spacing w:after="0"/>
              <w:rPr>
                <w:sz w:val="6"/>
                <w:szCs w:val="6"/>
                <w:color w:val="auto"/>
              </w:rPr>
            </w:pPr>
          </w:p>
        </w:tc>
        <w:tc>
          <w:tcPr>
            <w:tcW w:w="1220" w:type="dxa"/>
            <w:vAlign w:val="bottom"/>
            <w:tcBorders>
              <w:bottom w:val="single" w:sz="8" w:color="023C5B"/>
            </w:tcBorders>
            <w:shd w:val="clear" w:color="auto" w:fill="E5EBEE"/>
          </w:tcPr>
          <w:p>
            <w:pPr>
              <w:spacing w:after="0"/>
              <w:rPr>
                <w:sz w:val="6"/>
                <w:szCs w:val="6"/>
                <w:color w:val="auto"/>
              </w:rPr>
            </w:pPr>
          </w:p>
        </w:tc>
        <w:tc>
          <w:tcPr>
            <w:tcW w:w="20" w:type="dxa"/>
            <w:vAlign w:val="bottom"/>
            <w:shd w:val="clear" w:color="auto" w:fill="E5EBEE"/>
          </w:tcPr>
          <w:p>
            <w:pPr>
              <w:spacing w:after="0"/>
              <w:rPr>
                <w:sz w:val="6"/>
                <w:szCs w:val="6"/>
                <w:color w:val="auto"/>
              </w:rPr>
            </w:pPr>
          </w:p>
        </w:tc>
        <w:tc>
          <w:tcPr>
            <w:tcW w:w="20" w:type="dxa"/>
            <w:vAlign w:val="bottom"/>
            <w:shd w:val="clear" w:color="auto" w:fill="E5EBEE"/>
          </w:tcPr>
          <w:p>
            <w:pPr>
              <w:spacing w:after="0"/>
              <w:rPr>
                <w:sz w:val="6"/>
                <w:szCs w:val="6"/>
                <w:color w:val="auto"/>
              </w:rPr>
            </w:pPr>
          </w:p>
        </w:tc>
        <w:tc>
          <w:tcPr>
            <w:tcW w:w="1180" w:type="dxa"/>
            <w:vAlign w:val="bottom"/>
            <w:tcBorders>
              <w:bottom w:val="single" w:sz="8" w:color="023C5B"/>
            </w:tcBorders>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900" w:type="dxa"/>
            <w:vAlign w:val="bottom"/>
            <w:tcBorders>
              <w:bottom w:val="single" w:sz="8" w:color="023C5B"/>
            </w:tcBorders>
            <w:shd w:val="clear" w:color="auto" w:fill="E5EBEE"/>
          </w:tcPr>
          <w:p>
            <w:pPr>
              <w:spacing w:after="0"/>
              <w:rPr>
                <w:sz w:val="6"/>
                <w:szCs w:val="6"/>
                <w:color w:val="auto"/>
              </w:rPr>
            </w:pPr>
          </w:p>
        </w:tc>
        <w:tc>
          <w:tcPr>
            <w:tcW w:w="40" w:type="dxa"/>
            <w:vAlign w:val="bottom"/>
            <w:tcBorders>
              <w:bottom w:val="single" w:sz="8" w:color="023C5B"/>
            </w:tcBorders>
            <w:shd w:val="clear" w:color="auto" w:fill="E5EBEE"/>
          </w:tcPr>
          <w:p>
            <w:pPr>
              <w:spacing w:after="0"/>
              <w:rPr>
                <w:sz w:val="6"/>
                <w:szCs w:val="6"/>
                <w:color w:val="auto"/>
              </w:rPr>
            </w:pPr>
          </w:p>
        </w:tc>
        <w:tc>
          <w:tcPr>
            <w:tcW w:w="40" w:type="dxa"/>
            <w:vAlign w:val="bottom"/>
            <w:shd w:val="clear" w:color="auto" w:fill="E5EBEE"/>
          </w:tcPr>
          <w:p>
            <w:pPr>
              <w:spacing w:after="0"/>
              <w:rPr>
                <w:sz w:val="6"/>
                <w:szCs w:val="6"/>
                <w:color w:val="auto"/>
              </w:rPr>
            </w:pPr>
          </w:p>
        </w:tc>
        <w:tc>
          <w:tcPr>
            <w:tcW w:w="940" w:type="dxa"/>
            <w:vAlign w:val="bottom"/>
            <w:tcBorders>
              <w:bottom w:val="single" w:sz="8" w:color="023C5B"/>
            </w:tcBorders>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1220" w:type="dxa"/>
            <w:vAlign w:val="bottom"/>
            <w:tcBorders>
              <w:bottom w:val="single" w:sz="8" w:color="023C5B"/>
            </w:tcBorders>
            <w:shd w:val="clear" w:color="auto" w:fill="E5EBEE"/>
          </w:tcPr>
          <w:p>
            <w:pPr>
              <w:spacing w:after="0"/>
              <w:rPr>
                <w:sz w:val="6"/>
                <w:szCs w:val="6"/>
                <w:color w:val="auto"/>
              </w:rPr>
            </w:pPr>
          </w:p>
        </w:tc>
        <w:tc>
          <w:tcPr>
            <w:tcW w:w="40" w:type="dxa"/>
            <w:vAlign w:val="bottom"/>
            <w:shd w:val="clear" w:color="auto" w:fill="E5EBEE"/>
          </w:tcPr>
          <w:p>
            <w:pPr>
              <w:spacing w:after="0"/>
              <w:rPr>
                <w:sz w:val="6"/>
                <w:szCs w:val="6"/>
                <w:color w:val="auto"/>
              </w:rPr>
            </w:pPr>
          </w:p>
        </w:tc>
        <w:tc>
          <w:tcPr>
            <w:tcW w:w="20" w:type="dxa"/>
            <w:vAlign w:val="bottom"/>
            <w:shd w:val="clear" w:color="auto" w:fill="E5EBEE"/>
          </w:tcPr>
          <w:p>
            <w:pPr>
              <w:spacing w:after="0"/>
              <w:rPr>
                <w:sz w:val="6"/>
                <w:szCs w:val="6"/>
                <w:color w:val="auto"/>
              </w:rPr>
            </w:pPr>
          </w:p>
        </w:tc>
        <w:tc>
          <w:tcPr>
            <w:tcW w:w="920" w:type="dxa"/>
            <w:vAlign w:val="bottom"/>
            <w:tcBorders>
              <w:bottom w:val="single" w:sz="8" w:color="023C5B"/>
            </w:tcBorders>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4240" w:type="dxa"/>
            <w:vAlign w:val="bottom"/>
            <w:gridSpan w:val="3"/>
            <w:vMerge w:val="restart"/>
          </w:tcPr>
          <w:p>
            <w:pPr>
              <w:ind w:left="80"/>
              <w:spacing w:after="0"/>
              <w:rPr>
                <w:sz w:val="20"/>
                <w:szCs w:val="20"/>
                <w:color w:val="auto"/>
              </w:rPr>
            </w:pPr>
            <w:r>
              <w:rPr>
                <w:rFonts w:ascii="Arial" w:cs="Arial" w:eastAsia="Arial" w:hAnsi="Arial"/>
                <w:sz w:val="16"/>
                <w:szCs w:val="16"/>
                <w:color w:val="auto"/>
              </w:rPr>
              <w:t>Frank G. LaPrade, III</w:t>
            </w:r>
          </w:p>
        </w:tc>
        <w:tc>
          <w:tcPr>
            <w:tcW w:w="1220" w:type="dxa"/>
            <w:vAlign w:val="bottom"/>
          </w:tcPr>
          <w:p>
            <w:pPr>
              <w:jc w:val="center"/>
              <w:spacing w:after="0" w:line="260" w:lineRule="exact"/>
              <w:rPr>
                <w:sz w:val="20"/>
                <w:szCs w:val="20"/>
                <w:color w:val="auto"/>
              </w:rPr>
            </w:pPr>
            <w:r>
              <w:rPr>
                <w:rFonts w:ascii="Arial" w:cs="Arial" w:eastAsia="Arial" w:hAnsi="Arial"/>
                <w:sz w:val="16"/>
                <w:szCs w:val="16"/>
                <w:color w:val="auto"/>
                <w:w w:val="90"/>
              </w:rPr>
              <w:t>2025</w:t>
            </w:r>
            <w:r>
              <w:rPr>
                <w:rFonts w:ascii="Arial" w:cs="Arial" w:eastAsia="Arial" w:hAnsi="Arial"/>
                <w:sz w:val="24"/>
                <w:szCs w:val="24"/>
                <w:color w:val="auto"/>
                <w:w w:val="90"/>
                <w:vertAlign w:val="superscript"/>
              </w:rPr>
              <w:t>(1)</w:t>
            </w:r>
          </w:p>
        </w:tc>
        <w:tc>
          <w:tcPr>
            <w:tcW w:w="2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9"/>
              </w:rPr>
              <w:t>$1,448,154</w:t>
            </w:r>
          </w:p>
        </w:tc>
        <w:tc>
          <w:tcPr>
            <w:tcW w:w="60" w:type="dxa"/>
            <w:vAlign w:val="bottom"/>
          </w:tcPr>
          <w:p>
            <w:pPr>
              <w:spacing w:after="0"/>
              <w:rPr>
                <w:sz w:val="22"/>
                <w:szCs w:val="22"/>
                <w:color w:val="auto"/>
              </w:rPr>
            </w:pPr>
          </w:p>
        </w:tc>
        <w:tc>
          <w:tcPr>
            <w:tcW w:w="900" w:type="dxa"/>
            <w:vAlign w:val="bottom"/>
          </w:tcPr>
          <w:p>
            <w:pPr>
              <w:jc w:val="center"/>
              <w:ind w:left="20"/>
              <w:spacing w:after="0"/>
              <w:rPr>
                <w:sz w:val="20"/>
                <w:szCs w:val="20"/>
                <w:color w:val="auto"/>
              </w:rPr>
            </w:pPr>
            <w:r>
              <w:rPr>
                <w:rFonts w:ascii="Arial" w:cs="Arial" w:eastAsia="Arial" w:hAnsi="Arial"/>
                <w:sz w:val="16"/>
                <w:szCs w:val="16"/>
                <w:color w:val="auto"/>
                <w:w w:val="99"/>
              </w:rPr>
              <w:t>$2,730,000</w:t>
            </w:r>
          </w:p>
        </w:tc>
        <w:tc>
          <w:tcPr>
            <w:tcW w:w="1020" w:type="dxa"/>
            <w:vAlign w:val="bottom"/>
            <w:gridSpan w:val="3"/>
          </w:tcPr>
          <w:p>
            <w:pPr>
              <w:jc w:val="center"/>
              <w:ind w:left="60"/>
              <w:spacing w:after="0"/>
              <w:rPr>
                <w:sz w:val="20"/>
                <w:szCs w:val="20"/>
                <w:color w:val="auto"/>
              </w:rPr>
            </w:pPr>
            <w:r>
              <w:rPr>
                <w:rFonts w:ascii="Arial" w:cs="Arial" w:eastAsia="Arial" w:hAnsi="Arial"/>
                <w:sz w:val="16"/>
                <w:szCs w:val="16"/>
                <w:color w:val="auto"/>
                <w:w w:val="99"/>
              </w:rPr>
              <w:t>$1,820,221</w:t>
            </w:r>
          </w:p>
        </w:tc>
        <w:tc>
          <w:tcPr>
            <w:tcW w:w="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$2,184,042</w:t>
            </w:r>
          </w:p>
        </w:tc>
        <w:tc>
          <w:tcPr>
            <w:tcW w:w="40" w:type="dxa"/>
            <w:vAlign w:val="bottom"/>
          </w:tcPr>
          <w:p>
            <w:pPr>
              <w:spacing w:after="0"/>
              <w:rPr>
                <w:sz w:val="22"/>
                <w:szCs w:val="22"/>
                <w:color w:val="auto"/>
              </w:rPr>
            </w:pPr>
          </w:p>
        </w:tc>
        <w:tc>
          <w:tcPr>
            <w:tcW w:w="940" w:type="dxa"/>
            <w:vAlign w:val="bottom"/>
            <w:gridSpan w:val="2"/>
          </w:tcPr>
          <w:p>
            <w:pPr>
              <w:jc w:val="center"/>
              <w:ind w:left="20"/>
              <w:spacing w:after="0"/>
              <w:rPr>
                <w:sz w:val="20"/>
                <w:szCs w:val="20"/>
                <w:color w:val="auto"/>
              </w:rPr>
            </w:pPr>
            <w:r>
              <w:rPr>
                <w:rFonts w:ascii="Arial" w:cs="Arial" w:eastAsia="Arial" w:hAnsi="Arial"/>
                <w:sz w:val="16"/>
                <w:szCs w:val="16"/>
                <w:color w:val="auto"/>
                <w:w w:val="99"/>
              </w:rPr>
              <w:t>$8,182,417</w:t>
            </w:r>
          </w:p>
        </w:tc>
        <w:tc>
          <w:tcPr>
            <w:tcW w:w="0" w:type="dxa"/>
            <w:vAlign w:val="bottom"/>
          </w:tcPr>
          <w:p>
            <w:pPr>
              <w:spacing w:after="0"/>
              <w:rPr>
                <w:sz w:val="1"/>
                <w:szCs w:val="1"/>
                <w:color w:val="auto"/>
              </w:rPr>
            </w:pPr>
          </w:p>
        </w:tc>
      </w:tr>
      <w:tr>
        <w:trPr>
          <w:trHeight w:val="40"/>
        </w:trPr>
        <w:tc>
          <w:tcPr>
            <w:tcW w:w="4240" w:type="dxa"/>
            <w:vAlign w:val="bottom"/>
            <w:gridSpan w:val="3"/>
            <w:vMerge w:val="continue"/>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12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0" w:type="dxa"/>
            <w:vAlign w:val="bottom"/>
            <w:tcBorders>
              <w:right w:val="single" w:sz="8" w:color="E5EBEE"/>
            </w:tcBorders>
          </w:tcPr>
          <w:p>
            <w:pPr>
              <w:spacing w:after="0"/>
              <w:rPr>
                <w:sz w:val="21"/>
                <w:szCs w:val="21"/>
                <w:color w:val="auto"/>
              </w:rPr>
            </w:pPr>
          </w:p>
        </w:tc>
        <w:tc>
          <w:tcPr>
            <w:tcW w:w="122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2024</w:t>
            </w:r>
          </w:p>
        </w:tc>
        <w:tc>
          <w:tcPr>
            <w:tcW w:w="20" w:type="dxa"/>
            <w:vAlign w:val="bottom"/>
            <w:shd w:val="clear" w:color="auto" w:fill="E5EBEE"/>
          </w:tcPr>
          <w:p>
            <w:pPr>
              <w:spacing w:after="0"/>
              <w:rPr>
                <w:sz w:val="21"/>
                <w:szCs w:val="21"/>
                <w:color w:val="auto"/>
              </w:rPr>
            </w:pPr>
          </w:p>
        </w:tc>
        <w:tc>
          <w:tcPr>
            <w:tcW w:w="1200" w:type="dxa"/>
            <w:vAlign w:val="bottom"/>
            <w:gridSpan w:val="2"/>
            <w:shd w:val="clear" w:color="auto" w:fill="E5EBEE"/>
          </w:tcPr>
          <w:p>
            <w:pPr>
              <w:jc w:val="center"/>
              <w:spacing w:after="0"/>
              <w:rPr>
                <w:sz w:val="20"/>
                <w:szCs w:val="20"/>
                <w:color w:val="auto"/>
              </w:rPr>
            </w:pPr>
            <w:r>
              <w:rPr>
                <w:rFonts w:ascii="Arial" w:cs="Arial" w:eastAsia="Arial" w:hAnsi="Arial"/>
                <w:sz w:val="16"/>
                <w:szCs w:val="16"/>
                <w:color w:val="auto"/>
                <w:w w:val="99"/>
              </w:rPr>
              <w:t>$1,383,154</w:t>
            </w:r>
          </w:p>
        </w:tc>
        <w:tc>
          <w:tcPr>
            <w:tcW w:w="60" w:type="dxa"/>
            <w:vAlign w:val="bottom"/>
            <w:shd w:val="clear" w:color="auto" w:fill="E5EBEE"/>
          </w:tcPr>
          <w:p>
            <w:pPr>
              <w:spacing w:after="0"/>
              <w:rPr>
                <w:sz w:val="21"/>
                <w:szCs w:val="21"/>
                <w:color w:val="auto"/>
              </w:rPr>
            </w:pPr>
          </w:p>
        </w:tc>
        <w:tc>
          <w:tcPr>
            <w:tcW w:w="900" w:type="dxa"/>
            <w:vAlign w:val="bottom"/>
            <w:shd w:val="clear" w:color="auto" w:fill="E5EBEE"/>
          </w:tcPr>
          <w:p>
            <w:pPr>
              <w:jc w:val="center"/>
              <w:ind w:left="20"/>
              <w:spacing w:after="0"/>
              <w:rPr>
                <w:sz w:val="20"/>
                <w:szCs w:val="20"/>
                <w:color w:val="auto"/>
              </w:rPr>
            </w:pPr>
            <w:r>
              <w:rPr>
                <w:rFonts w:ascii="Arial" w:cs="Arial" w:eastAsia="Arial" w:hAnsi="Arial"/>
                <w:sz w:val="16"/>
                <w:szCs w:val="16"/>
                <w:color w:val="auto"/>
                <w:w w:val="99"/>
              </w:rPr>
              <w:t>$2,602,500</w:t>
            </w:r>
          </w:p>
        </w:tc>
        <w:tc>
          <w:tcPr>
            <w:tcW w:w="1020" w:type="dxa"/>
            <w:vAlign w:val="bottom"/>
            <w:gridSpan w:val="3"/>
            <w:shd w:val="clear" w:color="auto" w:fill="E5EBEE"/>
          </w:tcPr>
          <w:p>
            <w:pPr>
              <w:jc w:val="center"/>
              <w:ind w:left="60"/>
              <w:spacing w:after="0"/>
              <w:rPr>
                <w:sz w:val="20"/>
                <w:szCs w:val="20"/>
                <w:color w:val="auto"/>
              </w:rPr>
            </w:pPr>
            <w:r>
              <w:rPr>
                <w:rFonts w:ascii="Arial" w:cs="Arial" w:eastAsia="Arial" w:hAnsi="Arial"/>
                <w:sz w:val="16"/>
                <w:szCs w:val="16"/>
                <w:color w:val="auto"/>
                <w:w w:val="99"/>
              </w:rPr>
              <w:t>$1,735,040</w:t>
            </w:r>
          </w:p>
        </w:tc>
        <w:tc>
          <w:tcPr>
            <w:tcW w:w="60" w:type="dxa"/>
            <w:vAlign w:val="bottom"/>
            <w:shd w:val="clear" w:color="auto" w:fill="E5EBEE"/>
          </w:tcPr>
          <w:p>
            <w:pPr>
              <w:spacing w:after="0"/>
              <w:rPr>
                <w:sz w:val="21"/>
                <w:szCs w:val="21"/>
                <w:color w:val="auto"/>
              </w:rPr>
            </w:pPr>
          </w:p>
        </w:tc>
        <w:tc>
          <w:tcPr>
            <w:tcW w:w="12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$2,082,048</w:t>
            </w:r>
          </w:p>
        </w:tc>
        <w:tc>
          <w:tcPr>
            <w:tcW w:w="40" w:type="dxa"/>
            <w:vAlign w:val="bottom"/>
            <w:shd w:val="clear" w:color="auto" w:fill="E5EBEE"/>
          </w:tcPr>
          <w:p>
            <w:pPr>
              <w:spacing w:after="0"/>
              <w:rPr>
                <w:sz w:val="21"/>
                <w:szCs w:val="21"/>
                <w:color w:val="auto"/>
              </w:rPr>
            </w:pPr>
          </w:p>
        </w:tc>
        <w:tc>
          <w:tcPr>
            <w:tcW w:w="940" w:type="dxa"/>
            <w:vAlign w:val="bottom"/>
            <w:gridSpan w:val="2"/>
            <w:shd w:val="clear" w:color="auto" w:fill="E5EBEE"/>
          </w:tcPr>
          <w:p>
            <w:pPr>
              <w:jc w:val="center"/>
              <w:ind w:left="20"/>
              <w:spacing w:after="0"/>
              <w:rPr>
                <w:sz w:val="20"/>
                <w:szCs w:val="20"/>
                <w:color w:val="auto"/>
              </w:rPr>
            </w:pPr>
            <w:r>
              <w:rPr>
                <w:rFonts w:ascii="Arial" w:cs="Arial" w:eastAsia="Arial" w:hAnsi="Arial"/>
                <w:sz w:val="16"/>
                <w:szCs w:val="16"/>
                <w:color w:val="auto"/>
                <w:w w:val="99"/>
              </w:rPr>
              <w:t>$7,802,743</w:t>
            </w:r>
          </w:p>
        </w:tc>
        <w:tc>
          <w:tcPr>
            <w:tcW w:w="0" w:type="dxa"/>
            <w:vAlign w:val="bottom"/>
          </w:tcPr>
          <w:p>
            <w:pPr>
              <w:spacing w:after="0"/>
              <w:rPr>
                <w:sz w:val="1"/>
                <w:szCs w:val="1"/>
                <w:color w:val="auto"/>
              </w:rPr>
            </w:pPr>
          </w:p>
        </w:tc>
      </w:tr>
      <w:tr>
        <w:trPr>
          <w:trHeight w:val="70"/>
        </w:trPr>
        <w:tc>
          <w:tcPr>
            <w:tcW w:w="122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0" w:type="dxa"/>
            <w:vAlign w:val="bottom"/>
            <w:tcBorders>
              <w:right w:val="single" w:sz="8" w:color="E5EBEE"/>
            </w:tcBorders>
          </w:tcPr>
          <w:p>
            <w:pPr>
              <w:spacing w:after="0"/>
              <w:rPr>
                <w:sz w:val="6"/>
                <w:szCs w:val="6"/>
                <w:color w:val="auto"/>
              </w:rPr>
            </w:pPr>
          </w:p>
        </w:tc>
        <w:tc>
          <w:tcPr>
            <w:tcW w:w="1220" w:type="dxa"/>
            <w:vAlign w:val="bottom"/>
            <w:shd w:val="clear" w:color="auto" w:fill="E5EBEE"/>
          </w:tcPr>
          <w:p>
            <w:pPr>
              <w:spacing w:after="0"/>
              <w:rPr>
                <w:sz w:val="6"/>
                <w:szCs w:val="6"/>
                <w:color w:val="auto"/>
              </w:rPr>
            </w:pPr>
          </w:p>
        </w:tc>
        <w:tc>
          <w:tcPr>
            <w:tcW w:w="20" w:type="dxa"/>
            <w:vAlign w:val="bottom"/>
            <w:shd w:val="clear" w:color="auto" w:fill="E5EBEE"/>
          </w:tcPr>
          <w:p>
            <w:pPr>
              <w:spacing w:after="0"/>
              <w:rPr>
                <w:sz w:val="6"/>
                <w:szCs w:val="6"/>
                <w:color w:val="auto"/>
              </w:rPr>
            </w:pPr>
          </w:p>
        </w:tc>
        <w:tc>
          <w:tcPr>
            <w:tcW w:w="20" w:type="dxa"/>
            <w:vAlign w:val="bottom"/>
            <w:shd w:val="clear" w:color="auto" w:fill="E5EBEE"/>
          </w:tcPr>
          <w:p>
            <w:pPr>
              <w:spacing w:after="0"/>
              <w:rPr>
                <w:sz w:val="6"/>
                <w:szCs w:val="6"/>
                <w:color w:val="auto"/>
              </w:rPr>
            </w:pPr>
          </w:p>
        </w:tc>
        <w:tc>
          <w:tcPr>
            <w:tcW w:w="1180" w:type="dxa"/>
            <w:vAlign w:val="bottom"/>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900" w:type="dxa"/>
            <w:vAlign w:val="bottom"/>
            <w:shd w:val="clear" w:color="auto" w:fill="E5EBEE"/>
          </w:tcPr>
          <w:p>
            <w:pPr>
              <w:spacing w:after="0"/>
              <w:rPr>
                <w:sz w:val="6"/>
                <w:szCs w:val="6"/>
                <w:color w:val="auto"/>
              </w:rPr>
            </w:pPr>
          </w:p>
        </w:tc>
        <w:tc>
          <w:tcPr>
            <w:tcW w:w="40" w:type="dxa"/>
            <w:vAlign w:val="bottom"/>
            <w:shd w:val="clear" w:color="auto" w:fill="E5EBEE"/>
          </w:tcPr>
          <w:p>
            <w:pPr>
              <w:spacing w:after="0"/>
              <w:rPr>
                <w:sz w:val="6"/>
                <w:szCs w:val="6"/>
                <w:color w:val="auto"/>
              </w:rPr>
            </w:pPr>
          </w:p>
        </w:tc>
        <w:tc>
          <w:tcPr>
            <w:tcW w:w="40" w:type="dxa"/>
            <w:vAlign w:val="bottom"/>
            <w:shd w:val="clear" w:color="auto" w:fill="E5EBEE"/>
          </w:tcPr>
          <w:p>
            <w:pPr>
              <w:spacing w:after="0"/>
              <w:rPr>
                <w:sz w:val="6"/>
                <w:szCs w:val="6"/>
                <w:color w:val="auto"/>
              </w:rPr>
            </w:pPr>
          </w:p>
        </w:tc>
        <w:tc>
          <w:tcPr>
            <w:tcW w:w="940" w:type="dxa"/>
            <w:vAlign w:val="bottom"/>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1220" w:type="dxa"/>
            <w:vAlign w:val="bottom"/>
            <w:shd w:val="clear" w:color="auto" w:fill="E5EBEE"/>
          </w:tcPr>
          <w:p>
            <w:pPr>
              <w:spacing w:after="0"/>
              <w:rPr>
                <w:sz w:val="6"/>
                <w:szCs w:val="6"/>
                <w:color w:val="auto"/>
              </w:rPr>
            </w:pPr>
          </w:p>
        </w:tc>
        <w:tc>
          <w:tcPr>
            <w:tcW w:w="40" w:type="dxa"/>
            <w:vAlign w:val="bottom"/>
            <w:shd w:val="clear" w:color="auto" w:fill="E5EBEE"/>
          </w:tcPr>
          <w:p>
            <w:pPr>
              <w:spacing w:after="0"/>
              <w:rPr>
                <w:sz w:val="6"/>
                <w:szCs w:val="6"/>
                <w:color w:val="auto"/>
              </w:rPr>
            </w:pPr>
          </w:p>
        </w:tc>
        <w:tc>
          <w:tcPr>
            <w:tcW w:w="20" w:type="dxa"/>
            <w:vAlign w:val="bottom"/>
            <w:shd w:val="clear" w:color="auto" w:fill="E5EBEE"/>
          </w:tcPr>
          <w:p>
            <w:pPr>
              <w:spacing w:after="0"/>
              <w:rPr>
                <w:sz w:val="6"/>
                <w:szCs w:val="6"/>
                <w:color w:val="auto"/>
              </w:rPr>
            </w:pPr>
          </w:p>
        </w:tc>
        <w:tc>
          <w:tcPr>
            <w:tcW w:w="920" w:type="dxa"/>
            <w:vAlign w:val="bottom"/>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12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2023</w:t>
            </w:r>
          </w:p>
        </w:tc>
        <w:tc>
          <w:tcPr>
            <w:tcW w:w="2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9"/>
              </w:rPr>
              <w:t>$1,341,385</w:t>
            </w:r>
          </w:p>
        </w:tc>
        <w:tc>
          <w:tcPr>
            <w:tcW w:w="60" w:type="dxa"/>
            <w:vAlign w:val="bottom"/>
          </w:tcPr>
          <w:p>
            <w:pPr>
              <w:spacing w:after="0"/>
              <w:rPr>
                <w:sz w:val="21"/>
                <w:szCs w:val="21"/>
                <w:color w:val="auto"/>
              </w:rPr>
            </w:pPr>
          </w:p>
        </w:tc>
        <w:tc>
          <w:tcPr>
            <w:tcW w:w="900" w:type="dxa"/>
            <w:vAlign w:val="bottom"/>
          </w:tcPr>
          <w:p>
            <w:pPr>
              <w:jc w:val="center"/>
              <w:ind w:left="20"/>
              <w:spacing w:after="0"/>
              <w:rPr>
                <w:sz w:val="20"/>
                <w:szCs w:val="20"/>
                <w:color w:val="auto"/>
              </w:rPr>
            </w:pPr>
            <w:r>
              <w:rPr>
                <w:rFonts w:ascii="Arial" w:cs="Arial" w:eastAsia="Arial" w:hAnsi="Arial"/>
                <w:sz w:val="16"/>
                <w:szCs w:val="16"/>
                <w:color w:val="auto"/>
                <w:w w:val="99"/>
              </w:rPr>
              <w:t>$2,524,500</w:t>
            </w:r>
          </w:p>
        </w:tc>
        <w:tc>
          <w:tcPr>
            <w:tcW w:w="1020" w:type="dxa"/>
            <w:vAlign w:val="bottom"/>
            <w:gridSpan w:val="3"/>
          </w:tcPr>
          <w:p>
            <w:pPr>
              <w:jc w:val="center"/>
              <w:ind w:left="60"/>
              <w:spacing w:after="0"/>
              <w:rPr>
                <w:sz w:val="20"/>
                <w:szCs w:val="20"/>
                <w:color w:val="auto"/>
              </w:rPr>
            </w:pPr>
            <w:r>
              <w:rPr>
                <w:rFonts w:ascii="Arial" w:cs="Arial" w:eastAsia="Arial" w:hAnsi="Arial"/>
                <w:sz w:val="16"/>
                <w:szCs w:val="16"/>
                <w:color w:val="auto"/>
                <w:w w:val="99"/>
              </w:rPr>
              <w:t>$1,682,404</w:t>
            </w:r>
          </w:p>
        </w:tc>
        <w:tc>
          <w:tcPr>
            <w:tcW w:w="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$2,018,804</w:t>
            </w:r>
          </w:p>
        </w:tc>
        <w:tc>
          <w:tcPr>
            <w:tcW w:w="40" w:type="dxa"/>
            <w:vAlign w:val="bottom"/>
          </w:tcPr>
          <w:p>
            <w:pPr>
              <w:spacing w:after="0"/>
              <w:rPr>
                <w:sz w:val="21"/>
                <w:szCs w:val="21"/>
                <w:color w:val="auto"/>
              </w:rPr>
            </w:pPr>
          </w:p>
        </w:tc>
        <w:tc>
          <w:tcPr>
            <w:tcW w:w="940" w:type="dxa"/>
            <w:vAlign w:val="bottom"/>
            <w:gridSpan w:val="2"/>
          </w:tcPr>
          <w:p>
            <w:pPr>
              <w:jc w:val="center"/>
              <w:ind w:left="20"/>
              <w:spacing w:after="0"/>
              <w:rPr>
                <w:sz w:val="20"/>
                <w:szCs w:val="20"/>
                <w:color w:val="auto"/>
              </w:rPr>
            </w:pPr>
            <w:r>
              <w:rPr>
                <w:rFonts w:ascii="Arial" w:cs="Arial" w:eastAsia="Arial" w:hAnsi="Arial"/>
                <w:sz w:val="16"/>
                <w:szCs w:val="16"/>
                <w:color w:val="auto"/>
                <w:w w:val="99"/>
              </w:rPr>
              <w:t>$7,567,093</w:t>
            </w:r>
          </w:p>
        </w:tc>
        <w:tc>
          <w:tcPr>
            <w:tcW w:w="0" w:type="dxa"/>
            <w:vAlign w:val="bottom"/>
          </w:tcPr>
          <w:p>
            <w:pPr>
              <w:spacing w:after="0"/>
              <w:rPr>
                <w:sz w:val="1"/>
                <w:szCs w:val="1"/>
                <w:color w:val="auto"/>
              </w:rPr>
            </w:pPr>
          </w:p>
        </w:tc>
      </w:tr>
      <w:tr>
        <w:trPr>
          <w:trHeight w:val="70"/>
        </w:trPr>
        <w:tc>
          <w:tcPr>
            <w:tcW w:w="1220" w:type="dxa"/>
            <w:vAlign w:val="bottom"/>
            <w:tcBorders>
              <w:bottom w:val="single" w:sz="8" w:color="023C5B"/>
            </w:tcBorders>
          </w:tcPr>
          <w:p>
            <w:pPr>
              <w:spacing w:after="0"/>
              <w:rPr>
                <w:sz w:val="6"/>
                <w:szCs w:val="6"/>
                <w:color w:val="auto"/>
              </w:rPr>
            </w:pPr>
          </w:p>
        </w:tc>
        <w:tc>
          <w:tcPr>
            <w:tcW w:w="2980" w:type="dxa"/>
            <w:vAlign w:val="bottom"/>
            <w:tcBorders>
              <w:bottom w:val="single" w:sz="8" w:color="023C5B"/>
            </w:tcBorders>
          </w:tcPr>
          <w:p>
            <w:pPr>
              <w:spacing w:after="0"/>
              <w:rPr>
                <w:sz w:val="6"/>
                <w:szCs w:val="6"/>
                <w:color w:val="auto"/>
              </w:rPr>
            </w:pPr>
          </w:p>
        </w:tc>
        <w:tc>
          <w:tcPr>
            <w:tcW w:w="40" w:type="dxa"/>
            <w:vAlign w:val="bottom"/>
            <w:tcBorders>
              <w:bottom w:val="single" w:sz="8" w:color="023C5B"/>
            </w:tcBorders>
          </w:tcPr>
          <w:p>
            <w:pPr>
              <w:spacing w:after="0"/>
              <w:rPr>
                <w:sz w:val="6"/>
                <w:szCs w:val="6"/>
                <w:color w:val="auto"/>
              </w:rPr>
            </w:pPr>
          </w:p>
        </w:tc>
        <w:tc>
          <w:tcPr>
            <w:tcW w:w="1220" w:type="dxa"/>
            <w:vAlign w:val="bottom"/>
            <w:tcBorders>
              <w:bottom w:val="single" w:sz="8" w:color="023C5B"/>
            </w:tcBorders>
          </w:tcPr>
          <w:p>
            <w:pPr>
              <w:spacing w:after="0"/>
              <w:rPr>
                <w:sz w:val="6"/>
                <w:szCs w:val="6"/>
                <w:color w:val="auto"/>
              </w:rPr>
            </w:pPr>
          </w:p>
        </w:tc>
        <w:tc>
          <w:tcPr>
            <w:tcW w:w="20" w:type="dxa"/>
            <w:vAlign w:val="bottom"/>
            <w:tcBorders>
              <w:bottom w:val="single" w:sz="8" w:color="023C5B"/>
            </w:tcBorders>
          </w:tcPr>
          <w:p>
            <w:pPr>
              <w:spacing w:after="0"/>
              <w:rPr>
                <w:sz w:val="6"/>
                <w:szCs w:val="6"/>
                <w:color w:val="auto"/>
              </w:rPr>
            </w:pPr>
          </w:p>
        </w:tc>
        <w:tc>
          <w:tcPr>
            <w:tcW w:w="20" w:type="dxa"/>
            <w:vAlign w:val="bottom"/>
            <w:tcBorders>
              <w:bottom w:val="single" w:sz="8" w:color="023C5B"/>
            </w:tcBorders>
          </w:tcPr>
          <w:p>
            <w:pPr>
              <w:spacing w:after="0"/>
              <w:rPr>
                <w:sz w:val="6"/>
                <w:szCs w:val="6"/>
                <w:color w:val="auto"/>
              </w:rPr>
            </w:pPr>
          </w:p>
        </w:tc>
        <w:tc>
          <w:tcPr>
            <w:tcW w:w="1180" w:type="dxa"/>
            <w:vAlign w:val="bottom"/>
            <w:tcBorders>
              <w:bottom w:val="single" w:sz="8" w:color="023C5B"/>
            </w:tcBorders>
          </w:tcPr>
          <w:p>
            <w:pPr>
              <w:spacing w:after="0"/>
              <w:rPr>
                <w:sz w:val="6"/>
                <w:szCs w:val="6"/>
                <w:color w:val="auto"/>
              </w:rPr>
            </w:pPr>
          </w:p>
        </w:tc>
        <w:tc>
          <w:tcPr>
            <w:tcW w:w="60" w:type="dxa"/>
            <w:vAlign w:val="bottom"/>
            <w:tcBorders>
              <w:bottom w:val="single" w:sz="8" w:color="023C5B"/>
            </w:tcBorders>
          </w:tcPr>
          <w:p>
            <w:pPr>
              <w:spacing w:after="0"/>
              <w:rPr>
                <w:sz w:val="6"/>
                <w:szCs w:val="6"/>
                <w:color w:val="auto"/>
              </w:rPr>
            </w:pPr>
          </w:p>
        </w:tc>
        <w:tc>
          <w:tcPr>
            <w:tcW w:w="900" w:type="dxa"/>
            <w:vAlign w:val="bottom"/>
            <w:tcBorders>
              <w:bottom w:val="single" w:sz="8" w:color="023C5B"/>
            </w:tcBorders>
          </w:tcPr>
          <w:p>
            <w:pPr>
              <w:spacing w:after="0"/>
              <w:rPr>
                <w:sz w:val="6"/>
                <w:szCs w:val="6"/>
                <w:color w:val="auto"/>
              </w:rPr>
            </w:pPr>
          </w:p>
        </w:tc>
        <w:tc>
          <w:tcPr>
            <w:tcW w:w="40" w:type="dxa"/>
            <w:vAlign w:val="bottom"/>
            <w:tcBorders>
              <w:bottom w:val="single" w:sz="8" w:color="023C5B"/>
            </w:tcBorders>
          </w:tcPr>
          <w:p>
            <w:pPr>
              <w:spacing w:after="0"/>
              <w:rPr>
                <w:sz w:val="6"/>
                <w:szCs w:val="6"/>
                <w:color w:val="auto"/>
              </w:rPr>
            </w:pPr>
          </w:p>
        </w:tc>
        <w:tc>
          <w:tcPr>
            <w:tcW w:w="40" w:type="dxa"/>
            <w:vAlign w:val="bottom"/>
            <w:tcBorders>
              <w:bottom w:val="single" w:sz="8" w:color="023C5B"/>
            </w:tcBorders>
          </w:tcPr>
          <w:p>
            <w:pPr>
              <w:spacing w:after="0"/>
              <w:rPr>
                <w:sz w:val="6"/>
                <w:szCs w:val="6"/>
                <w:color w:val="auto"/>
              </w:rPr>
            </w:pPr>
          </w:p>
        </w:tc>
        <w:tc>
          <w:tcPr>
            <w:tcW w:w="940" w:type="dxa"/>
            <w:vAlign w:val="bottom"/>
            <w:tcBorders>
              <w:bottom w:val="single" w:sz="8" w:color="023C5B"/>
            </w:tcBorders>
          </w:tcPr>
          <w:p>
            <w:pPr>
              <w:spacing w:after="0"/>
              <w:rPr>
                <w:sz w:val="6"/>
                <w:szCs w:val="6"/>
                <w:color w:val="auto"/>
              </w:rPr>
            </w:pPr>
          </w:p>
        </w:tc>
        <w:tc>
          <w:tcPr>
            <w:tcW w:w="60" w:type="dxa"/>
            <w:vAlign w:val="bottom"/>
            <w:tcBorders>
              <w:bottom w:val="single" w:sz="8" w:color="023C5B"/>
            </w:tcBorders>
          </w:tcPr>
          <w:p>
            <w:pPr>
              <w:spacing w:after="0"/>
              <w:rPr>
                <w:sz w:val="6"/>
                <w:szCs w:val="6"/>
                <w:color w:val="auto"/>
              </w:rPr>
            </w:pPr>
          </w:p>
        </w:tc>
        <w:tc>
          <w:tcPr>
            <w:tcW w:w="1220" w:type="dxa"/>
            <w:vAlign w:val="bottom"/>
            <w:tcBorders>
              <w:bottom w:val="single" w:sz="8" w:color="023C5B"/>
            </w:tcBorders>
          </w:tcPr>
          <w:p>
            <w:pPr>
              <w:spacing w:after="0"/>
              <w:rPr>
                <w:sz w:val="6"/>
                <w:szCs w:val="6"/>
                <w:color w:val="auto"/>
              </w:rPr>
            </w:pPr>
          </w:p>
        </w:tc>
        <w:tc>
          <w:tcPr>
            <w:tcW w:w="40" w:type="dxa"/>
            <w:vAlign w:val="bottom"/>
            <w:tcBorders>
              <w:bottom w:val="single" w:sz="8" w:color="023C5B"/>
            </w:tcBorders>
          </w:tcPr>
          <w:p>
            <w:pPr>
              <w:spacing w:after="0"/>
              <w:rPr>
                <w:sz w:val="6"/>
                <w:szCs w:val="6"/>
                <w:color w:val="auto"/>
              </w:rPr>
            </w:pPr>
          </w:p>
        </w:tc>
        <w:tc>
          <w:tcPr>
            <w:tcW w:w="20" w:type="dxa"/>
            <w:vAlign w:val="bottom"/>
            <w:tcBorders>
              <w:bottom w:val="single" w:sz="8" w:color="023C5B"/>
            </w:tcBorders>
          </w:tcPr>
          <w:p>
            <w:pPr>
              <w:spacing w:after="0"/>
              <w:rPr>
                <w:sz w:val="6"/>
                <w:szCs w:val="6"/>
                <w:color w:val="auto"/>
              </w:rPr>
            </w:pPr>
          </w:p>
        </w:tc>
        <w:tc>
          <w:tcPr>
            <w:tcW w:w="920" w:type="dxa"/>
            <w:vAlign w:val="bottom"/>
            <w:tcBorders>
              <w:bottom w:val="single" w:sz="8" w:color="023C5B"/>
            </w:tcBorders>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2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00" w:hanging="433"/>
        <w:spacing w:after="0"/>
        <w:tabs>
          <w:tab w:leader="none" w:pos="6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Does not include the Discover-Related Special Awards.</w:t>
      </w:r>
    </w:p>
    <w:p>
      <w:pPr>
        <w:spacing w:after="0" w:line="39" w:lineRule="exact"/>
        <w:rPr>
          <w:rFonts w:ascii="Arial" w:cs="Arial" w:eastAsia="Arial" w:hAnsi="Arial"/>
          <w:sz w:val="14"/>
          <w:szCs w:val="14"/>
          <w:color w:val="auto"/>
        </w:rPr>
      </w:pPr>
    </w:p>
    <w:p>
      <w:pPr>
        <w:ind w:left="600" w:hanging="433"/>
        <w:spacing w:after="0"/>
        <w:tabs>
          <w:tab w:leader="none" w:pos="6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No amounts are reported for Mr. Cooper for 2023 because he was not an NEO in 2023.</w:t>
      </w:r>
    </w:p>
    <w:p>
      <w:pPr>
        <w:spacing w:after="0" w:line="39" w:lineRule="exact"/>
        <w:rPr>
          <w:rFonts w:ascii="Arial" w:cs="Arial" w:eastAsia="Arial" w:hAnsi="Arial"/>
          <w:sz w:val="14"/>
          <w:szCs w:val="14"/>
          <w:color w:val="auto"/>
        </w:rPr>
      </w:pPr>
    </w:p>
    <w:p>
      <w:pPr>
        <w:ind w:left="600" w:hanging="433"/>
        <w:spacing w:after="0"/>
        <w:tabs>
          <w:tab w:leader="none" w:pos="6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No amounts are reported for Mr. Mouadeb for 2023 and 2024 because he was not an NEO in 2023 and 2024.</w:t>
      </w:r>
    </w:p>
    <w:p>
      <w:pPr>
        <w:spacing w:after="0" w:line="204"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table above is presented to show how the Committee views NEO performance year compensation and to which year the compensation awards relate. This table differs substantially from the Summary Compensation Table beginning on page 98 and is therefore not a substitute for the information required in that table. Key differences between the Summary Compensation Table and the table above include:</w:t>
      </w:r>
    </w:p>
    <w:p>
      <w:pPr>
        <w:spacing w:after="0" w:line="205" w:lineRule="exact"/>
        <w:rPr>
          <w:sz w:val="20"/>
          <w:szCs w:val="20"/>
          <w:color w:val="auto"/>
        </w:rPr>
      </w:pPr>
    </w:p>
    <w:p>
      <w:pPr>
        <w:jc w:val="both"/>
        <w:ind w:left="1020" w:hanging="425"/>
        <w:spacing w:after="0" w:line="222" w:lineRule="auto"/>
        <w:tabs>
          <w:tab w:leader="none" w:pos="1020" w:val="left"/>
        </w:tabs>
        <w:numPr>
          <w:ilvl w:val="0"/>
          <w:numId w:val="94"/>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table above reports equity-based awards as compensation for the performance year for which they were awarded, even if the award was granted in one year based on performance for the prior year. The Summary Compensation Table reports equity-based awards in the year in which they were granted. As a result, the stock-settled RSUs and performance share awards granted in February 2026 for the 2025 performance year, for example, are shown in the above table as 2025 compensation but are not included in the Summary Compensation Table.</w:t>
      </w:r>
    </w:p>
    <w:p>
      <w:pPr>
        <w:spacing w:after="0" w:line="116"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020" w:hanging="425"/>
        <w:spacing w:after="0" w:line="217" w:lineRule="auto"/>
        <w:tabs>
          <w:tab w:leader="none" w:pos="1020" w:val="left"/>
        </w:tabs>
        <w:numPr>
          <w:ilvl w:val="0"/>
          <w:numId w:val="95"/>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Summary Compensation Table reports the change in pension value and non-qualified deferred compensation earnings, and all other compensation. These amounts generally are not a result of current-year compensation determinations and are not shown above.</w:t>
      </w:r>
    </w:p>
    <w:p>
      <w:pPr>
        <w:spacing w:after="0" w:line="206"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95"/>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Summary Compensation Table includes the Discover-Related Special Awards, which were not part of NEO performance year compensation, and are not included above.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Additional Pay Elements</w:t>
      </w:r>
    </w:p>
    <w:p>
      <w:pPr>
        <w:spacing w:after="0" w:line="114"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Committee provides certain other programs intended to support the NEOs’ productivity, well-being, and security. These programs provide some level of personal benefit and are not generally available to all associates. For 2025, these programs included the following:</w:t>
      </w:r>
    </w:p>
    <w:p>
      <w:pPr>
        <w:spacing w:after="0" w:line="130" w:lineRule="exact"/>
        <w:rPr>
          <w:sz w:val="20"/>
          <w:szCs w:val="20"/>
          <w:color w:val="auto"/>
        </w:rPr>
      </w:pPr>
    </w:p>
    <w:p>
      <w:pPr>
        <w:ind w:left="1020" w:hanging="425"/>
        <w:spacing w:after="0"/>
        <w:tabs>
          <w:tab w:leader="none" w:pos="1020" w:val="left"/>
        </w:tabs>
        <w:numPr>
          <w:ilvl w:val="0"/>
          <w:numId w:val="9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Executive term life insurance with a benefit level of $5 million</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9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ability to participate in a comprehensive voluntary annual health screening</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9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An automobile lease or the use of transportation services</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9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Security services</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9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Personal use of the corporate aircraft services</w:t>
      </w:r>
    </w:p>
    <w:p>
      <w:pPr>
        <w:spacing w:after="0" w:line="180"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Committee has determined that the nature and value of these programs are comparable to those offered to similarly situated executives at our peers. Additional details on these programs can be found in the “Named Executive Officer Compensation” section beginning on page 98. In addition, from time to time the Committee and the Independent Directors may approve discretionary bonuses and awards to NEOs for exceptional contributions to important initiatives or for accepting incremental responsibilities.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Discover-Related Special Awards</w:t>
      </w:r>
    </w:p>
    <w:p>
      <w:pPr>
        <w:spacing w:after="0" w:line="22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Discover Transaction is a significant and transformational opportunity for Capital One to continue to build a leading national bank, credit card franchise, and global payment network. The transaction leverages Capital One’s thirteen-year technology transformation across a much larger enterprise and enables Capital One to harness its customer base, marketing scale, and data analytics to drive more sales for merchants and great deals for consumers and small businesses.</w:t>
      </w:r>
    </w:p>
    <w:p>
      <w:pPr>
        <w:spacing w:after="0" w:line="17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initial integration of Discover included successful closing day activities across critical financial and risk management systems, the conversion of key HR experiences and programs, and the substantial completion of the reissuance of legacy Capital One customer debit cards to the Global Payment Network. Successful early integration activities have positioned the Company to be on track to deliver expected deal synergies.</w:t>
      </w:r>
    </w:p>
    <w:p>
      <w:pPr>
        <w:spacing w:after="0" w:line="17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Committee and the Independent Directors approved special compensation awards in 2025 to the NEOs in connection with the Discover Transaction (the “Discover-Related Special Awards”). In granting these awards and determining their quantum and design, the Committee and Independent Directors comprehensively reviewed and considered market best practices, individual roles and responsibilities related to pre -closing preparation and post-closing integration activities, expected future leadership contributions to the integration and operations of the combined company, and other relevant considerations. The Discover-Related Special Awards are not part of the Company’s performance year compensation. These special awards included:</w:t>
      </w:r>
    </w:p>
    <w:p>
      <w:pPr>
        <w:spacing w:after="0" w:line="208" w:lineRule="exact"/>
        <w:rPr>
          <w:sz w:val="20"/>
          <w:szCs w:val="20"/>
          <w:color w:val="auto"/>
        </w:rPr>
      </w:pPr>
    </w:p>
    <w:p>
      <w:pPr>
        <w:ind w:left="1020" w:hanging="425"/>
        <w:spacing w:after="0" w:line="210" w:lineRule="auto"/>
        <w:tabs>
          <w:tab w:leader="none" w:pos="1020" w:val="left"/>
        </w:tabs>
        <w:numPr>
          <w:ilvl w:val="0"/>
          <w:numId w:val="9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 cash award to Mr. Young, approved in May 2025, in the amount of $500,000, in recognition of his exceptional contributions in connection with the Discover Transaction.</w:t>
      </w:r>
    </w:p>
    <w:p>
      <w:pPr>
        <w:spacing w:after="0" w:line="106"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020" w:hanging="425"/>
        <w:spacing w:after="0" w:line="227" w:lineRule="auto"/>
        <w:tabs>
          <w:tab w:leader="none" w:pos="1020" w:val="left"/>
        </w:tabs>
        <w:numPr>
          <w:ilvl w:val="0"/>
          <w:numId w:val="9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RSU awards, approved in June 2025, to the CEO and other NEOs, in recognition of their ongoing and anticipated leadership roles with respect to the integration of Discover. Mr. Fairbank was awarded 153,351 RSUs, with a grant date value of approximately $30.0 million, which feature five-year cliff vesting and will settle 50% in stock and 50% in cash based on the Company’s average stock price over the fifteen trading days preceding the vesting date. The other NEOs were awarded the following numbers of RSUs with the following approximate grant date values: Mr. Young: 15,336 RSUs ($3.0 million), Mr. Cooper: 28,115 RSUs ($5.5 million), Mr. Mouadeb 23,003 RSUs ($4.5 million), and Mr. LaPrade: 12,780 RSUs ($2.5 million). The RSUs granted to the other NEOs have three-year cliff vesting and will settle 100% in stock. The Committee and the Independent Directors determined that RSUs, the ultimate value of which is determined by the value of the Company’s stock over the measured period, most closely align the actions and leadership of management with the creation of long-term stockholder value.</w:t>
      </w:r>
    </w:p>
    <w:p>
      <w:pPr>
        <w:spacing w:after="0" w:line="210"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9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 cash award to Mr. Cooper, approved in November 2025, in the amount of $2,000,000, in recognition of his expanded role as President, Discover Integration and his exceptional performance and contributions during the year.</w:t>
      </w:r>
    </w:p>
    <w:p>
      <w:pPr>
        <w:spacing w:after="0" w:line="207" w:lineRule="exact"/>
        <w:rPr>
          <w:rFonts w:ascii="MS PGothic" w:cs="MS PGothic" w:eastAsia="MS PGothic" w:hAnsi="MS PGothic"/>
          <w:sz w:val="29"/>
          <w:szCs w:val="29"/>
          <w:color w:val="023C5B"/>
          <w:vertAlign w:val="superscript"/>
        </w:rPr>
      </w:pPr>
    </w:p>
    <w:p>
      <w:pPr>
        <w:jc w:val="both"/>
        <w:ind w:left="1020" w:hanging="425"/>
        <w:spacing w:after="0" w:line="217" w:lineRule="auto"/>
        <w:tabs>
          <w:tab w:leader="none" w:pos="1020" w:val="left"/>
        </w:tabs>
        <w:numPr>
          <w:ilvl w:val="0"/>
          <w:numId w:val="9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Cash retention agreements, entered with Mr. Cooper and Mr. Mouadeb in 2024, in the amounts of $1.25 million and $1.0 million, respectively, based on their expected critical roles in the acquisition and integration of Discover. Half of these awards were earned in 2024 and the remainder were earned in 2025.</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2026 Compensation Program</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2026 CEO Compensation Program</w:t>
      </w:r>
    </w:p>
    <w:p>
      <w:pPr>
        <w:spacing w:after="0" w:line="22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Each year, the Committee and the Independent Directors perform a comprehensive review of the CEO compensation program in consideration of Company and CEO performance, peer comparator group performance, historical pay information, market practices and trends, the market for talent, stockholder and other stakeholder feedback, and other relevant points of information that the Committee and the Independent Directors consider appropriate to assess the program and CEO compensation level and pay design. The Committee and the Independent Directors continue to believe that the CEO compensation program aligns Mr. Fairbank’s compensation with the Company’s performance over the appropriate time horizons, effectively balances risk, and supports the Company’s executive compensation goals and principles.</w:t>
      </w:r>
    </w:p>
    <w:p>
      <w:pPr>
        <w:spacing w:after="0" w:line="181"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In February 2026, the Committee and the Independent Directors reviewed the 2025 compensation structure utilized for Mr. Fairbank and determined that, for 2026, the CEO compensation program would continue to consist of two components:</w:t>
      </w:r>
    </w:p>
    <w:p>
      <w:pPr>
        <w:spacing w:after="0" w:line="185" w:lineRule="exact"/>
        <w:rPr>
          <w:sz w:val="20"/>
          <w:szCs w:val="20"/>
          <w:color w:val="auto"/>
        </w:rPr>
      </w:pPr>
    </w:p>
    <w:p>
      <w:pPr>
        <w:jc w:val="both"/>
        <w:ind w:left="1020" w:hanging="425"/>
        <w:spacing w:after="0" w:line="220" w:lineRule="auto"/>
        <w:tabs>
          <w:tab w:leader="none" w:pos="1020" w:val="left"/>
        </w:tabs>
        <w:numPr>
          <w:ilvl w:val="0"/>
          <w:numId w:val="99"/>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An Equity or Equity-Based Award. </w:t>
      </w:r>
      <w:r>
        <w:rPr>
          <w:rFonts w:ascii="Arial" w:cs="Arial" w:eastAsia="Arial" w:hAnsi="Arial"/>
          <w:sz w:val="18"/>
          <w:szCs w:val="18"/>
          <w:color w:val="000000"/>
        </w:rPr>
        <w:t>The Committee and the Independent Directors granted to Mr. Fairbank 11,194 RSUs,</w:t>
      </w:r>
      <w:r>
        <w:rPr>
          <w:rFonts w:ascii="Arial" w:cs="Arial" w:eastAsia="Arial" w:hAnsi="Arial"/>
          <w:sz w:val="18"/>
          <w:szCs w:val="18"/>
          <w:b w:val="1"/>
          <w:bCs w:val="1"/>
          <w:color w:val="023C5B"/>
        </w:rPr>
        <w:t xml:space="preserve"> </w:t>
      </w:r>
      <w:r>
        <w:rPr>
          <w:rFonts w:ascii="Arial" w:cs="Arial" w:eastAsia="Arial" w:hAnsi="Arial"/>
          <w:sz w:val="18"/>
          <w:szCs w:val="18"/>
          <w:color w:val="000000"/>
        </w:rPr>
        <w:t>which had a total grant date value of approximately $2.5 million and will vest in full on February 15, 2029, settle in cash based on the Company’s average stock price over the 15 trading days preceding the vesting date, and are subject to performance-based vesting provisions.</w:t>
      </w:r>
    </w:p>
    <w:p>
      <w:pPr>
        <w:spacing w:after="0" w:line="208" w:lineRule="exact"/>
        <w:rPr>
          <w:rFonts w:ascii="MS PGothic" w:cs="MS PGothic" w:eastAsia="MS PGothic" w:hAnsi="MS PGothic"/>
          <w:sz w:val="29"/>
          <w:szCs w:val="29"/>
          <w:color w:val="023C5B"/>
          <w:vertAlign w:val="superscript"/>
        </w:rPr>
      </w:pPr>
    </w:p>
    <w:p>
      <w:pPr>
        <w:jc w:val="both"/>
        <w:ind w:left="1020" w:hanging="425"/>
        <w:spacing w:after="0" w:line="222" w:lineRule="auto"/>
        <w:tabs>
          <w:tab w:leader="none" w:pos="1020" w:val="left"/>
        </w:tabs>
        <w:numPr>
          <w:ilvl w:val="0"/>
          <w:numId w:val="99"/>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A Year-End Incentive Opportunity. </w:t>
      </w:r>
      <w:r>
        <w:rPr>
          <w:rFonts w:ascii="Arial" w:cs="Arial" w:eastAsia="Arial" w:hAnsi="Arial"/>
          <w:sz w:val="18"/>
          <w:szCs w:val="18"/>
          <w:color w:val="000000"/>
        </w:rPr>
        <w:t>Mr. Fairbank will have an opportunity for a year-end incentive award, with the amount</w:t>
      </w:r>
      <w:r>
        <w:rPr>
          <w:rFonts w:ascii="Arial" w:cs="Arial" w:eastAsia="Arial" w:hAnsi="Arial"/>
          <w:sz w:val="18"/>
          <w:szCs w:val="18"/>
          <w:b w:val="1"/>
          <w:bCs w:val="1"/>
          <w:color w:val="023C5B"/>
        </w:rPr>
        <w:t xml:space="preserve"> </w:t>
      </w:r>
      <w:r>
        <w:rPr>
          <w:rFonts w:ascii="Arial" w:cs="Arial" w:eastAsia="Arial" w:hAnsi="Arial"/>
          <w:sz w:val="18"/>
          <w:szCs w:val="18"/>
          <w:color w:val="000000"/>
        </w:rPr>
        <w:t>granted based on CEO and Company performance in 2026. Any year-end incentive award granted to the CEO: (i) will continue to consist primarily of performance share awards under which he may receive 0% to 150% of a target number of shares of Capital One common stock based on the Company’s performance over a three-year period; and (ii) may also consist of deferred cash, an equity-based award, or both.</w:t>
      </w:r>
    </w:p>
    <w:p>
      <w:pPr>
        <w:spacing w:after="0" w:line="183"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In this manner, the CEO’s compensation will continue to be completely at-risk, based on the Company’s and Mr. Fairbank’s performance, and all CEO compensation continues to be subject to a three-year deferred vesting or payout. As in prior years, Mr. Fairbank will not receive any cash salary in 2026. Any deferred cash or equity-based award will pay out or vest after a three-year deferral period. The Committee and the Independent Directors will</w:t>
      </w:r>
    </w:p>
    <w:p>
      <w:pPr>
        <w:spacing w:after="0" w:line="111"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use their judgment to determine whether to make the year-end incentive award, the form of the award and the value of the award. The Committee and the Independent Directors will base these determinations on the Committee’s evaluation of the Company’s performance in 2026 relative to the same factors described earlier under “Year-End Incentive Opportunity” beginning on page 68, related to financial and operating performance, governance and risk management, strategic performance, and winning with our customers and associates, and Mr. Fairbank’s contribution to that performance.</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2026 NEO Compensation Program</w:t>
      </w:r>
    </w:p>
    <w:p>
      <w:pPr>
        <w:spacing w:after="0" w:line="22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Each year, the Committee reviews the NEO compensation program in light of Company performance data, peer comparator group performance data, historical pay information, data on specific market practices and trends, stockholder feedback, and other relevant points of information. The program consists of multiple compensation vehicles that directly link the NEOs’ compensation with the Company’s performance over multiple time horizons, align the NEOs’ interests with the interests of the Company’s stockholders, support safety and soundness, and encourage appropriate risk-taking. In February 2026, the Committee and the Independent Directors reviewed the 2025 compensation program for our NEOs, and determined that, for 2026, the NEO compensation program would continue to consist of the following components:</w:t>
      </w:r>
    </w:p>
    <w:p>
      <w:pPr>
        <w:spacing w:after="0" w:line="208" w:lineRule="exact"/>
        <w:rPr>
          <w:sz w:val="20"/>
          <w:szCs w:val="20"/>
          <w:color w:val="auto"/>
        </w:rPr>
      </w:pPr>
    </w:p>
    <w:p>
      <w:pPr>
        <w:ind w:left="1020" w:hanging="425"/>
        <w:spacing w:after="0" w:line="210" w:lineRule="auto"/>
        <w:tabs>
          <w:tab w:leader="none" w:pos="1020" w:val="left"/>
        </w:tabs>
        <w:numPr>
          <w:ilvl w:val="0"/>
          <w:numId w:val="100"/>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Base Salary. </w:t>
      </w:r>
      <w:r>
        <w:rPr>
          <w:rFonts w:ascii="Arial" w:cs="Arial" w:eastAsia="Arial" w:hAnsi="Arial"/>
          <w:sz w:val="18"/>
          <w:szCs w:val="18"/>
          <w:color w:val="000000"/>
        </w:rPr>
        <w:t>The Committee and the Independent Directors approved the amount of cash salary to be paid to each NEO for</w:t>
      </w:r>
      <w:r>
        <w:rPr>
          <w:rFonts w:ascii="Arial" w:cs="Arial" w:eastAsia="Arial" w:hAnsi="Arial"/>
          <w:sz w:val="18"/>
          <w:szCs w:val="18"/>
          <w:b w:val="1"/>
          <w:bCs w:val="1"/>
          <w:color w:val="023C5B"/>
        </w:rPr>
        <w:t xml:space="preserve"> </w:t>
      </w:r>
      <w:r>
        <w:rPr>
          <w:rFonts w:ascii="Arial" w:cs="Arial" w:eastAsia="Arial" w:hAnsi="Arial"/>
          <w:sz w:val="18"/>
          <w:szCs w:val="18"/>
          <w:color w:val="000000"/>
        </w:rPr>
        <w:t>the performance year.</w:t>
      </w:r>
    </w:p>
    <w:p>
      <w:pPr>
        <w:spacing w:after="0" w:line="207" w:lineRule="exact"/>
        <w:rPr>
          <w:rFonts w:ascii="MS PGothic" w:cs="MS PGothic" w:eastAsia="MS PGothic" w:hAnsi="MS PGothic"/>
          <w:sz w:val="29"/>
          <w:szCs w:val="29"/>
          <w:color w:val="023C5B"/>
          <w:vertAlign w:val="superscript"/>
        </w:rPr>
      </w:pPr>
    </w:p>
    <w:p>
      <w:pPr>
        <w:jc w:val="both"/>
        <w:ind w:left="1020" w:hanging="425"/>
        <w:spacing w:after="0" w:line="202" w:lineRule="auto"/>
        <w:tabs>
          <w:tab w:leader="none" w:pos="1020" w:val="left"/>
        </w:tabs>
        <w:numPr>
          <w:ilvl w:val="0"/>
          <w:numId w:val="100"/>
        </w:numPr>
        <w:rPr>
          <w:rFonts w:ascii="MS PGothic" w:cs="MS PGothic" w:eastAsia="MS PGothic" w:hAnsi="MS PGothic"/>
          <w:sz w:val="29"/>
          <w:szCs w:val="29"/>
          <w:color w:val="023C5B"/>
          <w:vertAlign w:val="superscript"/>
        </w:rPr>
      </w:pPr>
      <w:r>
        <w:rPr>
          <w:rFonts w:ascii="Arial" w:cs="Arial" w:eastAsia="Arial" w:hAnsi="Arial"/>
          <w:sz w:val="18"/>
          <w:szCs w:val="18"/>
          <w:b w:val="1"/>
          <w:bCs w:val="1"/>
          <w:color w:val="023C5B"/>
        </w:rPr>
        <w:t xml:space="preserve">A Year-End Incentive Opportunity. </w:t>
      </w:r>
      <w:r>
        <w:rPr>
          <w:rFonts w:ascii="Arial" w:cs="Arial" w:eastAsia="Arial" w:hAnsi="Arial"/>
          <w:sz w:val="18"/>
          <w:szCs w:val="18"/>
          <w:color w:val="000000"/>
        </w:rPr>
        <w:t>The NEOs will have an opportunity for a year-end incentive award, with the amount</w:t>
      </w:r>
      <w:r>
        <w:rPr>
          <w:rFonts w:ascii="Arial" w:cs="Arial" w:eastAsia="Arial" w:hAnsi="Arial"/>
          <w:sz w:val="18"/>
          <w:szCs w:val="18"/>
          <w:b w:val="1"/>
          <w:bCs w:val="1"/>
          <w:color w:val="023C5B"/>
        </w:rPr>
        <w:t xml:space="preserve"> </w:t>
      </w:r>
      <w:r>
        <w:rPr>
          <w:rFonts w:ascii="Arial" w:cs="Arial" w:eastAsia="Arial" w:hAnsi="Arial"/>
          <w:sz w:val="18"/>
          <w:szCs w:val="18"/>
          <w:color w:val="000000"/>
        </w:rPr>
        <w:t>granted based on the Company’s and each NEO’s individual performance in 2026. This award, if granted, may consist of</w:t>
      </w:r>
    </w:p>
    <w:p>
      <w:pPr>
        <w:jc w:val="both"/>
        <w:ind w:left="1020"/>
        <w:spacing w:after="0" w:line="237" w:lineRule="auto"/>
        <w:rPr>
          <w:rFonts w:ascii="MS PGothic" w:cs="MS PGothic" w:eastAsia="MS PGothic" w:hAnsi="MS PGothic"/>
          <w:sz w:val="29"/>
          <w:szCs w:val="29"/>
          <w:color w:val="023C5B"/>
          <w:vertAlign w:val="superscript"/>
        </w:rPr>
      </w:pPr>
      <w:r>
        <w:rPr>
          <w:rFonts w:ascii="Arial" w:cs="Arial" w:eastAsia="Arial" w:hAnsi="Arial"/>
          <w:sz w:val="18"/>
          <w:szCs w:val="18"/>
          <w:color w:val="auto"/>
        </w:rPr>
        <w:t>(i) long-term incentive awards in the form of performance shares, under which the NEOs may receive 0% to 150% of a target number of shares of Capital One common stock based on the Company’s performance over a three-year period, and/or RSUs; and (ii) a cash incentive award based on the Committee’s evaluation of the Company’s performance in 2026. The year-end incentive awards will be subject to performance-based vesting and clawback provisions.</w:t>
      </w:r>
    </w:p>
    <w:p>
      <w:pPr>
        <w:spacing w:after="0" w:line="18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NEOs’ total target compensation will be composed of 20% base salary, 25% cash incentive opportunity, and 55% long-term incentive opportunity.</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Additional Performance Conditions and Recovery Provisions</w:t>
      </w:r>
    </w:p>
    <w:p>
      <w:pPr>
        <w:spacing w:after="0" w:line="228"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awards granted to our NEOs include the following provisions that are designed to further enhance alignment between pay and performance and balance the risks that our incentive compensation programs might otherwise encourage:</w:t>
      </w:r>
    </w:p>
    <w:p>
      <w:pPr>
        <w:spacing w:after="0" w:line="130" w:lineRule="exact"/>
        <w:rPr>
          <w:sz w:val="20"/>
          <w:szCs w:val="20"/>
          <w:color w:val="auto"/>
        </w:rPr>
      </w:pPr>
    </w:p>
    <w:p>
      <w:pPr>
        <w:ind w:left="1020" w:hanging="425"/>
        <w:spacing w:after="0"/>
        <w:tabs>
          <w:tab w:leader="none" w:pos="1020" w:val="left"/>
        </w:tabs>
        <w:numPr>
          <w:ilvl w:val="0"/>
          <w:numId w:val="101"/>
        </w:numPr>
        <w:rPr>
          <w:rFonts w:ascii="MS PGothic" w:cs="MS PGothic" w:eastAsia="MS PGothic" w:hAnsi="MS PGothic"/>
          <w:sz w:val="29"/>
          <w:szCs w:val="29"/>
          <w:color w:val="023C5B"/>
          <w:vertAlign w:val="superscript"/>
        </w:rPr>
      </w:pPr>
      <w:r>
        <w:rPr>
          <w:rFonts w:ascii="Arial" w:cs="Arial" w:eastAsia="Arial" w:hAnsi="Arial"/>
          <w:sz w:val="18"/>
          <w:szCs w:val="18"/>
          <w:color w:val="auto"/>
        </w:rPr>
        <w:t>Performance-based vesting provisions</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101"/>
        </w:numPr>
        <w:rPr>
          <w:rFonts w:ascii="MS PGothic" w:cs="MS PGothic" w:eastAsia="MS PGothic" w:hAnsi="MS PGothic"/>
          <w:sz w:val="29"/>
          <w:szCs w:val="29"/>
          <w:color w:val="023C5B"/>
          <w:vertAlign w:val="superscript"/>
        </w:rPr>
      </w:pPr>
      <w:r>
        <w:rPr>
          <w:rFonts w:ascii="Arial" w:cs="Arial" w:eastAsia="Arial" w:hAnsi="Arial"/>
          <w:sz w:val="18"/>
          <w:szCs w:val="18"/>
          <w:color w:val="auto"/>
        </w:rPr>
        <w:t>Performance share reduction</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101"/>
        </w:numPr>
        <w:rPr>
          <w:rFonts w:ascii="MS PGothic" w:cs="MS PGothic" w:eastAsia="MS PGothic" w:hAnsi="MS PGothic"/>
          <w:sz w:val="29"/>
          <w:szCs w:val="29"/>
          <w:color w:val="023C5B"/>
          <w:vertAlign w:val="superscript"/>
        </w:rPr>
      </w:pPr>
      <w:r>
        <w:rPr>
          <w:rFonts w:ascii="Arial" w:cs="Arial" w:eastAsia="Arial" w:hAnsi="Arial"/>
          <w:sz w:val="18"/>
          <w:szCs w:val="18"/>
          <w:color w:val="auto"/>
        </w:rPr>
        <w:t>Misconduct clawback</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101"/>
        </w:numPr>
        <w:rPr>
          <w:rFonts w:ascii="MS PGothic" w:cs="MS PGothic" w:eastAsia="MS PGothic" w:hAnsi="MS PGothic"/>
          <w:sz w:val="29"/>
          <w:szCs w:val="29"/>
          <w:color w:val="023C5B"/>
          <w:vertAlign w:val="superscript"/>
        </w:rPr>
      </w:pPr>
      <w:r>
        <w:rPr>
          <w:rFonts w:ascii="Arial" w:cs="Arial" w:eastAsia="Arial" w:hAnsi="Arial"/>
          <w:sz w:val="18"/>
          <w:szCs w:val="18"/>
          <w:color w:val="auto"/>
        </w:rPr>
        <w:t>Financial restatement clawback</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These terms and conditions apply to certain incentive awards granted to every executive officer and not just to the NEOs.</w:t>
      </w:r>
    </w:p>
    <w:p>
      <w:pPr>
        <w:spacing w:after="0" w:line="132"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Performance-Based Vesting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6929755" cy="8915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29755" cy="89154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FFFFFF"/>
        </w:rPr>
        <w:t>Performance-</w:t>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FFFFFF"/>
        </w:rPr>
        <w:t>Based Vesting</w:t>
      </w:r>
    </w:p>
    <w:p>
      <w:pPr>
        <w:spacing w:after="0" w:line="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FFFFFF"/>
        </w:rPr>
        <w:t>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We include performance-based vesting provisions in each award of stock-settled RSUs granted to NEOs and each award of cash-settled RSUs granted to the CEO excluding, in each case, the Discover-Related Special Awards. These provisions will reduce the total value delivered to the executive at vesting if the Company does not meet certain performance thresholds during the three-year vesting period. The total value can be reduced to zero if the performance threshold is not met in any of the three years in the performance period.</w:t>
      </w:r>
    </w:p>
    <w:p>
      <w:pPr>
        <w:spacing w:after="0" w:line="200" w:lineRule="exact"/>
        <w:rPr>
          <w:sz w:val="20"/>
          <w:szCs w:val="20"/>
          <w:color w:val="auto"/>
        </w:rPr>
      </w:pPr>
    </w:p>
    <w:p>
      <w:pPr>
        <w:sectPr>
          <w:pgSz w:w="11900" w:h="16838" w:orient="portrait"/>
          <w:cols w:equalWidth="0" w:num="2">
            <w:col w:w="2040" w:space="720"/>
            <w:col w:w="8320"/>
          </w:cols>
          <w:pgMar w:left="320" w:top="478" w:right="499" w:bottom="1440" w:gutter="0" w:footer="0" w:header="0"/>
          <w:type w:val="continuous"/>
        </w:sectPr>
      </w:pPr>
    </w:p>
    <w:p>
      <w:pPr>
        <w:spacing w:after="0" w:line="323" w:lineRule="exact"/>
        <w:rPr>
          <w:sz w:val="20"/>
          <w:szCs w:val="20"/>
          <w:color w:val="auto"/>
        </w:rPr>
      </w:pPr>
    </w:p>
    <w:p>
      <w:pPr>
        <w:jc w:val="both"/>
        <w:ind w:left="160"/>
        <w:spacing w:after="0" w:line="254" w:lineRule="auto"/>
        <w:rPr>
          <w:sz w:val="20"/>
          <w:szCs w:val="20"/>
          <w:color w:val="auto"/>
        </w:rPr>
      </w:pPr>
      <w:r>
        <w:rPr>
          <w:rFonts w:ascii="Arial" w:cs="Arial" w:eastAsia="Arial" w:hAnsi="Arial"/>
          <w:sz w:val="17"/>
          <w:szCs w:val="17"/>
          <w:color w:val="auto"/>
        </w:rPr>
        <w:t>The ultimate value that our NEOs receive from equity-based incentive awards is tied to our stock price performance over the vesting period. In addition, the Committee nevertheless determined that these awards should be subject to additional performance conditions so that the value received by the executives is also conditioned upon the Company continuing to meet certain operating performance thresholds for each and every fiscal year ending in the three-year vesting period. Any forfeitures will be cumulative over the three-year vesting period. In this manner, regardless of our executives’ past performance and our stock price performance, the awards subject to performance-based vesting remain at risk of complete forfeiture over the three-year vesting period. Performance-based vesting provisions apply to all NEO stock-settled RSUs and all CEO cash-settled RSUs excluding, in each case, the Discover-Related Special Awards.</w:t>
      </w:r>
    </w:p>
    <w:p>
      <w:pPr>
        <w:spacing w:after="0" w:line="170"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These performance conditions do not present any upside potential for the NEOs’ compensation but instead create an additional at-risk element to the compensation that has been awarded to them. Imposing these additional performance conditions is designed to further reflect our approach of balancing risk and performance over the long term.</w:t>
      </w:r>
    </w:p>
    <w:p>
      <w:pPr>
        <w:spacing w:after="0" w:line="172" w:lineRule="exact"/>
        <w:rPr>
          <w:sz w:val="20"/>
          <w:szCs w:val="20"/>
          <w:color w:val="auto"/>
        </w:rPr>
      </w:pPr>
    </w:p>
    <w:p>
      <w:pPr>
        <w:jc w:val="both"/>
        <w:ind w:left="160"/>
        <w:spacing w:after="0" w:line="253" w:lineRule="auto"/>
        <w:rPr>
          <w:sz w:val="20"/>
          <w:szCs w:val="20"/>
          <w:color w:val="auto"/>
        </w:rPr>
      </w:pPr>
      <w:r>
        <w:rPr>
          <w:rFonts w:ascii="Arial" w:cs="Arial" w:eastAsia="Arial" w:hAnsi="Arial"/>
          <w:sz w:val="17"/>
          <w:szCs w:val="17"/>
          <w:color w:val="auto"/>
        </w:rPr>
        <w:t>For awards covered by this provision, vesting is conditioned on the Company achieving positive Core Earnings (as defined below). If Core Earnings are not positive for any fiscal year in the vesting period, the named executive officer will automatically forfeit 50% of one year’s worth of vesting (i.e., one-sixth of the total award). In addition, the Committee will determine the extent to which any named executive officer was accountable for the outcome and, based on such determination, the Committee will decide whether any or all of the remaining 50% of one year’s worth of vesting will also be forfeited. The Committee may also decide to delay the vesting of the applicable portion of the award not so forfeited. For the NEOs, these determinations will be made each year prior to the scheduled vesting date, based on the Core Earnings for the fiscal year ended prior to such vesting date. For the CEO, these determinations will be made prior to the scheduled vesting date at the end of the three-year vesting period, taking into account Core Earnings for each fiscal year within the period.</w:t>
      </w:r>
    </w:p>
    <w:p>
      <w:pPr>
        <w:spacing w:after="0" w:line="170"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Core Earnings focuses on whether profits are being generated by our basic business, as opposed to other factors that may not reflect business fundamentals. The applicable award agreements define “Core Earnings” to mean the Company’s net income available to common stockholders, excluding, on a tax-adjusted basis, the impact of (i) impairment or amortization of goodwill and intangible assets and (ii) the build or release of the allowance for credit losses, calculated as the difference between the provision for credit losses and charge-offs, net of recoveries. The Committee believes that Core Earnings is an appropriate performance metric to employ for these performance-based vesting provisions because the metric captures major operational costs and risks to the Company’s business, including charge-offs, operating expenses, market and competitive risks, and costs to maintain adequate levels of capital and liquidity. The metric is based on net income available to common stockholders and it also includes the impact of discontinued operations.</w:t>
      </w:r>
    </w:p>
    <w:p>
      <w:pPr>
        <w:spacing w:after="0" w:line="117"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Performance Share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6929755" cy="8915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29755" cy="89154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FFFFFF"/>
        </w:rPr>
        <w:t>Performance</w:t>
      </w:r>
    </w:p>
    <w:p>
      <w:pPr>
        <w:spacing w:after="0" w:line="12"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FFFFFF"/>
        </w:rPr>
        <w:t>Share Reduction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color w:val="auto"/>
        </w:rPr>
        <w:t>Each performance share award granted to the NEOs provides that the total value delivered at vesting will be reduced if for any year in the three-year performance period the Company does not achieve positive PSU Adjusted ROTCE. The total value can be reduced to zero if positive PSU Adjusted ROTCE is not achieved in all of the three years in the performance period. This reduction can occur regardless of where PSU Adjusted ROTCE ranks relative to a comparator group.</w:t>
      </w:r>
    </w:p>
    <w:p>
      <w:pPr>
        <w:spacing w:after="0" w:line="200" w:lineRule="exact"/>
        <w:rPr>
          <w:sz w:val="20"/>
          <w:szCs w:val="20"/>
          <w:color w:val="auto"/>
        </w:rPr>
      </w:pPr>
    </w:p>
    <w:p>
      <w:pPr>
        <w:sectPr>
          <w:pgSz w:w="11900" w:h="16838" w:orient="portrait"/>
          <w:cols w:equalWidth="0" w:num="2">
            <w:col w:w="2040" w:space="720"/>
            <w:col w:w="8320"/>
          </w:cols>
          <w:pgMar w:left="320" w:top="478" w:right="499" w:bottom="1440" w:gutter="0" w:footer="0" w:header="0"/>
          <w:type w:val="continuous"/>
        </w:sectPr>
      </w:pPr>
    </w:p>
    <w:p>
      <w:pPr>
        <w:spacing w:after="0" w:line="323"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Each of the performance share awards granted to the NEOs is subject to reduction in the event that the Company’s PSU Adjusted ROTCE for any fiscal year in the three-year performance period is not positive. These reductions will occur regardless of how well the Company’s PSU Adjusted ROTCE compares to the Performance Share Peers. If the Company does not achieve positive PSU Adjusted ROTCE for one year in the performance period, the total number of shares issued on the vesting date will be reduced by one-sixth. If the Company does not achieve positive PSU Adjusted ROTCE for two years in the performance period, the total number of shares issued on the vesting date will be reduced by one-third. If the Company does not achieve positive PSU Adjusted ROTCE for any of the three years in the performance period, the NEOs will forfeit the entire award. In this manner, even if we outperform compared to the comparator group, the performance share awards are at risk of complete forfeiture if we do not achieve a threshold level of performance on an absolute basis. For additional information, see “Performance Share Award Formula” on page 71.</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Misconduct Clawback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6929755" cy="8915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29755" cy="89154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760" w:right="320"/>
        <w:spacing w:after="0" w:line="252" w:lineRule="auto"/>
        <w:rPr>
          <w:sz w:val="20"/>
          <w:szCs w:val="20"/>
          <w:color w:val="auto"/>
        </w:rPr>
      </w:pPr>
      <w:r>
        <w:rPr>
          <w:rFonts w:ascii="Arial" w:cs="Arial" w:eastAsia="Arial" w:hAnsi="Arial"/>
          <w:sz w:val="16"/>
          <w:szCs w:val="16"/>
          <w:color w:val="auto"/>
        </w:rPr>
        <w:t>Each incentive award granted to the NEOs, other than the cash incentive award granted to the NEOs other than the CEO, is subject to the provisions of the Clawback Policy that allow the Committee to seek recovery of all</w:t>
      </w:r>
    </w:p>
    <w:p>
      <w:pPr>
        <w:spacing w:after="0" w:line="1" w:lineRule="exact"/>
        <w:rPr>
          <w:sz w:val="20"/>
          <w:szCs w:val="20"/>
          <w:color w:val="auto"/>
        </w:rPr>
      </w:pPr>
    </w:p>
    <w:p>
      <w:pPr>
        <w:jc w:val="both"/>
        <w:ind w:left="2760" w:right="320" w:hanging="2426"/>
        <w:spacing w:after="0" w:line="253" w:lineRule="auto"/>
        <w:tabs>
          <w:tab w:leader="none" w:pos="2740" w:val="left"/>
        </w:tabs>
        <w:rPr>
          <w:sz w:val="20"/>
          <w:szCs w:val="20"/>
          <w:color w:val="auto"/>
        </w:rPr>
      </w:pPr>
      <w:r>
        <w:rPr>
          <w:rFonts w:ascii="Arial" w:cs="Arial" w:eastAsia="Arial" w:hAnsi="Arial"/>
          <w:sz w:val="18"/>
          <w:szCs w:val="18"/>
          <w:b w:val="1"/>
          <w:bCs w:val="1"/>
          <w:color w:val="FFFFFF"/>
        </w:rPr>
        <w:t>Misconduct Clawback</w:t>
      </w:r>
      <w:r>
        <w:rPr>
          <w:sz w:val="20"/>
          <w:szCs w:val="20"/>
          <w:color w:val="auto"/>
        </w:rPr>
        <w:tab/>
      </w:r>
      <w:r>
        <w:rPr>
          <w:rFonts w:ascii="Arial" w:cs="Arial" w:eastAsia="Arial" w:hAnsi="Arial"/>
          <w:sz w:val="16"/>
          <w:szCs w:val="16"/>
          <w:color w:val="auto"/>
        </w:rPr>
        <w:t>unvested portions of the awards in the event there has been misconduct resulting in a violation of law or Company policy and the NEO committed the misconduct or failed in their responsibility to manage or monitor the applicable conduct or risks.</w:t>
      </w:r>
    </w:p>
    <w:p>
      <w:pPr>
        <w:spacing w:after="0" w:line="200" w:lineRule="exact"/>
        <w:rPr>
          <w:sz w:val="20"/>
          <w:szCs w:val="20"/>
          <w:color w:val="auto"/>
        </w:rPr>
      </w:pPr>
    </w:p>
    <w:p>
      <w:pPr>
        <w:spacing w:after="0" w:line="32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misconduct clawback provisions have been designed to apply broadly to a range of potential manifestations of misconduct at any level of the executive’s organization. Misconduct includes any violation of law or Company policy that causes significant financial or reputational harm to the Company that either the executive committed or failed in their responsibility to manage or monitor. The unvested portions of all applicable incentive awards are subject to recovery and at risk of complete forfeiture. In each case, the Committee will determine the amount of compensation to recover, allowing the Committee to calibrate each recovery to the facts and circumstances giving rise to the need for such recovery. In the event the Committee exercises these clawback provisions, the Company intends to disclose the aggregate amount that the Committee has determined to recover, so long as the underlying event has already been publicly disclosed in the Company’s filings with the SEC.</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Financial Restatement Clawback</w:t>
      </w: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289"/>
        </w:trPr>
        <w:tc>
          <w:tcPr>
            <w:tcW w:w="2180" w:type="dxa"/>
            <w:vAlign w:val="bottom"/>
            <w:shd w:val="clear" w:color="auto" w:fill="023C5B"/>
          </w:tcPr>
          <w:p>
            <w:pPr>
              <w:jc w:val="center"/>
              <w:spacing w:after="0"/>
              <w:rPr>
                <w:sz w:val="20"/>
                <w:szCs w:val="20"/>
                <w:color w:val="auto"/>
              </w:rPr>
            </w:pPr>
            <w:r>
              <w:rPr>
                <w:rFonts w:ascii="Arial" w:cs="Arial" w:eastAsia="Arial" w:hAnsi="Arial"/>
                <w:sz w:val="18"/>
                <w:szCs w:val="18"/>
                <w:b w:val="1"/>
                <w:bCs w:val="1"/>
                <w:color w:val="FFFFFF"/>
                <w:w w:val="97"/>
              </w:rPr>
              <w:t>Financial</w:t>
            </w:r>
          </w:p>
        </w:tc>
        <w:tc>
          <w:tcPr>
            <w:tcW w:w="120" w:type="dxa"/>
            <w:vAlign w:val="bottom"/>
          </w:tcPr>
          <w:p>
            <w:pPr>
              <w:spacing w:after="0"/>
              <w:rPr>
                <w:sz w:val="24"/>
                <w:szCs w:val="24"/>
                <w:color w:val="auto"/>
              </w:rPr>
            </w:pPr>
          </w:p>
        </w:tc>
        <w:tc>
          <w:tcPr>
            <w:tcW w:w="8620" w:type="dxa"/>
            <w:vAlign w:val="bottom"/>
            <w:vMerge w:val="restart"/>
            <w:shd w:val="clear" w:color="auto" w:fill="E5EBEE"/>
          </w:tcPr>
          <w:p>
            <w:pPr>
              <w:ind w:left="300"/>
              <w:spacing w:after="0"/>
              <w:rPr>
                <w:sz w:val="20"/>
                <w:szCs w:val="20"/>
                <w:color w:val="auto"/>
              </w:rPr>
            </w:pPr>
            <w:r>
              <w:rPr>
                <w:rFonts w:ascii="Arial" w:cs="Arial" w:eastAsia="Arial" w:hAnsi="Arial"/>
                <w:sz w:val="18"/>
                <w:szCs w:val="18"/>
                <w:color w:val="auto"/>
              </w:rPr>
              <w:t>Each incentive award granted to the NEOs is subject to the Clawback Policy, which allows the</w:t>
            </w:r>
          </w:p>
        </w:tc>
        <w:tc>
          <w:tcPr>
            <w:tcW w:w="0" w:type="dxa"/>
            <w:vAlign w:val="bottom"/>
          </w:tcPr>
          <w:p>
            <w:pPr>
              <w:spacing w:after="0"/>
              <w:rPr>
                <w:sz w:val="1"/>
                <w:szCs w:val="1"/>
                <w:color w:val="auto"/>
              </w:rPr>
            </w:pPr>
          </w:p>
        </w:tc>
      </w:tr>
      <w:tr>
        <w:trPr>
          <w:trHeight w:val="94"/>
        </w:trPr>
        <w:tc>
          <w:tcPr>
            <w:tcW w:w="2180" w:type="dxa"/>
            <w:vAlign w:val="bottom"/>
            <w:vMerge w:val="restart"/>
            <w:shd w:val="clear" w:color="auto" w:fill="023C5B"/>
          </w:tcPr>
          <w:p>
            <w:pPr>
              <w:jc w:val="center"/>
              <w:spacing w:after="0" w:line="201" w:lineRule="exact"/>
              <w:rPr>
                <w:sz w:val="20"/>
                <w:szCs w:val="20"/>
                <w:color w:val="auto"/>
              </w:rPr>
            </w:pPr>
            <w:r>
              <w:rPr>
                <w:rFonts w:ascii="Arial" w:cs="Arial" w:eastAsia="Arial" w:hAnsi="Arial"/>
                <w:sz w:val="18"/>
                <w:szCs w:val="18"/>
                <w:b w:val="1"/>
                <w:bCs w:val="1"/>
                <w:color w:val="FFFFFF"/>
                <w:w w:val="99"/>
              </w:rPr>
              <w:t>Restatement</w:t>
            </w:r>
          </w:p>
        </w:tc>
        <w:tc>
          <w:tcPr>
            <w:tcW w:w="120" w:type="dxa"/>
            <w:vAlign w:val="bottom"/>
          </w:tcPr>
          <w:p>
            <w:pPr>
              <w:spacing w:after="0"/>
              <w:rPr>
                <w:sz w:val="8"/>
                <w:szCs w:val="8"/>
                <w:color w:val="auto"/>
              </w:rPr>
            </w:pPr>
          </w:p>
        </w:tc>
        <w:tc>
          <w:tcPr>
            <w:tcW w:w="8620" w:type="dxa"/>
            <w:vAlign w:val="bottom"/>
            <w:vMerge w:val="continue"/>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180" w:type="dxa"/>
            <w:vAlign w:val="bottom"/>
            <w:vMerge w:val="continue"/>
            <w:shd w:val="clear" w:color="auto" w:fill="023C5B"/>
          </w:tcPr>
          <w:p>
            <w:pPr>
              <w:spacing w:after="0"/>
              <w:rPr>
                <w:sz w:val="9"/>
                <w:szCs w:val="9"/>
                <w:color w:val="auto"/>
              </w:rPr>
            </w:pPr>
          </w:p>
        </w:tc>
        <w:tc>
          <w:tcPr>
            <w:tcW w:w="120" w:type="dxa"/>
            <w:vAlign w:val="bottom"/>
          </w:tcPr>
          <w:p>
            <w:pPr>
              <w:spacing w:after="0"/>
              <w:rPr>
                <w:sz w:val="9"/>
                <w:szCs w:val="9"/>
                <w:color w:val="auto"/>
              </w:rPr>
            </w:pPr>
          </w:p>
        </w:tc>
        <w:tc>
          <w:tcPr>
            <w:tcW w:w="8620" w:type="dxa"/>
            <w:vAlign w:val="bottom"/>
            <w:vMerge w:val="restart"/>
            <w:shd w:val="clear" w:color="auto" w:fill="E5EBEE"/>
          </w:tcPr>
          <w:p>
            <w:pPr>
              <w:ind w:left="300"/>
              <w:spacing w:after="0"/>
              <w:rPr>
                <w:sz w:val="20"/>
                <w:szCs w:val="20"/>
                <w:color w:val="auto"/>
              </w:rPr>
            </w:pPr>
            <w:r>
              <w:rPr>
                <w:rFonts w:ascii="Arial" w:cs="Arial" w:eastAsia="Arial" w:hAnsi="Arial"/>
                <w:sz w:val="18"/>
                <w:szCs w:val="18"/>
                <w:color w:val="auto"/>
              </w:rPr>
              <w:t>Company to recover compensation following a financial restatement.</w:t>
            </w:r>
          </w:p>
        </w:tc>
        <w:tc>
          <w:tcPr>
            <w:tcW w:w="0" w:type="dxa"/>
            <w:vAlign w:val="bottom"/>
          </w:tcPr>
          <w:p>
            <w:pPr>
              <w:spacing w:after="0"/>
              <w:rPr>
                <w:sz w:val="1"/>
                <w:szCs w:val="1"/>
                <w:color w:val="auto"/>
              </w:rPr>
            </w:pPr>
          </w:p>
        </w:tc>
      </w:tr>
      <w:tr>
        <w:trPr>
          <w:trHeight w:val="128"/>
        </w:trPr>
        <w:tc>
          <w:tcPr>
            <w:tcW w:w="2180" w:type="dxa"/>
            <w:vAlign w:val="bottom"/>
            <w:vMerge w:val="restart"/>
            <w:shd w:val="clear" w:color="auto" w:fill="023C5B"/>
          </w:tcPr>
          <w:p>
            <w:pPr>
              <w:jc w:val="center"/>
              <w:spacing w:after="0"/>
              <w:rPr>
                <w:sz w:val="20"/>
                <w:szCs w:val="20"/>
                <w:color w:val="auto"/>
              </w:rPr>
            </w:pPr>
            <w:r>
              <w:rPr>
                <w:rFonts w:ascii="Arial" w:cs="Arial" w:eastAsia="Arial" w:hAnsi="Arial"/>
                <w:sz w:val="18"/>
                <w:szCs w:val="18"/>
                <w:b w:val="1"/>
                <w:bCs w:val="1"/>
                <w:color w:val="FFFFFF"/>
                <w:w w:val="98"/>
              </w:rPr>
              <w:t>Clawback</w:t>
            </w:r>
          </w:p>
        </w:tc>
        <w:tc>
          <w:tcPr>
            <w:tcW w:w="120" w:type="dxa"/>
            <w:vAlign w:val="bottom"/>
          </w:tcPr>
          <w:p>
            <w:pPr>
              <w:spacing w:after="0"/>
              <w:rPr>
                <w:sz w:val="11"/>
                <w:szCs w:val="11"/>
                <w:color w:val="auto"/>
              </w:rPr>
            </w:pPr>
          </w:p>
        </w:tc>
        <w:tc>
          <w:tcPr>
            <w:tcW w:w="8620" w:type="dxa"/>
            <w:vAlign w:val="bottom"/>
            <w:vMerge w:val="continue"/>
            <w:shd w:val="clear" w:color="auto" w:fill="E5EBE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80" w:type="dxa"/>
            <w:vAlign w:val="bottom"/>
            <w:vMerge w:val="continue"/>
            <w:shd w:val="clear" w:color="auto" w:fill="023C5B"/>
          </w:tcPr>
          <w:p>
            <w:pPr>
              <w:spacing w:after="0"/>
              <w:rPr>
                <w:sz w:val="10"/>
                <w:szCs w:val="10"/>
                <w:color w:val="auto"/>
              </w:rPr>
            </w:pPr>
          </w:p>
        </w:tc>
        <w:tc>
          <w:tcPr>
            <w:tcW w:w="120" w:type="dxa"/>
            <w:vAlign w:val="bottom"/>
          </w:tcPr>
          <w:p>
            <w:pPr>
              <w:spacing w:after="0"/>
              <w:rPr>
                <w:sz w:val="10"/>
                <w:szCs w:val="10"/>
                <w:color w:val="auto"/>
              </w:rPr>
            </w:pPr>
          </w:p>
        </w:tc>
        <w:tc>
          <w:tcPr>
            <w:tcW w:w="8620" w:type="dxa"/>
            <w:vAlign w:val="bottom"/>
            <w:shd w:val="clear" w:color="auto" w:fill="E5EB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023C5B"/>
          </w:tcPr>
          <w:p>
            <w:pPr>
              <w:spacing w:after="0"/>
              <w:rPr>
                <w:sz w:val="11"/>
                <w:szCs w:val="11"/>
                <w:color w:val="auto"/>
              </w:rPr>
            </w:pPr>
          </w:p>
        </w:tc>
        <w:tc>
          <w:tcPr>
            <w:tcW w:w="120" w:type="dxa"/>
            <w:vAlign w:val="bottom"/>
          </w:tcPr>
          <w:p>
            <w:pPr>
              <w:spacing w:after="0"/>
              <w:rPr>
                <w:sz w:val="11"/>
                <w:szCs w:val="11"/>
                <w:color w:val="auto"/>
              </w:rPr>
            </w:pPr>
          </w:p>
        </w:tc>
        <w:tc>
          <w:tcPr>
            <w:tcW w:w="8620" w:type="dxa"/>
            <w:vAlign w:val="bottom"/>
            <w:shd w:val="clear" w:color="auto" w:fill="E5EBEE"/>
          </w:tcPr>
          <w:p>
            <w:pPr>
              <w:spacing w:after="0"/>
              <w:rPr>
                <w:sz w:val="11"/>
                <w:szCs w:val="1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Company has adopted the Clawback Policy to comply with the Dodd-Frank Wall Street Reform and Consumer Protection Act (the “Dodd-Frank Act”), SEC, and NYSE requirements, and each incentive award granted to the</w:t>
      </w:r>
    </w:p>
    <w:p>
      <w:pPr>
        <w:spacing w:after="0" w:line="83"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90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NEOs is subject to the Clawback Policy. Incentive-based compensation granted to our executive officers includes a clawback that is triggered in the event that the Company is required to issue a restatement of its financial statements, pursuant to the Dodd-Frank Act. If the executive would have been entitled to less compensation under the restated financial statements, the Company shall reasonably and promptly recover the excess compensation awarded to such executive, on a pre-tax basis, subject to certain exceptions. The recoupment period covers compensation received during the three fiscal years preceding the date that the Board concludes or should have concluded that the Company is required to prepare a restatement or when the Company is directed to prepare a restatement by a court, regulatory body or other legally authorized body.</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Process and Criteria for Compensation Decisions</w:t>
      </w:r>
    </w:p>
    <w:p>
      <w:pPr>
        <w:spacing w:after="0" w:line="22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Committee considers a number of factors in making compensation decisions with respect to the NEOs. The Committee relies on a range of objective data including Company performance data, peer comparator group performance data, historical pay information, data on specific market practices and trends, stockholder feedback, and other relevant points of information to inform its business judgment.</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Use of Outside Consultants for NEO Compensation</w:t>
      </w:r>
    </w:p>
    <w:p>
      <w:pPr>
        <w:spacing w:after="0" w:line="22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Committee engages FW Cook, an independent compensation consultant, to assist in the design of the NEO compensation program. FW Cook assists the Committee in a number of ways, including proposing and evaluating a peer comparator group, gathering relevant compensation data from the peer group, discussing relevant market trends and context, and developing recommendations on possible plan designs.</w:t>
      </w:r>
    </w:p>
    <w:p>
      <w:pPr>
        <w:spacing w:after="0" w:line="178" w:lineRule="exact"/>
        <w:rPr>
          <w:sz w:val="20"/>
          <w:szCs w:val="20"/>
          <w:color w:val="auto"/>
        </w:rPr>
      </w:pPr>
    </w:p>
    <w:p>
      <w:pPr>
        <w:jc w:val="both"/>
        <w:ind w:left="160"/>
        <w:spacing w:after="0" w:line="254" w:lineRule="auto"/>
        <w:rPr>
          <w:sz w:val="20"/>
          <w:szCs w:val="20"/>
          <w:color w:val="auto"/>
        </w:rPr>
      </w:pPr>
      <w:r>
        <w:rPr>
          <w:rFonts w:ascii="Arial" w:cs="Arial" w:eastAsia="Arial" w:hAnsi="Arial"/>
          <w:sz w:val="17"/>
          <w:szCs w:val="17"/>
          <w:color w:val="auto"/>
        </w:rPr>
        <w:t>The Chief Human Resources Officer and other members of the Company’s Human Resources department assist the CEO in developing compensation recommendations for the NEOs other than the CEO for the Committee’s consideration. The Human Resources department typically uses multiple surveys as sources of market compensation data. FW Cook also provides additional market reference points that the Committee and the Independent Directors use when evaluating NEO compensation, and other outside consultants provide information to the Human Resources department regarding market practices, trends, and research reports. The Human Resources department is responsible for analyzing the information obtained from the outside consultants and presenting it to the CEO, who considers the information and makes his compensation recommendations for the other NEOs to the Committee and the Independent Directors.</w:t>
      </w:r>
    </w:p>
    <w:p>
      <w:pPr>
        <w:spacing w:after="0" w:line="170"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A consultant from FW Cook is present at Committee meetings during which CEO and NEO compensation is discussed and provides market data as well as an independent perspective regarding CEO and NEO compensation practices. FW Cook has no other engagement with, and performs no other services for, Capital One other than the services described above. See the discussion under “Compensation Committee Consultant” beginning on page 43 for additional information about FW Cook.</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Peer Groups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Peer Group to Determine Level and Components of Compensation</w:t>
      </w:r>
    </w:p>
    <w:p>
      <w:pPr>
        <w:spacing w:after="0" w:line="20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In order to attract, retain, and motivate top executive talent and non-employee directors consistent with our compensation program objectives, the Committee reviews data annually from a group of peer companies that are similar in size, business, and industry to the Company. These organizations are intended to represent the marketplace of companies with which Capital One competes for business and for executive talent. The compensation data from the peer group is used to inform the Committee’s determination of the structure and the total compensation target values of the compensation program for the NEOs other than the CEO as well as the total level of compensation for the CEO. The peer comparator group is reviewed each year and adjusted, as appropriate, so that the peer comparator group companies reflect Capital One’s competitive business and talent environment. The Committee examines pay practices and data for the peer group companies as a source of benchmarking data to assess the competitiveness of our compensation levels and pay components. As part of this</w:t>
      </w:r>
    </w:p>
    <w:p>
      <w:pPr>
        <w:spacing w:after="0" w:line="113"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analysis, a consultant from FW Cook presents a comprehensive report to the Committee that highlights the size, scope, and performance information from the peer companies across a variety of metrics and presents recommendations for changes to the peer group, as applicable. The Committee specifically considers the Company’s percentile rank versus peer comparator companies across the following financial and market metrics, including:</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43"/>
        </w:trPr>
        <w:tc>
          <w:tcPr>
            <w:tcW w:w="16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4620" w:type="dxa"/>
            <w:vAlign w:val="bottom"/>
          </w:tcPr>
          <w:p>
            <w:pPr>
              <w:ind w:left="60"/>
              <w:spacing w:after="0"/>
              <w:rPr>
                <w:sz w:val="20"/>
                <w:szCs w:val="20"/>
                <w:color w:val="auto"/>
              </w:rPr>
            </w:pPr>
            <w:r>
              <w:rPr>
                <w:rFonts w:ascii="Arial" w:cs="Arial" w:eastAsia="Arial" w:hAnsi="Arial"/>
                <w:sz w:val="18"/>
                <w:szCs w:val="18"/>
                <w:color w:val="auto"/>
              </w:rPr>
              <w:t>Revenue</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023C5B"/>
              </w:rPr>
              <w:t>∎</w:t>
            </w:r>
          </w:p>
        </w:tc>
        <w:tc>
          <w:tcPr>
            <w:tcW w:w="3360" w:type="dxa"/>
            <w:vAlign w:val="bottom"/>
          </w:tcPr>
          <w:p>
            <w:pPr>
              <w:ind w:left="60"/>
              <w:spacing w:after="0"/>
              <w:rPr>
                <w:sz w:val="20"/>
                <w:szCs w:val="20"/>
                <w:color w:val="auto"/>
              </w:rPr>
            </w:pPr>
            <w:r>
              <w:rPr>
                <w:rFonts w:ascii="Arial" w:cs="Arial" w:eastAsia="Arial" w:hAnsi="Arial"/>
                <w:sz w:val="18"/>
                <w:szCs w:val="18"/>
                <w:color w:val="auto"/>
              </w:rPr>
              <w:t>Adjusted ROA</w:t>
            </w:r>
          </w:p>
        </w:tc>
      </w:tr>
      <w:tr>
        <w:trPr>
          <w:trHeight w:val="321"/>
        </w:trPr>
        <w:tc>
          <w:tcPr>
            <w:tcW w:w="16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4620" w:type="dxa"/>
            <w:vAlign w:val="bottom"/>
          </w:tcPr>
          <w:p>
            <w:pPr>
              <w:ind w:left="60"/>
              <w:spacing w:after="0"/>
              <w:rPr>
                <w:sz w:val="20"/>
                <w:szCs w:val="20"/>
                <w:color w:val="auto"/>
              </w:rPr>
            </w:pPr>
            <w:r>
              <w:rPr>
                <w:rFonts w:ascii="Arial" w:cs="Arial" w:eastAsia="Arial" w:hAnsi="Arial"/>
                <w:sz w:val="18"/>
                <w:szCs w:val="18"/>
                <w:color w:val="auto"/>
              </w:rPr>
              <w:t>Assets</w:t>
            </w:r>
          </w:p>
        </w:tc>
        <w:tc>
          <w:tcPr>
            <w:tcW w:w="4420" w:type="dxa"/>
            <w:vAlign w:val="bottom"/>
            <w:gridSpan w:val="2"/>
          </w:tcPr>
          <w:p>
            <w:pPr>
              <w:ind w:left="920"/>
              <w:spacing w:after="0" w:line="207"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8"/>
                <w:szCs w:val="18"/>
                <w:color w:val="auto"/>
              </w:rPr>
              <w:t xml:space="preserve">  Common equity Tier 1 capital ratio</w:t>
            </w:r>
          </w:p>
        </w:tc>
      </w:tr>
      <w:tr>
        <w:trPr>
          <w:trHeight w:val="321"/>
        </w:trPr>
        <w:tc>
          <w:tcPr>
            <w:tcW w:w="16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4620" w:type="dxa"/>
            <w:vAlign w:val="bottom"/>
          </w:tcPr>
          <w:p>
            <w:pPr>
              <w:ind w:left="60"/>
              <w:spacing w:after="0"/>
              <w:rPr>
                <w:sz w:val="20"/>
                <w:szCs w:val="20"/>
                <w:color w:val="auto"/>
              </w:rPr>
            </w:pPr>
            <w:r>
              <w:rPr>
                <w:rFonts w:ascii="Arial" w:cs="Arial" w:eastAsia="Arial" w:hAnsi="Arial"/>
                <w:sz w:val="18"/>
                <w:szCs w:val="18"/>
                <w:color w:val="auto"/>
              </w:rPr>
              <w:t>Market value</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023C5B"/>
              </w:rPr>
              <w:t>∎</w:t>
            </w:r>
          </w:p>
        </w:tc>
        <w:tc>
          <w:tcPr>
            <w:tcW w:w="3360" w:type="dxa"/>
            <w:vAlign w:val="bottom"/>
          </w:tcPr>
          <w:p>
            <w:pPr>
              <w:ind w:left="60"/>
              <w:spacing w:after="0"/>
              <w:rPr>
                <w:sz w:val="20"/>
                <w:szCs w:val="20"/>
                <w:color w:val="auto"/>
              </w:rPr>
            </w:pPr>
            <w:r>
              <w:rPr>
                <w:rFonts w:ascii="Arial" w:cs="Arial" w:eastAsia="Arial" w:hAnsi="Arial"/>
                <w:sz w:val="18"/>
                <w:szCs w:val="18"/>
                <w:color w:val="auto"/>
              </w:rPr>
              <w:t>Charge-off rate</w:t>
            </w:r>
          </w:p>
        </w:tc>
      </w:tr>
      <w:tr>
        <w:trPr>
          <w:trHeight w:val="321"/>
        </w:trPr>
        <w:tc>
          <w:tcPr>
            <w:tcW w:w="4780" w:type="dxa"/>
            <w:vAlign w:val="bottom"/>
            <w:gridSpan w:val="2"/>
          </w:tcPr>
          <w:p>
            <w:pPr>
              <w:spacing w:after="0" w:line="207"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8"/>
                <w:szCs w:val="18"/>
                <w:color w:val="auto"/>
              </w:rPr>
              <w:t xml:space="preserve">  Net income available to common stockholders</w:t>
            </w:r>
          </w:p>
        </w:tc>
        <w:tc>
          <w:tcPr>
            <w:tcW w:w="4420" w:type="dxa"/>
            <w:vAlign w:val="bottom"/>
            <w:gridSpan w:val="2"/>
          </w:tcPr>
          <w:p>
            <w:pPr>
              <w:ind w:left="920"/>
              <w:spacing w:after="0" w:line="207" w:lineRule="exact"/>
              <w:rPr>
                <w:sz w:val="20"/>
                <w:szCs w:val="20"/>
                <w:color w:val="auto"/>
              </w:rPr>
            </w:pPr>
            <w:r>
              <w:rPr>
                <w:rFonts w:ascii="MS PGothic" w:cs="MS PGothic" w:eastAsia="MS PGothic" w:hAnsi="MS PGothic"/>
                <w:sz w:val="14"/>
                <w:szCs w:val="14"/>
                <w:color w:val="023C5B"/>
                <w:w w:val="99"/>
              </w:rPr>
              <w:t>∎</w:t>
            </w:r>
            <w:r>
              <w:rPr>
                <w:rFonts w:ascii="Arial" w:cs="Arial" w:eastAsia="Arial" w:hAnsi="Arial"/>
                <w:sz w:val="18"/>
                <w:szCs w:val="18"/>
                <w:color w:val="auto"/>
                <w:w w:val="99"/>
              </w:rPr>
              <w:t xml:space="preserve">  Ratio of stock price to tangible book value</w:t>
            </w:r>
          </w:p>
        </w:tc>
      </w:tr>
      <w:tr>
        <w:trPr>
          <w:trHeight w:val="321"/>
        </w:trPr>
        <w:tc>
          <w:tcPr>
            <w:tcW w:w="16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4620" w:type="dxa"/>
            <w:vAlign w:val="bottom"/>
          </w:tcPr>
          <w:p>
            <w:pPr>
              <w:ind w:left="60"/>
              <w:spacing w:after="0"/>
              <w:rPr>
                <w:sz w:val="20"/>
                <w:szCs w:val="20"/>
                <w:color w:val="auto"/>
              </w:rPr>
            </w:pPr>
            <w:r>
              <w:rPr>
                <w:rFonts w:ascii="Arial" w:cs="Arial" w:eastAsia="Arial" w:hAnsi="Arial"/>
                <w:sz w:val="18"/>
                <w:szCs w:val="18"/>
                <w:color w:val="auto"/>
              </w:rPr>
              <w:t>U.S. deposits</w:t>
            </w:r>
          </w:p>
        </w:tc>
        <w:tc>
          <w:tcPr>
            <w:tcW w:w="4420" w:type="dxa"/>
            <w:vAlign w:val="bottom"/>
            <w:gridSpan w:val="2"/>
          </w:tcPr>
          <w:p>
            <w:pPr>
              <w:ind w:left="920"/>
              <w:spacing w:after="0" w:line="207"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8"/>
                <w:szCs w:val="18"/>
                <w:color w:val="auto"/>
              </w:rPr>
              <w:t xml:space="preserve">  Ratio of stock price to earnings</w:t>
            </w:r>
          </w:p>
        </w:tc>
      </w:tr>
      <w:tr>
        <w:trPr>
          <w:trHeight w:val="321"/>
        </w:trPr>
        <w:tc>
          <w:tcPr>
            <w:tcW w:w="4780" w:type="dxa"/>
            <w:vAlign w:val="bottom"/>
            <w:gridSpan w:val="2"/>
          </w:tcPr>
          <w:p>
            <w:pPr>
              <w:spacing w:after="0" w:line="207"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8"/>
                <w:szCs w:val="18"/>
                <w:color w:val="auto"/>
              </w:rPr>
              <w:t xml:space="preserve">  Loans held for investment</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023C5B"/>
              </w:rPr>
              <w:t>∎</w:t>
            </w:r>
          </w:p>
        </w:tc>
        <w:tc>
          <w:tcPr>
            <w:tcW w:w="3360" w:type="dxa"/>
            <w:vAlign w:val="bottom"/>
          </w:tcPr>
          <w:p>
            <w:pPr>
              <w:ind w:left="60"/>
              <w:spacing w:after="0"/>
              <w:rPr>
                <w:sz w:val="20"/>
                <w:szCs w:val="20"/>
                <w:color w:val="auto"/>
              </w:rPr>
            </w:pPr>
            <w:r>
              <w:rPr>
                <w:rFonts w:ascii="Arial" w:cs="Arial" w:eastAsia="Arial" w:hAnsi="Arial"/>
                <w:sz w:val="18"/>
                <w:szCs w:val="18"/>
                <w:color w:val="auto"/>
              </w:rPr>
              <w:t>TSR</w:t>
            </w:r>
          </w:p>
        </w:tc>
      </w:tr>
    </w:tbl>
    <w:p>
      <w:pPr>
        <w:spacing w:after="0" w:line="78" w:lineRule="exact"/>
        <w:rPr>
          <w:sz w:val="20"/>
          <w:szCs w:val="20"/>
          <w:color w:val="auto"/>
        </w:rPr>
      </w:pPr>
    </w:p>
    <w:p>
      <w:pPr>
        <w:ind w:left="380" w:hanging="213"/>
        <w:spacing w:after="0"/>
        <w:tabs>
          <w:tab w:leader="none" w:pos="380" w:val="left"/>
        </w:tabs>
        <w:numPr>
          <w:ilvl w:val="0"/>
          <w:numId w:val="102"/>
        </w:numPr>
        <w:rPr>
          <w:rFonts w:ascii="MS PGothic" w:cs="MS PGothic" w:eastAsia="MS PGothic" w:hAnsi="MS PGothic"/>
          <w:sz w:val="14"/>
          <w:szCs w:val="14"/>
          <w:color w:val="023C5B"/>
        </w:rPr>
      </w:pPr>
      <w:r>
        <w:rPr>
          <w:rFonts w:ascii="Arial" w:cs="Arial" w:eastAsia="Arial" w:hAnsi="Arial"/>
          <w:sz w:val="18"/>
          <w:szCs w:val="18"/>
          <w:color w:val="auto"/>
        </w:rPr>
        <w:t>Diluted EPS growth</w:t>
      </w:r>
    </w:p>
    <w:p>
      <w:pPr>
        <w:spacing w:after="0" w:line="208" w:lineRule="exact"/>
        <w:rPr>
          <w:sz w:val="20"/>
          <w:szCs w:val="20"/>
          <w:color w:val="auto"/>
        </w:rPr>
      </w:pPr>
    </w:p>
    <w:p>
      <w:pPr>
        <w:jc w:val="both"/>
        <w:ind w:left="160"/>
        <w:spacing w:after="0" w:line="252" w:lineRule="auto"/>
        <w:rPr>
          <w:sz w:val="20"/>
          <w:szCs w:val="20"/>
          <w:color w:val="auto"/>
        </w:rPr>
      </w:pPr>
      <w:r>
        <w:rPr>
          <w:rFonts w:ascii="Arial" w:cs="Arial" w:eastAsia="Arial" w:hAnsi="Arial"/>
          <w:sz w:val="17"/>
          <w:szCs w:val="17"/>
          <w:color w:val="auto"/>
        </w:rPr>
        <w:t>After reviewing this information, the Committee recommends a final peer comparator group to the Independent Directors for approval. The peer comparator group is reviewed each year and adjusted, as appropriate, so that the size, scope, performance, and business focus of the peer comparator companies (i) reflect Capital One’s competitive environment, (ii) mitigate market data volatility, (iii) recognize the Company’s focus on technological innovations in the banking industry, and (iv) position the Company near the median with regard to the size of the companies in the group. For 2025, following the closing of the Discover Transaction, the peer comparator group was adjusted to account for the significant increase in the Company’s size, scale, and business profile. The Committee and Independent Directors removed Discover Financial Services, Fifth Third Bancorp, and Regions Financial from the peer comparator group due to acquisition or smaller size, and added Charles Schwab, Fiserv, and Intuit to reflect Capital One’s expanded size and complexity and increasing presence in the payment network and technology space post-acquisition. In 2025, the peer comparator group included the following companies:</w:t>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243"/>
        </w:trPr>
        <w:tc>
          <w:tcPr>
            <w:tcW w:w="16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Ally Financial (ALLY)</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023C5B"/>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Goldman Sachs (GS)</w:t>
            </w:r>
          </w:p>
        </w:tc>
        <w:tc>
          <w:tcPr>
            <w:tcW w:w="3320" w:type="dxa"/>
            <w:vAlign w:val="bottom"/>
            <w:gridSpan w:val="2"/>
          </w:tcPr>
          <w:p>
            <w:pPr>
              <w:ind w:left="700"/>
              <w:spacing w:after="0" w:line="207" w:lineRule="exact"/>
              <w:rPr>
                <w:sz w:val="20"/>
                <w:szCs w:val="20"/>
                <w:color w:val="auto"/>
              </w:rPr>
            </w:pPr>
            <w:r>
              <w:rPr>
                <w:rFonts w:ascii="MS PGothic" w:cs="MS PGothic" w:eastAsia="MS PGothic" w:hAnsi="MS PGothic"/>
                <w:sz w:val="14"/>
                <w:szCs w:val="14"/>
                <w:color w:val="023C5B"/>
                <w:w w:val="99"/>
              </w:rPr>
              <w:t>∎</w:t>
            </w:r>
            <w:r>
              <w:rPr>
                <w:rFonts w:ascii="Arial" w:cs="Arial" w:eastAsia="Arial" w:hAnsi="Arial"/>
                <w:sz w:val="18"/>
                <w:szCs w:val="18"/>
                <w:color w:val="auto"/>
                <w:w w:val="99"/>
              </w:rPr>
              <w:t xml:space="preserve">  PNC Financial Services (PNC)</w:t>
            </w:r>
          </w:p>
        </w:tc>
      </w:tr>
      <w:tr>
        <w:trPr>
          <w:trHeight w:val="267"/>
        </w:trPr>
        <w:tc>
          <w:tcPr>
            <w:tcW w:w="16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American Express (AXP)</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023C5B"/>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Intuit (INTU)</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023C5B"/>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Synchrony (SYF)</w:t>
            </w:r>
          </w:p>
        </w:tc>
      </w:tr>
      <w:tr>
        <w:trPr>
          <w:trHeight w:val="267"/>
        </w:trPr>
        <w:tc>
          <w:tcPr>
            <w:tcW w:w="3160" w:type="dxa"/>
            <w:vAlign w:val="bottom"/>
            <w:gridSpan w:val="2"/>
          </w:tcPr>
          <w:p>
            <w:pPr>
              <w:spacing w:after="0" w:line="207"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8"/>
                <w:szCs w:val="18"/>
                <w:color w:val="auto"/>
              </w:rPr>
              <w:t xml:space="preserve">  Bank of America (BAC)</w:t>
            </w:r>
          </w:p>
        </w:tc>
        <w:tc>
          <w:tcPr>
            <w:tcW w:w="3860" w:type="dxa"/>
            <w:vAlign w:val="bottom"/>
            <w:gridSpan w:val="2"/>
          </w:tcPr>
          <w:p>
            <w:pPr>
              <w:ind w:left="920"/>
              <w:spacing w:after="0" w:line="207" w:lineRule="exact"/>
              <w:rPr>
                <w:sz w:val="20"/>
                <w:szCs w:val="20"/>
                <w:color w:val="auto"/>
              </w:rPr>
            </w:pPr>
            <w:r>
              <w:rPr>
                <w:rFonts w:ascii="MS PGothic" w:cs="MS PGothic" w:eastAsia="MS PGothic" w:hAnsi="MS PGothic"/>
                <w:sz w:val="14"/>
                <w:szCs w:val="14"/>
                <w:color w:val="023C5B"/>
              </w:rPr>
              <w:t>∎</w:t>
            </w:r>
            <w:r>
              <w:rPr>
                <w:rFonts w:ascii="Arial" w:cs="Arial" w:eastAsia="Arial" w:hAnsi="Arial"/>
                <w:sz w:val="18"/>
                <w:szCs w:val="18"/>
                <w:color w:val="auto"/>
              </w:rPr>
              <w:t xml:space="preserve">  J.P. Morgan Chase (JPM)</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023C5B"/>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Truist Financial (TFC)</w:t>
            </w:r>
          </w:p>
        </w:tc>
      </w:tr>
      <w:tr>
        <w:trPr>
          <w:trHeight w:val="267"/>
        </w:trPr>
        <w:tc>
          <w:tcPr>
            <w:tcW w:w="16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Charles Schwab (SCHW)</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023C5B"/>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Mastercard (MA)</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023C5B"/>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U.S. Bancorp (USB)</w:t>
            </w:r>
          </w:p>
        </w:tc>
      </w:tr>
      <w:tr>
        <w:trPr>
          <w:trHeight w:val="267"/>
        </w:trPr>
        <w:tc>
          <w:tcPr>
            <w:tcW w:w="16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Citigroup (C)</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023C5B"/>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Morgan Stanley (MS)</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023C5B"/>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Visa (V)</w:t>
            </w:r>
          </w:p>
        </w:tc>
      </w:tr>
      <w:tr>
        <w:trPr>
          <w:trHeight w:val="267"/>
        </w:trPr>
        <w:tc>
          <w:tcPr>
            <w:tcW w:w="160" w:type="dxa"/>
            <w:vAlign w:val="bottom"/>
          </w:tcPr>
          <w:p>
            <w:pPr>
              <w:spacing w:after="0" w:line="141" w:lineRule="exact"/>
              <w:rPr>
                <w:sz w:val="20"/>
                <w:szCs w:val="20"/>
                <w:color w:val="auto"/>
              </w:rPr>
            </w:pPr>
            <w:r>
              <w:rPr>
                <w:rFonts w:ascii="MS PGothic" w:cs="MS PGothic" w:eastAsia="MS PGothic" w:hAnsi="MS PGothic"/>
                <w:sz w:val="14"/>
                <w:szCs w:val="14"/>
                <w:color w:val="023C5B"/>
              </w:rPr>
              <w:t>∎</w:t>
            </w:r>
          </w:p>
        </w:tc>
        <w:tc>
          <w:tcPr>
            <w:tcW w:w="3000" w:type="dxa"/>
            <w:vAlign w:val="bottom"/>
          </w:tcPr>
          <w:p>
            <w:pPr>
              <w:ind w:left="60"/>
              <w:spacing w:after="0"/>
              <w:rPr>
                <w:sz w:val="20"/>
                <w:szCs w:val="20"/>
                <w:color w:val="auto"/>
              </w:rPr>
            </w:pPr>
            <w:r>
              <w:rPr>
                <w:rFonts w:ascii="Arial" w:cs="Arial" w:eastAsia="Arial" w:hAnsi="Arial"/>
                <w:sz w:val="18"/>
                <w:szCs w:val="18"/>
                <w:color w:val="auto"/>
              </w:rPr>
              <w:t>Fiserv (FISV)</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023C5B"/>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PayPal (PYPL)</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023C5B"/>
              </w:rPr>
              <w:t>∎</w:t>
            </w:r>
          </w:p>
        </w:tc>
        <w:tc>
          <w:tcPr>
            <w:tcW w:w="2480" w:type="dxa"/>
            <w:vAlign w:val="bottom"/>
          </w:tcPr>
          <w:p>
            <w:pPr>
              <w:ind w:left="60"/>
              <w:spacing w:after="0"/>
              <w:rPr>
                <w:sz w:val="20"/>
                <w:szCs w:val="20"/>
                <w:color w:val="auto"/>
              </w:rPr>
            </w:pPr>
            <w:r>
              <w:rPr>
                <w:rFonts w:ascii="Arial" w:cs="Arial" w:eastAsia="Arial" w:hAnsi="Arial"/>
                <w:sz w:val="18"/>
                <w:szCs w:val="18"/>
                <w:color w:val="auto"/>
              </w:rPr>
              <w:t>Wells Fargo (WFC)</w:t>
            </w:r>
          </w:p>
        </w:tc>
      </w:tr>
    </w:tbl>
    <w:p>
      <w:pPr>
        <w:spacing w:after="0" w:line="17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Committee and the Independent Directors believe that this peer comparator group reflects the competitive environment for the Company, particularly the performance and business focus of the companies in the peer comparator group and the competition for executive talent. As of December 31, 2025, Capital One was positioned at or near the median of the peer comparator group in terms of total assets, loans, deposits, revenues, market value, and net income.</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Peer Group to Determine Settlement of Performance Share Awards</w:t>
      </w:r>
    </w:p>
    <w:p>
      <w:pPr>
        <w:spacing w:after="0" w:line="20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For both the Financial Performance Shares and the TSR Performance Shares, the Company’s performance on each metric is assessed over the three-year period relative to the Performance Share Peers. See “Performance Share Award Peer Group” on page 71 for a description and discussion of the Performance Share Peers.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Tally Sheets</w:t>
      </w:r>
    </w:p>
    <w:p>
      <w:pPr>
        <w:spacing w:after="0" w:line="221"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color w:val="auto"/>
        </w:rPr>
        <w:t>In addition to considering market data from our peer comparator group (when available), the Committee also conducts an annual comprehensive review of tally sheets for the CEO and each NEO which reflect all components</w:t>
      </w:r>
    </w:p>
    <w:p>
      <w:pPr>
        <w:spacing w:after="0" w:line="83"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of compensation and include total compensation and potential payouts. Each tally sheet summarizes multiple components of current and historical compensation. The tally sheets assist with the Committee’s understanding of the historical context that is relevant to current compensation decisions, such as the CEO and each NEO’s unrealized equity value.</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Other Compensation Arrangements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Pension and Non-Qualified Deferred Compensation Plans</w:t>
      </w:r>
    </w:p>
    <w:p>
      <w:pPr>
        <w:spacing w:after="0" w:line="22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Capital One does not have any active pension plans for the NEOs. In 2025, each of our NEOs participated in Capital One’s VNQDCP, which is a voluntary, non-qualified deferred compensation plan that restores participating NEOs, excluding the CEO, to the level of savings they would have achieved if they had not been impacted by Internal Revenue Service limits governing our qualified 401(k) plan. It also allows the NEOs, excluding the CEO, to defer additional pre-tax compensation to save for retirement. The CEO participates in the VNQDCP on a non-voluntary basis, as the deferred cash portion of his year-end incentive is mandatorily deferred in the VNQDCP for three years. Capital One periodically reviews pension and other deferred compensation programs and practices at our peer comparator companies and across the financial services industry. We also review changes in the legal and regulatory environment pertaining to retirement programs.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Details of the VNQDCP can be found under “Capital One’s Voluntary Non-Qualified Deferred Compensation Programs” on page 107.</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Employment Agreements</w:t>
      </w:r>
    </w:p>
    <w:p>
      <w:pPr>
        <w:spacing w:after="0" w:line="22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Capital One typically does not enter into defined term employment agreements with the NEOs to maintain maximum flexibility in establishing separation terms at the appropriate time and considering their current circumstances. The Committee retains full discretion to approve employment agreements on an exception basis and has done so for exceptional circumstances in the past. None of the current NEOs have an employment agreement.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Change of Control Plan</w:t>
      </w:r>
    </w:p>
    <w:p>
      <w:pPr>
        <w:spacing w:after="0" w:line="221" w:lineRule="exact"/>
        <w:rPr>
          <w:sz w:val="20"/>
          <w:szCs w:val="20"/>
          <w:color w:val="auto"/>
        </w:rPr>
      </w:pPr>
    </w:p>
    <w:p>
      <w:pPr>
        <w:jc w:val="both"/>
        <w:ind w:left="160"/>
        <w:spacing w:after="0" w:line="252" w:lineRule="auto"/>
        <w:rPr>
          <w:sz w:val="20"/>
          <w:szCs w:val="20"/>
          <w:color w:val="auto"/>
        </w:rPr>
      </w:pPr>
      <w:r>
        <w:rPr>
          <w:rFonts w:ascii="Arial" w:cs="Arial" w:eastAsia="Arial" w:hAnsi="Arial"/>
          <w:sz w:val="17"/>
          <w:szCs w:val="17"/>
          <w:color w:val="auto"/>
        </w:rPr>
        <w:t>Each of our NEOs participates under the Company’s Executive Change of Control Severance Plan (“COC Plan”), which was adopted effective as of March 1, 2026. Under the COC Plan, NEOs are entitled to severance benefits if terminated by the Company without cause, or if the NEO resigns for good reason, in connection with certain change of control transactions. Severance benefits include: (i) a cash severance payment equal to 2.5 times (for the CEO) or 2 times (for other NEOs) the sum of the applicable executive’s base salary and target annual bonus for the year of termination; (ii) any earned but unpaid annual bonus for the calendar year that ended on or preceding the date of termination; (iii) pro-rated annual bonus for any partial performance period; and (iv) a cash amount equal to the cost of the continuation of health coverage (“COBRA”) for two years post-termination. Mr. Fairbank’s notional base salary for 2026 is $1 million. The COC Plan supersedes all prior agreements and arrangements providing for benefits payable to NEOs in change of control scenarios, including the Change of Control Employment Agreements previously entered into between the Company and each of the NEOs.</w:t>
      </w:r>
    </w:p>
    <w:p>
      <w:pPr>
        <w:spacing w:after="0" w:line="172"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COC Plan is designed to provide the NEOs with some certainty and allow the NEOs to remain neutral and consider a full range of strategic decisions that are focused on maximizing stockholder value. The COC Plan is also intended to allow Capital One’s businesses to operate with minimal disruption in the event of a change of control by providing each NEO with an incentive to remain in their leadership role up to and beyond the transaction date. The COC Plan is designed to be aligned with market practice and our peers in the banking and financial services industry. Our program is designed so that our stockholders are not faced with disproportionate severance costs that may impair potential merger opportunities. In addition, our COC Plan does not provide for excise tax “gross-up” payments.</w:t>
      </w:r>
    </w:p>
    <w:p>
      <w:pPr>
        <w:spacing w:after="0" w:line="114"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Post-Employment Compensation Practices</w:t>
      </w:r>
    </w:p>
    <w:p>
      <w:pPr>
        <w:spacing w:after="0" w:line="221"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CEO has no employment agreement with the Company and is not a participant in any severance arrangement other than the COC Plan. Effective March 1, 2026, the Company amended and restated its Executive Severance Plan. The Executive Severance Plan provides severance benefits to our NEOs (other than the CEO) if they are involuntarily terminated under certain circumstances. In the event of an involuntary termination, an NEO is eligible to receive a lump sum cash payment equal to the NEO’s annual base salary plus target annual bonus. Additional benefits under the Executive Severance Plan include partially subsidized health, dental, and vision benefits for a period of up to 18 months through COBRA, and outplacement services for a period of up to one year following separation. The Committee may exercise its discretion in approving additional amounts considering all relevant circumstances, including the NEO’s termination of employment, past accomplishments, reasons for separation from the Company, potential risks, and the NEO’s willingness to restrict their future action(s), such as through an agreement not to compete or solicit the Company’s customers or associates. In addition, following a separation from Capital One, certain equity-based awards will continue to vest according to their original terms, as described under “Payments Under Certain Termination Scenarios” beginning on page 110.</w:t>
      </w:r>
    </w:p>
    <w:p>
      <w:pPr>
        <w:spacing w:after="0" w:line="182"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Capital One has entered into agreements with certain NEOs that contain restrictive covenants related to confidentiality, non-competition, non-solicitation, and ownership of work product. For additional information, see “Restrictive Covenants” beginning on page 109. Upon retiring from the Company, associates, including the NEOs, will have access to a variety of medical plans through a private exchange. Generally, retirees who meet the criteria for subsidized retiree medical coverage and enroll in a plan through the private exchange will receive funding from Capital One in a Health Reimbursement Account (“HRA”). NEOs who meet the retirement criteria may also elect to receive 18 months of COBRA coverage. In addition, certain equity-based awards will continue to vest according to their original terms, as described under “Payments Upon Retirement” beginning on page 110.</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Executive Cash Severance Policy</w:t>
      </w:r>
    </w:p>
    <w:p>
      <w:pPr>
        <w:spacing w:after="0" w:line="22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Effective March 1, 2026, the Company adopted the Executive Officer Cash Severance Policy (“Cash Severance Policy”), which provides that the Company will not enter into any new employment agreement or severance agreement with any NEO, or establish any new severance plan or policy covering any NEO, that provides for cash severance payments exceeding 2.99 times the sum of the NEO’s base salary plus target bonus, without seeking stockholder ratification of such agreement, plan, or policy. Cash severance payments generally include any cash payments in respect of the termination of the NEO’s employment, and exclude payments in connection with equity-based awards, accrued compensation, and benefits earned through the date of termination (such as pro-rated short-term incentive compensation), and post-termination benefits.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Other Aspects of Executive Compensation</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Stock Ownership and Retention Requirements</w:t>
      </w:r>
    </w:p>
    <w:p>
      <w:pPr>
        <w:spacing w:after="0" w:line="22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Consistent with their responsibilities to our stockholders, the executive officers are required to maintain a significant financial stake in the Company. To this end, the CEO and the other NEOs must own shares of Capital One common stock with a fair market value of at least the following (“Stock Ownership Requirement”):</w:t>
      </w:r>
    </w:p>
    <w:p>
      <w:pPr>
        <w:spacing w:after="0" w:line="217"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4200" w:type="dxa"/>
            <w:vAlign w:val="bottom"/>
            <w:vMerge w:val="restart"/>
            <w:shd w:val="clear" w:color="auto" w:fill="023C5B"/>
          </w:tcPr>
          <w:p>
            <w:pPr>
              <w:ind w:left="1920"/>
              <w:spacing w:after="0"/>
              <w:rPr>
                <w:sz w:val="20"/>
                <w:szCs w:val="20"/>
                <w:color w:val="auto"/>
              </w:rPr>
            </w:pPr>
            <w:r>
              <w:rPr>
                <w:rFonts w:ascii="Arial" w:cs="Arial" w:eastAsia="Arial" w:hAnsi="Arial"/>
                <w:sz w:val="16"/>
                <w:szCs w:val="16"/>
                <w:b w:val="1"/>
                <w:bCs w:val="1"/>
                <w:color w:val="FFFFFF"/>
              </w:rPr>
              <w:t>Role</w:t>
            </w:r>
          </w:p>
        </w:tc>
        <w:tc>
          <w:tcPr>
            <w:tcW w:w="180" w:type="dxa"/>
            <w:vAlign w:val="bottom"/>
          </w:tcPr>
          <w:p>
            <w:pPr>
              <w:spacing w:after="0"/>
              <w:rPr>
                <w:sz w:val="22"/>
                <w:szCs w:val="22"/>
                <w:color w:val="auto"/>
              </w:rPr>
            </w:pPr>
          </w:p>
        </w:tc>
        <w:tc>
          <w:tcPr>
            <w:tcW w:w="2340" w:type="dxa"/>
            <w:vAlign w:val="bottom"/>
            <w:vMerge w:val="restart"/>
            <w:shd w:val="clear" w:color="auto" w:fill="023C5B"/>
          </w:tcPr>
          <w:p>
            <w:pPr>
              <w:ind w:left="180"/>
              <w:spacing w:after="0"/>
              <w:rPr>
                <w:sz w:val="20"/>
                <w:szCs w:val="20"/>
                <w:color w:val="auto"/>
              </w:rPr>
            </w:pPr>
            <w:r>
              <w:rPr>
                <w:rFonts w:ascii="Arial" w:cs="Arial" w:eastAsia="Arial" w:hAnsi="Arial"/>
                <w:sz w:val="16"/>
                <w:szCs w:val="16"/>
                <w:b w:val="1"/>
                <w:bCs w:val="1"/>
                <w:color w:val="FFFFFF"/>
              </w:rPr>
              <w:t>  Ownership Requirement</w:t>
            </w:r>
          </w:p>
        </w:tc>
        <w:tc>
          <w:tcPr>
            <w:tcW w:w="180" w:type="dxa"/>
            <w:vAlign w:val="bottom"/>
          </w:tcPr>
          <w:p>
            <w:pPr>
              <w:spacing w:after="0"/>
              <w:rPr>
                <w:sz w:val="22"/>
                <w:szCs w:val="22"/>
                <w:color w:val="auto"/>
              </w:rPr>
            </w:pPr>
          </w:p>
        </w:tc>
        <w:tc>
          <w:tcPr>
            <w:tcW w:w="2480" w:type="dxa"/>
            <w:vAlign w:val="bottom"/>
            <w:shd w:val="clear" w:color="auto" w:fill="023C5B"/>
          </w:tcPr>
          <w:p>
            <w:pPr>
              <w:ind w:left="600"/>
              <w:spacing w:after="0"/>
              <w:rPr>
                <w:sz w:val="20"/>
                <w:szCs w:val="20"/>
                <w:color w:val="auto"/>
              </w:rPr>
            </w:pPr>
            <w:r>
              <w:rPr>
                <w:rFonts w:ascii="Arial" w:cs="Arial" w:eastAsia="Arial" w:hAnsi="Arial"/>
                <w:sz w:val="16"/>
                <w:szCs w:val="16"/>
                <w:b w:val="1"/>
                <w:bCs w:val="1"/>
                <w:color w:val="FFFFFF"/>
              </w:rPr>
              <w:t>Post-Termination</w:t>
            </w:r>
          </w:p>
        </w:tc>
        <w:tc>
          <w:tcPr>
            <w:tcW w:w="0" w:type="dxa"/>
            <w:vAlign w:val="bottom"/>
          </w:tcPr>
          <w:p>
            <w:pPr>
              <w:spacing w:after="0"/>
              <w:rPr>
                <w:sz w:val="1"/>
                <w:szCs w:val="1"/>
                <w:color w:val="auto"/>
              </w:rPr>
            </w:pPr>
          </w:p>
        </w:tc>
      </w:tr>
      <w:tr>
        <w:trPr>
          <w:trHeight w:val="128"/>
        </w:trPr>
        <w:tc>
          <w:tcPr>
            <w:tcW w:w="4200" w:type="dxa"/>
            <w:vAlign w:val="bottom"/>
            <w:vMerge w:val="continue"/>
            <w:shd w:val="clear" w:color="auto" w:fill="023C5B"/>
          </w:tcPr>
          <w:p>
            <w:pPr>
              <w:spacing w:after="0"/>
              <w:rPr>
                <w:sz w:val="11"/>
                <w:szCs w:val="11"/>
                <w:color w:val="auto"/>
              </w:rPr>
            </w:pPr>
          </w:p>
        </w:tc>
        <w:tc>
          <w:tcPr>
            <w:tcW w:w="180" w:type="dxa"/>
            <w:vAlign w:val="bottom"/>
          </w:tcPr>
          <w:p>
            <w:pPr>
              <w:spacing w:after="0"/>
              <w:rPr>
                <w:sz w:val="11"/>
                <w:szCs w:val="11"/>
                <w:color w:val="auto"/>
              </w:rPr>
            </w:pPr>
          </w:p>
        </w:tc>
        <w:tc>
          <w:tcPr>
            <w:tcW w:w="2340" w:type="dxa"/>
            <w:vAlign w:val="bottom"/>
            <w:vMerge w:val="continue"/>
            <w:shd w:val="clear" w:color="auto" w:fill="023C5B"/>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vMerge w:val="restart"/>
            <w:shd w:val="clear" w:color="auto" w:fill="023C5B"/>
          </w:tcPr>
          <w:p>
            <w:pPr>
              <w:jc w:val="center"/>
              <w:spacing w:after="0"/>
              <w:rPr>
                <w:sz w:val="20"/>
                <w:szCs w:val="20"/>
                <w:color w:val="auto"/>
              </w:rPr>
            </w:pPr>
            <w:r>
              <w:rPr>
                <w:rFonts w:ascii="Arial" w:cs="Arial" w:eastAsia="Arial" w:hAnsi="Arial"/>
                <w:sz w:val="16"/>
                <w:szCs w:val="16"/>
                <w:b w:val="1"/>
                <w:bCs w:val="1"/>
                <w:color w:val="FFFFFF"/>
              </w:rPr>
              <w:t>Ownership Requirement</w:t>
            </w:r>
          </w:p>
        </w:tc>
        <w:tc>
          <w:tcPr>
            <w:tcW w:w="0" w:type="dxa"/>
            <w:vAlign w:val="bottom"/>
          </w:tcPr>
          <w:p>
            <w:pPr>
              <w:spacing w:after="0"/>
              <w:rPr>
                <w:sz w:val="1"/>
                <w:szCs w:val="1"/>
                <w:color w:val="auto"/>
              </w:rPr>
            </w:pPr>
          </w:p>
        </w:tc>
      </w:tr>
      <w:tr>
        <w:trPr>
          <w:trHeight w:val="94"/>
        </w:trPr>
        <w:tc>
          <w:tcPr>
            <w:tcW w:w="4200" w:type="dxa"/>
            <w:vAlign w:val="bottom"/>
            <w:shd w:val="clear" w:color="auto" w:fill="023C5B"/>
          </w:tcPr>
          <w:p>
            <w:pPr>
              <w:spacing w:after="0"/>
              <w:rPr>
                <w:sz w:val="8"/>
                <w:szCs w:val="8"/>
                <w:color w:val="auto"/>
              </w:rPr>
            </w:pPr>
          </w:p>
        </w:tc>
        <w:tc>
          <w:tcPr>
            <w:tcW w:w="180" w:type="dxa"/>
            <w:vAlign w:val="bottom"/>
          </w:tcPr>
          <w:p>
            <w:pPr>
              <w:spacing w:after="0"/>
              <w:rPr>
                <w:sz w:val="8"/>
                <w:szCs w:val="8"/>
                <w:color w:val="auto"/>
              </w:rPr>
            </w:pPr>
          </w:p>
        </w:tc>
        <w:tc>
          <w:tcPr>
            <w:tcW w:w="2340" w:type="dxa"/>
            <w:vAlign w:val="bottom"/>
            <w:shd w:val="clear" w:color="auto" w:fill="023C5B"/>
          </w:tcPr>
          <w:p>
            <w:pPr>
              <w:spacing w:after="0"/>
              <w:rPr>
                <w:sz w:val="8"/>
                <w:szCs w:val="8"/>
                <w:color w:val="auto"/>
              </w:rPr>
            </w:pPr>
          </w:p>
        </w:tc>
        <w:tc>
          <w:tcPr>
            <w:tcW w:w="180" w:type="dxa"/>
            <w:vAlign w:val="bottom"/>
          </w:tcPr>
          <w:p>
            <w:pPr>
              <w:spacing w:after="0"/>
              <w:rPr>
                <w:sz w:val="8"/>
                <w:szCs w:val="8"/>
                <w:color w:val="auto"/>
              </w:rPr>
            </w:pPr>
          </w:p>
        </w:tc>
        <w:tc>
          <w:tcPr>
            <w:tcW w:w="2480" w:type="dxa"/>
            <w:vAlign w:val="bottom"/>
            <w:vMerge w:val="continue"/>
            <w:shd w:val="clear" w:color="auto" w:fill="023C5B"/>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4200" w:type="dxa"/>
            <w:vAlign w:val="bottom"/>
            <w:shd w:val="clear" w:color="auto" w:fill="023C5B"/>
          </w:tcPr>
          <w:p>
            <w:pPr>
              <w:spacing w:after="0"/>
              <w:rPr>
                <w:sz w:val="5"/>
                <w:szCs w:val="5"/>
                <w:color w:val="auto"/>
              </w:rPr>
            </w:pPr>
          </w:p>
        </w:tc>
        <w:tc>
          <w:tcPr>
            <w:tcW w:w="180" w:type="dxa"/>
            <w:vAlign w:val="bottom"/>
          </w:tcPr>
          <w:p>
            <w:pPr>
              <w:spacing w:after="0"/>
              <w:rPr>
                <w:sz w:val="5"/>
                <w:szCs w:val="5"/>
                <w:color w:val="auto"/>
              </w:rPr>
            </w:pPr>
          </w:p>
        </w:tc>
        <w:tc>
          <w:tcPr>
            <w:tcW w:w="2340" w:type="dxa"/>
            <w:vAlign w:val="bottom"/>
            <w:shd w:val="clear" w:color="auto" w:fill="023C5B"/>
          </w:tcPr>
          <w:p>
            <w:pPr>
              <w:spacing w:after="0"/>
              <w:rPr>
                <w:sz w:val="5"/>
                <w:szCs w:val="5"/>
                <w:color w:val="auto"/>
              </w:rPr>
            </w:pPr>
          </w:p>
        </w:tc>
        <w:tc>
          <w:tcPr>
            <w:tcW w:w="180" w:type="dxa"/>
            <w:vAlign w:val="bottom"/>
          </w:tcPr>
          <w:p>
            <w:pPr>
              <w:spacing w:after="0"/>
              <w:rPr>
                <w:sz w:val="5"/>
                <w:szCs w:val="5"/>
                <w:color w:val="auto"/>
              </w:rPr>
            </w:pPr>
          </w:p>
        </w:tc>
        <w:tc>
          <w:tcPr>
            <w:tcW w:w="2480" w:type="dxa"/>
            <w:vAlign w:val="bottom"/>
            <w:shd w:val="clear" w:color="auto" w:fill="023C5B"/>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4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200" w:type="dxa"/>
            <w:vAlign w:val="bottom"/>
            <w:shd w:val="clear" w:color="auto" w:fill="E5EBEE"/>
          </w:tcPr>
          <w:p>
            <w:pPr>
              <w:spacing w:after="0"/>
              <w:rPr>
                <w:sz w:val="20"/>
                <w:szCs w:val="20"/>
                <w:color w:val="auto"/>
              </w:rPr>
            </w:pPr>
            <w:r>
              <w:rPr>
                <w:rFonts w:ascii="Arial" w:cs="Arial" w:eastAsia="Arial" w:hAnsi="Arial"/>
                <w:sz w:val="18"/>
                <w:szCs w:val="18"/>
                <w:color w:val="auto"/>
              </w:rPr>
              <w:t>  CEO</w:t>
            </w:r>
          </w:p>
        </w:tc>
        <w:tc>
          <w:tcPr>
            <w:tcW w:w="180" w:type="dxa"/>
            <w:vAlign w:val="bottom"/>
          </w:tcPr>
          <w:p>
            <w:pPr>
              <w:spacing w:after="0"/>
              <w:rPr>
                <w:sz w:val="24"/>
                <w:szCs w:val="24"/>
                <w:color w:val="auto"/>
              </w:rPr>
            </w:pPr>
          </w:p>
        </w:tc>
        <w:tc>
          <w:tcPr>
            <w:tcW w:w="2340" w:type="dxa"/>
            <w:vAlign w:val="bottom"/>
            <w:shd w:val="clear" w:color="auto" w:fill="E5EBEE"/>
          </w:tcPr>
          <w:p>
            <w:pPr>
              <w:ind w:left="700"/>
              <w:spacing w:after="0"/>
              <w:rPr>
                <w:sz w:val="20"/>
                <w:szCs w:val="20"/>
                <w:color w:val="auto"/>
              </w:rPr>
            </w:pPr>
            <w:r>
              <w:rPr>
                <w:rFonts w:ascii="Arial" w:cs="Arial" w:eastAsia="Arial" w:hAnsi="Arial"/>
                <w:sz w:val="18"/>
                <w:szCs w:val="18"/>
                <w:color w:val="auto"/>
              </w:rPr>
              <w:t>$10.5 million</w:t>
            </w:r>
          </w:p>
        </w:tc>
        <w:tc>
          <w:tcPr>
            <w:tcW w:w="180" w:type="dxa"/>
            <w:vAlign w:val="bottom"/>
          </w:tcPr>
          <w:p>
            <w:pPr>
              <w:spacing w:after="0"/>
              <w:rPr>
                <w:sz w:val="24"/>
                <w:szCs w:val="24"/>
                <w:color w:val="auto"/>
              </w:rPr>
            </w:pPr>
          </w:p>
        </w:tc>
        <w:tc>
          <w:tcPr>
            <w:tcW w:w="2480" w:type="dxa"/>
            <w:vAlign w:val="bottom"/>
            <w:shd w:val="clear" w:color="auto" w:fill="E5EBEE"/>
          </w:tcPr>
          <w:p>
            <w:pPr>
              <w:ind w:left="780"/>
              <w:spacing w:after="0"/>
              <w:rPr>
                <w:sz w:val="20"/>
                <w:szCs w:val="20"/>
                <w:color w:val="auto"/>
              </w:rPr>
            </w:pPr>
            <w:r>
              <w:rPr>
                <w:rFonts w:ascii="Arial" w:cs="Arial" w:eastAsia="Arial" w:hAnsi="Arial"/>
                <w:sz w:val="18"/>
                <w:szCs w:val="18"/>
                <w:color w:val="auto"/>
              </w:rPr>
              <w:t>$5.25 million</w:t>
            </w:r>
          </w:p>
        </w:tc>
        <w:tc>
          <w:tcPr>
            <w:tcW w:w="0" w:type="dxa"/>
            <w:vAlign w:val="bottom"/>
          </w:tcPr>
          <w:p>
            <w:pPr>
              <w:spacing w:after="0"/>
              <w:rPr>
                <w:sz w:val="1"/>
                <w:szCs w:val="1"/>
                <w:color w:val="auto"/>
              </w:rPr>
            </w:pPr>
          </w:p>
        </w:tc>
      </w:tr>
      <w:tr>
        <w:trPr>
          <w:trHeight w:val="64"/>
        </w:trPr>
        <w:tc>
          <w:tcPr>
            <w:tcW w:w="4200" w:type="dxa"/>
            <w:vAlign w:val="bottom"/>
            <w:tcBorders>
              <w:bottom w:val="single" w:sz="8" w:color="023C5B"/>
            </w:tcBorders>
            <w:shd w:val="clear" w:color="auto" w:fill="E5EBEE"/>
          </w:tcPr>
          <w:p>
            <w:pPr>
              <w:spacing w:after="0"/>
              <w:rPr>
                <w:sz w:val="5"/>
                <w:szCs w:val="5"/>
                <w:color w:val="auto"/>
              </w:rPr>
            </w:pPr>
          </w:p>
        </w:tc>
        <w:tc>
          <w:tcPr>
            <w:tcW w:w="180" w:type="dxa"/>
            <w:vAlign w:val="bottom"/>
          </w:tcPr>
          <w:p>
            <w:pPr>
              <w:spacing w:after="0"/>
              <w:rPr>
                <w:sz w:val="5"/>
                <w:szCs w:val="5"/>
                <w:color w:val="auto"/>
              </w:rPr>
            </w:pPr>
          </w:p>
        </w:tc>
        <w:tc>
          <w:tcPr>
            <w:tcW w:w="2340" w:type="dxa"/>
            <w:vAlign w:val="bottom"/>
            <w:tcBorders>
              <w:bottom w:val="single" w:sz="8" w:color="023C5B"/>
            </w:tcBorders>
            <w:shd w:val="clear" w:color="auto" w:fill="E5EBEE"/>
          </w:tcPr>
          <w:p>
            <w:pPr>
              <w:spacing w:after="0"/>
              <w:rPr>
                <w:sz w:val="5"/>
                <w:szCs w:val="5"/>
                <w:color w:val="auto"/>
              </w:rPr>
            </w:pPr>
          </w:p>
        </w:tc>
        <w:tc>
          <w:tcPr>
            <w:tcW w:w="180" w:type="dxa"/>
            <w:vAlign w:val="bottom"/>
          </w:tcPr>
          <w:p>
            <w:pPr>
              <w:spacing w:after="0"/>
              <w:rPr>
                <w:sz w:val="5"/>
                <w:szCs w:val="5"/>
                <w:color w:val="auto"/>
              </w:rPr>
            </w:pPr>
          </w:p>
        </w:tc>
        <w:tc>
          <w:tcPr>
            <w:tcW w:w="2480" w:type="dxa"/>
            <w:vAlign w:val="bottom"/>
            <w:tcBorders>
              <w:bottom w:val="single" w:sz="8" w:color="023C5B"/>
            </w:tcBorders>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200" w:type="dxa"/>
            <w:vAlign w:val="bottom"/>
          </w:tcPr>
          <w:p>
            <w:pPr>
              <w:spacing w:after="0"/>
              <w:rPr>
                <w:sz w:val="20"/>
                <w:szCs w:val="20"/>
                <w:color w:val="auto"/>
              </w:rPr>
            </w:pPr>
            <w:r>
              <w:rPr>
                <w:rFonts w:ascii="Arial" w:cs="Arial" w:eastAsia="Arial" w:hAnsi="Arial"/>
                <w:sz w:val="18"/>
                <w:szCs w:val="18"/>
                <w:color w:val="auto"/>
              </w:rPr>
              <w:t>  Other NEOs and Executive Officers </w:t>
            </w:r>
          </w:p>
        </w:tc>
        <w:tc>
          <w:tcPr>
            <w:tcW w:w="180" w:type="dxa"/>
            <w:vAlign w:val="bottom"/>
          </w:tcPr>
          <w:p>
            <w:pPr>
              <w:spacing w:after="0"/>
              <w:rPr>
                <w:sz w:val="24"/>
                <w:szCs w:val="24"/>
                <w:color w:val="auto"/>
              </w:rPr>
            </w:pPr>
          </w:p>
        </w:tc>
        <w:tc>
          <w:tcPr>
            <w:tcW w:w="2340" w:type="dxa"/>
            <w:vAlign w:val="bottom"/>
          </w:tcPr>
          <w:p>
            <w:pPr>
              <w:ind w:left="160"/>
              <w:spacing w:after="0"/>
              <w:rPr>
                <w:sz w:val="20"/>
                <w:szCs w:val="20"/>
                <w:color w:val="auto"/>
              </w:rPr>
            </w:pPr>
            <w:r>
              <w:rPr>
                <w:rFonts w:ascii="Arial" w:cs="Arial" w:eastAsia="Arial" w:hAnsi="Arial"/>
                <w:sz w:val="18"/>
                <w:szCs w:val="18"/>
                <w:color w:val="auto"/>
              </w:rPr>
              <w:t>   3x annual cash salary</w:t>
            </w:r>
          </w:p>
        </w:tc>
        <w:tc>
          <w:tcPr>
            <w:tcW w:w="180" w:type="dxa"/>
            <w:vAlign w:val="bottom"/>
          </w:tcPr>
          <w:p>
            <w:pPr>
              <w:spacing w:after="0"/>
              <w:rPr>
                <w:sz w:val="24"/>
                <w:szCs w:val="24"/>
                <w:color w:val="auto"/>
              </w:rPr>
            </w:pPr>
          </w:p>
        </w:tc>
        <w:tc>
          <w:tcPr>
            <w:tcW w:w="2480" w:type="dxa"/>
            <w:vAlign w:val="bottom"/>
          </w:tcPr>
          <w:p>
            <w:pPr>
              <w:jc w:val="center"/>
              <w:ind w:right="15"/>
              <w:spacing w:after="0"/>
              <w:rPr>
                <w:sz w:val="20"/>
                <w:szCs w:val="20"/>
                <w:color w:val="auto"/>
              </w:rPr>
            </w:pPr>
            <w:r>
              <w:rPr>
                <w:rFonts w:ascii="Arial" w:cs="Arial" w:eastAsia="Arial" w:hAnsi="Arial"/>
                <w:sz w:val="18"/>
                <w:szCs w:val="18"/>
                <w:color w:val="auto"/>
                <w:w w:val="94"/>
              </w:rPr>
              <w:t>   1.5x annual cash salary</w:t>
            </w:r>
          </w:p>
        </w:tc>
        <w:tc>
          <w:tcPr>
            <w:tcW w:w="0" w:type="dxa"/>
            <w:vAlign w:val="bottom"/>
          </w:tcPr>
          <w:p>
            <w:pPr>
              <w:spacing w:after="0"/>
              <w:rPr>
                <w:sz w:val="1"/>
                <w:szCs w:val="1"/>
                <w:color w:val="auto"/>
              </w:rPr>
            </w:pPr>
          </w:p>
        </w:tc>
      </w:tr>
      <w:tr>
        <w:trPr>
          <w:trHeight w:val="78"/>
        </w:trPr>
        <w:tc>
          <w:tcPr>
            <w:tcW w:w="4200" w:type="dxa"/>
            <w:vAlign w:val="bottom"/>
            <w:tcBorders>
              <w:bottom w:val="single" w:sz="8" w:color="023C5B"/>
            </w:tcBorders>
          </w:tcPr>
          <w:p>
            <w:pPr>
              <w:spacing w:after="0"/>
              <w:rPr>
                <w:sz w:val="6"/>
                <w:szCs w:val="6"/>
                <w:color w:val="auto"/>
              </w:rPr>
            </w:pPr>
          </w:p>
        </w:tc>
        <w:tc>
          <w:tcPr>
            <w:tcW w:w="180" w:type="dxa"/>
            <w:vAlign w:val="bottom"/>
          </w:tcPr>
          <w:p>
            <w:pPr>
              <w:spacing w:after="0"/>
              <w:rPr>
                <w:sz w:val="6"/>
                <w:szCs w:val="6"/>
                <w:color w:val="auto"/>
              </w:rPr>
            </w:pPr>
          </w:p>
        </w:tc>
        <w:tc>
          <w:tcPr>
            <w:tcW w:w="2340" w:type="dxa"/>
            <w:vAlign w:val="bottom"/>
            <w:tcBorders>
              <w:bottom w:val="single" w:sz="8" w:color="023C5B"/>
            </w:tcBorders>
          </w:tcPr>
          <w:p>
            <w:pPr>
              <w:spacing w:after="0"/>
              <w:rPr>
                <w:sz w:val="6"/>
                <w:szCs w:val="6"/>
                <w:color w:val="auto"/>
              </w:rPr>
            </w:pPr>
          </w:p>
        </w:tc>
        <w:tc>
          <w:tcPr>
            <w:tcW w:w="180" w:type="dxa"/>
            <w:vAlign w:val="bottom"/>
          </w:tcPr>
          <w:p>
            <w:pPr>
              <w:spacing w:after="0"/>
              <w:rPr>
                <w:sz w:val="6"/>
                <w:szCs w:val="6"/>
                <w:color w:val="auto"/>
              </w:rPr>
            </w:pPr>
          </w:p>
        </w:tc>
        <w:tc>
          <w:tcPr>
            <w:tcW w:w="2480" w:type="dxa"/>
            <w:vAlign w:val="bottom"/>
            <w:tcBorders>
              <w:bottom w:val="single" w:sz="8" w:color="023C5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160" w:right="20"/>
        <w:spacing w:after="0" w:line="249" w:lineRule="auto"/>
        <w:rPr>
          <w:sz w:val="20"/>
          <w:szCs w:val="20"/>
          <w:color w:val="auto"/>
        </w:rPr>
      </w:pPr>
      <w:r>
        <w:rPr>
          <w:rFonts w:ascii="Arial" w:cs="Arial" w:eastAsia="Arial" w:hAnsi="Arial"/>
          <w:sz w:val="18"/>
          <w:szCs w:val="18"/>
          <w:color w:val="auto"/>
        </w:rPr>
        <w:t>Given that the CEO’s compensation program does not include a base salary, his Stock Ownership Requirement is based on an amount established by the Committee and the Independent Directors. The CEO’s Stock Ownership Requirement is $10.5 million. In addition, the CEO and all other NEOs are required to continue to hold 50% of their</w:t>
      </w:r>
    </w:p>
    <w:p>
      <w:pPr>
        <w:spacing w:after="0" w:line="97"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4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Stock Ownership Requirement for one year following termination, retirement, or ceasing to serve as an executive officer, except in case of termination by death, disability, or in connection with a change of control. The Committee and the Independent Directors believe that these Stock Ownership Requirements increase the alignment of CEO and all other NEO compensation with stockholder interests.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Ownership requirements may be fulfilled using the following shares:</w:t>
      </w:r>
    </w:p>
    <w:p>
      <w:pPr>
        <w:spacing w:after="0" w:line="180" w:lineRule="exact"/>
        <w:rPr>
          <w:sz w:val="20"/>
          <w:szCs w:val="20"/>
          <w:color w:val="auto"/>
        </w:rPr>
      </w:pPr>
    </w:p>
    <w:p>
      <w:pPr>
        <w:ind w:left="1020" w:hanging="425"/>
        <w:spacing w:after="0"/>
        <w:tabs>
          <w:tab w:leader="none" w:pos="1020" w:val="left"/>
        </w:tabs>
        <w:numPr>
          <w:ilvl w:val="0"/>
          <w:numId w:val="10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Shares owned without restriction</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10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Unvested restricted stock</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10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Unvested stock-settled RSUs</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10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Shares acquired through the 2002 Associate Stock Purchase Plan</w:t>
      </w:r>
    </w:p>
    <w:p>
      <w:pPr>
        <w:spacing w:after="0" w:line="180"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10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Shares owned through the Capital One Stock Fund in Capital One’s 401(k) plan</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Unexercised stock options and unvested performance share awards may not be used to fulfill ownership requirements.</w:t>
      </w:r>
    </w:p>
    <w:p>
      <w:pPr>
        <w:spacing w:after="0" w:line="207"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Committee reviews the guidelines and monitors the CEO’s and the other NEOs’ compliance with them. New executive officers are given five years from the date of promotion to or appointment as an executive officer to comply with the Stock Ownership Requirements. In the event that an executive officer is not in compliance with these requirements, the Committee has the right to take action, including reducing the executive officer’s compensation. The CEO and all other NEOs are currently in compliance with this requirement.</w:t>
      </w:r>
    </w:p>
    <w:p>
      <w:pPr>
        <w:spacing w:after="0" w:line="17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Company has stock retention requirements for certain equity awards made to the CEO and the other NEOs. With respect to awards of performance shares and stock-settled RSUs that vest (i) during an executive’s term of employment with Capital One, or (ii) as applicable, prior to the first anniversary of such executive’s separation from Capital One, each executive must hold 50% of the after-tax net shares acquired (“Retained Shares”) for a period of one year after the acquisition date of the shares. In addition, the Company requires that Retained Shares continue to be held beyond the one-year period until the CEO and the other NEOs’ Stock Ownership Requirement, as described above, is met. These stock ownership and retention requirements apply to all of our executive officers.</w:t>
      </w:r>
    </w:p>
    <w:p>
      <w:pPr>
        <w:spacing w:after="0" w:line="114"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 - Compensation Discussion and Analysis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Prohibition of Hedging, Speculative Trading Activities, and Pledging</w:t>
      </w:r>
    </w:p>
    <w:p>
      <w:pPr>
        <w:spacing w:after="0" w:line="22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As part of the commitment by Capital One’s leadership team to maintain public confidence in the long-term growth of Capital One’s stock, Capital One maintains a policy prohibiting hedging and speculative trading activities. Specifically, the policy prohibits certain individuals from engaging in short sales, hedging transactions, or speculative trading in derivative securities of Capital One stock. The policy applies to all Capital One directors, Section 16 officers (directors and officers together, “Control Group Members”), and associates who (i) serve at the Senior Vice President level or above, (ii) report directly to a Control Group Member, or (iii) are otherwise determined by Capital One’s General Counsel to be an “insider.” The policy applies to all shares of Capital One stock held by those persons covered by the policy, regardless of whether the stock was granted as compensation by Capital One or is otherwise held directly or indirectly. Capital One also prohibits its Control Group Members from using Capital One securities, including common stock, in a margin account or pledging Capital One securities as collateral for a loan.</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Insider Trading Policy</w:t>
      </w:r>
    </w:p>
    <w:p>
      <w:pPr>
        <w:spacing w:after="0" w:line="22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We maintain insider trading policies and procedures governing the purchase, sale, and/or other dispositions of Capital One’s securities by directors, officers, employees, and other covered persons that we believe are reasonably designed to promote compliance with insider trading laws, rules, and regulations, as well as applicable NYSE listing standards. A copy of our insider trading policy was filed as Exhibit 19 to our Annual Report on Form 10-K, filed with the SEC on February 19, 2026.</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Equity Grant Practices</w:t>
      </w:r>
    </w:p>
    <w:p>
      <w:pPr>
        <w:spacing w:after="0" w:line="221" w:lineRule="exact"/>
        <w:rPr>
          <w:sz w:val="20"/>
          <w:szCs w:val="20"/>
          <w:color w:val="auto"/>
        </w:rPr>
      </w:pPr>
    </w:p>
    <w:p>
      <w:pPr>
        <w:jc w:val="both"/>
        <w:ind w:left="160"/>
        <w:spacing w:after="0" w:line="250" w:lineRule="auto"/>
        <w:rPr>
          <w:sz w:val="20"/>
          <w:szCs w:val="20"/>
          <w:color w:val="auto"/>
        </w:rPr>
      </w:pPr>
      <w:r>
        <w:rPr>
          <w:rFonts w:ascii="Arial" w:cs="Arial" w:eastAsia="Arial" w:hAnsi="Arial"/>
          <w:sz w:val="17"/>
          <w:szCs w:val="17"/>
          <w:color w:val="auto"/>
        </w:rPr>
        <w:t>Capital One strives to maintain equity grant practices that demonstrate high standards of corporate governance. Annual incentive awards generally are approved by the Committee and the Independent Directors (or by authority delegated to the Chief Human Resources Officer for certain associates who are not executive officers) at regularly scheduled meetings in the first quarter of each year. The date of grant is the actual date on which the Committee approves the awards. The Committee may grant awards of restricted stock, RSUs, stock options, or other equity awards outside of the annual incentive cycle. For 2025, the Committee delegated authority to the CEO to award shares of restricted stock and RSUs, and to the Chief Human Resources Officer to award stock-settled and cash-settled RSUs (but not options or other equity awards) to associates who are not executive officers, subject to a maximum amount of $2 million for any associate in any one year with an aggregate $50 million annual limit. Beginning in 2026, the Committee revised the aggregate annual limit of the delegated authority to the Chief Human Resources Officer to an amount equal to 10% of the aggregate grant date fair value of all long-term incentive awards granted to associates (including the CEO) for the prior performance year. These awards are designed to be used for new hires and for special programs designed by management to incentivize, retain, and reward current associates of the Company. The Committee reviews all grants made by delegation at least once per year and approves all grants that exceed the annual delegation limit.</w:t>
      </w:r>
    </w:p>
    <w:p>
      <w:pPr>
        <w:spacing w:after="0" w:line="178"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With respect to awards of stock options, the exercise price is always the Fair Market Value of Capital One common stock on the date of grant. Under the terms of our 2004 Stock Incentive Plan, “Fair Market Value” is equal to the closing price of Capital One common stock on the date of grant. Item 402(x) of Regulation S-K requires Capital One to discuss our policies and practices on the timing of awards of options in relation to our disclosure of material non-public information. Capital One does not seek to time equity grants to take advantage of material non-public information and has never had a practice of doing so. Capital One does not currently grant stock options or similar awards. Accordingly, we do not consider the release of material non-public information in relation to the grant of such awards and do not time such release for the purpose of affecting the value of executive compensation.</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Tax Considerations</w:t>
      </w:r>
    </w:p>
    <w:p>
      <w:pPr>
        <w:spacing w:after="0" w:line="221" w:lineRule="exact"/>
        <w:rPr>
          <w:sz w:val="20"/>
          <w:szCs w:val="20"/>
          <w:color w:val="auto"/>
        </w:rPr>
      </w:pPr>
    </w:p>
    <w:p>
      <w:pPr>
        <w:jc w:val="both"/>
        <w:ind w:left="160" w:right="20"/>
        <w:spacing w:after="0" w:line="249" w:lineRule="auto"/>
        <w:rPr>
          <w:sz w:val="20"/>
          <w:szCs w:val="20"/>
          <w:color w:val="auto"/>
        </w:rPr>
      </w:pPr>
      <w:r>
        <w:rPr>
          <w:rFonts w:ascii="Arial" w:cs="Arial" w:eastAsia="Arial" w:hAnsi="Arial"/>
          <w:sz w:val="18"/>
          <w:szCs w:val="18"/>
          <w:color w:val="auto"/>
        </w:rPr>
        <w:t>The Committee carefully considers the tax impacts of its compensation programs on the Company, as well as on its executives. To maintain flexibility in compensating executive officers, the Committee does not require all compensation to be paid or awarded in a tax-deductible manner.</w:t>
      </w:r>
    </w:p>
    <w:p>
      <w:pPr>
        <w:spacing w:after="0" w:line="97"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 </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VI - 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47625</wp:posOffset>
            </wp:positionV>
            <wp:extent cx="69297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56" w:lineRule="exact"/>
        <w:rPr>
          <w:sz w:val="20"/>
          <w:szCs w:val="20"/>
          <w:color w:val="auto"/>
        </w:rPr>
      </w:pPr>
    </w:p>
    <w:p>
      <w:pPr>
        <w:jc w:val="both"/>
        <w:ind w:left="160" w:right="20"/>
        <w:spacing w:after="0" w:line="249" w:lineRule="auto"/>
        <w:rPr>
          <w:sz w:val="20"/>
          <w:szCs w:val="20"/>
          <w:color w:val="auto"/>
        </w:rPr>
      </w:pPr>
      <w:r>
        <w:rPr>
          <w:rFonts w:ascii="Arial" w:cs="Arial" w:eastAsia="Arial" w:hAnsi="Arial"/>
          <w:sz w:val="18"/>
          <w:szCs w:val="18"/>
          <w:color w:val="auto"/>
        </w:rPr>
        <w:t>All members of the Compensation Committee participated in the review and discussion of the Compensation Discussion and Analysis (“CD&amp;A”) with management. Based on that review and discussion, the Compensation Committee recommended to the Board of Directors that the CD&amp;A be included in this proxy statement.</w:t>
      </w:r>
    </w:p>
    <w:p>
      <w:pPr>
        <w:spacing w:after="0" w:line="198" w:lineRule="exact"/>
        <w:rPr>
          <w:sz w:val="20"/>
          <w:szCs w:val="20"/>
          <w:color w:val="auto"/>
        </w:rPr>
      </w:pPr>
    </w:p>
    <w:p>
      <w:pPr>
        <w:ind w:left="160"/>
        <w:spacing w:after="0"/>
        <w:tabs>
          <w:tab w:leader="none" w:pos="2860" w:val="left"/>
        </w:tabs>
        <w:rPr>
          <w:sz w:val="20"/>
          <w:szCs w:val="20"/>
          <w:color w:val="auto"/>
        </w:rPr>
      </w:pPr>
      <w:r>
        <w:rPr>
          <w:rFonts w:ascii="Arial" w:cs="Arial" w:eastAsia="Arial" w:hAnsi="Arial"/>
          <w:sz w:val="18"/>
          <w:szCs w:val="18"/>
          <w:color w:val="auto"/>
        </w:rPr>
        <w:t>The Compensation Committee:</w:t>
      </w:r>
      <w:r>
        <w:rPr>
          <w:sz w:val="20"/>
          <w:szCs w:val="20"/>
          <w:color w:val="auto"/>
        </w:rPr>
        <w:tab/>
      </w:r>
      <w:r>
        <w:rPr>
          <w:rFonts w:ascii="Arial" w:cs="Arial" w:eastAsia="Arial" w:hAnsi="Arial"/>
          <w:sz w:val="17"/>
          <w:szCs w:val="17"/>
          <w:color w:val="auto"/>
        </w:rPr>
        <w:t>François Locoh-Donou (Chair)</w:t>
      </w:r>
    </w:p>
    <w:p>
      <w:pPr>
        <w:spacing w:after="0" w:line="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Ime Archibong</w:t>
      </w:r>
    </w:p>
    <w:p>
      <w:pPr>
        <w:ind w:left="2880"/>
        <w:spacing w:after="0" w:line="232" w:lineRule="auto"/>
        <w:rPr>
          <w:sz w:val="20"/>
          <w:szCs w:val="20"/>
          <w:color w:val="auto"/>
        </w:rPr>
      </w:pPr>
      <w:r>
        <w:rPr>
          <w:rFonts w:ascii="Arial" w:cs="Arial" w:eastAsia="Arial" w:hAnsi="Arial"/>
          <w:sz w:val="18"/>
          <w:szCs w:val="18"/>
          <w:color w:val="auto"/>
        </w:rPr>
        <w:t>Ann Fritz Hackett</w:t>
      </w:r>
    </w:p>
    <w:p>
      <w:pPr>
        <w:ind w:left="2880"/>
        <w:spacing w:after="0" w:line="233" w:lineRule="auto"/>
        <w:rPr>
          <w:sz w:val="20"/>
          <w:szCs w:val="20"/>
          <w:color w:val="auto"/>
        </w:rPr>
      </w:pPr>
      <w:r>
        <w:rPr>
          <w:rFonts w:ascii="Arial" w:cs="Arial" w:eastAsia="Arial" w:hAnsi="Arial"/>
          <w:sz w:val="18"/>
          <w:szCs w:val="18"/>
          <w:color w:val="auto"/>
        </w:rPr>
        <w:t>Peter Thomas Killalea</w:t>
      </w:r>
    </w:p>
    <w:p>
      <w:pPr>
        <w:ind w:left="2880"/>
        <w:spacing w:after="0" w:line="232" w:lineRule="auto"/>
        <w:rPr>
          <w:sz w:val="20"/>
          <w:szCs w:val="20"/>
          <w:color w:val="auto"/>
        </w:rPr>
      </w:pPr>
      <w:r>
        <w:rPr>
          <w:rFonts w:ascii="Arial" w:cs="Arial" w:eastAsia="Arial" w:hAnsi="Arial"/>
          <w:sz w:val="18"/>
          <w:szCs w:val="18"/>
          <w:color w:val="auto"/>
        </w:rPr>
        <w:t>Eli Leenaars</w:t>
      </w:r>
    </w:p>
    <w:p>
      <w:pPr>
        <w:ind w:left="2880"/>
        <w:spacing w:after="0" w:line="233" w:lineRule="auto"/>
        <w:rPr>
          <w:sz w:val="20"/>
          <w:szCs w:val="20"/>
          <w:color w:val="auto"/>
        </w:rPr>
      </w:pPr>
      <w:r>
        <w:rPr>
          <w:rFonts w:ascii="Arial" w:cs="Arial" w:eastAsia="Arial" w:hAnsi="Arial"/>
          <w:sz w:val="18"/>
          <w:szCs w:val="18"/>
          <w:color w:val="auto"/>
        </w:rPr>
        <w:t>Mayo A. Shattuck III</w:t>
      </w:r>
    </w:p>
    <w:p>
      <w:pPr>
        <w:ind w:left="2880"/>
        <w:spacing w:after="0"/>
        <w:rPr>
          <w:sz w:val="20"/>
          <w:szCs w:val="20"/>
          <w:color w:val="auto"/>
        </w:rPr>
      </w:pPr>
      <w:r>
        <w:rPr>
          <w:rFonts w:ascii="Arial" w:cs="Arial" w:eastAsia="Arial" w:hAnsi="Arial"/>
          <w:sz w:val="18"/>
          <w:szCs w:val="18"/>
          <w:color w:val="auto"/>
        </w:rPr>
        <w:t>Craig Anthony Williams</w:t>
      </w:r>
    </w:p>
    <w:p>
      <w:pPr>
        <w:spacing w:after="0" w:line="203" w:lineRule="exact"/>
        <w:rPr>
          <w:sz w:val="20"/>
          <w:szCs w:val="20"/>
          <w:color w:val="auto"/>
        </w:rPr>
      </w:pPr>
    </w:p>
    <w:p>
      <w:pPr>
        <w:jc w:val="both"/>
        <w:ind w:left="160" w:right="20"/>
        <w:spacing w:after="0" w:line="249" w:lineRule="auto"/>
        <w:rPr>
          <w:sz w:val="20"/>
          <w:szCs w:val="20"/>
          <w:color w:val="auto"/>
        </w:rPr>
      </w:pPr>
      <w:r>
        <w:rPr>
          <w:rFonts w:ascii="Arial" w:cs="Arial" w:eastAsia="Arial" w:hAnsi="Arial"/>
          <w:sz w:val="18"/>
          <w:szCs w:val="18"/>
          <w:color w:val="auto"/>
        </w:rPr>
        <w:t>The foregoing report of the Compensation Committee shall not be deemed to be soliciting material or filed with the SEC and is not incorporated by reference into any of Capital One’s previous or future filings with the SEC, except as otherwise explicitly specified by Capital One in any such filing.</w:t>
      </w:r>
    </w:p>
    <w:p>
      <w:pPr>
        <w:spacing w:after="0" w:line="105"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100"/>
          </w:cols>
          <w:pgMar w:left="320" w:top="478"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VII -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2025 Summary Compensation Table</w:t>
      </w:r>
    </w:p>
    <w:p>
      <w:pPr>
        <w:spacing w:after="0" w:line="22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Summary Compensation Table below provides information about compensation for the fiscal years ended December 31, 2025, 2024, and 2023 for the NEOs. As discussed in the “Compensation Discussion and Analysis” section beginning on page 54, our executive compensation program is heavily weighted towards equity-based and at-risk elements of compensation. Under SEC rules, equity-based compensation is reported in the Summary Compensation Table below in the year in which it is awarded, which may not correlate to the year for which it is paid.</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With respect to the compensation reported below for our CEO:</w:t>
      </w:r>
    </w:p>
    <w:p>
      <w:pPr>
        <w:spacing w:after="0" w:line="234" w:lineRule="exact"/>
        <w:rPr>
          <w:sz w:val="20"/>
          <w:szCs w:val="20"/>
          <w:color w:val="auto"/>
        </w:rPr>
      </w:pPr>
    </w:p>
    <w:p>
      <w:pPr>
        <w:jc w:val="both"/>
        <w:ind w:left="1020" w:hanging="425"/>
        <w:spacing w:after="0" w:line="217" w:lineRule="auto"/>
        <w:tabs>
          <w:tab w:leader="none" w:pos="1020" w:val="left"/>
        </w:tabs>
        <w:numPr>
          <w:ilvl w:val="0"/>
          <w:numId w:val="104"/>
        </w:numPr>
        <w:rPr>
          <w:rFonts w:ascii="MS PGothic" w:cs="MS PGothic" w:eastAsia="MS PGothic" w:hAnsi="MS PGothic"/>
          <w:sz w:val="29"/>
          <w:szCs w:val="29"/>
          <w:color w:val="023C5B"/>
          <w:vertAlign w:val="superscript"/>
        </w:rPr>
      </w:pPr>
      <w:r>
        <w:rPr>
          <w:rFonts w:ascii="Arial" w:cs="Arial" w:eastAsia="Arial" w:hAnsi="Arial"/>
          <w:sz w:val="18"/>
          <w:szCs w:val="18"/>
          <w:color w:val="auto"/>
        </w:rPr>
        <w:t>89% of the CEO’s total compensation shown in the table below for 2025 and 83% of the CEO’s 2025 performance year compensation is equity-based and at-risk to the performance of the Company’s stock price, with 100% of his compensation deferred for at least three years.</w:t>
      </w:r>
    </w:p>
    <w:p>
      <w:pPr>
        <w:spacing w:after="0" w:line="206" w:lineRule="exact"/>
        <w:rPr>
          <w:rFonts w:ascii="MS PGothic" w:cs="MS PGothic" w:eastAsia="MS PGothic" w:hAnsi="MS PGothic"/>
          <w:sz w:val="29"/>
          <w:szCs w:val="29"/>
          <w:color w:val="023C5B"/>
          <w:vertAlign w:val="superscript"/>
        </w:rPr>
      </w:pPr>
    </w:p>
    <w:p>
      <w:pPr>
        <w:jc w:val="both"/>
        <w:ind w:left="1020" w:hanging="425"/>
        <w:spacing w:after="0" w:line="220" w:lineRule="auto"/>
        <w:tabs>
          <w:tab w:leader="none" w:pos="1020" w:val="left"/>
        </w:tabs>
        <w:numPr>
          <w:ilvl w:val="0"/>
          <w:numId w:val="104"/>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Amounts shown in the table below for the CEO for 2025 represent cash-settled RSUs granted in February 2025, a deferred cash bonus awarded in February 2026 for 2025 performance, and Discover-Related Special Awards granted in June 2025. The CEO also was granted cash-settled RSUs and performance shares in February 2026 for the 2025 performance year, which are not shown in the table below.</w:t>
      </w:r>
    </w:p>
    <w:p>
      <w:pPr>
        <w:spacing w:after="0" w:line="208"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104"/>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Amounts shown in the “Stock Awards” column for 2025 also include cash-settled RSUs granted to the CEO in February 2025 for the 2024 performance year.</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With respect to the compensation reported below for the NEOs other than the CEO:</w:t>
      </w:r>
    </w:p>
    <w:p>
      <w:pPr>
        <w:spacing w:after="0" w:line="234" w:lineRule="exact"/>
        <w:rPr>
          <w:sz w:val="20"/>
          <w:szCs w:val="20"/>
          <w:color w:val="auto"/>
        </w:rPr>
      </w:pPr>
    </w:p>
    <w:p>
      <w:pPr>
        <w:ind w:left="1020" w:hanging="425"/>
        <w:spacing w:after="0" w:line="210" w:lineRule="auto"/>
        <w:tabs>
          <w:tab w:leader="none" w:pos="1020" w:val="left"/>
        </w:tabs>
        <w:numPr>
          <w:ilvl w:val="0"/>
          <w:numId w:val="105"/>
        </w:numPr>
        <w:rPr>
          <w:rFonts w:ascii="MS PGothic" w:cs="MS PGothic" w:eastAsia="MS PGothic" w:hAnsi="MS PGothic"/>
          <w:sz w:val="29"/>
          <w:szCs w:val="29"/>
          <w:color w:val="023C5B"/>
          <w:vertAlign w:val="superscript"/>
        </w:rPr>
      </w:pPr>
      <w:r>
        <w:rPr>
          <w:rFonts w:ascii="Arial" w:cs="Arial" w:eastAsia="Arial" w:hAnsi="Arial"/>
          <w:sz w:val="18"/>
          <w:szCs w:val="18"/>
          <w:color w:val="auto"/>
        </w:rPr>
        <w:t>In 2025, 2024, and 2023, base salary comprised approximately 20% of total target compensation and a cash incentive comprised approximately 25% of total target compensation.</w:t>
      </w:r>
    </w:p>
    <w:p>
      <w:pPr>
        <w:spacing w:after="0" w:line="207" w:lineRule="exact"/>
        <w:rPr>
          <w:rFonts w:ascii="MS PGothic" w:cs="MS PGothic" w:eastAsia="MS PGothic" w:hAnsi="MS PGothic"/>
          <w:sz w:val="29"/>
          <w:szCs w:val="29"/>
          <w:color w:val="023C5B"/>
          <w:vertAlign w:val="superscript"/>
        </w:rPr>
      </w:pPr>
    </w:p>
    <w:p>
      <w:pPr>
        <w:jc w:val="both"/>
        <w:ind w:left="1020" w:hanging="425"/>
        <w:spacing w:after="0" w:line="217" w:lineRule="auto"/>
        <w:tabs>
          <w:tab w:leader="none" w:pos="1020" w:val="left"/>
        </w:tabs>
        <w:numPr>
          <w:ilvl w:val="0"/>
          <w:numId w:val="105"/>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Amounts shown in the table below also include performance shares and stock-settled RSUs granted in February of that year for the prior performance year and Discover-Related Special Awards granted in June 2025. The NEOs also were granted equity awards in February 2026 for the 2025 performance year, which are not shown in the table below.</w:t>
      </w:r>
    </w:p>
    <w:p>
      <w:pPr>
        <w:spacing w:after="0" w:line="105" w:lineRule="exact"/>
        <w:rPr>
          <w:sz w:val="20"/>
          <w:szCs w:val="20"/>
          <w:color w:val="auto"/>
        </w:rPr>
      </w:pPr>
    </w:p>
    <w:p>
      <w:pPr>
        <w:ind w:left="180"/>
        <w:spacing w:after="0"/>
        <w:tabs>
          <w:tab w:leader="none" w:pos="600" w:val="left"/>
          <w:tab w:leader="none" w:pos="372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-113665</wp:posOffset>
            </wp:positionV>
            <wp:extent cx="8255" cy="1784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4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Amounts paid to the CEO and the other NEOs in 2025 for other compensation and benefit programs are listed under the “Change in Pension Value and Non-Qualified Deferred Compensation Earnings” and “All Other Compensation” columns. The details of these program amounts are provided in the footnotes to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6929755" cy="32613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29755" cy="3261360"/>
                    </a:xfrm>
                    <a:prstGeom prst="rect">
                      <a:avLst/>
                    </a:prstGeom>
                    <a:noFill/>
                  </pic:spPr>
                </pic:pic>
              </a:graphicData>
            </a:graphic>
          </wp:anchor>
        </w:drawing>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3800" w:type="dxa"/>
            <w:vAlign w:val="bottom"/>
            <w:shd w:val="clear" w:color="auto" w:fill="023C5B"/>
          </w:tcPr>
          <w:p>
            <w:pPr>
              <w:spacing w:after="0"/>
              <w:rPr>
                <w:sz w:val="17"/>
                <w:szCs w:val="17"/>
                <w:color w:val="auto"/>
              </w:rPr>
            </w:pPr>
          </w:p>
        </w:tc>
        <w:tc>
          <w:tcPr>
            <w:tcW w:w="20" w:type="dxa"/>
            <w:vAlign w:val="bottom"/>
            <w:shd w:val="clear" w:color="auto" w:fill="023C5B"/>
          </w:tcPr>
          <w:p>
            <w:pPr>
              <w:spacing w:after="0"/>
              <w:rPr>
                <w:sz w:val="17"/>
                <w:szCs w:val="17"/>
                <w:color w:val="auto"/>
              </w:rPr>
            </w:pPr>
          </w:p>
        </w:tc>
        <w:tc>
          <w:tcPr>
            <w:tcW w:w="660" w:type="dxa"/>
            <w:vAlign w:val="bottom"/>
            <w:tcBorders>
              <w:left w:val="single" w:sz="8" w:color="023C5B"/>
            </w:tcBorders>
            <w:shd w:val="clear" w:color="auto" w:fill="023C5B"/>
          </w:tcPr>
          <w:p>
            <w:pPr>
              <w:spacing w:after="0"/>
              <w:rPr>
                <w:sz w:val="17"/>
                <w:szCs w:val="17"/>
                <w:color w:val="auto"/>
              </w:rPr>
            </w:pPr>
          </w:p>
        </w:tc>
        <w:tc>
          <w:tcPr>
            <w:tcW w:w="60" w:type="dxa"/>
            <w:vAlign w:val="bottom"/>
            <w:shd w:val="clear" w:color="auto" w:fill="023C5B"/>
          </w:tcPr>
          <w:p>
            <w:pPr>
              <w:spacing w:after="0"/>
              <w:rPr>
                <w:sz w:val="17"/>
                <w:szCs w:val="17"/>
                <w:color w:val="auto"/>
              </w:rPr>
            </w:pPr>
          </w:p>
        </w:tc>
        <w:tc>
          <w:tcPr>
            <w:tcW w:w="860" w:type="dxa"/>
            <w:vAlign w:val="bottom"/>
            <w:shd w:val="clear" w:color="auto" w:fill="023C5B"/>
          </w:tcPr>
          <w:p>
            <w:pPr>
              <w:spacing w:after="0"/>
              <w:rPr>
                <w:sz w:val="17"/>
                <w:szCs w:val="17"/>
                <w:color w:val="auto"/>
              </w:rPr>
            </w:pPr>
          </w:p>
        </w:tc>
        <w:tc>
          <w:tcPr>
            <w:tcW w:w="60" w:type="dxa"/>
            <w:vAlign w:val="bottom"/>
            <w:shd w:val="clear" w:color="auto" w:fill="023C5B"/>
          </w:tcPr>
          <w:p>
            <w:pPr>
              <w:spacing w:after="0"/>
              <w:rPr>
                <w:sz w:val="17"/>
                <w:szCs w:val="17"/>
                <w:color w:val="auto"/>
              </w:rPr>
            </w:pPr>
          </w:p>
        </w:tc>
        <w:tc>
          <w:tcPr>
            <w:tcW w:w="840" w:type="dxa"/>
            <w:vAlign w:val="bottom"/>
            <w:shd w:val="clear" w:color="auto" w:fill="023C5B"/>
          </w:tcPr>
          <w:p>
            <w:pPr>
              <w:spacing w:after="0"/>
              <w:rPr>
                <w:sz w:val="17"/>
                <w:szCs w:val="17"/>
                <w:color w:val="auto"/>
              </w:rPr>
            </w:pPr>
          </w:p>
        </w:tc>
        <w:tc>
          <w:tcPr>
            <w:tcW w:w="60" w:type="dxa"/>
            <w:vAlign w:val="bottom"/>
            <w:shd w:val="clear" w:color="auto" w:fill="023C5B"/>
          </w:tcPr>
          <w:p>
            <w:pPr>
              <w:spacing w:after="0"/>
              <w:rPr>
                <w:sz w:val="17"/>
                <w:szCs w:val="17"/>
                <w:color w:val="auto"/>
              </w:rPr>
            </w:pPr>
          </w:p>
        </w:tc>
        <w:tc>
          <w:tcPr>
            <w:tcW w:w="940" w:type="dxa"/>
            <w:vAlign w:val="bottom"/>
            <w:shd w:val="clear" w:color="auto" w:fill="023C5B"/>
          </w:tcPr>
          <w:p>
            <w:pPr>
              <w:spacing w:after="0"/>
              <w:rPr>
                <w:sz w:val="17"/>
                <w:szCs w:val="17"/>
                <w:color w:val="auto"/>
              </w:rPr>
            </w:pPr>
          </w:p>
        </w:tc>
        <w:tc>
          <w:tcPr>
            <w:tcW w:w="60" w:type="dxa"/>
            <w:vAlign w:val="bottom"/>
            <w:shd w:val="clear" w:color="auto" w:fill="023C5B"/>
          </w:tcPr>
          <w:p>
            <w:pPr>
              <w:spacing w:after="0"/>
              <w:rPr>
                <w:sz w:val="17"/>
                <w:szCs w:val="17"/>
                <w:color w:val="auto"/>
              </w:rPr>
            </w:pP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Change in</w:t>
            </w:r>
          </w:p>
        </w:tc>
        <w:tc>
          <w:tcPr>
            <w:tcW w:w="1320" w:type="dxa"/>
            <w:vAlign w:val="bottom"/>
            <w:shd w:val="clear" w:color="auto" w:fill="023C5B"/>
          </w:tcPr>
          <w:p>
            <w:pPr>
              <w:spacing w:after="0"/>
              <w:rPr>
                <w:sz w:val="17"/>
                <w:szCs w:val="17"/>
                <w:color w:val="auto"/>
              </w:rPr>
            </w:pPr>
          </w:p>
        </w:tc>
        <w:tc>
          <w:tcPr>
            <w:tcW w:w="60" w:type="dxa"/>
            <w:vAlign w:val="bottom"/>
            <w:shd w:val="clear" w:color="auto" w:fill="023C5B"/>
          </w:tcPr>
          <w:p>
            <w:pPr>
              <w:spacing w:after="0"/>
              <w:rPr>
                <w:sz w:val="17"/>
                <w:szCs w:val="17"/>
                <w:color w:val="auto"/>
              </w:rPr>
            </w:pPr>
          </w:p>
        </w:tc>
        <w:tc>
          <w:tcPr>
            <w:tcW w:w="960" w:type="dxa"/>
            <w:vAlign w:val="bottom"/>
            <w:shd w:val="clear" w:color="auto" w:fill="023C5B"/>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660" w:type="dxa"/>
            <w:vAlign w:val="bottom"/>
            <w:tcBorders>
              <w:left w:val="single" w:sz="8" w:color="023C5B"/>
            </w:tcBorders>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86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8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9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Pension</w:t>
            </w:r>
          </w:p>
        </w:tc>
        <w:tc>
          <w:tcPr>
            <w:tcW w:w="132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960" w:type="dxa"/>
            <w:vAlign w:val="bottom"/>
            <w:shd w:val="clear" w:color="auto" w:fill="023C5B"/>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660" w:type="dxa"/>
            <w:vAlign w:val="bottom"/>
            <w:tcBorders>
              <w:left w:val="single" w:sz="8" w:color="023C5B"/>
            </w:tcBorders>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86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8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9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Value</w:t>
            </w:r>
          </w:p>
        </w:tc>
        <w:tc>
          <w:tcPr>
            <w:tcW w:w="132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960" w:type="dxa"/>
            <w:vAlign w:val="bottom"/>
            <w:shd w:val="clear" w:color="auto" w:fill="023C5B"/>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660" w:type="dxa"/>
            <w:vAlign w:val="bottom"/>
            <w:tcBorders>
              <w:left w:val="single" w:sz="8" w:color="023C5B"/>
            </w:tcBorders>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86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8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9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and Non-</w:t>
            </w:r>
          </w:p>
        </w:tc>
        <w:tc>
          <w:tcPr>
            <w:tcW w:w="132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960" w:type="dxa"/>
            <w:vAlign w:val="bottom"/>
            <w:shd w:val="clear" w:color="auto" w:fill="023C5B"/>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660" w:type="dxa"/>
            <w:vAlign w:val="bottom"/>
            <w:tcBorders>
              <w:left w:val="single" w:sz="8" w:color="023C5B"/>
            </w:tcBorders>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86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8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9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Qualified</w:t>
            </w:r>
          </w:p>
        </w:tc>
        <w:tc>
          <w:tcPr>
            <w:tcW w:w="132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960" w:type="dxa"/>
            <w:vAlign w:val="bottom"/>
            <w:shd w:val="clear" w:color="auto" w:fill="023C5B"/>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00" w:type="dxa"/>
            <w:vAlign w:val="bottom"/>
            <w:shd w:val="clear" w:color="auto" w:fill="023C5B"/>
          </w:tcPr>
          <w:p>
            <w:pPr>
              <w:spacing w:after="0"/>
              <w:rPr>
                <w:sz w:val="14"/>
                <w:szCs w:val="14"/>
                <w:color w:val="auto"/>
              </w:rPr>
            </w:pPr>
          </w:p>
        </w:tc>
        <w:tc>
          <w:tcPr>
            <w:tcW w:w="20" w:type="dxa"/>
            <w:vAlign w:val="bottom"/>
            <w:shd w:val="clear" w:color="auto" w:fill="023C5B"/>
          </w:tcPr>
          <w:p>
            <w:pPr>
              <w:spacing w:after="0"/>
              <w:rPr>
                <w:sz w:val="14"/>
                <w:szCs w:val="14"/>
                <w:color w:val="auto"/>
              </w:rPr>
            </w:pPr>
          </w:p>
        </w:tc>
        <w:tc>
          <w:tcPr>
            <w:tcW w:w="660" w:type="dxa"/>
            <w:vAlign w:val="bottom"/>
            <w:tcBorders>
              <w:left w:val="single" w:sz="8" w:color="023C5B"/>
            </w:tcBorders>
            <w:shd w:val="clear" w:color="auto" w:fill="023C5B"/>
          </w:tcPr>
          <w:p>
            <w:pPr>
              <w:spacing w:after="0"/>
              <w:rPr>
                <w:sz w:val="14"/>
                <w:szCs w:val="14"/>
                <w:color w:val="auto"/>
              </w:rPr>
            </w:pPr>
          </w:p>
        </w:tc>
        <w:tc>
          <w:tcPr>
            <w:tcW w:w="60" w:type="dxa"/>
            <w:vAlign w:val="bottom"/>
            <w:shd w:val="clear" w:color="auto" w:fill="023C5B"/>
          </w:tcPr>
          <w:p>
            <w:pPr>
              <w:spacing w:after="0"/>
              <w:rPr>
                <w:sz w:val="14"/>
                <w:szCs w:val="14"/>
                <w:color w:val="auto"/>
              </w:rPr>
            </w:pPr>
          </w:p>
        </w:tc>
        <w:tc>
          <w:tcPr>
            <w:tcW w:w="860" w:type="dxa"/>
            <w:vAlign w:val="bottom"/>
            <w:shd w:val="clear" w:color="auto" w:fill="023C5B"/>
          </w:tcPr>
          <w:p>
            <w:pPr>
              <w:spacing w:after="0"/>
              <w:rPr>
                <w:sz w:val="14"/>
                <w:szCs w:val="14"/>
                <w:color w:val="auto"/>
              </w:rPr>
            </w:pPr>
          </w:p>
        </w:tc>
        <w:tc>
          <w:tcPr>
            <w:tcW w:w="60" w:type="dxa"/>
            <w:vAlign w:val="bottom"/>
            <w:shd w:val="clear" w:color="auto" w:fill="023C5B"/>
          </w:tcPr>
          <w:p>
            <w:pPr>
              <w:spacing w:after="0"/>
              <w:rPr>
                <w:sz w:val="14"/>
                <w:szCs w:val="14"/>
                <w:color w:val="auto"/>
              </w:rPr>
            </w:pPr>
          </w:p>
        </w:tc>
        <w:tc>
          <w:tcPr>
            <w:tcW w:w="840" w:type="dxa"/>
            <w:vAlign w:val="bottom"/>
            <w:shd w:val="clear" w:color="auto" w:fill="023C5B"/>
          </w:tcPr>
          <w:p>
            <w:pPr>
              <w:spacing w:after="0"/>
              <w:rPr>
                <w:sz w:val="14"/>
                <w:szCs w:val="14"/>
                <w:color w:val="auto"/>
              </w:rPr>
            </w:pPr>
          </w:p>
        </w:tc>
        <w:tc>
          <w:tcPr>
            <w:tcW w:w="60" w:type="dxa"/>
            <w:vAlign w:val="bottom"/>
            <w:shd w:val="clear" w:color="auto" w:fill="023C5B"/>
          </w:tcPr>
          <w:p>
            <w:pPr>
              <w:spacing w:after="0"/>
              <w:rPr>
                <w:sz w:val="14"/>
                <w:szCs w:val="14"/>
                <w:color w:val="auto"/>
              </w:rPr>
            </w:pPr>
          </w:p>
        </w:tc>
        <w:tc>
          <w:tcPr>
            <w:tcW w:w="940" w:type="dxa"/>
            <w:vAlign w:val="bottom"/>
            <w:shd w:val="clear" w:color="auto" w:fill="023C5B"/>
          </w:tcPr>
          <w:p>
            <w:pPr>
              <w:spacing w:after="0"/>
              <w:rPr>
                <w:sz w:val="14"/>
                <w:szCs w:val="14"/>
                <w:color w:val="auto"/>
              </w:rPr>
            </w:pPr>
          </w:p>
        </w:tc>
        <w:tc>
          <w:tcPr>
            <w:tcW w:w="60" w:type="dxa"/>
            <w:vAlign w:val="bottom"/>
            <w:shd w:val="clear" w:color="auto" w:fill="023C5B"/>
          </w:tcPr>
          <w:p>
            <w:pPr>
              <w:spacing w:after="0"/>
              <w:rPr>
                <w:sz w:val="14"/>
                <w:szCs w:val="14"/>
                <w:color w:val="auto"/>
              </w:rPr>
            </w:pP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Deferred</w:t>
            </w:r>
          </w:p>
        </w:tc>
        <w:tc>
          <w:tcPr>
            <w:tcW w:w="1380" w:type="dxa"/>
            <w:vAlign w:val="bottom"/>
            <w:gridSpan w:val="2"/>
            <w:shd w:val="clear" w:color="auto" w:fill="023C5B"/>
          </w:tcPr>
          <w:p>
            <w:pPr>
              <w:ind w:left="400"/>
              <w:spacing w:after="0"/>
              <w:rPr>
                <w:sz w:val="20"/>
                <w:szCs w:val="20"/>
                <w:color w:val="auto"/>
              </w:rPr>
            </w:pPr>
            <w:r>
              <w:rPr>
                <w:rFonts w:ascii="Arial" w:cs="Arial" w:eastAsia="Arial" w:hAnsi="Arial"/>
                <w:sz w:val="14"/>
                <w:szCs w:val="14"/>
                <w:b w:val="1"/>
                <w:bCs w:val="1"/>
                <w:color w:val="FFFFFF"/>
              </w:rPr>
              <w:t>All Other</w:t>
            </w:r>
          </w:p>
        </w:tc>
        <w:tc>
          <w:tcPr>
            <w:tcW w:w="960" w:type="dxa"/>
            <w:vAlign w:val="bottom"/>
            <w:shd w:val="clear" w:color="auto" w:fill="023C5B"/>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20" w:type="dxa"/>
            <w:vAlign w:val="bottom"/>
            <w:gridSpan w:val="2"/>
            <w:vMerge w:val="restart"/>
            <w:shd w:val="clear" w:color="auto" w:fill="023C5B"/>
          </w:tcPr>
          <w:p>
            <w:pPr>
              <w:spacing w:after="0"/>
              <w:rPr>
                <w:sz w:val="20"/>
                <w:szCs w:val="20"/>
                <w:color w:val="auto"/>
              </w:rPr>
            </w:pPr>
            <w:r>
              <w:rPr>
                <w:rFonts w:ascii="Arial" w:cs="Arial" w:eastAsia="Arial" w:hAnsi="Arial"/>
                <w:sz w:val="14"/>
                <w:szCs w:val="14"/>
                <w:b w:val="1"/>
                <w:bCs w:val="1"/>
                <w:color w:val="FFFFFF"/>
              </w:rPr>
              <w:t> Name and Principal Position</w:t>
            </w:r>
          </w:p>
        </w:tc>
        <w:tc>
          <w:tcPr>
            <w:tcW w:w="720" w:type="dxa"/>
            <w:vAlign w:val="bottom"/>
            <w:tcBorders>
              <w:left w:val="single" w:sz="8" w:color="023C5B"/>
            </w:tcBorders>
            <w:gridSpan w:val="2"/>
            <w:vMerge w:val="restart"/>
            <w:shd w:val="clear" w:color="auto" w:fill="023C5B"/>
          </w:tcPr>
          <w:p>
            <w:pPr>
              <w:ind w:left="120"/>
              <w:spacing w:after="0"/>
              <w:rPr>
                <w:sz w:val="20"/>
                <w:szCs w:val="20"/>
                <w:color w:val="auto"/>
              </w:rPr>
            </w:pPr>
            <w:r>
              <w:rPr>
                <w:rFonts w:ascii="Arial" w:cs="Arial" w:eastAsia="Arial" w:hAnsi="Arial"/>
                <w:sz w:val="14"/>
                <w:szCs w:val="14"/>
                <w:b w:val="1"/>
                <w:bCs w:val="1"/>
                <w:color w:val="FFFFFF"/>
              </w:rPr>
              <w:t>  Year </w:t>
            </w:r>
          </w:p>
        </w:tc>
        <w:tc>
          <w:tcPr>
            <w:tcW w:w="920" w:type="dxa"/>
            <w:vAlign w:val="bottom"/>
            <w:gridSpan w:val="2"/>
            <w:vMerge w:val="restart"/>
            <w:shd w:val="clear" w:color="auto" w:fill="023C5B"/>
          </w:tcPr>
          <w:p>
            <w:pPr>
              <w:ind w:left="260"/>
              <w:spacing w:after="0"/>
              <w:rPr>
                <w:sz w:val="20"/>
                <w:szCs w:val="20"/>
                <w:color w:val="auto"/>
              </w:rPr>
            </w:pPr>
            <w:r>
              <w:rPr>
                <w:rFonts w:ascii="Arial" w:cs="Arial" w:eastAsia="Arial" w:hAnsi="Arial"/>
                <w:sz w:val="14"/>
                <w:szCs w:val="14"/>
                <w:b w:val="1"/>
                <w:bCs w:val="1"/>
                <w:color w:val="FFFFFF"/>
              </w:rPr>
              <w:t>Salary</w:t>
            </w:r>
          </w:p>
        </w:tc>
        <w:tc>
          <w:tcPr>
            <w:tcW w:w="900" w:type="dxa"/>
            <w:vAlign w:val="bottom"/>
            <w:gridSpan w:val="2"/>
            <w:vMerge w:val="restart"/>
            <w:shd w:val="clear" w:color="auto" w:fill="023C5B"/>
          </w:tcPr>
          <w:p>
            <w:pPr>
              <w:ind w:left="180"/>
              <w:spacing w:after="0"/>
              <w:rPr>
                <w:sz w:val="20"/>
                <w:szCs w:val="20"/>
                <w:color w:val="auto"/>
              </w:rPr>
            </w:pPr>
            <w:r>
              <w:rPr>
                <w:rFonts w:ascii="Arial" w:cs="Arial" w:eastAsia="Arial" w:hAnsi="Arial"/>
                <w:sz w:val="14"/>
                <w:szCs w:val="14"/>
                <w:b w:val="1"/>
                <w:bCs w:val="1"/>
                <w:color w:val="FFFFFF"/>
              </w:rPr>
              <w:t>Bonus</w:t>
            </w:r>
            <w:r>
              <w:rPr>
                <w:rFonts w:ascii="Arial" w:cs="Arial" w:eastAsia="Arial" w:hAnsi="Arial"/>
                <w:sz w:val="21"/>
                <w:szCs w:val="21"/>
                <w:b w:val="1"/>
                <w:bCs w:val="1"/>
                <w:color w:val="FFFFFF"/>
                <w:vertAlign w:val="superscript"/>
              </w:rPr>
              <w:t>(1)</w:t>
            </w:r>
          </w:p>
        </w:tc>
        <w:tc>
          <w:tcPr>
            <w:tcW w:w="100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w w:val="93"/>
              </w:rPr>
              <w:t>  Stock</w:t>
            </w: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Compensation</w:t>
            </w:r>
          </w:p>
        </w:tc>
        <w:tc>
          <w:tcPr>
            <w:tcW w:w="1380" w:type="dxa"/>
            <w:vAlign w:val="bottom"/>
            <w:gridSpan w:val="2"/>
            <w:shd w:val="clear" w:color="auto" w:fill="023C5B"/>
          </w:tcPr>
          <w:p>
            <w:pPr>
              <w:ind w:left="140"/>
              <w:spacing w:after="0"/>
              <w:rPr>
                <w:sz w:val="20"/>
                <w:szCs w:val="20"/>
                <w:color w:val="auto"/>
              </w:rPr>
            </w:pPr>
            <w:r>
              <w:rPr>
                <w:rFonts w:ascii="Arial" w:cs="Arial" w:eastAsia="Arial" w:hAnsi="Arial"/>
                <w:sz w:val="14"/>
                <w:szCs w:val="14"/>
                <w:b w:val="1"/>
                <w:bCs w:val="1"/>
                <w:color w:val="FFFFFF"/>
              </w:rPr>
              <w:t>  Compensation</w:t>
            </w:r>
          </w:p>
        </w:tc>
        <w:tc>
          <w:tcPr>
            <w:tcW w:w="960" w:type="dxa"/>
            <w:vAlign w:val="bottom"/>
            <w:vMerge w:val="restart"/>
            <w:shd w:val="clear" w:color="auto" w:fill="023C5B"/>
          </w:tcPr>
          <w:p>
            <w:pPr>
              <w:ind w:left="36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27"/>
        </w:trPr>
        <w:tc>
          <w:tcPr>
            <w:tcW w:w="3820" w:type="dxa"/>
            <w:vAlign w:val="bottom"/>
            <w:gridSpan w:val="2"/>
            <w:vMerge w:val="continue"/>
            <w:shd w:val="clear" w:color="auto" w:fill="023C5B"/>
          </w:tcPr>
          <w:p>
            <w:pPr>
              <w:spacing w:after="0"/>
              <w:rPr>
                <w:sz w:val="19"/>
                <w:szCs w:val="19"/>
                <w:color w:val="auto"/>
              </w:rPr>
            </w:pPr>
          </w:p>
        </w:tc>
        <w:tc>
          <w:tcPr>
            <w:tcW w:w="720" w:type="dxa"/>
            <w:vAlign w:val="bottom"/>
            <w:tcBorders>
              <w:left w:val="single" w:sz="8" w:color="023C5B"/>
            </w:tcBorders>
            <w:gridSpan w:val="2"/>
            <w:vMerge w:val="continue"/>
            <w:shd w:val="clear" w:color="auto" w:fill="023C5B"/>
          </w:tcPr>
          <w:p>
            <w:pPr>
              <w:spacing w:after="0"/>
              <w:rPr>
                <w:sz w:val="19"/>
                <w:szCs w:val="19"/>
                <w:color w:val="auto"/>
              </w:rPr>
            </w:pPr>
          </w:p>
        </w:tc>
        <w:tc>
          <w:tcPr>
            <w:tcW w:w="920" w:type="dxa"/>
            <w:vAlign w:val="bottom"/>
            <w:gridSpan w:val="2"/>
            <w:vMerge w:val="continue"/>
            <w:shd w:val="clear" w:color="auto" w:fill="023C5B"/>
          </w:tcPr>
          <w:p>
            <w:pPr>
              <w:spacing w:after="0"/>
              <w:rPr>
                <w:sz w:val="19"/>
                <w:szCs w:val="19"/>
                <w:color w:val="auto"/>
              </w:rPr>
            </w:pPr>
          </w:p>
        </w:tc>
        <w:tc>
          <w:tcPr>
            <w:tcW w:w="900" w:type="dxa"/>
            <w:vAlign w:val="bottom"/>
            <w:gridSpan w:val="2"/>
            <w:vMerge w:val="continue"/>
            <w:shd w:val="clear" w:color="auto" w:fill="023C5B"/>
          </w:tcPr>
          <w:p>
            <w:pPr>
              <w:spacing w:after="0"/>
              <w:rPr>
                <w:sz w:val="19"/>
                <w:szCs w:val="19"/>
                <w:color w:val="auto"/>
              </w:rPr>
            </w:pPr>
          </w:p>
        </w:tc>
        <w:tc>
          <w:tcPr>
            <w:tcW w:w="1000" w:type="dxa"/>
            <w:vAlign w:val="bottom"/>
            <w:gridSpan w:val="2"/>
            <w:shd w:val="clear" w:color="auto" w:fill="023C5B"/>
          </w:tcPr>
          <w:p>
            <w:pPr>
              <w:jc w:val="center"/>
              <w:spacing w:after="0" w:line="227"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1"/>
                <w:szCs w:val="21"/>
                <w:b w:val="1"/>
                <w:bCs w:val="1"/>
                <w:color w:val="FFFFFF"/>
                <w:vertAlign w:val="superscript"/>
              </w:rPr>
              <w:t>(2)</w:t>
            </w:r>
            <w:r>
              <w:rPr>
                <w:rFonts w:ascii="Arial" w:cs="Arial" w:eastAsia="Arial" w:hAnsi="Arial"/>
                <w:sz w:val="14"/>
                <w:szCs w:val="14"/>
                <w:b w:val="1"/>
                <w:bCs w:val="1"/>
                <w:color w:val="FFFFFF"/>
              </w:rPr>
              <w:t xml:space="preserve"> </w:t>
            </w:r>
          </w:p>
        </w:tc>
        <w:tc>
          <w:tcPr>
            <w:tcW w:w="1220" w:type="dxa"/>
            <w:vAlign w:val="bottom"/>
            <w:gridSpan w:val="2"/>
            <w:shd w:val="clear" w:color="auto" w:fill="023C5B"/>
          </w:tcPr>
          <w:p>
            <w:pPr>
              <w:jc w:val="center"/>
              <w:spacing w:after="0" w:line="227" w:lineRule="exact"/>
              <w:rPr>
                <w:sz w:val="20"/>
                <w:szCs w:val="20"/>
                <w:color w:val="auto"/>
              </w:rPr>
            </w:pPr>
            <w:r>
              <w:rPr>
                <w:rFonts w:ascii="Arial" w:cs="Arial" w:eastAsia="Arial" w:hAnsi="Arial"/>
                <w:sz w:val="14"/>
                <w:szCs w:val="14"/>
                <w:b w:val="1"/>
                <w:bCs w:val="1"/>
                <w:color w:val="FFFFFF"/>
                <w:w w:val="96"/>
              </w:rPr>
              <w:t>Earnings</w:t>
            </w:r>
            <w:r>
              <w:rPr>
                <w:rFonts w:ascii="Arial" w:cs="Arial" w:eastAsia="Arial" w:hAnsi="Arial"/>
                <w:sz w:val="21"/>
                <w:szCs w:val="21"/>
                <w:b w:val="1"/>
                <w:bCs w:val="1"/>
                <w:color w:val="FFFFFF"/>
                <w:w w:val="96"/>
                <w:vertAlign w:val="superscript"/>
              </w:rPr>
              <w:t>(3)</w:t>
            </w:r>
          </w:p>
        </w:tc>
        <w:tc>
          <w:tcPr>
            <w:tcW w:w="1320" w:type="dxa"/>
            <w:vAlign w:val="bottom"/>
            <w:shd w:val="clear" w:color="auto" w:fill="023C5B"/>
          </w:tcPr>
          <w:p>
            <w:pPr>
              <w:jc w:val="center"/>
              <w:ind w:left="10"/>
              <w:spacing w:after="0"/>
              <w:rPr>
                <w:sz w:val="20"/>
                <w:szCs w:val="20"/>
                <w:color w:val="auto"/>
              </w:rPr>
            </w:pPr>
            <w:r>
              <w:rPr>
                <w:rFonts w:ascii="Arial" w:cs="Arial" w:eastAsia="Arial" w:hAnsi="Arial"/>
                <w:sz w:val="11"/>
                <w:szCs w:val="11"/>
                <w:b w:val="1"/>
                <w:bCs w:val="1"/>
                <w:color w:val="FFFFFF"/>
              </w:rPr>
              <w:t>(*)</w:t>
            </w:r>
          </w:p>
        </w:tc>
        <w:tc>
          <w:tcPr>
            <w:tcW w:w="60" w:type="dxa"/>
            <w:vAlign w:val="bottom"/>
            <w:shd w:val="clear" w:color="auto" w:fill="023C5B"/>
          </w:tcPr>
          <w:p>
            <w:pPr>
              <w:spacing w:after="0"/>
              <w:rPr>
                <w:sz w:val="19"/>
                <w:szCs w:val="19"/>
                <w:color w:val="auto"/>
              </w:rPr>
            </w:pPr>
          </w:p>
        </w:tc>
        <w:tc>
          <w:tcPr>
            <w:tcW w:w="960" w:type="dxa"/>
            <w:vAlign w:val="bottom"/>
            <w:vMerge w:val="continue"/>
            <w:shd w:val="clear" w:color="auto" w:fill="023C5B"/>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20" w:type="dxa"/>
            <w:vAlign w:val="bottom"/>
            <w:gridSpan w:val="2"/>
          </w:tcPr>
          <w:p>
            <w:pPr>
              <w:spacing w:after="0"/>
              <w:rPr>
                <w:sz w:val="20"/>
                <w:szCs w:val="20"/>
                <w:color w:val="auto"/>
              </w:rPr>
            </w:pPr>
            <w:r>
              <w:rPr>
                <w:rFonts w:ascii="Arial" w:cs="Arial" w:eastAsia="Arial" w:hAnsi="Arial"/>
                <w:sz w:val="14"/>
                <w:szCs w:val="14"/>
                <w:color w:val="auto"/>
              </w:rPr>
              <w:t> Richard D. Fairbank</w:t>
            </w:r>
          </w:p>
        </w:tc>
        <w:tc>
          <w:tcPr>
            <w:tcW w:w="660" w:type="dxa"/>
            <w:vAlign w:val="bottom"/>
            <w:tcBorders>
              <w:left w:val="single" w:sz="8" w:color="E5EBEE"/>
            </w:tcBorders>
            <w:shd w:val="clear" w:color="auto" w:fill="E5EBEE"/>
          </w:tcPr>
          <w:p>
            <w:pPr>
              <w:jc w:val="right"/>
              <w:ind w:right="9"/>
              <w:spacing w:after="0"/>
              <w:rPr>
                <w:sz w:val="20"/>
                <w:szCs w:val="20"/>
                <w:color w:val="auto"/>
              </w:rPr>
            </w:pPr>
            <w:r>
              <w:rPr>
                <w:rFonts w:ascii="Arial" w:cs="Arial" w:eastAsia="Arial" w:hAnsi="Arial"/>
                <w:sz w:val="14"/>
                <w:szCs w:val="14"/>
                <w:color w:val="auto"/>
              </w:rPr>
              <w:t>2025</w:t>
            </w:r>
          </w:p>
        </w:tc>
        <w:tc>
          <w:tcPr>
            <w:tcW w:w="60" w:type="dxa"/>
            <w:vAlign w:val="bottom"/>
            <w:shd w:val="clear" w:color="auto" w:fill="E5EBEE"/>
          </w:tcPr>
          <w:p>
            <w:pPr>
              <w:spacing w:after="0"/>
              <w:rPr>
                <w:sz w:val="19"/>
                <w:szCs w:val="19"/>
                <w:color w:val="auto"/>
              </w:rPr>
            </w:pPr>
          </w:p>
        </w:tc>
        <w:tc>
          <w:tcPr>
            <w:tcW w:w="92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40" w:type="dxa"/>
            <w:vAlign w:val="bottom"/>
            <w:shd w:val="clear" w:color="auto" w:fill="E5EBEE"/>
          </w:tcPr>
          <w:p>
            <w:pPr>
              <w:jc w:val="center"/>
              <w:ind w:left="9"/>
              <w:spacing w:after="0"/>
              <w:rPr>
                <w:sz w:val="20"/>
                <w:szCs w:val="20"/>
                <w:color w:val="auto"/>
              </w:rPr>
            </w:pPr>
            <w:r>
              <w:rPr>
                <w:rFonts w:ascii="Arial" w:cs="Arial" w:eastAsia="Arial" w:hAnsi="Arial"/>
                <w:sz w:val="14"/>
                <w:szCs w:val="14"/>
                <w:color w:val="auto"/>
              </w:rPr>
              <w:t>$6,700,000</w:t>
            </w:r>
          </w:p>
        </w:tc>
        <w:tc>
          <w:tcPr>
            <w:tcW w:w="60" w:type="dxa"/>
            <w:vAlign w:val="bottom"/>
            <w:shd w:val="clear" w:color="auto" w:fill="E5EBEE"/>
          </w:tcPr>
          <w:p>
            <w:pPr>
              <w:spacing w:after="0"/>
              <w:rPr>
                <w:sz w:val="19"/>
                <w:szCs w:val="19"/>
                <w:color w:val="auto"/>
              </w:rPr>
            </w:pPr>
          </w:p>
        </w:tc>
        <w:tc>
          <w:tcPr>
            <w:tcW w:w="940" w:type="dxa"/>
            <w:vAlign w:val="bottom"/>
            <w:shd w:val="clear" w:color="auto" w:fill="E5EBEE"/>
          </w:tcPr>
          <w:p>
            <w:pPr>
              <w:jc w:val="center"/>
              <w:ind w:left="29"/>
              <w:spacing w:after="0"/>
              <w:rPr>
                <w:sz w:val="20"/>
                <w:szCs w:val="20"/>
                <w:color w:val="auto"/>
              </w:rPr>
            </w:pPr>
            <w:r>
              <w:rPr>
                <w:rFonts w:ascii="Arial" w:cs="Arial" w:eastAsia="Arial" w:hAnsi="Arial"/>
                <w:sz w:val="14"/>
                <w:szCs w:val="14"/>
                <w:color w:val="auto"/>
              </w:rPr>
              <w:t>$58,127,029</w:t>
            </w:r>
          </w:p>
        </w:tc>
        <w:tc>
          <w:tcPr>
            <w:tcW w:w="60" w:type="dxa"/>
            <w:vAlign w:val="bottom"/>
            <w:shd w:val="clear" w:color="auto" w:fill="E5EBEE"/>
          </w:tcPr>
          <w:p>
            <w:pPr>
              <w:spacing w:after="0"/>
              <w:rPr>
                <w:sz w:val="19"/>
                <w:szCs w:val="19"/>
                <w:color w:val="auto"/>
              </w:rPr>
            </w:pPr>
          </w:p>
        </w:tc>
        <w:tc>
          <w:tcPr>
            <w:tcW w:w="1160" w:type="dxa"/>
            <w:vAlign w:val="bottom"/>
            <w:shd w:val="clear" w:color="auto" w:fill="E5EBEE"/>
          </w:tcPr>
          <w:p>
            <w:pPr>
              <w:jc w:val="center"/>
              <w:ind w:left="9"/>
              <w:spacing w:after="0"/>
              <w:rPr>
                <w:sz w:val="20"/>
                <w:szCs w:val="20"/>
                <w:color w:val="auto"/>
              </w:rPr>
            </w:pPr>
            <w:r>
              <w:rPr>
                <w:rFonts w:ascii="Arial" w:cs="Arial" w:eastAsia="Arial" w:hAnsi="Arial"/>
                <w:sz w:val="14"/>
                <w:szCs w:val="14"/>
                <w:color w:val="auto"/>
              </w:rPr>
              <w:t>$10,831</w:t>
            </w:r>
          </w:p>
        </w:tc>
        <w:tc>
          <w:tcPr>
            <w:tcW w:w="60" w:type="dxa"/>
            <w:vAlign w:val="bottom"/>
            <w:shd w:val="clear" w:color="auto" w:fill="E5EBEE"/>
          </w:tcPr>
          <w:p>
            <w:pPr>
              <w:spacing w:after="0"/>
              <w:rPr>
                <w:sz w:val="19"/>
                <w:szCs w:val="19"/>
                <w:color w:val="auto"/>
              </w:rPr>
            </w:pPr>
          </w:p>
        </w:tc>
        <w:tc>
          <w:tcPr>
            <w:tcW w:w="1320" w:type="dxa"/>
            <w:vAlign w:val="bottom"/>
            <w:shd w:val="clear" w:color="auto" w:fill="E5EBEE"/>
          </w:tcPr>
          <w:p>
            <w:pPr>
              <w:jc w:val="center"/>
              <w:ind w:left="10"/>
              <w:spacing w:after="0"/>
              <w:rPr>
                <w:sz w:val="20"/>
                <w:szCs w:val="20"/>
                <w:color w:val="auto"/>
              </w:rPr>
            </w:pPr>
            <w:r>
              <w:rPr>
                <w:rFonts w:ascii="Arial" w:cs="Arial" w:eastAsia="Arial" w:hAnsi="Arial"/>
                <w:sz w:val="14"/>
                <w:szCs w:val="14"/>
                <w:color w:val="auto"/>
              </w:rPr>
              <w:t>$133,277</w:t>
            </w:r>
          </w:p>
        </w:tc>
        <w:tc>
          <w:tcPr>
            <w:tcW w:w="60" w:type="dxa"/>
            <w:vAlign w:val="bottom"/>
            <w:shd w:val="clear" w:color="auto" w:fill="E5EBEE"/>
          </w:tcPr>
          <w:p>
            <w:pPr>
              <w:spacing w:after="0"/>
              <w:rPr>
                <w:sz w:val="19"/>
                <w:szCs w:val="19"/>
                <w:color w:val="auto"/>
              </w:rPr>
            </w:pPr>
          </w:p>
        </w:tc>
        <w:tc>
          <w:tcPr>
            <w:tcW w:w="960" w:type="dxa"/>
            <w:vAlign w:val="bottom"/>
            <w:shd w:val="clear" w:color="auto" w:fill="E5EBEE"/>
          </w:tcPr>
          <w:p>
            <w:pPr>
              <w:jc w:val="center"/>
              <w:ind w:left="9"/>
              <w:spacing w:after="0"/>
              <w:rPr>
                <w:sz w:val="20"/>
                <w:szCs w:val="20"/>
                <w:color w:val="auto"/>
              </w:rPr>
            </w:pPr>
            <w:r>
              <w:rPr>
                <w:rFonts w:ascii="Arial" w:cs="Arial" w:eastAsia="Arial" w:hAnsi="Arial"/>
                <w:sz w:val="14"/>
                <w:szCs w:val="14"/>
                <w:color w:val="auto"/>
              </w:rPr>
              <w:t>$64,971,137</w:t>
            </w:r>
          </w:p>
        </w:tc>
        <w:tc>
          <w:tcPr>
            <w:tcW w:w="0" w:type="dxa"/>
            <w:vAlign w:val="bottom"/>
          </w:tcPr>
          <w:p>
            <w:pPr>
              <w:spacing w:after="0"/>
              <w:rPr>
                <w:sz w:val="1"/>
                <w:szCs w:val="1"/>
                <w:color w:val="auto"/>
              </w:rPr>
            </w:pPr>
          </w:p>
        </w:tc>
      </w:tr>
      <w:tr>
        <w:trPr>
          <w:trHeight w:val="214"/>
        </w:trPr>
        <w:tc>
          <w:tcPr>
            <w:tcW w:w="3820" w:type="dxa"/>
            <w:vAlign w:val="bottom"/>
            <w:gridSpan w:val="2"/>
          </w:tcPr>
          <w:p>
            <w:pPr>
              <w:spacing w:after="0" w:line="214" w:lineRule="exact"/>
              <w:rPr>
                <w:sz w:val="20"/>
                <w:szCs w:val="20"/>
                <w:color w:val="auto"/>
              </w:rPr>
            </w:pPr>
            <w:r>
              <w:rPr>
                <w:rFonts w:ascii="Arial" w:cs="Arial" w:eastAsia="Arial" w:hAnsi="Arial"/>
                <w:sz w:val="14"/>
                <w:szCs w:val="14"/>
                <w:color w:val="auto"/>
              </w:rPr>
              <w:t> Chairman and CEO</w:t>
            </w:r>
            <w:r>
              <w:rPr>
                <w:rFonts w:ascii="Arial" w:cs="Arial" w:eastAsia="Arial" w:hAnsi="Arial"/>
                <w:sz w:val="21"/>
                <w:szCs w:val="21"/>
                <w:color w:val="auto"/>
                <w:vertAlign w:val="superscript"/>
              </w:rPr>
              <w:t>(4)</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2024</w:t>
            </w:r>
          </w:p>
        </w:tc>
        <w:tc>
          <w:tcPr>
            <w:tcW w:w="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40" w:type="dxa"/>
            <w:vAlign w:val="bottom"/>
          </w:tcPr>
          <w:p>
            <w:pPr>
              <w:jc w:val="center"/>
              <w:ind w:left="9"/>
              <w:spacing w:after="0"/>
              <w:rPr>
                <w:sz w:val="20"/>
                <w:szCs w:val="20"/>
                <w:color w:val="auto"/>
              </w:rPr>
            </w:pPr>
            <w:r>
              <w:rPr>
                <w:rFonts w:ascii="Arial" w:cs="Arial" w:eastAsia="Arial" w:hAnsi="Arial"/>
                <w:sz w:val="14"/>
                <w:szCs w:val="14"/>
                <w:color w:val="auto"/>
              </w:rPr>
              <w:t>$5,500,000</w:t>
            </w:r>
          </w:p>
        </w:tc>
        <w:tc>
          <w:tcPr>
            <w:tcW w:w="60" w:type="dxa"/>
            <w:vAlign w:val="bottom"/>
          </w:tcPr>
          <w:p>
            <w:pPr>
              <w:spacing w:after="0"/>
              <w:rPr>
                <w:sz w:val="18"/>
                <w:szCs w:val="18"/>
                <w:color w:val="auto"/>
              </w:rPr>
            </w:pPr>
          </w:p>
        </w:tc>
        <w:tc>
          <w:tcPr>
            <w:tcW w:w="940" w:type="dxa"/>
            <w:vAlign w:val="bottom"/>
          </w:tcPr>
          <w:p>
            <w:pPr>
              <w:jc w:val="center"/>
              <w:ind w:left="29"/>
              <w:spacing w:after="0"/>
              <w:rPr>
                <w:sz w:val="20"/>
                <w:szCs w:val="20"/>
                <w:color w:val="auto"/>
              </w:rPr>
            </w:pPr>
            <w:r>
              <w:rPr>
                <w:rFonts w:ascii="Arial" w:cs="Arial" w:eastAsia="Arial" w:hAnsi="Arial"/>
                <w:sz w:val="14"/>
                <w:szCs w:val="14"/>
                <w:color w:val="auto"/>
              </w:rPr>
              <w:t>$25,206,709</w:t>
            </w:r>
          </w:p>
        </w:tc>
        <w:tc>
          <w:tcPr>
            <w:tcW w:w="60" w:type="dxa"/>
            <w:vAlign w:val="bottom"/>
          </w:tcPr>
          <w:p>
            <w:pPr>
              <w:spacing w:after="0"/>
              <w:rPr>
                <w:sz w:val="18"/>
                <w:szCs w:val="18"/>
                <w:color w:val="auto"/>
              </w:rPr>
            </w:pPr>
          </w:p>
        </w:tc>
        <w:tc>
          <w:tcPr>
            <w:tcW w:w="1160" w:type="dxa"/>
            <w:vAlign w:val="bottom"/>
          </w:tcPr>
          <w:p>
            <w:pPr>
              <w:jc w:val="center"/>
              <w:ind w:left="9"/>
              <w:spacing w:after="0"/>
              <w:rPr>
                <w:sz w:val="20"/>
                <w:szCs w:val="20"/>
                <w:color w:val="auto"/>
              </w:rPr>
            </w:pPr>
            <w:r>
              <w:rPr>
                <w:rFonts w:ascii="Arial" w:cs="Arial" w:eastAsia="Arial" w:hAnsi="Arial"/>
                <w:sz w:val="14"/>
                <w:szCs w:val="14"/>
                <w:color w:val="auto"/>
              </w:rPr>
              <w:t>$12,143</w:t>
            </w:r>
          </w:p>
        </w:tc>
        <w:tc>
          <w:tcPr>
            <w:tcW w:w="60" w:type="dxa"/>
            <w:vAlign w:val="bottom"/>
          </w:tcPr>
          <w:p>
            <w:pPr>
              <w:spacing w:after="0"/>
              <w:rPr>
                <w:sz w:val="18"/>
                <w:szCs w:val="18"/>
                <w:color w:val="auto"/>
              </w:rPr>
            </w:pPr>
          </w:p>
        </w:tc>
        <w:tc>
          <w:tcPr>
            <w:tcW w:w="1320" w:type="dxa"/>
            <w:vAlign w:val="bottom"/>
          </w:tcPr>
          <w:p>
            <w:pPr>
              <w:jc w:val="center"/>
              <w:ind w:left="30"/>
              <w:spacing w:after="0"/>
              <w:rPr>
                <w:sz w:val="20"/>
                <w:szCs w:val="20"/>
                <w:color w:val="auto"/>
              </w:rPr>
            </w:pPr>
            <w:r>
              <w:rPr>
                <w:rFonts w:ascii="Arial" w:cs="Arial" w:eastAsia="Arial" w:hAnsi="Arial"/>
                <w:sz w:val="14"/>
                <w:szCs w:val="14"/>
                <w:color w:val="auto"/>
                <w:w w:val="99"/>
              </w:rPr>
              <w:t>$110,218</w:t>
            </w:r>
          </w:p>
        </w:tc>
        <w:tc>
          <w:tcPr>
            <w:tcW w:w="60" w:type="dxa"/>
            <w:vAlign w:val="bottom"/>
          </w:tcPr>
          <w:p>
            <w:pPr>
              <w:spacing w:after="0"/>
              <w:rPr>
                <w:sz w:val="18"/>
                <w:szCs w:val="18"/>
                <w:color w:val="auto"/>
              </w:rPr>
            </w:pPr>
          </w:p>
        </w:tc>
        <w:tc>
          <w:tcPr>
            <w:tcW w:w="960" w:type="dxa"/>
            <w:vAlign w:val="bottom"/>
          </w:tcPr>
          <w:p>
            <w:pPr>
              <w:jc w:val="center"/>
              <w:ind w:left="9"/>
              <w:spacing w:after="0"/>
              <w:rPr>
                <w:sz w:val="20"/>
                <w:szCs w:val="20"/>
                <w:color w:val="auto"/>
              </w:rPr>
            </w:pPr>
            <w:r>
              <w:rPr>
                <w:rFonts w:ascii="Arial" w:cs="Arial" w:eastAsia="Arial" w:hAnsi="Arial"/>
                <w:sz w:val="14"/>
                <w:szCs w:val="14"/>
                <w:color w:val="auto"/>
              </w:rPr>
              <w:t>$30,829,070</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023C5B"/>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left w:val="single" w:sz="8" w:color="E5EBEE"/>
              <w:bottom w:val="single" w:sz="8" w:color="023C5B"/>
            </w:tcBorders>
            <w:shd w:val="clear" w:color="auto" w:fill="E5EBEE"/>
          </w:tcPr>
          <w:p>
            <w:pPr>
              <w:jc w:val="right"/>
              <w:ind w:right="9"/>
              <w:spacing w:after="0"/>
              <w:rPr>
                <w:sz w:val="20"/>
                <w:szCs w:val="20"/>
                <w:color w:val="auto"/>
              </w:rPr>
            </w:pPr>
            <w:r>
              <w:rPr>
                <w:rFonts w:ascii="Arial" w:cs="Arial" w:eastAsia="Arial" w:hAnsi="Arial"/>
                <w:sz w:val="14"/>
                <w:szCs w:val="14"/>
                <w:color w:val="auto"/>
              </w:rPr>
              <w:t>2023</w:t>
            </w:r>
          </w:p>
        </w:tc>
        <w:tc>
          <w:tcPr>
            <w:tcW w:w="60" w:type="dxa"/>
            <w:vAlign w:val="bottom"/>
            <w:shd w:val="clear" w:color="auto" w:fill="E5EBEE"/>
          </w:tcPr>
          <w:p>
            <w:pPr>
              <w:spacing w:after="0"/>
              <w:rPr>
                <w:sz w:val="18"/>
                <w:szCs w:val="18"/>
                <w:color w:val="auto"/>
              </w:rPr>
            </w:pPr>
          </w:p>
        </w:tc>
        <w:tc>
          <w:tcPr>
            <w:tcW w:w="860" w:type="dxa"/>
            <w:vAlign w:val="bottom"/>
            <w:tcBorders>
              <w:bottom w:val="single" w:sz="8" w:color="023C5B"/>
            </w:tcBorders>
            <w:shd w:val="clear" w:color="auto" w:fill="E5EBEE"/>
          </w:tcPr>
          <w:p>
            <w:pPr>
              <w:jc w:val="center"/>
              <w:ind w:left="9"/>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18"/>
                <w:szCs w:val="18"/>
                <w:color w:val="auto"/>
              </w:rPr>
            </w:pPr>
          </w:p>
        </w:tc>
        <w:tc>
          <w:tcPr>
            <w:tcW w:w="840" w:type="dxa"/>
            <w:vAlign w:val="bottom"/>
            <w:tcBorders>
              <w:bottom w:val="single" w:sz="8" w:color="023C5B"/>
            </w:tcBorders>
            <w:shd w:val="clear" w:color="auto" w:fill="E5EBEE"/>
          </w:tcPr>
          <w:p>
            <w:pPr>
              <w:jc w:val="center"/>
              <w:ind w:left="9"/>
              <w:spacing w:after="0"/>
              <w:rPr>
                <w:sz w:val="20"/>
                <w:szCs w:val="20"/>
                <w:color w:val="auto"/>
              </w:rPr>
            </w:pPr>
            <w:r>
              <w:rPr>
                <w:rFonts w:ascii="Arial" w:cs="Arial" w:eastAsia="Arial" w:hAnsi="Arial"/>
                <w:sz w:val="14"/>
                <w:szCs w:val="14"/>
                <w:color w:val="auto"/>
              </w:rPr>
              <w:t>$5,000,000</w:t>
            </w:r>
          </w:p>
        </w:tc>
        <w:tc>
          <w:tcPr>
            <w:tcW w:w="60" w:type="dxa"/>
            <w:vAlign w:val="bottom"/>
            <w:shd w:val="clear" w:color="auto" w:fill="E5EBEE"/>
          </w:tcPr>
          <w:p>
            <w:pPr>
              <w:spacing w:after="0"/>
              <w:rPr>
                <w:sz w:val="18"/>
                <w:szCs w:val="18"/>
                <w:color w:val="auto"/>
              </w:rPr>
            </w:pPr>
          </w:p>
        </w:tc>
        <w:tc>
          <w:tcPr>
            <w:tcW w:w="940" w:type="dxa"/>
            <w:vAlign w:val="bottom"/>
            <w:tcBorders>
              <w:bottom w:val="single" w:sz="8" w:color="023C5B"/>
            </w:tcBorders>
            <w:shd w:val="clear" w:color="auto" w:fill="E5EBEE"/>
          </w:tcPr>
          <w:p>
            <w:pPr>
              <w:jc w:val="center"/>
              <w:ind w:left="29"/>
              <w:spacing w:after="0"/>
              <w:rPr>
                <w:sz w:val="20"/>
                <w:szCs w:val="20"/>
                <w:color w:val="auto"/>
              </w:rPr>
            </w:pPr>
            <w:r>
              <w:rPr>
                <w:rFonts w:ascii="Arial" w:cs="Arial" w:eastAsia="Arial" w:hAnsi="Arial"/>
                <w:sz w:val="14"/>
                <w:szCs w:val="14"/>
                <w:color w:val="auto"/>
              </w:rPr>
              <w:t>$23,458,681</w:t>
            </w:r>
          </w:p>
        </w:tc>
        <w:tc>
          <w:tcPr>
            <w:tcW w:w="60" w:type="dxa"/>
            <w:vAlign w:val="bottom"/>
            <w:shd w:val="clear" w:color="auto" w:fill="E5EBEE"/>
          </w:tcPr>
          <w:p>
            <w:pPr>
              <w:spacing w:after="0"/>
              <w:rPr>
                <w:sz w:val="18"/>
                <w:szCs w:val="18"/>
                <w:color w:val="auto"/>
              </w:rPr>
            </w:pPr>
          </w:p>
        </w:tc>
        <w:tc>
          <w:tcPr>
            <w:tcW w:w="1160" w:type="dxa"/>
            <w:vAlign w:val="bottom"/>
            <w:tcBorders>
              <w:bottom w:val="single" w:sz="8" w:color="023C5B"/>
            </w:tcBorders>
            <w:shd w:val="clear" w:color="auto" w:fill="E5EBEE"/>
          </w:tcPr>
          <w:p>
            <w:pPr>
              <w:jc w:val="center"/>
              <w:ind w:left="9"/>
              <w:spacing w:after="0"/>
              <w:rPr>
                <w:sz w:val="20"/>
                <w:szCs w:val="20"/>
                <w:color w:val="auto"/>
              </w:rPr>
            </w:pPr>
            <w:r>
              <w:rPr>
                <w:rFonts w:ascii="Arial" w:cs="Arial" w:eastAsia="Arial" w:hAnsi="Arial"/>
                <w:sz w:val="14"/>
                <w:szCs w:val="14"/>
                <w:color w:val="auto"/>
              </w:rPr>
              <w:t>$10,832</w:t>
            </w:r>
          </w:p>
        </w:tc>
        <w:tc>
          <w:tcPr>
            <w:tcW w:w="60" w:type="dxa"/>
            <w:vAlign w:val="bottom"/>
            <w:shd w:val="clear" w:color="auto" w:fill="E5EBEE"/>
          </w:tcPr>
          <w:p>
            <w:pPr>
              <w:spacing w:after="0"/>
              <w:rPr>
                <w:sz w:val="18"/>
                <w:szCs w:val="18"/>
                <w:color w:val="auto"/>
              </w:rPr>
            </w:pPr>
          </w:p>
        </w:tc>
        <w:tc>
          <w:tcPr>
            <w:tcW w:w="1320" w:type="dxa"/>
            <w:vAlign w:val="bottom"/>
            <w:tcBorders>
              <w:bottom w:val="single" w:sz="8" w:color="023C5B"/>
            </w:tcBorders>
            <w:shd w:val="clear" w:color="auto" w:fill="E5EBEE"/>
          </w:tcPr>
          <w:p>
            <w:pPr>
              <w:jc w:val="center"/>
              <w:ind w:left="10"/>
              <w:spacing w:after="0"/>
              <w:rPr>
                <w:sz w:val="20"/>
                <w:szCs w:val="20"/>
                <w:color w:val="auto"/>
              </w:rPr>
            </w:pPr>
            <w:r>
              <w:rPr>
                <w:rFonts w:ascii="Arial" w:cs="Arial" w:eastAsia="Arial" w:hAnsi="Arial"/>
                <w:sz w:val="14"/>
                <w:szCs w:val="14"/>
                <w:color w:val="auto"/>
              </w:rPr>
              <w:t>$120,060</w:t>
            </w:r>
          </w:p>
        </w:tc>
        <w:tc>
          <w:tcPr>
            <w:tcW w:w="60" w:type="dxa"/>
            <w:vAlign w:val="bottom"/>
            <w:shd w:val="clear" w:color="auto" w:fill="E5EBEE"/>
          </w:tcPr>
          <w:p>
            <w:pPr>
              <w:spacing w:after="0"/>
              <w:rPr>
                <w:sz w:val="18"/>
                <w:szCs w:val="18"/>
                <w:color w:val="auto"/>
              </w:rPr>
            </w:pPr>
          </w:p>
        </w:tc>
        <w:tc>
          <w:tcPr>
            <w:tcW w:w="960" w:type="dxa"/>
            <w:vAlign w:val="bottom"/>
            <w:tcBorders>
              <w:bottom w:val="single" w:sz="8" w:color="023C5B"/>
            </w:tcBorders>
            <w:shd w:val="clear" w:color="auto" w:fill="E5EBEE"/>
          </w:tcPr>
          <w:p>
            <w:pPr>
              <w:jc w:val="center"/>
              <w:ind w:left="9"/>
              <w:spacing w:after="0"/>
              <w:rPr>
                <w:sz w:val="20"/>
                <w:szCs w:val="20"/>
                <w:color w:val="auto"/>
              </w:rPr>
            </w:pPr>
            <w:r>
              <w:rPr>
                <w:rFonts w:ascii="Arial" w:cs="Arial" w:eastAsia="Arial" w:hAnsi="Arial"/>
                <w:sz w:val="14"/>
                <w:szCs w:val="14"/>
                <w:color w:val="auto"/>
              </w:rPr>
              <w:t>$28,589,573</w:t>
            </w:r>
          </w:p>
        </w:tc>
        <w:tc>
          <w:tcPr>
            <w:tcW w:w="0" w:type="dxa"/>
            <w:vAlign w:val="bottom"/>
          </w:tcPr>
          <w:p>
            <w:pPr>
              <w:spacing w:after="0"/>
              <w:rPr>
                <w:sz w:val="1"/>
                <w:szCs w:val="1"/>
                <w:color w:val="auto"/>
              </w:rPr>
            </w:pPr>
          </w:p>
        </w:tc>
      </w:tr>
      <w:tr>
        <w:trPr>
          <w:trHeight w:val="204"/>
        </w:trPr>
        <w:tc>
          <w:tcPr>
            <w:tcW w:w="3820" w:type="dxa"/>
            <w:vAlign w:val="bottom"/>
            <w:gridSpan w:val="2"/>
          </w:tcPr>
          <w:p>
            <w:pPr>
              <w:spacing w:after="0"/>
              <w:rPr>
                <w:sz w:val="20"/>
                <w:szCs w:val="20"/>
                <w:color w:val="auto"/>
              </w:rPr>
            </w:pPr>
            <w:r>
              <w:rPr>
                <w:rFonts w:ascii="Arial" w:cs="Arial" w:eastAsia="Arial" w:hAnsi="Arial"/>
                <w:sz w:val="14"/>
                <w:szCs w:val="14"/>
                <w:color w:val="auto"/>
              </w:rPr>
              <w:t> Andrew M. Young</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2025</w:t>
            </w:r>
          </w:p>
        </w:tc>
        <w:tc>
          <w:tcPr>
            <w:tcW w:w="60" w:type="dxa"/>
            <w:vAlign w:val="bottom"/>
          </w:tcPr>
          <w:p>
            <w:pPr>
              <w:spacing w:after="0"/>
              <w:rPr>
                <w:sz w:val="17"/>
                <w:szCs w:val="17"/>
                <w:color w:val="auto"/>
              </w:rPr>
            </w:pPr>
          </w:p>
        </w:tc>
        <w:tc>
          <w:tcPr>
            <w:tcW w:w="860" w:type="dxa"/>
            <w:vAlign w:val="bottom"/>
          </w:tcPr>
          <w:p>
            <w:pPr>
              <w:jc w:val="center"/>
              <w:ind w:left="9"/>
              <w:spacing w:after="0"/>
              <w:rPr>
                <w:sz w:val="20"/>
                <w:szCs w:val="20"/>
                <w:color w:val="auto"/>
              </w:rPr>
            </w:pPr>
            <w:r>
              <w:rPr>
                <w:rFonts w:ascii="Arial" w:cs="Arial" w:eastAsia="Arial" w:hAnsi="Arial"/>
                <w:sz w:val="14"/>
                <w:szCs w:val="14"/>
                <w:color w:val="auto"/>
                <w:w w:val="99"/>
              </w:rPr>
              <w:t>$1,091,308</w:t>
            </w:r>
          </w:p>
        </w:tc>
        <w:tc>
          <w:tcPr>
            <w:tcW w:w="60" w:type="dxa"/>
            <w:vAlign w:val="bottom"/>
          </w:tcPr>
          <w:p>
            <w:pPr>
              <w:spacing w:after="0"/>
              <w:rPr>
                <w:sz w:val="17"/>
                <w:szCs w:val="17"/>
                <w:color w:val="auto"/>
              </w:rPr>
            </w:pPr>
          </w:p>
        </w:tc>
        <w:tc>
          <w:tcPr>
            <w:tcW w:w="840" w:type="dxa"/>
            <w:vAlign w:val="bottom"/>
          </w:tcPr>
          <w:p>
            <w:pPr>
              <w:jc w:val="center"/>
              <w:ind w:left="9"/>
              <w:spacing w:after="0"/>
              <w:rPr>
                <w:sz w:val="20"/>
                <w:szCs w:val="20"/>
                <w:color w:val="auto"/>
              </w:rPr>
            </w:pPr>
            <w:r>
              <w:rPr>
                <w:rFonts w:ascii="Arial" w:cs="Arial" w:eastAsia="Arial" w:hAnsi="Arial"/>
                <w:sz w:val="14"/>
                <w:szCs w:val="14"/>
                <w:color w:val="auto"/>
              </w:rPr>
              <w:t>$2,559,500</w:t>
            </w:r>
          </w:p>
        </w:tc>
        <w:tc>
          <w:tcPr>
            <w:tcW w:w="60" w:type="dxa"/>
            <w:vAlign w:val="bottom"/>
          </w:tcPr>
          <w:p>
            <w:pPr>
              <w:spacing w:after="0"/>
              <w:rPr>
                <w:sz w:val="17"/>
                <w:szCs w:val="17"/>
                <w:color w:val="auto"/>
              </w:rPr>
            </w:pPr>
          </w:p>
        </w:tc>
        <w:tc>
          <w:tcPr>
            <w:tcW w:w="940" w:type="dxa"/>
            <w:vAlign w:val="bottom"/>
          </w:tcPr>
          <w:p>
            <w:pPr>
              <w:jc w:val="center"/>
              <w:ind w:left="29"/>
              <w:spacing w:after="0"/>
              <w:rPr>
                <w:sz w:val="20"/>
                <w:szCs w:val="20"/>
                <w:color w:val="auto"/>
              </w:rPr>
            </w:pPr>
            <w:r>
              <w:rPr>
                <w:rFonts w:ascii="Arial" w:cs="Arial" w:eastAsia="Arial" w:hAnsi="Arial"/>
                <w:sz w:val="14"/>
                <w:szCs w:val="14"/>
                <w:color w:val="auto"/>
              </w:rPr>
              <w:t>$5,860,498</w:t>
            </w:r>
          </w:p>
        </w:tc>
        <w:tc>
          <w:tcPr>
            <w:tcW w:w="6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320" w:type="dxa"/>
            <w:vAlign w:val="bottom"/>
          </w:tcPr>
          <w:p>
            <w:pPr>
              <w:jc w:val="center"/>
              <w:ind w:left="10"/>
              <w:spacing w:after="0"/>
              <w:rPr>
                <w:sz w:val="20"/>
                <w:szCs w:val="20"/>
                <w:color w:val="auto"/>
              </w:rPr>
            </w:pPr>
            <w:r>
              <w:rPr>
                <w:rFonts w:ascii="Arial" w:cs="Arial" w:eastAsia="Arial" w:hAnsi="Arial"/>
                <w:sz w:val="14"/>
                <w:szCs w:val="14"/>
                <w:color w:val="auto"/>
              </w:rPr>
              <w:t>$260,083</w:t>
            </w:r>
          </w:p>
        </w:tc>
        <w:tc>
          <w:tcPr>
            <w:tcW w:w="60" w:type="dxa"/>
            <w:vAlign w:val="bottom"/>
          </w:tcPr>
          <w:p>
            <w:pPr>
              <w:spacing w:after="0"/>
              <w:rPr>
                <w:sz w:val="17"/>
                <w:szCs w:val="17"/>
                <w:color w:val="auto"/>
              </w:rPr>
            </w:pPr>
          </w:p>
        </w:tc>
        <w:tc>
          <w:tcPr>
            <w:tcW w:w="960" w:type="dxa"/>
            <w:vAlign w:val="bottom"/>
          </w:tcPr>
          <w:p>
            <w:pPr>
              <w:jc w:val="center"/>
              <w:ind w:left="9"/>
              <w:spacing w:after="0"/>
              <w:rPr>
                <w:sz w:val="20"/>
                <w:szCs w:val="20"/>
                <w:color w:val="auto"/>
              </w:rPr>
            </w:pPr>
            <w:r>
              <w:rPr>
                <w:rFonts w:ascii="Arial" w:cs="Arial" w:eastAsia="Arial" w:hAnsi="Arial"/>
                <w:sz w:val="14"/>
                <w:szCs w:val="14"/>
                <w:color w:val="auto"/>
              </w:rPr>
              <w:t>$9,771,389</w:t>
            </w:r>
          </w:p>
        </w:tc>
        <w:tc>
          <w:tcPr>
            <w:tcW w:w="0" w:type="dxa"/>
            <w:vAlign w:val="bottom"/>
          </w:tcPr>
          <w:p>
            <w:pPr>
              <w:spacing w:after="0"/>
              <w:rPr>
                <w:sz w:val="1"/>
                <w:szCs w:val="1"/>
                <w:color w:val="auto"/>
              </w:rPr>
            </w:pPr>
          </w:p>
        </w:tc>
      </w:tr>
      <w:tr>
        <w:trPr>
          <w:trHeight w:val="221"/>
        </w:trPr>
        <w:tc>
          <w:tcPr>
            <w:tcW w:w="3820" w:type="dxa"/>
            <w:vAlign w:val="bottom"/>
            <w:gridSpan w:val="2"/>
          </w:tcPr>
          <w:p>
            <w:pPr>
              <w:spacing w:after="0" w:line="222" w:lineRule="exact"/>
              <w:rPr>
                <w:sz w:val="20"/>
                <w:szCs w:val="20"/>
                <w:color w:val="auto"/>
              </w:rPr>
            </w:pPr>
            <w:r>
              <w:rPr>
                <w:rFonts w:ascii="Arial" w:cs="Arial" w:eastAsia="Arial" w:hAnsi="Arial"/>
                <w:sz w:val="14"/>
                <w:szCs w:val="14"/>
                <w:color w:val="auto"/>
              </w:rPr>
              <w:t> Chief Financial Officer</w:t>
            </w:r>
            <w:r>
              <w:rPr>
                <w:rFonts w:ascii="Arial" w:cs="Arial" w:eastAsia="Arial" w:hAnsi="Arial"/>
                <w:sz w:val="21"/>
                <w:szCs w:val="21"/>
                <w:color w:val="auto"/>
                <w:vertAlign w:val="superscript"/>
              </w:rPr>
              <w:t>(5)</w:t>
            </w:r>
          </w:p>
        </w:tc>
        <w:tc>
          <w:tcPr>
            <w:tcW w:w="660" w:type="dxa"/>
            <w:vAlign w:val="bottom"/>
            <w:tcBorders>
              <w:left w:val="single" w:sz="8" w:color="E5EBEE"/>
            </w:tcBorders>
            <w:shd w:val="clear" w:color="auto" w:fill="E5EBEE"/>
          </w:tcPr>
          <w:p>
            <w:pPr>
              <w:jc w:val="right"/>
              <w:ind w:right="9"/>
              <w:spacing w:after="0"/>
              <w:rPr>
                <w:sz w:val="20"/>
                <w:szCs w:val="20"/>
                <w:color w:val="auto"/>
              </w:rPr>
            </w:pPr>
            <w:r>
              <w:rPr>
                <w:rFonts w:ascii="Arial" w:cs="Arial" w:eastAsia="Arial" w:hAnsi="Arial"/>
                <w:sz w:val="14"/>
                <w:szCs w:val="14"/>
                <w:color w:val="auto"/>
              </w:rPr>
              <w:t>2024</w:t>
            </w:r>
          </w:p>
        </w:tc>
        <w:tc>
          <w:tcPr>
            <w:tcW w:w="60" w:type="dxa"/>
            <w:vAlign w:val="bottom"/>
            <w:shd w:val="clear" w:color="auto" w:fill="E5EBEE"/>
          </w:tcPr>
          <w:p>
            <w:pPr>
              <w:spacing w:after="0"/>
              <w:rPr>
                <w:sz w:val="19"/>
                <w:szCs w:val="19"/>
                <w:color w:val="auto"/>
              </w:rPr>
            </w:pPr>
          </w:p>
        </w:tc>
        <w:tc>
          <w:tcPr>
            <w:tcW w:w="860" w:type="dxa"/>
            <w:vAlign w:val="bottom"/>
            <w:shd w:val="clear" w:color="auto" w:fill="E5EBEE"/>
          </w:tcPr>
          <w:p>
            <w:pPr>
              <w:jc w:val="center"/>
              <w:ind w:left="9"/>
              <w:spacing w:after="0"/>
              <w:rPr>
                <w:sz w:val="20"/>
                <w:szCs w:val="20"/>
                <w:color w:val="auto"/>
              </w:rPr>
            </w:pPr>
            <w:r>
              <w:rPr>
                <w:rFonts w:ascii="Arial" w:cs="Arial" w:eastAsia="Arial" w:hAnsi="Arial"/>
                <w:sz w:val="14"/>
                <w:szCs w:val="14"/>
                <w:color w:val="auto"/>
                <w:w w:val="99"/>
              </w:rPr>
              <w:t>$1,034,577</w:t>
            </w:r>
          </w:p>
        </w:tc>
        <w:tc>
          <w:tcPr>
            <w:tcW w:w="60" w:type="dxa"/>
            <w:vAlign w:val="bottom"/>
            <w:shd w:val="clear" w:color="auto" w:fill="E5EBEE"/>
          </w:tcPr>
          <w:p>
            <w:pPr>
              <w:spacing w:after="0"/>
              <w:rPr>
                <w:sz w:val="19"/>
                <w:szCs w:val="19"/>
                <w:color w:val="auto"/>
              </w:rPr>
            </w:pPr>
          </w:p>
        </w:tc>
        <w:tc>
          <w:tcPr>
            <w:tcW w:w="840" w:type="dxa"/>
            <w:vAlign w:val="bottom"/>
            <w:shd w:val="clear" w:color="auto" w:fill="E5EBEE"/>
          </w:tcPr>
          <w:p>
            <w:pPr>
              <w:jc w:val="center"/>
              <w:ind w:left="9"/>
              <w:spacing w:after="0"/>
              <w:rPr>
                <w:sz w:val="20"/>
                <w:szCs w:val="20"/>
                <w:color w:val="auto"/>
              </w:rPr>
            </w:pPr>
            <w:r>
              <w:rPr>
                <w:rFonts w:ascii="Arial" w:cs="Arial" w:eastAsia="Arial" w:hAnsi="Arial"/>
                <w:sz w:val="14"/>
                <w:szCs w:val="14"/>
                <w:color w:val="auto"/>
              </w:rPr>
              <w:t>$1,950,000</w:t>
            </w:r>
          </w:p>
        </w:tc>
        <w:tc>
          <w:tcPr>
            <w:tcW w:w="60" w:type="dxa"/>
            <w:vAlign w:val="bottom"/>
            <w:shd w:val="clear" w:color="auto" w:fill="E5EBEE"/>
          </w:tcPr>
          <w:p>
            <w:pPr>
              <w:spacing w:after="0"/>
              <w:rPr>
                <w:sz w:val="19"/>
                <w:szCs w:val="19"/>
                <w:color w:val="auto"/>
              </w:rPr>
            </w:pPr>
          </w:p>
        </w:tc>
        <w:tc>
          <w:tcPr>
            <w:tcW w:w="940" w:type="dxa"/>
            <w:vAlign w:val="bottom"/>
            <w:shd w:val="clear" w:color="auto" w:fill="E5EBEE"/>
          </w:tcPr>
          <w:p>
            <w:pPr>
              <w:jc w:val="center"/>
              <w:ind w:left="29"/>
              <w:spacing w:after="0"/>
              <w:rPr>
                <w:sz w:val="20"/>
                <w:szCs w:val="20"/>
                <w:color w:val="auto"/>
              </w:rPr>
            </w:pPr>
            <w:r>
              <w:rPr>
                <w:rFonts w:ascii="Arial" w:cs="Arial" w:eastAsia="Arial" w:hAnsi="Arial"/>
                <w:sz w:val="14"/>
                <w:szCs w:val="14"/>
                <w:color w:val="auto"/>
              </w:rPr>
              <w:t>$2,829,397</w:t>
            </w:r>
          </w:p>
        </w:tc>
        <w:tc>
          <w:tcPr>
            <w:tcW w:w="60" w:type="dxa"/>
            <w:vAlign w:val="bottom"/>
            <w:shd w:val="clear" w:color="auto" w:fill="E5EBEE"/>
          </w:tcPr>
          <w:p>
            <w:pPr>
              <w:spacing w:after="0"/>
              <w:rPr>
                <w:sz w:val="19"/>
                <w:szCs w:val="19"/>
                <w:color w:val="auto"/>
              </w:rPr>
            </w:pPr>
          </w:p>
        </w:tc>
        <w:tc>
          <w:tcPr>
            <w:tcW w:w="122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20" w:type="dxa"/>
            <w:vAlign w:val="bottom"/>
            <w:shd w:val="clear" w:color="auto" w:fill="E5EBEE"/>
          </w:tcPr>
          <w:p>
            <w:pPr>
              <w:jc w:val="center"/>
              <w:ind w:left="10"/>
              <w:spacing w:after="0"/>
              <w:rPr>
                <w:sz w:val="20"/>
                <w:szCs w:val="20"/>
                <w:color w:val="auto"/>
              </w:rPr>
            </w:pPr>
            <w:r>
              <w:rPr>
                <w:rFonts w:ascii="Arial" w:cs="Arial" w:eastAsia="Arial" w:hAnsi="Arial"/>
                <w:sz w:val="14"/>
                <w:szCs w:val="14"/>
                <w:color w:val="auto"/>
              </w:rPr>
              <w:t>$218,643</w:t>
            </w:r>
          </w:p>
        </w:tc>
        <w:tc>
          <w:tcPr>
            <w:tcW w:w="60" w:type="dxa"/>
            <w:vAlign w:val="bottom"/>
            <w:shd w:val="clear" w:color="auto" w:fill="E5EBEE"/>
          </w:tcPr>
          <w:p>
            <w:pPr>
              <w:spacing w:after="0"/>
              <w:rPr>
                <w:sz w:val="19"/>
                <w:szCs w:val="19"/>
                <w:color w:val="auto"/>
              </w:rPr>
            </w:pPr>
          </w:p>
        </w:tc>
        <w:tc>
          <w:tcPr>
            <w:tcW w:w="960" w:type="dxa"/>
            <w:vAlign w:val="bottom"/>
            <w:shd w:val="clear" w:color="auto" w:fill="E5EBEE"/>
          </w:tcPr>
          <w:p>
            <w:pPr>
              <w:jc w:val="center"/>
              <w:ind w:left="9"/>
              <w:spacing w:after="0"/>
              <w:rPr>
                <w:sz w:val="20"/>
                <w:szCs w:val="20"/>
                <w:color w:val="auto"/>
              </w:rPr>
            </w:pPr>
            <w:r>
              <w:rPr>
                <w:rFonts w:ascii="Arial" w:cs="Arial" w:eastAsia="Arial" w:hAnsi="Arial"/>
                <w:sz w:val="14"/>
                <w:szCs w:val="14"/>
                <w:color w:val="auto"/>
              </w:rPr>
              <w:t>$6,032,617</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023C5B"/>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023C5B"/>
            </w:tcBorders>
          </w:tcPr>
          <w:p>
            <w:pPr>
              <w:jc w:val="right"/>
              <w:ind w:right="9"/>
              <w:spacing w:after="0"/>
              <w:rPr>
                <w:sz w:val="20"/>
                <w:szCs w:val="20"/>
                <w:color w:val="auto"/>
              </w:rPr>
            </w:pPr>
            <w:r>
              <w:rPr>
                <w:rFonts w:ascii="Arial" w:cs="Arial" w:eastAsia="Arial" w:hAnsi="Arial"/>
                <w:sz w:val="14"/>
                <w:szCs w:val="14"/>
                <w:color w:val="auto"/>
              </w:rPr>
              <w:t>2023</w:t>
            </w:r>
          </w:p>
        </w:tc>
        <w:tc>
          <w:tcPr>
            <w:tcW w:w="60" w:type="dxa"/>
            <w:vAlign w:val="bottom"/>
            <w:tcBorders>
              <w:bottom w:val="single" w:sz="8" w:color="E5EBEE"/>
            </w:tcBorders>
          </w:tcPr>
          <w:p>
            <w:pPr>
              <w:spacing w:after="0"/>
              <w:rPr>
                <w:sz w:val="18"/>
                <w:szCs w:val="18"/>
                <w:color w:val="auto"/>
              </w:rPr>
            </w:pPr>
          </w:p>
        </w:tc>
        <w:tc>
          <w:tcPr>
            <w:tcW w:w="860" w:type="dxa"/>
            <w:vAlign w:val="bottom"/>
            <w:tcBorders>
              <w:bottom w:val="single" w:sz="8" w:color="023C5B"/>
            </w:tcBorders>
          </w:tcPr>
          <w:p>
            <w:pPr>
              <w:jc w:val="center"/>
              <w:ind w:left="9"/>
              <w:spacing w:after="0"/>
              <w:rPr>
                <w:sz w:val="20"/>
                <w:szCs w:val="20"/>
                <w:color w:val="auto"/>
              </w:rPr>
            </w:pPr>
            <w:r>
              <w:rPr>
                <w:rFonts w:ascii="Arial" w:cs="Arial" w:eastAsia="Arial" w:hAnsi="Arial"/>
                <w:sz w:val="14"/>
                <w:szCs w:val="14"/>
                <w:color w:val="auto"/>
                <w:w w:val="99"/>
              </w:rPr>
              <w:t>$987,577</w:t>
            </w:r>
          </w:p>
        </w:tc>
        <w:tc>
          <w:tcPr>
            <w:tcW w:w="60" w:type="dxa"/>
            <w:vAlign w:val="bottom"/>
            <w:tcBorders>
              <w:bottom w:val="single" w:sz="8" w:color="E5EBEE"/>
            </w:tcBorders>
          </w:tcPr>
          <w:p>
            <w:pPr>
              <w:spacing w:after="0"/>
              <w:rPr>
                <w:sz w:val="18"/>
                <w:szCs w:val="18"/>
                <w:color w:val="auto"/>
              </w:rPr>
            </w:pPr>
          </w:p>
        </w:tc>
        <w:tc>
          <w:tcPr>
            <w:tcW w:w="840" w:type="dxa"/>
            <w:vAlign w:val="bottom"/>
            <w:tcBorders>
              <w:bottom w:val="single" w:sz="8" w:color="023C5B"/>
            </w:tcBorders>
          </w:tcPr>
          <w:p>
            <w:pPr>
              <w:jc w:val="center"/>
              <w:ind w:left="9"/>
              <w:spacing w:after="0"/>
              <w:rPr>
                <w:sz w:val="20"/>
                <w:szCs w:val="20"/>
                <w:color w:val="auto"/>
              </w:rPr>
            </w:pPr>
            <w:r>
              <w:rPr>
                <w:rFonts w:ascii="Arial" w:cs="Arial" w:eastAsia="Arial" w:hAnsi="Arial"/>
                <w:sz w:val="14"/>
                <w:szCs w:val="14"/>
                <w:color w:val="auto"/>
              </w:rPr>
              <w:t>$1,864,500</w:t>
            </w:r>
          </w:p>
        </w:tc>
        <w:tc>
          <w:tcPr>
            <w:tcW w:w="60" w:type="dxa"/>
            <w:vAlign w:val="bottom"/>
            <w:tcBorders>
              <w:bottom w:val="single" w:sz="8" w:color="E5EBEE"/>
            </w:tcBorders>
          </w:tcPr>
          <w:p>
            <w:pPr>
              <w:spacing w:after="0"/>
              <w:rPr>
                <w:sz w:val="18"/>
                <w:szCs w:val="18"/>
                <w:color w:val="auto"/>
              </w:rPr>
            </w:pPr>
          </w:p>
        </w:tc>
        <w:tc>
          <w:tcPr>
            <w:tcW w:w="940" w:type="dxa"/>
            <w:vAlign w:val="bottom"/>
            <w:tcBorders>
              <w:bottom w:val="single" w:sz="8" w:color="023C5B"/>
            </w:tcBorders>
          </w:tcPr>
          <w:p>
            <w:pPr>
              <w:jc w:val="center"/>
              <w:ind w:left="29"/>
              <w:spacing w:after="0"/>
              <w:rPr>
                <w:sz w:val="20"/>
                <w:szCs w:val="20"/>
                <w:color w:val="auto"/>
              </w:rPr>
            </w:pPr>
            <w:r>
              <w:rPr>
                <w:rFonts w:ascii="Arial" w:cs="Arial" w:eastAsia="Arial" w:hAnsi="Arial"/>
                <w:sz w:val="14"/>
                <w:szCs w:val="14"/>
                <w:color w:val="auto"/>
              </w:rPr>
              <w:t>$2,601,129</w:t>
            </w:r>
          </w:p>
        </w:tc>
        <w:tc>
          <w:tcPr>
            <w:tcW w:w="60" w:type="dxa"/>
            <w:vAlign w:val="bottom"/>
            <w:tcBorders>
              <w:bottom w:val="single" w:sz="8" w:color="E5EBEE"/>
            </w:tcBorders>
          </w:tcPr>
          <w:p>
            <w:pPr>
              <w:spacing w:after="0"/>
              <w:rPr>
                <w:sz w:val="18"/>
                <w:szCs w:val="18"/>
                <w:color w:val="auto"/>
              </w:rPr>
            </w:pPr>
          </w:p>
        </w:tc>
        <w:tc>
          <w:tcPr>
            <w:tcW w:w="1160" w:type="dxa"/>
            <w:vAlign w:val="bottom"/>
            <w:tcBorders>
              <w:bottom w:val="single" w:sz="8" w:color="023C5B"/>
            </w:tcBorders>
          </w:tcPr>
          <w:p>
            <w:pPr>
              <w:jc w:val="center"/>
              <w:ind w:left="2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1320" w:type="dxa"/>
            <w:vAlign w:val="bottom"/>
            <w:tcBorders>
              <w:bottom w:val="single" w:sz="8" w:color="023C5B"/>
            </w:tcBorders>
          </w:tcPr>
          <w:p>
            <w:pPr>
              <w:jc w:val="center"/>
              <w:ind w:left="10"/>
              <w:spacing w:after="0"/>
              <w:rPr>
                <w:sz w:val="20"/>
                <w:szCs w:val="20"/>
                <w:color w:val="auto"/>
              </w:rPr>
            </w:pPr>
            <w:r>
              <w:rPr>
                <w:rFonts w:ascii="Arial" w:cs="Arial" w:eastAsia="Arial" w:hAnsi="Arial"/>
                <w:sz w:val="14"/>
                <w:szCs w:val="14"/>
                <w:color w:val="auto"/>
              </w:rPr>
              <w:t>$206,771</w:t>
            </w:r>
          </w:p>
        </w:tc>
        <w:tc>
          <w:tcPr>
            <w:tcW w:w="60" w:type="dxa"/>
            <w:vAlign w:val="bottom"/>
            <w:tcBorders>
              <w:bottom w:val="single" w:sz="8" w:color="E5EBEE"/>
            </w:tcBorders>
          </w:tcPr>
          <w:p>
            <w:pPr>
              <w:spacing w:after="0"/>
              <w:rPr>
                <w:sz w:val="18"/>
                <w:szCs w:val="18"/>
                <w:color w:val="auto"/>
              </w:rPr>
            </w:pPr>
          </w:p>
        </w:tc>
        <w:tc>
          <w:tcPr>
            <w:tcW w:w="960" w:type="dxa"/>
            <w:vAlign w:val="bottom"/>
            <w:tcBorders>
              <w:bottom w:val="single" w:sz="8" w:color="023C5B"/>
            </w:tcBorders>
          </w:tcPr>
          <w:p>
            <w:pPr>
              <w:jc w:val="center"/>
              <w:ind w:left="9"/>
              <w:spacing w:after="0"/>
              <w:rPr>
                <w:sz w:val="20"/>
                <w:szCs w:val="20"/>
                <w:color w:val="auto"/>
              </w:rPr>
            </w:pPr>
            <w:r>
              <w:rPr>
                <w:rFonts w:ascii="Arial" w:cs="Arial" w:eastAsia="Arial" w:hAnsi="Arial"/>
                <w:sz w:val="14"/>
                <w:szCs w:val="14"/>
                <w:color w:val="auto"/>
              </w:rPr>
              <w:t>$5,659,977</w:t>
            </w:r>
          </w:p>
        </w:tc>
        <w:tc>
          <w:tcPr>
            <w:tcW w:w="0" w:type="dxa"/>
            <w:vAlign w:val="bottom"/>
          </w:tcPr>
          <w:p>
            <w:pPr>
              <w:spacing w:after="0"/>
              <w:rPr>
                <w:sz w:val="1"/>
                <w:szCs w:val="1"/>
                <w:color w:val="auto"/>
              </w:rPr>
            </w:pPr>
          </w:p>
        </w:tc>
      </w:tr>
      <w:tr>
        <w:trPr>
          <w:trHeight w:val="204"/>
        </w:trPr>
        <w:tc>
          <w:tcPr>
            <w:tcW w:w="3820" w:type="dxa"/>
            <w:vAlign w:val="bottom"/>
            <w:gridSpan w:val="2"/>
          </w:tcPr>
          <w:p>
            <w:pPr>
              <w:spacing w:after="0"/>
              <w:rPr>
                <w:sz w:val="20"/>
                <w:szCs w:val="20"/>
                <w:color w:val="auto"/>
              </w:rPr>
            </w:pPr>
            <w:r>
              <w:rPr>
                <w:rFonts w:ascii="Arial" w:cs="Arial" w:eastAsia="Arial" w:hAnsi="Arial"/>
                <w:sz w:val="14"/>
                <w:szCs w:val="14"/>
                <w:color w:val="auto"/>
              </w:rPr>
              <w:t> Matthew W. Cooper</w:t>
            </w:r>
          </w:p>
        </w:tc>
        <w:tc>
          <w:tcPr>
            <w:tcW w:w="660" w:type="dxa"/>
            <w:vAlign w:val="bottom"/>
            <w:tcBorders>
              <w:left w:val="single" w:sz="8" w:color="E5EBEE"/>
            </w:tcBorders>
            <w:vMerge w:val="restart"/>
            <w:shd w:val="clear" w:color="auto" w:fill="E5EBEE"/>
          </w:tcPr>
          <w:p>
            <w:pPr>
              <w:jc w:val="right"/>
              <w:ind w:right="9"/>
              <w:spacing w:after="0"/>
              <w:rPr>
                <w:sz w:val="20"/>
                <w:szCs w:val="20"/>
                <w:color w:val="auto"/>
              </w:rPr>
            </w:pPr>
            <w:r>
              <w:rPr>
                <w:rFonts w:ascii="Arial" w:cs="Arial" w:eastAsia="Arial" w:hAnsi="Arial"/>
                <w:sz w:val="14"/>
                <w:szCs w:val="14"/>
                <w:color w:val="auto"/>
              </w:rPr>
              <w:t>2025</w:t>
            </w:r>
          </w:p>
        </w:tc>
        <w:tc>
          <w:tcPr>
            <w:tcW w:w="60" w:type="dxa"/>
            <w:vAlign w:val="bottom"/>
            <w:shd w:val="clear" w:color="auto" w:fill="E5EBEE"/>
          </w:tcPr>
          <w:p>
            <w:pPr>
              <w:spacing w:after="0"/>
              <w:rPr>
                <w:sz w:val="17"/>
                <w:szCs w:val="17"/>
                <w:color w:val="auto"/>
              </w:rPr>
            </w:pPr>
          </w:p>
        </w:tc>
        <w:tc>
          <w:tcPr>
            <w:tcW w:w="860" w:type="dxa"/>
            <w:vAlign w:val="bottom"/>
            <w:vMerge w:val="restart"/>
            <w:shd w:val="clear" w:color="auto" w:fill="E5EBEE"/>
          </w:tcPr>
          <w:p>
            <w:pPr>
              <w:jc w:val="center"/>
              <w:ind w:left="9"/>
              <w:spacing w:after="0"/>
              <w:rPr>
                <w:sz w:val="20"/>
                <w:szCs w:val="20"/>
                <w:color w:val="auto"/>
              </w:rPr>
            </w:pPr>
            <w:r>
              <w:rPr>
                <w:rFonts w:ascii="Arial" w:cs="Arial" w:eastAsia="Arial" w:hAnsi="Arial"/>
                <w:sz w:val="14"/>
                <w:szCs w:val="14"/>
                <w:color w:val="auto"/>
                <w:w w:val="99"/>
              </w:rPr>
              <w:t>$1,260,846</w:t>
            </w:r>
          </w:p>
        </w:tc>
        <w:tc>
          <w:tcPr>
            <w:tcW w:w="60" w:type="dxa"/>
            <w:vAlign w:val="bottom"/>
            <w:shd w:val="clear" w:color="auto" w:fill="E5EBEE"/>
          </w:tcPr>
          <w:p>
            <w:pPr>
              <w:spacing w:after="0"/>
              <w:rPr>
                <w:sz w:val="17"/>
                <w:szCs w:val="17"/>
                <w:color w:val="auto"/>
              </w:rPr>
            </w:pPr>
          </w:p>
        </w:tc>
        <w:tc>
          <w:tcPr>
            <w:tcW w:w="840" w:type="dxa"/>
            <w:vAlign w:val="bottom"/>
            <w:vMerge w:val="restart"/>
            <w:shd w:val="clear" w:color="auto" w:fill="E5EBEE"/>
          </w:tcPr>
          <w:p>
            <w:pPr>
              <w:jc w:val="center"/>
              <w:ind w:left="9"/>
              <w:spacing w:after="0"/>
              <w:rPr>
                <w:sz w:val="20"/>
                <w:szCs w:val="20"/>
                <w:color w:val="auto"/>
              </w:rPr>
            </w:pPr>
            <w:r>
              <w:rPr>
                <w:rFonts w:ascii="Arial" w:cs="Arial" w:eastAsia="Arial" w:hAnsi="Arial"/>
                <w:sz w:val="14"/>
                <w:szCs w:val="14"/>
                <w:color w:val="auto"/>
              </w:rPr>
              <w:t>$5,025,000</w:t>
            </w:r>
          </w:p>
        </w:tc>
        <w:tc>
          <w:tcPr>
            <w:tcW w:w="60" w:type="dxa"/>
            <w:vAlign w:val="bottom"/>
            <w:shd w:val="clear" w:color="auto" w:fill="E5EBEE"/>
          </w:tcPr>
          <w:p>
            <w:pPr>
              <w:spacing w:after="0"/>
              <w:rPr>
                <w:sz w:val="17"/>
                <w:szCs w:val="17"/>
                <w:color w:val="auto"/>
              </w:rPr>
            </w:pPr>
          </w:p>
        </w:tc>
        <w:tc>
          <w:tcPr>
            <w:tcW w:w="940" w:type="dxa"/>
            <w:vAlign w:val="bottom"/>
            <w:vMerge w:val="restart"/>
            <w:shd w:val="clear" w:color="auto" w:fill="E5EBEE"/>
          </w:tcPr>
          <w:p>
            <w:pPr>
              <w:jc w:val="center"/>
              <w:ind w:left="29"/>
              <w:spacing w:after="0"/>
              <w:rPr>
                <w:sz w:val="20"/>
                <w:szCs w:val="20"/>
                <w:color w:val="auto"/>
              </w:rPr>
            </w:pPr>
            <w:r>
              <w:rPr>
                <w:rFonts w:ascii="Arial" w:cs="Arial" w:eastAsia="Arial" w:hAnsi="Arial"/>
                <w:sz w:val="14"/>
                <w:szCs w:val="14"/>
                <w:color w:val="auto"/>
              </w:rPr>
              <w:t>$9,022,649</w:t>
            </w:r>
          </w:p>
        </w:tc>
        <w:tc>
          <w:tcPr>
            <w:tcW w:w="60" w:type="dxa"/>
            <w:vAlign w:val="bottom"/>
            <w:shd w:val="clear" w:color="auto" w:fill="E5EBEE"/>
          </w:tcPr>
          <w:p>
            <w:pPr>
              <w:spacing w:after="0"/>
              <w:rPr>
                <w:sz w:val="17"/>
                <w:szCs w:val="17"/>
                <w:color w:val="auto"/>
              </w:rPr>
            </w:pPr>
          </w:p>
        </w:tc>
        <w:tc>
          <w:tcPr>
            <w:tcW w:w="1220" w:type="dxa"/>
            <w:vAlign w:val="bottom"/>
            <w:gridSpan w:val="2"/>
            <w:vMerge w:val="restart"/>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E5EBEE"/>
          </w:tcPr>
          <w:p>
            <w:pPr>
              <w:jc w:val="center"/>
              <w:ind w:left="10"/>
              <w:spacing w:after="0"/>
              <w:rPr>
                <w:sz w:val="20"/>
                <w:szCs w:val="20"/>
                <w:color w:val="auto"/>
              </w:rPr>
            </w:pPr>
            <w:r>
              <w:rPr>
                <w:rFonts w:ascii="Arial" w:cs="Arial" w:eastAsia="Arial" w:hAnsi="Arial"/>
                <w:sz w:val="14"/>
                <w:szCs w:val="14"/>
                <w:color w:val="auto"/>
              </w:rPr>
              <w:t>$293,906</w:t>
            </w:r>
          </w:p>
        </w:tc>
        <w:tc>
          <w:tcPr>
            <w:tcW w:w="60" w:type="dxa"/>
            <w:vAlign w:val="bottom"/>
            <w:shd w:val="clear" w:color="auto" w:fill="E5EBEE"/>
          </w:tcPr>
          <w:p>
            <w:pPr>
              <w:spacing w:after="0"/>
              <w:rPr>
                <w:sz w:val="17"/>
                <w:szCs w:val="17"/>
                <w:color w:val="auto"/>
              </w:rPr>
            </w:pPr>
          </w:p>
        </w:tc>
        <w:tc>
          <w:tcPr>
            <w:tcW w:w="960" w:type="dxa"/>
            <w:vAlign w:val="bottom"/>
            <w:vMerge w:val="restart"/>
            <w:shd w:val="clear" w:color="auto" w:fill="E5EBEE"/>
          </w:tcPr>
          <w:p>
            <w:pPr>
              <w:jc w:val="center"/>
              <w:ind w:left="9"/>
              <w:spacing w:after="0"/>
              <w:rPr>
                <w:sz w:val="20"/>
                <w:szCs w:val="20"/>
                <w:color w:val="auto"/>
              </w:rPr>
            </w:pPr>
            <w:r>
              <w:rPr>
                <w:rFonts w:ascii="Arial" w:cs="Arial" w:eastAsia="Arial" w:hAnsi="Arial"/>
                <w:sz w:val="14"/>
                <w:szCs w:val="14"/>
                <w:color w:val="auto"/>
              </w:rPr>
              <w:t>$15,602,401</w:t>
            </w:r>
          </w:p>
        </w:tc>
        <w:tc>
          <w:tcPr>
            <w:tcW w:w="0" w:type="dxa"/>
            <w:vAlign w:val="bottom"/>
          </w:tcPr>
          <w:p>
            <w:pPr>
              <w:spacing w:after="0"/>
              <w:rPr>
                <w:sz w:val="1"/>
                <w:szCs w:val="1"/>
                <w:color w:val="auto"/>
              </w:rPr>
            </w:pPr>
          </w:p>
        </w:tc>
      </w:tr>
      <w:tr>
        <w:trPr>
          <w:trHeight w:val="74"/>
        </w:trPr>
        <w:tc>
          <w:tcPr>
            <w:tcW w:w="3820" w:type="dxa"/>
            <w:vAlign w:val="bottom"/>
            <w:gridSpan w:val="2"/>
            <w:vMerge w:val="restart"/>
          </w:tcPr>
          <w:p>
            <w:pPr>
              <w:spacing w:after="0"/>
              <w:rPr>
                <w:sz w:val="20"/>
                <w:szCs w:val="20"/>
                <w:color w:val="auto"/>
              </w:rPr>
            </w:pPr>
            <w:r>
              <w:rPr>
                <w:rFonts w:ascii="Arial" w:cs="Arial" w:eastAsia="Arial" w:hAnsi="Arial"/>
                <w:sz w:val="14"/>
                <w:szCs w:val="14"/>
                <w:color w:val="auto"/>
              </w:rPr>
              <w:t> General Counsel and</w:t>
            </w:r>
          </w:p>
        </w:tc>
        <w:tc>
          <w:tcPr>
            <w:tcW w:w="660" w:type="dxa"/>
            <w:vAlign w:val="bottom"/>
            <w:tcBorders>
              <w:left w:val="single" w:sz="8" w:color="E5EBEE"/>
            </w:tcBorders>
            <w:vMerge w:val="continue"/>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860" w:type="dxa"/>
            <w:vAlign w:val="bottom"/>
            <w:vMerge w:val="continue"/>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840" w:type="dxa"/>
            <w:vAlign w:val="bottom"/>
            <w:vMerge w:val="continue"/>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940" w:type="dxa"/>
            <w:vAlign w:val="bottom"/>
            <w:vMerge w:val="continue"/>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1220" w:type="dxa"/>
            <w:vAlign w:val="bottom"/>
            <w:gridSpan w:val="2"/>
            <w:vMerge w:val="continue"/>
            <w:shd w:val="clear" w:color="auto" w:fill="E5EBEE"/>
          </w:tcPr>
          <w:p>
            <w:pPr>
              <w:spacing w:after="0"/>
              <w:rPr>
                <w:sz w:val="6"/>
                <w:szCs w:val="6"/>
                <w:color w:val="auto"/>
              </w:rPr>
            </w:pPr>
          </w:p>
        </w:tc>
        <w:tc>
          <w:tcPr>
            <w:tcW w:w="1320" w:type="dxa"/>
            <w:vAlign w:val="bottom"/>
            <w:vMerge w:val="continue"/>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960" w:type="dxa"/>
            <w:vAlign w:val="bottom"/>
            <w:vMerge w:val="continue"/>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3820" w:type="dxa"/>
            <w:vAlign w:val="bottom"/>
            <w:gridSpan w:val="2"/>
            <w:vMerge w:val="continue"/>
          </w:tcPr>
          <w:p>
            <w:pPr>
              <w:spacing w:after="0"/>
              <w:rPr>
                <w:sz w:val="12"/>
                <w:szCs w:val="12"/>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2024</w:t>
            </w:r>
          </w:p>
        </w:tc>
        <w:tc>
          <w:tcPr>
            <w:tcW w:w="60" w:type="dxa"/>
            <w:vAlign w:val="bottom"/>
          </w:tcPr>
          <w:p>
            <w:pPr>
              <w:spacing w:after="0"/>
              <w:rPr>
                <w:sz w:val="12"/>
                <w:szCs w:val="12"/>
                <w:color w:val="auto"/>
              </w:rPr>
            </w:pPr>
          </w:p>
        </w:tc>
        <w:tc>
          <w:tcPr>
            <w:tcW w:w="860" w:type="dxa"/>
            <w:vAlign w:val="bottom"/>
            <w:vMerge w:val="restart"/>
          </w:tcPr>
          <w:p>
            <w:pPr>
              <w:jc w:val="center"/>
              <w:ind w:left="9"/>
              <w:spacing w:after="0"/>
              <w:rPr>
                <w:sz w:val="20"/>
                <w:szCs w:val="20"/>
                <w:color w:val="auto"/>
              </w:rPr>
            </w:pPr>
            <w:r>
              <w:rPr>
                <w:rFonts w:ascii="Arial" w:cs="Arial" w:eastAsia="Arial" w:hAnsi="Arial"/>
                <w:sz w:val="14"/>
                <w:szCs w:val="14"/>
                <w:color w:val="auto"/>
                <w:w w:val="99"/>
              </w:rPr>
              <w:t>$1,110,077</w:t>
            </w:r>
          </w:p>
        </w:tc>
        <w:tc>
          <w:tcPr>
            <w:tcW w:w="60" w:type="dxa"/>
            <w:vAlign w:val="bottom"/>
          </w:tcPr>
          <w:p>
            <w:pPr>
              <w:spacing w:after="0"/>
              <w:rPr>
                <w:sz w:val="12"/>
                <w:szCs w:val="12"/>
                <w:color w:val="auto"/>
              </w:rPr>
            </w:pPr>
          </w:p>
        </w:tc>
        <w:tc>
          <w:tcPr>
            <w:tcW w:w="840" w:type="dxa"/>
            <w:vAlign w:val="bottom"/>
            <w:vMerge w:val="restart"/>
          </w:tcPr>
          <w:p>
            <w:pPr>
              <w:jc w:val="center"/>
              <w:ind w:left="9"/>
              <w:spacing w:after="0"/>
              <w:rPr>
                <w:sz w:val="20"/>
                <w:szCs w:val="20"/>
                <w:color w:val="auto"/>
              </w:rPr>
            </w:pPr>
            <w:r>
              <w:rPr>
                <w:rFonts w:ascii="Arial" w:cs="Arial" w:eastAsia="Arial" w:hAnsi="Arial"/>
                <w:sz w:val="14"/>
                <w:szCs w:val="14"/>
                <w:color w:val="auto"/>
              </w:rPr>
              <w:t>$3,214,500</w:t>
            </w:r>
          </w:p>
        </w:tc>
        <w:tc>
          <w:tcPr>
            <w:tcW w:w="60" w:type="dxa"/>
            <w:vAlign w:val="bottom"/>
          </w:tcPr>
          <w:p>
            <w:pPr>
              <w:spacing w:after="0"/>
              <w:rPr>
                <w:sz w:val="12"/>
                <w:szCs w:val="12"/>
                <w:color w:val="auto"/>
              </w:rPr>
            </w:pPr>
          </w:p>
        </w:tc>
        <w:tc>
          <w:tcPr>
            <w:tcW w:w="940" w:type="dxa"/>
            <w:vAlign w:val="bottom"/>
            <w:vMerge w:val="restart"/>
          </w:tcPr>
          <w:p>
            <w:pPr>
              <w:jc w:val="center"/>
              <w:ind w:left="29"/>
              <w:spacing w:after="0"/>
              <w:rPr>
                <w:sz w:val="20"/>
                <w:szCs w:val="20"/>
                <w:color w:val="auto"/>
              </w:rPr>
            </w:pPr>
            <w:r>
              <w:rPr>
                <w:rFonts w:ascii="Arial" w:cs="Arial" w:eastAsia="Arial" w:hAnsi="Arial"/>
                <w:sz w:val="14"/>
                <w:szCs w:val="14"/>
                <w:color w:val="auto"/>
              </w:rPr>
              <w:t>$3,507,062</w:t>
            </w:r>
          </w:p>
        </w:tc>
        <w:tc>
          <w:tcPr>
            <w:tcW w:w="6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center"/>
              <w:ind w:left="10"/>
              <w:spacing w:after="0"/>
              <w:rPr>
                <w:sz w:val="20"/>
                <w:szCs w:val="20"/>
                <w:color w:val="auto"/>
              </w:rPr>
            </w:pPr>
            <w:r>
              <w:rPr>
                <w:rFonts w:ascii="Arial" w:cs="Arial" w:eastAsia="Arial" w:hAnsi="Arial"/>
                <w:sz w:val="14"/>
                <w:szCs w:val="14"/>
                <w:color w:val="auto"/>
              </w:rPr>
              <w:t>$216,480</w:t>
            </w:r>
          </w:p>
        </w:tc>
        <w:tc>
          <w:tcPr>
            <w:tcW w:w="60" w:type="dxa"/>
            <w:vAlign w:val="bottom"/>
          </w:tcPr>
          <w:p>
            <w:pPr>
              <w:spacing w:after="0"/>
              <w:rPr>
                <w:sz w:val="12"/>
                <w:szCs w:val="12"/>
                <w:color w:val="auto"/>
              </w:rPr>
            </w:pPr>
          </w:p>
        </w:tc>
        <w:tc>
          <w:tcPr>
            <w:tcW w:w="960" w:type="dxa"/>
            <w:vAlign w:val="bottom"/>
            <w:vMerge w:val="restart"/>
          </w:tcPr>
          <w:p>
            <w:pPr>
              <w:jc w:val="center"/>
              <w:ind w:left="9"/>
              <w:spacing w:after="0"/>
              <w:rPr>
                <w:sz w:val="20"/>
                <w:szCs w:val="20"/>
                <w:color w:val="auto"/>
              </w:rPr>
            </w:pPr>
            <w:r>
              <w:rPr>
                <w:rFonts w:ascii="Arial" w:cs="Arial" w:eastAsia="Arial" w:hAnsi="Arial"/>
                <w:sz w:val="14"/>
                <w:szCs w:val="14"/>
                <w:color w:val="auto"/>
              </w:rPr>
              <w:t>$8,048,119</w:t>
            </w:r>
          </w:p>
        </w:tc>
        <w:tc>
          <w:tcPr>
            <w:tcW w:w="0" w:type="dxa"/>
            <w:vAlign w:val="bottom"/>
          </w:tcPr>
          <w:p>
            <w:pPr>
              <w:spacing w:after="0"/>
              <w:rPr>
                <w:sz w:val="1"/>
                <w:szCs w:val="1"/>
                <w:color w:val="auto"/>
              </w:rPr>
            </w:pPr>
          </w:p>
        </w:tc>
      </w:tr>
      <w:tr>
        <w:trPr>
          <w:trHeight w:val="151"/>
        </w:trPr>
        <w:tc>
          <w:tcPr>
            <w:tcW w:w="3820" w:type="dxa"/>
            <w:vAlign w:val="bottom"/>
            <w:gridSpan w:val="2"/>
            <w:vMerge w:val="restart"/>
          </w:tcPr>
          <w:p>
            <w:pPr>
              <w:spacing w:after="0"/>
              <w:rPr>
                <w:sz w:val="20"/>
                <w:szCs w:val="20"/>
                <w:color w:val="auto"/>
              </w:rPr>
            </w:pPr>
            <w:r>
              <w:rPr>
                <w:rFonts w:ascii="Arial" w:cs="Arial" w:eastAsia="Arial" w:hAnsi="Arial"/>
                <w:sz w:val="14"/>
                <w:szCs w:val="14"/>
                <w:color w:val="auto"/>
              </w:rPr>
              <w:t> Corporate Secretary; President,</w:t>
            </w: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3820" w:type="dxa"/>
            <w:vAlign w:val="bottom"/>
            <w:gridSpan w:val="2"/>
            <w:vMerge w:val="continue"/>
          </w:tcPr>
          <w:p>
            <w:pPr>
              <w:spacing w:after="0"/>
              <w:rPr>
                <w:sz w:val="5"/>
                <w:szCs w:val="5"/>
                <w:color w:val="auto"/>
              </w:rPr>
            </w:pPr>
          </w:p>
        </w:tc>
        <w:tc>
          <w:tcPr>
            <w:tcW w:w="660" w:type="dxa"/>
            <w:vAlign w:val="bottom"/>
            <w:tcBorders>
              <w:left w:val="single" w:sz="8" w:color="E5EBEE"/>
            </w:tcBorders>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86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84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94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116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132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960" w:type="dxa"/>
            <w:vAlign w:val="bottom"/>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3800" w:type="dxa"/>
            <w:vAlign w:val="bottom"/>
            <w:tcBorders>
              <w:bottom w:val="single" w:sz="8" w:color="023C5B"/>
            </w:tcBorders>
          </w:tcPr>
          <w:p>
            <w:pPr>
              <w:spacing w:after="0" w:line="235" w:lineRule="exact"/>
              <w:rPr>
                <w:sz w:val="20"/>
                <w:szCs w:val="20"/>
                <w:color w:val="auto"/>
              </w:rPr>
            </w:pPr>
            <w:r>
              <w:rPr>
                <w:rFonts w:ascii="Arial" w:cs="Arial" w:eastAsia="Arial" w:hAnsi="Arial"/>
                <w:sz w:val="14"/>
                <w:szCs w:val="14"/>
                <w:color w:val="auto"/>
              </w:rPr>
              <w:t> Discover Integration</w:t>
            </w:r>
            <w:r>
              <w:rPr>
                <w:rFonts w:ascii="Arial" w:cs="Arial" w:eastAsia="Arial" w:hAnsi="Arial"/>
                <w:sz w:val="21"/>
                <w:szCs w:val="21"/>
                <w:color w:val="auto"/>
                <w:vertAlign w:val="superscript"/>
              </w:rPr>
              <w:t>(5)(6)</w:t>
            </w:r>
          </w:p>
        </w:tc>
        <w:tc>
          <w:tcPr>
            <w:tcW w:w="20" w:type="dxa"/>
            <w:vAlign w:val="bottom"/>
          </w:tcPr>
          <w:p>
            <w:pPr>
              <w:spacing w:after="0"/>
              <w:rPr>
                <w:sz w:val="20"/>
                <w:szCs w:val="20"/>
                <w:color w:val="auto"/>
              </w:rPr>
            </w:pPr>
          </w:p>
        </w:tc>
        <w:tc>
          <w:tcPr>
            <w:tcW w:w="660" w:type="dxa"/>
            <w:vAlign w:val="bottom"/>
            <w:tcBorders>
              <w:left w:val="single" w:sz="8" w:color="E5EBEE"/>
              <w:bottom w:val="single" w:sz="8" w:color="023C5B"/>
            </w:tcBorders>
            <w:shd w:val="clear" w:color="auto" w:fill="E5EBEE"/>
          </w:tcPr>
          <w:p>
            <w:pPr>
              <w:jc w:val="right"/>
              <w:ind w:right="9"/>
              <w:spacing w:after="0"/>
              <w:rPr>
                <w:sz w:val="20"/>
                <w:szCs w:val="20"/>
                <w:color w:val="auto"/>
              </w:rPr>
            </w:pPr>
            <w:r>
              <w:rPr>
                <w:rFonts w:ascii="Arial" w:cs="Arial" w:eastAsia="Arial" w:hAnsi="Arial"/>
                <w:sz w:val="14"/>
                <w:szCs w:val="14"/>
                <w:color w:val="auto"/>
              </w:rPr>
              <w:t>2023</w:t>
            </w:r>
          </w:p>
        </w:tc>
        <w:tc>
          <w:tcPr>
            <w:tcW w:w="60" w:type="dxa"/>
            <w:vAlign w:val="bottom"/>
            <w:shd w:val="clear" w:color="auto" w:fill="E5EBEE"/>
          </w:tcPr>
          <w:p>
            <w:pPr>
              <w:spacing w:after="0"/>
              <w:rPr>
                <w:sz w:val="20"/>
                <w:szCs w:val="20"/>
                <w:color w:val="auto"/>
              </w:rPr>
            </w:pPr>
          </w:p>
        </w:tc>
        <w:tc>
          <w:tcPr>
            <w:tcW w:w="860" w:type="dxa"/>
            <w:vAlign w:val="bottom"/>
            <w:tcBorders>
              <w:bottom w:val="single" w:sz="8" w:color="023C5B"/>
            </w:tcBorders>
            <w:shd w:val="clear" w:color="auto" w:fill="E5EBEE"/>
          </w:tcPr>
          <w:p>
            <w:pPr>
              <w:jc w:val="center"/>
              <w:ind w:left="9"/>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20"/>
                <w:szCs w:val="20"/>
                <w:color w:val="auto"/>
              </w:rPr>
            </w:pPr>
          </w:p>
        </w:tc>
        <w:tc>
          <w:tcPr>
            <w:tcW w:w="84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20"/>
                <w:szCs w:val="20"/>
                <w:color w:val="auto"/>
              </w:rPr>
            </w:pPr>
          </w:p>
        </w:tc>
        <w:tc>
          <w:tcPr>
            <w:tcW w:w="940" w:type="dxa"/>
            <w:vAlign w:val="bottom"/>
            <w:tcBorders>
              <w:bottom w:val="single" w:sz="8" w:color="023C5B"/>
            </w:tcBorders>
            <w:shd w:val="clear" w:color="auto" w:fill="E5EBEE"/>
          </w:tcPr>
          <w:p>
            <w:pPr>
              <w:jc w:val="center"/>
              <w:ind w:left="9"/>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20"/>
                <w:szCs w:val="20"/>
                <w:color w:val="auto"/>
              </w:rPr>
            </w:pPr>
          </w:p>
        </w:tc>
        <w:tc>
          <w:tcPr>
            <w:tcW w:w="1160" w:type="dxa"/>
            <w:vAlign w:val="bottom"/>
            <w:tcBorders>
              <w:bottom w:val="single" w:sz="8" w:color="023C5B"/>
            </w:tcBorders>
            <w:shd w:val="clear" w:color="auto" w:fill="E5EBEE"/>
          </w:tcPr>
          <w:p>
            <w:pPr>
              <w:jc w:val="center"/>
              <w:ind w:left="29"/>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20"/>
                <w:szCs w:val="20"/>
                <w:color w:val="auto"/>
              </w:rPr>
            </w:pPr>
          </w:p>
        </w:tc>
        <w:tc>
          <w:tcPr>
            <w:tcW w:w="1320" w:type="dxa"/>
            <w:vAlign w:val="bottom"/>
            <w:tcBorders>
              <w:bottom w:val="single" w:sz="8" w:color="023C5B"/>
            </w:tcBorders>
            <w:shd w:val="clear" w:color="auto" w:fill="E5EBEE"/>
          </w:tcPr>
          <w:p>
            <w:pPr>
              <w:jc w:val="center"/>
              <w:ind w:left="30"/>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20"/>
                <w:szCs w:val="20"/>
                <w:color w:val="auto"/>
              </w:rPr>
            </w:pPr>
          </w:p>
        </w:tc>
        <w:tc>
          <w:tcPr>
            <w:tcW w:w="960" w:type="dxa"/>
            <w:vAlign w:val="bottom"/>
            <w:tcBorders>
              <w:bottom w:val="single" w:sz="8" w:color="023C5B"/>
            </w:tcBorders>
            <w:shd w:val="clear" w:color="auto" w:fill="E5EBEE"/>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3820" w:type="dxa"/>
            <w:vAlign w:val="bottom"/>
            <w:gridSpan w:val="2"/>
          </w:tcPr>
          <w:p>
            <w:pPr>
              <w:spacing w:after="0"/>
              <w:rPr>
                <w:sz w:val="20"/>
                <w:szCs w:val="20"/>
                <w:color w:val="auto"/>
              </w:rPr>
            </w:pPr>
            <w:r>
              <w:rPr>
                <w:rFonts w:ascii="Arial" w:cs="Arial" w:eastAsia="Arial" w:hAnsi="Arial"/>
                <w:sz w:val="14"/>
                <w:szCs w:val="14"/>
                <w:color w:val="auto"/>
              </w:rPr>
              <w:t> Mark Daniel Mouadeb</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2025</w:t>
            </w:r>
          </w:p>
        </w:tc>
        <w:tc>
          <w:tcPr>
            <w:tcW w:w="60" w:type="dxa"/>
            <w:vAlign w:val="bottom"/>
          </w:tcPr>
          <w:p>
            <w:pPr>
              <w:spacing w:after="0"/>
              <w:rPr>
                <w:sz w:val="17"/>
                <w:szCs w:val="17"/>
                <w:color w:val="auto"/>
              </w:rPr>
            </w:pPr>
          </w:p>
        </w:tc>
        <w:tc>
          <w:tcPr>
            <w:tcW w:w="860" w:type="dxa"/>
            <w:vAlign w:val="bottom"/>
          </w:tcPr>
          <w:p>
            <w:pPr>
              <w:jc w:val="center"/>
              <w:ind w:left="9"/>
              <w:spacing w:after="0"/>
              <w:rPr>
                <w:sz w:val="20"/>
                <w:szCs w:val="20"/>
                <w:color w:val="auto"/>
              </w:rPr>
            </w:pPr>
            <w:r>
              <w:rPr>
                <w:rFonts w:ascii="Arial" w:cs="Arial" w:eastAsia="Arial" w:hAnsi="Arial"/>
                <w:sz w:val="14"/>
                <w:szCs w:val="14"/>
                <w:color w:val="auto"/>
                <w:w w:val="99"/>
              </w:rPr>
              <w:t>$1,271,923</w:t>
            </w:r>
          </w:p>
        </w:tc>
        <w:tc>
          <w:tcPr>
            <w:tcW w:w="60" w:type="dxa"/>
            <w:vAlign w:val="bottom"/>
          </w:tcPr>
          <w:p>
            <w:pPr>
              <w:spacing w:after="0"/>
              <w:rPr>
                <w:sz w:val="17"/>
                <w:szCs w:val="17"/>
                <w:color w:val="auto"/>
              </w:rPr>
            </w:pPr>
          </w:p>
        </w:tc>
        <w:tc>
          <w:tcPr>
            <w:tcW w:w="840" w:type="dxa"/>
            <w:vAlign w:val="bottom"/>
          </w:tcPr>
          <w:p>
            <w:pPr>
              <w:jc w:val="center"/>
              <w:ind w:left="9"/>
              <w:spacing w:after="0"/>
              <w:rPr>
                <w:sz w:val="20"/>
                <w:szCs w:val="20"/>
                <w:color w:val="auto"/>
              </w:rPr>
            </w:pPr>
            <w:r>
              <w:rPr>
                <w:rFonts w:ascii="Arial" w:cs="Arial" w:eastAsia="Arial" w:hAnsi="Arial"/>
                <w:sz w:val="14"/>
                <w:szCs w:val="14"/>
                <w:color w:val="auto"/>
              </w:rPr>
              <w:t>$2,957,000</w:t>
            </w:r>
          </w:p>
        </w:tc>
        <w:tc>
          <w:tcPr>
            <w:tcW w:w="60" w:type="dxa"/>
            <w:vAlign w:val="bottom"/>
          </w:tcPr>
          <w:p>
            <w:pPr>
              <w:spacing w:after="0"/>
              <w:rPr>
                <w:sz w:val="17"/>
                <w:szCs w:val="17"/>
                <w:color w:val="auto"/>
              </w:rPr>
            </w:pPr>
          </w:p>
        </w:tc>
        <w:tc>
          <w:tcPr>
            <w:tcW w:w="940" w:type="dxa"/>
            <w:vAlign w:val="bottom"/>
          </w:tcPr>
          <w:p>
            <w:pPr>
              <w:jc w:val="center"/>
              <w:ind w:left="29"/>
              <w:spacing w:after="0"/>
              <w:rPr>
                <w:sz w:val="20"/>
                <w:szCs w:val="20"/>
                <w:color w:val="auto"/>
              </w:rPr>
            </w:pPr>
            <w:r>
              <w:rPr>
                <w:rFonts w:ascii="Arial" w:cs="Arial" w:eastAsia="Arial" w:hAnsi="Arial"/>
                <w:sz w:val="14"/>
                <w:szCs w:val="14"/>
                <w:color w:val="auto"/>
              </w:rPr>
              <w:t>$7,599,536</w:t>
            </w:r>
          </w:p>
        </w:tc>
        <w:tc>
          <w:tcPr>
            <w:tcW w:w="6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320" w:type="dxa"/>
            <w:vAlign w:val="bottom"/>
          </w:tcPr>
          <w:p>
            <w:pPr>
              <w:jc w:val="center"/>
              <w:ind w:left="10"/>
              <w:spacing w:after="0"/>
              <w:rPr>
                <w:sz w:val="20"/>
                <w:szCs w:val="20"/>
                <w:color w:val="auto"/>
              </w:rPr>
            </w:pPr>
            <w:r>
              <w:rPr>
                <w:rFonts w:ascii="Arial" w:cs="Arial" w:eastAsia="Arial" w:hAnsi="Arial"/>
                <w:sz w:val="14"/>
                <w:szCs w:val="14"/>
                <w:color w:val="auto"/>
              </w:rPr>
              <w:t>$270,991</w:t>
            </w:r>
          </w:p>
        </w:tc>
        <w:tc>
          <w:tcPr>
            <w:tcW w:w="60" w:type="dxa"/>
            <w:vAlign w:val="bottom"/>
          </w:tcPr>
          <w:p>
            <w:pPr>
              <w:spacing w:after="0"/>
              <w:rPr>
                <w:sz w:val="17"/>
                <w:szCs w:val="17"/>
                <w:color w:val="auto"/>
              </w:rPr>
            </w:pPr>
          </w:p>
        </w:tc>
        <w:tc>
          <w:tcPr>
            <w:tcW w:w="960" w:type="dxa"/>
            <w:vAlign w:val="bottom"/>
          </w:tcPr>
          <w:p>
            <w:pPr>
              <w:jc w:val="center"/>
              <w:ind w:left="9"/>
              <w:spacing w:after="0"/>
              <w:rPr>
                <w:sz w:val="20"/>
                <w:szCs w:val="20"/>
                <w:color w:val="auto"/>
              </w:rPr>
            </w:pPr>
            <w:r>
              <w:rPr>
                <w:rFonts w:ascii="Arial" w:cs="Arial" w:eastAsia="Arial" w:hAnsi="Arial"/>
                <w:sz w:val="14"/>
                <w:szCs w:val="14"/>
                <w:color w:val="auto"/>
              </w:rPr>
              <w:t>$12,099,450</w:t>
            </w:r>
          </w:p>
        </w:tc>
        <w:tc>
          <w:tcPr>
            <w:tcW w:w="0" w:type="dxa"/>
            <w:vAlign w:val="bottom"/>
          </w:tcPr>
          <w:p>
            <w:pPr>
              <w:spacing w:after="0"/>
              <w:rPr>
                <w:sz w:val="1"/>
                <w:szCs w:val="1"/>
                <w:color w:val="auto"/>
              </w:rPr>
            </w:pPr>
          </w:p>
        </w:tc>
      </w:tr>
      <w:tr>
        <w:trPr>
          <w:trHeight w:val="221"/>
        </w:trPr>
        <w:tc>
          <w:tcPr>
            <w:tcW w:w="3820" w:type="dxa"/>
            <w:vAlign w:val="bottom"/>
            <w:gridSpan w:val="2"/>
          </w:tcPr>
          <w:p>
            <w:pPr>
              <w:spacing w:after="0" w:line="222" w:lineRule="exact"/>
              <w:rPr>
                <w:sz w:val="20"/>
                <w:szCs w:val="20"/>
                <w:color w:val="auto"/>
              </w:rPr>
            </w:pPr>
            <w:r>
              <w:rPr>
                <w:rFonts w:ascii="Arial" w:cs="Arial" w:eastAsia="Arial" w:hAnsi="Arial"/>
                <w:sz w:val="14"/>
                <w:szCs w:val="14"/>
                <w:color w:val="auto"/>
              </w:rPr>
              <w:t> President, Card</w:t>
            </w:r>
            <w:r>
              <w:rPr>
                <w:rFonts w:ascii="Arial" w:cs="Arial" w:eastAsia="Arial" w:hAnsi="Arial"/>
                <w:sz w:val="21"/>
                <w:szCs w:val="21"/>
                <w:color w:val="auto"/>
                <w:vertAlign w:val="superscript"/>
              </w:rPr>
              <w:t>(5)(7)</w:t>
            </w:r>
          </w:p>
        </w:tc>
        <w:tc>
          <w:tcPr>
            <w:tcW w:w="660" w:type="dxa"/>
            <w:vAlign w:val="bottom"/>
            <w:tcBorders>
              <w:left w:val="single" w:sz="8" w:color="E5EBEE"/>
            </w:tcBorders>
            <w:shd w:val="clear" w:color="auto" w:fill="E5EBEE"/>
          </w:tcPr>
          <w:p>
            <w:pPr>
              <w:jc w:val="right"/>
              <w:ind w:right="9"/>
              <w:spacing w:after="0"/>
              <w:rPr>
                <w:sz w:val="20"/>
                <w:szCs w:val="20"/>
                <w:color w:val="auto"/>
              </w:rPr>
            </w:pPr>
            <w:r>
              <w:rPr>
                <w:rFonts w:ascii="Arial" w:cs="Arial" w:eastAsia="Arial" w:hAnsi="Arial"/>
                <w:sz w:val="14"/>
                <w:szCs w:val="14"/>
                <w:color w:val="auto"/>
              </w:rPr>
              <w:t>2024</w:t>
            </w:r>
          </w:p>
        </w:tc>
        <w:tc>
          <w:tcPr>
            <w:tcW w:w="60" w:type="dxa"/>
            <w:vAlign w:val="bottom"/>
            <w:shd w:val="clear" w:color="auto" w:fill="E5EBEE"/>
          </w:tcPr>
          <w:p>
            <w:pPr>
              <w:spacing w:after="0"/>
              <w:rPr>
                <w:sz w:val="19"/>
                <w:szCs w:val="19"/>
                <w:color w:val="auto"/>
              </w:rPr>
            </w:pPr>
          </w:p>
        </w:tc>
        <w:tc>
          <w:tcPr>
            <w:tcW w:w="92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BEE"/>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023C5B"/>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023C5B"/>
            </w:tcBorders>
          </w:tcPr>
          <w:p>
            <w:pPr>
              <w:jc w:val="right"/>
              <w:ind w:right="9"/>
              <w:spacing w:after="0"/>
              <w:rPr>
                <w:sz w:val="20"/>
                <w:szCs w:val="20"/>
                <w:color w:val="auto"/>
              </w:rPr>
            </w:pPr>
            <w:r>
              <w:rPr>
                <w:rFonts w:ascii="Arial" w:cs="Arial" w:eastAsia="Arial" w:hAnsi="Arial"/>
                <w:sz w:val="14"/>
                <w:szCs w:val="14"/>
                <w:color w:val="auto"/>
              </w:rPr>
              <w:t>2023</w:t>
            </w:r>
          </w:p>
        </w:tc>
        <w:tc>
          <w:tcPr>
            <w:tcW w:w="60" w:type="dxa"/>
            <w:vAlign w:val="bottom"/>
            <w:tcBorders>
              <w:bottom w:val="single" w:sz="8" w:color="E5EBEE"/>
            </w:tcBorders>
          </w:tcPr>
          <w:p>
            <w:pPr>
              <w:spacing w:after="0"/>
              <w:rPr>
                <w:sz w:val="18"/>
                <w:szCs w:val="18"/>
                <w:color w:val="auto"/>
              </w:rPr>
            </w:pPr>
          </w:p>
        </w:tc>
        <w:tc>
          <w:tcPr>
            <w:tcW w:w="860" w:type="dxa"/>
            <w:vAlign w:val="bottom"/>
            <w:tcBorders>
              <w:bottom w:val="single" w:sz="8" w:color="023C5B"/>
            </w:tcBorders>
          </w:tcPr>
          <w:p>
            <w:pPr>
              <w:jc w:val="center"/>
              <w:ind w:lef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84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940" w:type="dxa"/>
            <w:vAlign w:val="bottom"/>
            <w:tcBorders>
              <w:bottom w:val="single" w:sz="8" w:color="023C5B"/>
            </w:tcBorders>
          </w:tcPr>
          <w:p>
            <w:pPr>
              <w:jc w:val="center"/>
              <w:ind w:lef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1160" w:type="dxa"/>
            <w:vAlign w:val="bottom"/>
            <w:tcBorders>
              <w:bottom w:val="single" w:sz="8" w:color="023C5B"/>
            </w:tcBorders>
          </w:tcPr>
          <w:p>
            <w:pPr>
              <w:jc w:val="center"/>
              <w:ind w:left="2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1320" w:type="dxa"/>
            <w:vAlign w:val="bottom"/>
            <w:tcBorders>
              <w:bottom w:val="single" w:sz="8" w:color="023C5B"/>
            </w:tcBorders>
          </w:tcPr>
          <w:p>
            <w:pPr>
              <w:jc w:val="center"/>
              <w:ind w:left="3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960" w:type="dxa"/>
            <w:vAlign w:val="bottom"/>
            <w:tcBorders>
              <w:bottom w:val="single" w:sz="8" w:color="023C5B"/>
            </w:tcBorders>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820" w:type="dxa"/>
            <w:vAlign w:val="bottom"/>
            <w:gridSpan w:val="2"/>
          </w:tcPr>
          <w:p>
            <w:pPr>
              <w:spacing w:after="0"/>
              <w:rPr>
                <w:sz w:val="20"/>
                <w:szCs w:val="20"/>
                <w:color w:val="auto"/>
              </w:rPr>
            </w:pPr>
            <w:r>
              <w:rPr>
                <w:rFonts w:ascii="Arial" w:cs="Arial" w:eastAsia="Arial" w:hAnsi="Arial"/>
                <w:sz w:val="14"/>
                <w:szCs w:val="14"/>
                <w:color w:val="auto"/>
              </w:rPr>
              <w:t> Frank G. LaPrade, III</w:t>
            </w:r>
          </w:p>
        </w:tc>
        <w:tc>
          <w:tcPr>
            <w:tcW w:w="660" w:type="dxa"/>
            <w:vAlign w:val="bottom"/>
            <w:tcBorders>
              <w:left w:val="single" w:sz="8" w:color="E5EBEE"/>
            </w:tcBorders>
            <w:vMerge w:val="restart"/>
            <w:shd w:val="clear" w:color="auto" w:fill="E5EBEE"/>
          </w:tcPr>
          <w:p>
            <w:pPr>
              <w:jc w:val="right"/>
              <w:ind w:right="9"/>
              <w:spacing w:after="0"/>
              <w:rPr>
                <w:sz w:val="20"/>
                <w:szCs w:val="20"/>
                <w:color w:val="auto"/>
              </w:rPr>
            </w:pPr>
            <w:r>
              <w:rPr>
                <w:rFonts w:ascii="Arial" w:cs="Arial" w:eastAsia="Arial" w:hAnsi="Arial"/>
                <w:sz w:val="14"/>
                <w:szCs w:val="14"/>
                <w:color w:val="auto"/>
              </w:rPr>
              <w:t>2025</w:t>
            </w:r>
          </w:p>
        </w:tc>
        <w:tc>
          <w:tcPr>
            <w:tcW w:w="60" w:type="dxa"/>
            <w:vAlign w:val="bottom"/>
            <w:shd w:val="clear" w:color="auto" w:fill="E5EBEE"/>
          </w:tcPr>
          <w:p>
            <w:pPr>
              <w:spacing w:after="0"/>
              <w:rPr>
                <w:sz w:val="17"/>
                <w:szCs w:val="17"/>
                <w:color w:val="auto"/>
              </w:rPr>
            </w:pPr>
          </w:p>
        </w:tc>
        <w:tc>
          <w:tcPr>
            <w:tcW w:w="860" w:type="dxa"/>
            <w:vAlign w:val="bottom"/>
            <w:vMerge w:val="restart"/>
            <w:shd w:val="clear" w:color="auto" w:fill="E5EBEE"/>
          </w:tcPr>
          <w:p>
            <w:pPr>
              <w:jc w:val="center"/>
              <w:ind w:left="9"/>
              <w:spacing w:after="0"/>
              <w:rPr>
                <w:sz w:val="20"/>
                <w:szCs w:val="20"/>
                <w:color w:val="auto"/>
              </w:rPr>
            </w:pPr>
            <w:r>
              <w:rPr>
                <w:rFonts w:ascii="Arial" w:cs="Arial" w:eastAsia="Arial" w:hAnsi="Arial"/>
                <w:sz w:val="14"/>
                <w:szCs w:val="14"/>
                <w:color w:val="auto"/>
                <w:w w:val="99"/>
              </w:rPr>
              <w:t>$1,448,154</w:t>
            </w:r>
          </w:p>
        </w:tc>
        <w:tc>
          <w:tcPr>
            <w:tcW w:w="60" w:type="dxa"/>
            <w:vAlign w:val="bottom"/>
            <w:shd w:val="clear" w:color="auto" w:fill="E5EBEE"/>
          </w:tcPr>
          <w:p>
            <w:pPr>
              <w:spacing w:after="0"/>
              <w:rPr>
                <w:sz w:val="17"/>
                <w:szCs w:val="17"/>
                <w:color w:val="auto"/>
              </w:rPr>
            </w:pPr>
          </w:p>
        </w:tc>
        <w:tc>
          <w:tcPr>
            <w:tcW w:w="840" w:type="dxa"/>
            <w:vAlign w:val="bottom"/>
            <w:vMerge w:val="restart"/>
            <w:shd w:val="clear" w:color="auto" w:fill="E5EBEE"/>
          </w:tcPr>
          <w:p>
            <w:pPr>
              <w:jc w:val="center"/>
              <w:ind w:left="9"/>
              <w:spacing w:after="0"/>
              <w:rPr>
                <w:sz w:val="20"/>
                <w:szCs w:val="20"/>
                <w:color w:val="auto"/>
              </w:rPr>
            </w:pPr>
            <w:r>
              <w:rPr>
                <w:rFonts w:ascii="Arial" w:cs="Arial" w:eastAsia="Arial" w:hAnsi="Arial"/>
                <w:sz w:val="14"/>
                <w:szCs w:val="14"/>
                <w:color w:val="auto"/>
              </w:rPr>
              <w:t>$2,730,000</w:t>
            </w:r>
          </w:p>
        </w:tc>
        <w:tc>
          <w:tcPr>
            <w:tcW w:w="60" w:type="dxa"/>
            <w:vAlign w:val="bottom"/>
            <w:shd w:val="clear" w:color="auto" w:fill="E5EBEE"/>
          </w:tcPr>
          <w:p>
            <w:pPr>
              <w:spacing w:after="0"/>
              <w:rPr>
                <w:sz w:val="17"/>
                <w:szCs w:val="17"/>
                <w:color w:val="auto"/>
              </w:rPr>
            </w:pPr>
          </w:p>
        </w:tc>
        <w:tc>
          <w:tcPr>
            <w:tcW w:w="940" w:type="dxa"/>
            <w:vAlign w:val="bottom"/>
            <w:vMerge w:val="restart"/>
            <w:shd w:val="clear" w:color="auto" w:fill="E5EBEE"/>
          </w:tcPr>
          <w:p>
            <w:pPr>
              <w:jc w:val="center"/>
              <w:ind w:left="29"/>
              <w:spacing w:after="0"/>
              <w:rPr>
                <w:sz w:val="20"/>
                <w:szCs w:val="20"/>
                <w:color w:val="auto"/>
              </w:rPr>
            </w:pPr>
            <w:r>
              <w:rPr>
                <w:rFonts w:ascii="Arial" w:cs="Arial" w:eastAsia="Arial" w:hAnsi="Arial"/>
                <w:sz w:val="14"/>
                <w:szCs w:val="14"/>
                <w:color w:val="auto"/>
              </w:rPr>
              <w:t>$6,317,239</w:t>
            </w:r>
          </w:p>
        </w:tc>
        <w:tc>
          <w:tcPr>
            <w:tcW w:w="60" w:type="dxa"/>
            <w:vAlign w:val="bottom"/>
            <w:shd w:val="clear" w:color="auto" w:fill="E5EBEE"/>
          </w:tcPr>
          <w:p>
            <w:pPr>
              <w:spacing w:after="0"/>
              <w:rPr>
                <w:sz w:val="17"/>
                <w:szCs w:val="17"/>
                <w:color w:val="auto"/>
              </w:rPr>
            </w:pPr>
          </w:p>
        </w:tc>
        <w:tc>
          <w:tcPr>
            <w:tcW w:w="1220" w:type="dxa"/>
            <w:vAlign w:val="bottom"/>
            <w:gridSpan w:val="2"/>
            <w:vMerge w:val="restart"/>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E5EBEE"/>
          </w:tcPr>
          <w:p>
            <w:pPr>
              <w:jc w:val="center"/>
              <w:ind w:left="10"/>
              <w:spacing w:after="0"/>
              <w:rPr>
                <w:sz w:val="20"/>
                <w:szCs w:val="20"/>
                <w:color w:val="auto"/>
              </w:rPr>
            </w:pPr>
            <w:r>
              <w:rPr>
                <w:rFonts w:ascii="Arial" w:cs="Arial" w:eastAsia="Arial" w:hAnsi="Arial"/>
                <w:sz w:val="14"/>
                <w:szCs w:val="14"/>
                <w:color w:val="auto"/>
              </w:rPr>
              <w:t>$261,020</w:t>
            </w:r>
          </w:p>
        </w:tc>
        <w:tc>
          <w:tcPr>
            <w:tcW w:w="60" w:type="dxa"/>
            <w:vAlign w:val="bottom"/>
            <w:shd w:val="clear" w:color="auto" w:fill="E5EBEE"/>
          </w:tcPr>
          <w:p>
            <w:pPr>
              <w:spacing w:after="0"/>
              <w:rPr>
                <w:sz w:val="17"/>
                <w:szCs w:val="17"/>
                <w:color w:val="auto"/>
              </w:rPr>
            </w:pPr>
          </w:p>
        </w:tc>
        <w:tc>
          <w:tcPr>
            <w:tcW w:w="960" w:type="dxa"/>
            <w:vAlign w:val="bottom"/>
            <w:vMerge w:val="restart"/>
            <w:shd w:val="clear" w:color="auto" w:fill="E5EBEE"/>
          </w:tcPr>
          <w:p>
            <w:pPr>
              <w:jc w:val="center"/>
              <w:ind w:left="9"/>
              <w:spacing w:after="0"/>
              <w:rPr>
                <w:sz w:val="20"/>
                <w:szCs w:val="20"/>
                <w:color w:val="auto"/>
              </w:rPr>
            </w:pPr>
            <w:r>
              <w:rPr>
                <w:rFonts w:ascii="Arial" w:cs="Arial" w:eastAsia="Arial" w:hAnsi="Arial"/>
                <w:sz w:val="14"/>
                <w:szCs w:val="14"/>
                <w:color w:val="auto"/>
              </w:rPr>
              <w:t>$10,756,413</w:t>
            </w:r>
          </w:p>
        </w:tc>
        <w:tc>
          <w:tcPr>
            <w:tcW w:w="0" w:type="dxa"/>
            <w:vAlign w:val="bottom"/>
          </w:tcPr>
          <w:p>
            <w:pPr>
              <w:spacing w:after="0"/>
              <w:rPr>
                <w:sz w:val="1"/>
                <w:szCs w:val="1"/>
                <w:color w:val="auto"/>
              </w:rPr>
            </w:pPr>
          </w:p>
        </w:tc>
      </w:tr>
      <w:tr>
        <w:trPr>
          <w:trHeight w:val="74"/>
        </w:trPr>
        <w:tc>
          <w:tcPr>
            <w:tcW w:w="3820" w:type="dxa"/>
            <w:vAlign w:val="bottom"/>
            <w:gridSpan w:val="2"/>
            <w:vMerge w:val="restart"/>
          </w:tcPr>
          <w:p>
            <w:pPr>
              <w:spacing w:after="0"/>
              <w:rPr>
                <w:sz w:val="20"/>
                <w:szCs w:val="20"/>
                <w:color w:val="auto"/>
              </w:rPr>
            </w:pPr>
            <w:r>
              <w:rPr>
                <w:rFonts w:ascii="Arial" w:cs="Arial" w:eastAsia="Arial" w:hAnsi="Arial"/>
                <w:sz w:val="14"/>
                <w:szCs w:val="14"/>
                <w:color w:val="auto"/>
              </w:rPr>
              <w:t> Chief Enterprise Services</w:t>
            </w:r>
          </w:p>
        </w:tc>
        <w:tc>
          <w:tcPr>
            <w:tcW w:w="660" w:type="dxa"/>
            <w:vAlign w:val="bottom"/>
            <w:tcBorders>
              <w:left w:val="single" w:sz="8" w:color="E5EBEE"/>
            </w:tcBorders>
            <w:vMerge w:val="continue"/>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860" w:type="dxa"/>
            <w:vAlign w:val="bottom"/>
            <w:vMerge w:val="continue"/>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840" w:type="dxa"/>
            <w:vAlign w:val="bottom"/>
            <w:vMerge w:val="continue"/>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940" w:type="dxa"/>
            <w:vAlign w:val="bottom"/>
            <w:vMerge w:val="continue"/>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1220" w:type="dxa"/>
            <w:vAlign w:val="bottom"/>
            <w:gridSpan w:val="2"/>
            <w:vMerge w:val="continue"/>
            <w:shd w:val="clear" w:color="auto" w:fill="E5EBEE"/>
          </w:tcPr>
          <w:p>
            <w:pPr>
              <w:spacing w:after="0"/>
              <w:rPr>
                <w:sz w:val="6"/>
                <w:szCs w:val="6"/>
                <w:color w:val="auto"/>
              </w:rPr>
            </w:pPr>
          </w:p>
        </w:tc>
        <w:tc>
          <w:tcPr>
            <w:tcW w:w="1320" w:type="dxa"/>
            <w:vAlign w:val="bottom"/>
            <w:vMerge w:val="continue"/>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960" w:type="dxa"/>
            <w:vAlign w:val="bottom"/>
            <w:vMerge w:val="continue"/>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3820" w:type="dxa"/>
            <w:vAlign w:val="bottom"/>
            <w:gridSpan w:val="2"/>
            <w:vMerge w:val="continue"/>
          </w:tcPr>
          <w:p>
            <w:pPr>
              <w:spacing w:after="0"/>
              <w:rPr>
                <w:sz w:val="12"/>
                <w:szCs w:val="12"/>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2024</w:t>
            </w:r>
          </w:p>
        </w:tc>
        <w:tc>
          <w:tcPr>
            <w:tcW w:w="60" w:type="dxa"/>
            <w:vAlign w:val="bottom"/>
          </w:tcPr>
          <w:p>
            <w:pPr>
              <w:spacing w:after="0"/>
              <w:rPr>
                <w:sz w:val="12"/>
                <w:szCs w:val="12"/>
                <w:color w:val="auto"/>
              </w:rPr>
            </w:pPr>
          </w:p>
        </w:tc>
        <w:tc>
          <w:tcPr>
            <w:tcW w:w="860" w:type="dxa"/>
            <w:vAlign w:val="bottom"/>
            <w:vMerge w:val="restart"/>
          </w:tcPr>
          <w:p>
            <w:pPr>
              <w:jc w:val="center"/>
              <w:ind w:left="9"/>
              <w:spacing w:after="0"/>
              <w:rPr>
                <w:sz w:val="20"/>
                <w:szCs w:val="20"/>
                <w:color w:val="auto"/>
              </w:rPr>
            </w:pPr>
            <w:r>
              <w:rPr>
                <w:rFonts w:ascii="Arial" w:cs="Arial" w:eastAsia="Arial" w:hAnsi="Arial"/>
                <w:sz w:val="14"/>
                <w:szCs w:val="14"/>
                <w:color w:val="auto"/>
                <w:w w:val="99"/>
              </w:rPr>
              <w:t>$1,383,154</w:t>
            </w:r>
          </w:p>
        </w:tc>
        <w:tc>
          <w:tcPr>
            <w:tcW w:w="60" w:type="dxa"/>
            <w:vAlign w:val="bottom"/>
          </w:tcPr>
          <w:p>
            <w:pPr>
              <w:spacing w:after="0"/>
              <w:rPr>
                <w:sz w:val="12"/>
                <w:szCs w:val="12"/>
                <w:color w:val="auto"/>
              </w:rPr>
            </w:pPr>
          </w:p>
        </w:tc>
        <w:tc>
          <w:tcPr>
            <w:tcW w:w="840" w:type="dxa"/>
            <w:vAlign w:val="bottom"/>
            <w:vMerge w:val="restart"/>
          </w:tcPr>
          <w:p>
            <w:pPr>
              <w:jc w:val="center"/>
              <w:ind w:left="9"/>
              <w:spacing w:after="0"/>
              <w:rPr>
                <w:sz w:val="20"/>
                <w:szCs w:val="20"/>
                <w:color w:val="auto"/>
              </w:rPr>
            </w:pPr>
            <w:r>
              <w:rPr>
                <w:rFonts w:ascii="Arial" w:cs="Arial" w:eastAsia="Arial" w:hAnsi="Arial"/>
                <w:sz w:val="14"/>
                <w:szCs w:val="14"/>
                <w:color w:val="auto"/>
              </w:rPr>
              <w:t>$2,602,500</w:t>
            </w:r>
          </w:p>
        </w:tc>
        <w:tc>
          <w:tcPr>
            <w:tcW w:w="60" w:type="dxa"/>
            <w:vAlign w:val="bottom"/>
          </w:tcPr>
          <w:p>
            <w:pPr>
              <w:spacing w:after="0"/>
              <w:rPr>
                <w:sz w:val="12"/>
                <w:szCs w:val="12"/>
                <w:color w:val="auto"/>
              </w:rPr>
            </w:pPr>
          </w:p>
        </w:tc>
        <w:tc>
          <w:tcPr>
            <w:tcW w:w="940" w:type="dxa"/>
            <w:vAlign w:val="bottom"/>
            <w:vMerge w:val="restart"/>
          </w:tcPr>
          <w:p>
            <w:pPr>
              <w:jc w:val="center"/>
              <w:ind w:left="29"/>
              <w:spacing w:after="0"/>
              <w:rPr>
                <w:sz w:val="20"/>
                <w:szCs w:val="20"/>
                <w:color w:val="auto"/>
              </w:rPr>
            </w:pPr>
            <w:r>
              <w:rPr>
                <w:rFonts w:ascii="Arial" w:cs="Arial" w:eastAsia="Arial" w:hAnsi="Arial"/>
                <w:sz w:val="14"/>
                <w:szCs w:val="14"/>
                <w:color w:val="auto"/>
              </w:rPr>
              <w:t>$3,836,290</w:t>
            </w:r>
          </w:p>
        </w:tc>
        <w:tc>
          <w:tcPr>
            <w:tcW w:w="6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center"/>
              <w:ind w:left="10"/>
              <w:spacing w:after="0"/>
              <w:rPr>
                <w:sz w:val="20"/>
                <w:szCs w:val="20"/>
                <w:color w:val="auto"/>
              </w:rPr>
            </w:pPr>
            <w:r>
              <w:rPr>
                <w:rFonts w:ascii="Arial" w:cs="Arial" w:eastAsia="Arial" w:hAnsi="Arial"/>
                <w:sz w:val="14"/>
                <w:szCs w:val="14"/>
                <w:color w:val="auto"/>
              </w:rPr>
              <w:t>$250,460</w:t>
            </w:r>
          </w:p>
        </w:tc>
        <w:tc>
          <w:tcPr>
            <w:tcW w:w="60" w:type="dxa"/>
            <w:vAlign w:val="bottom"/>
          </w:tcPr>
          <w:p>
            <w:pPr>
              <w:spacing w:after="0"/>
              <w:rPr>
                <w:sz w:val="12"/>
                <w:szCs w:val="12"/>
                <w:color w:val="auto"/>
              </w:rPr>
            </w:pPr>
          </w:p>
        </w:tc>
        <w:tc>
          <w:tcPr>
            <w:tcW w:w="960" w:type="dxa"/>
            <w:vAlign w:val="bottom"/>
            <w:vMerge w:val="restart"/>
          </w:tcPr>
          <w:p>
            <w:pPr>
              <w:jc w:val="center"/>
              <w:ind w:left="9"/>
              <w:spacing w:after="0"/>
              <w:rPr>
                <w:sz w:val="20"/>
                <w:szCs w:val="20"/>
                <w:color w:val="auto"/>
              </w:rPr>
            </w:pPr>
            <w:r>
              <w:rPr>
                <w:rFonts w:ascii="Arial" w:cs="Arial" w:eastAsia="Arial" w:hAnsi="Arial"/>
                <w:sz w:val="14"/>
                <w:szCs w:val="14"/>
                <w:color w:val="auto"/>
              </w:rPr>
              <w:t>$8,072,404</w:t>
            </w:r>
          </w:p>
        </w:tc>
        <w:tc>
          <w:tcPr>
            <w:tcW w:w="0" w:type="dxa"/>
            <w:vAlign w:val="bottom"/>
          </w:tcPr>
          <w:p>
            <w:pPr>
              <w:spacing w:after="0"/>
              <w:rPr>
                <w:sz w:val="1"/>
                <w:szCs w:val="1"/>
                <w:color w:val="auto"/>
              </w:rPr>
            </w:pPr>
          </w:p>
        </w:tc>
      </w:tr>
      <w:tr>
        <w:trPr>
          <w:trHeight w:val="137"/>
        </w:trPr>
        <w:tc>
          <w:tcPr>
            <w:tcW w:w="3820" w:type="dxa"/>
            <w:vAlign w:val="bottom"/>
            <w:gridSpan w:val="2"/>
            <w:vMerge w:val="restart"/>
          </w:tcPr>
          <w:p>
            <w:pPr>
              <w:spacing w:after="0"/>
              <w:rPr>
                <w:sz w:val="20"/>
                <w:szCs w:val="20"/>
                <w:color w:val="auto"/>
              </w:rPr>
            </w:pPr>
            <w:r>
              <w:rPr>
                <w:rFonts w:ascii="Arial" w:cs="Arial" w:eastAsia="Arial" w:hAnsi="Arial"/>
                <w:sz w:val="14"/>
                <w:szCs w:val="14"/>
                <w:color w:val="auto"/>
              </w:rPr>
              <w:t> Officer and Chief of Staff</w:t>
            </w: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820" w:type="dxa"/>
            <w:vAlign w:val="bottom"/>
            <w:gridSpan w:val="2"/>
            <w:vMerge w:val="continue"/>
          </w:tcPr>
          <w:p>
            <w:pPr>
              <w:spacing w:after="0"/>
              <w:rPr>
                <w:sz w:val="6"/>
                <w:szCs w:val="6"/>
                <w:color w:val="auto"/>
              </w:rPr>
            </w:pPr>
          </w:p>
        </w:tc>
        <w:tc>
          <w:tcPr>
            <w:tcW w:w="660" w:type="dxa"/>
            <w:vAlign w:val="bottom"/>
            <w:tcBorders>
              <w:left w:val="single" w:sz="8" w:color="E5EBEE"/>
            </w:tcBorders>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860" w:type="dxa"/>
            <w:vAlign w:val="bottom"/>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840" w:type="dxa"/>
            <w:vAlign w:val="bottom"/>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940" w:type="dxa"/>
            <w:vAlign w:val="bottom"/>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1160" w:type="dxa"/>
            <w:vAlign w:val="bottom"/>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1320" w:type="dxa"/>
            <w:vAlign w:val="bottom"/>
            <w:shd w:val="clear" w:color="auto" w:fill="E5EBEE"/>
          </w:tcPr>
          <w:p>
            <w:pPr>
              <w:spacing w:after="0"/>
              <w:rPr>
                <w:sz w:val="6"/>
                <w:szCs w:val="6"/>
                <w:color w:val="auto"/>
              </w:rPr>
            </w:pPr>
          </w:p>
        </w:tc>
        <w:tc>
          <w:tcPr>
            <w:tcW w:w="60" w:type="dxa"/>
            <w:vAlign w:val="bottom"/>
            <w:shd w:val="clear" w:color="auto" w:fill="E5EBEE"/>
          </w:tcPr>
          <w:p>
            <w:pPr>
              <w:spacing w:after="0"/>
              <w:rPr>
                <w:sz w:val="6"/>
                <w:szCs w:val="6"/>
                <w:color w:val="auto"/>
              </w:rPr>
            </w:pPr>
          </w:p>
        </w:tc>
        <w:tc>
          <w:tcPr>
            <w:tcW w:w="960" w:type="dxa"/>
            <w:vAlign w:val="bottom"/>
            <w:shd w:val="clear" w:color="auto" w:fill="E5EBE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800" w:type="dxa"/>
            <w:vAlign w:val="bottom"/>
            <w:tcBorders>
              <w:bottom w:val="single" w:sz="8" w:color="023C5B"/>
            </w:tcBorders>
          </w:tcPr>
          <w:p>
            <w:pPr>
              <w:spacing w:after="0" w:line="222" w:lineRule="exact"/>
              <w:rPr>
                <w:sz w:val="20"/>
                <w:szCs w:val="20"/>
                <w:color w:val="auto"/>
              </w:rPr>
            </w:pPr>
            <w:r>
              <w:rPr>
                <w:rFonts w:ascii="Arial" w:cs="Arial" w:eastAsia="Arial" w:hAnsi="Arial"/>
                <w:sz w:val="14"/>
                <w:szCs w:val="14"/>
                <w:color w:val="auto"/>
              </w:rPr>
              <w:t> to the CEO</w:t>
            </w:r>
            <w:r>
              <w:rPr>
                <w:rFonts w:ascii="Arial" w:cs="Arial" w:eastAsia="Arial" w:hAnsi="Arial"/>
                <w:sz w:val="21"/>
                <w:szCs w:val="21"/>
                <w:color w:val="auto"/>
                <w:vertAlign w:val="superscript"/>
              </w:rPr>
              <w:t>(5)</w:t>
            </w:r>
          </w:p>
        </w:tc>
        <w:tc>
          <w:tcPr>
            <w:tcW w:w="20" w:type="dxa"/>
            <w:vAlign w:val="bottom"/>
          </w:tcPr>
          <w:p>
            <w:pPr>
              <w:spacing w:after="0"/>
              <w:rPr>
                <w:sz w:val="19"/>
                <w:szCs w:val="19"/>
                <w:color w:val="auto"/>
              </w:rPr>
            </w:pPr>
          </w:p>
        </w:tc>
        <w:tc>
          <w:tcPr>
            <w:tcW w:w="660" w:type="dxa"/>
            <w:vAlign w:val="bottom"/>
            <w:tcBorders>
              <w:left w:val="single" w:sz="8" w:color="E5EBEE"/>
              <w:bottom w:val="single" w:sz="8" w:color="023C5B"/>
            </w:tcBorders>
            <w:shd w:val="clear" w:color="auto" w:fill="E5EBEE"/>
          </w:tcPr>
          <w:p>
            <w:pPr>
              <w:jc w:val="right"/>
              <w:ind w:right="9"/>
              <w:spacing w:after="0"/>
              <w:rPr>
                <w:sz w:val="20"/>
                <w:szCs w:val="20"/>
                <w:color w:val="auto"/>
              </w:rPr>
            </w:pPr>
            <w:r>
              <w:rPr>
                <w:rFonts w:ascii="Arial" w:cs="Arial" w:eastAsia="Arial" w:hAnsi="Arial"/>
                <w:sz w:val="14"/>
                <w:szCs w:val="14"/>
                <w:color w:val="auto"/>
              </w:rPr>
              <w:t>2023</w:t>
            </w:r>
          </w:p>
        </w:tc>
        <w:tc>
          <w:tcPr>
            <w:tcW w:w="60" w:type="dxa"/>
            <w:vAlign w:val="bottom"/>
            <w:tcBorders>
              <w:bottom w:val="single" w:sz="8" w:color="023C5B"/>
            </w:tcBorders>
            <w:shd w:val="clear" w:color="auto" w:fill="E5EBEE"/>
          </w:tcPr>
          <w:p>
            <w:pPr>
              <w:spacing w:after="0"/>
              <w:rPr>
                <w:sz w:val="19"/>
                <w:szCs w:val="19"/>
                <w:color w:val="auto"/>
              </w:rPr>
            </w:pPr>
          </w:p>
        </w:tc>
        <w:tc>
          <w:tcPr>
            <w:tcW w:w="860" w:type="dxa"/>
            <w:vAlign w:val="bottom"/>
            <w:tcBorders>
              <w:bottom w:val="single" w:sz="8" w:color="023C5B"/>
            </w:tcBorders>
            <w:shd w:val="clear" w:color="auto" w:fill="E5EBEE"/>
          </w:tcPr>
          <w:p>
            <w:pPr>
              <w:jc w:val="center"/>
              <w:ind w:left="9"/>
              <w:spacing w:after="0"/>
              <w:rPr>
                <w:sz w:val="20"/>
                <w:szCs w:val="20"/>
                <w:color w:val="auto"/>
              </w:rPr>
            </w:pPr>
            <w:r>
              <w:rPr>
                <w:rFonts w:ascii="Arial" w:cs="Arial" w:eastAsia="Arial" w:hAnsi="Arial"/>
                <w:sz w:val="14"/>
                <w:szCs w:val="14"/>
                <w:color w:val="auto"/>
                <w:w w:val="99"/>
              </w:rPr>
              <w:t>$1,341,385</w:t>
            </w:r>
          </w:p>
        </w:tc>
        <w:tc>
          <w:tcPr>
            <w:tcW w:w="60" w:type="dxa"/>
            <w:vAlign w:val="bottom"/>
            <w:tcBorders>
              <w:bottom w:val="single" w:sz="8" w:color="023C5B"/>
            </w:tcBorders>
            <w:shd w:val="clear" w:color="auto" w:fill="E5EBEE"/>
          </w:tcPr>
          <w:p>
            <w:pPr>
              <w:spacing w:after="0"/>
              <w:rPr>
                <w:sz w:val="19"/>
                <w:szCs w:val="19"/>
                <w:color w:val="auto"/>
              </w:rPr>
            </w:pPr>
          </w:p>
        </w:tc>
        <w:tc>
          <w:tcPr>
            <w:tcW w:w="840" w:type="dxa"/>
            <w:vAlign w:val="bottom"/>
            <w:tcBorders>
              <w:bottom w:val="single" w:sz="8" w:color="023C5B"/>
            </w:tcBorders>
            <w:shd w:val="clear" w:color="auto" w:fill="E5EBEE"/>
          </w:tcPr>
          <w:p>
            <w:pPr>
              <w:jc w:val="center"/>
              <w:ind w:left="9"/>
              <w:spacing w:after="0"/>
              <w:rPr>
                <w:sz w:val="20"/>
                <w:szCs w:val="20"/>
                <w:color w:val="auto"/>
              </w:rPr>
            </w:pPr>
            <w:r>
              <w:rPr>
                <w:rFonts w:ascii="Arial" w:cs="Arial" w:eastAsia="Arial" w:hAnsi="Arial"/>
                <w:sz w:val="14"/>
                <w:szCs w:val="14"/>
                <w:color w:val="auto"/>
              </w:rPr>
              <w:t>$2,524,500</w:t>
            </w:r>
          </w:p>
        </w:tc>
        <w:tc>
          <w:tcPr>
            <w:tcW w:w="60" w:type="dxa"/>
            <w:vAlign w:val="bottom"/>
            <w:tcBorders>
              <w:bottom w:val="single" w:sz="8" w:color="023C5B"/>
            </w:tcBorders>
            <w:shd w:val="clear" w:color="auto" w:fill="E5EBEE"/>
          </w:tcPr>
          <w:p>
            <w:pPr>
              <w:spacing w:after="0"/>
              <w:rPr>
                <w:sz w:val="19"/>
                <w:szCs w:val="19"/>
                <w:color w:val="auto"/>
              </w:rPr>
            </w:pPr>
          </w:p>
        </w:tc>
        <w:tc>
          <w:tcPr>
            <w:tcW w:w="940" w:type="dxa"/>
            <w:vAlign w:val="bottom"/>
            <w:tcBorders>
              <w:bottom w:val="single" w:sz="8" w:color="023C5B"/>
            </w:tcBorders>
            <w:shd w:val="clear" w:color="auto" w:fill="E5EBEE"/>
          </w:tcPr>
          <w:p>
            <w:pPr>
              <w:jc w:val="center"/>
              <w:ind w:left="29"/>
              <w:spacing w:after="0"/>
              <w:rPr>
                <w:sz w:val="20"/>
                <w:szCs w:val="20"/>
                <w:color w:val="auto"/>
              </w:rPr>
            </w:pPr>
            <w:r>
              <w:rPr>
                <w:rFonts w:ascii="Arial" w:cs="Arial" w:eastAsia="Arial" w:hAnsi="Arial"/>
                <w:sz w:val="14"/>
                <w:szCs w:val="14"/>
                <w:color w:val="auto"/>
              </w:rPr>
              <w:t>$4,345,491</w:t>
            </w:r>
          </w:p>
        </w:tc>
        <w:tc>
          <w:tcPr>
            <w:tcW w:w="60" w:type="dxa"/>
            <w:vAlign w:val="bottom"/>
            <w:tcBorders>
              <w:bottom w:val="single" w:sz="8" w:color="023C5B"/>
            </w:tcBorders>
            <w:shd w:val="clear" w:color="auto" w:fill="E5EBEE"/>
          </w:tcPr>
          <w:p>
            <w:pPr>
              <w:spacing w:after="0"/>
              <w:rPr>
                <w:sz w:val="19"/>
                <w:szCs w:val="19"/>
                <w:color w:val="auto"/>
              </w:rPr>
            </w:pPr>
          </w:p>
        </w:tc>
        <w:tc>
          <w:tcPr>
            <w:tcW w:w="1220" w:type="dxa"/>
            <w:vAlign w:val="bottom"/>
            <w:tcBorders>
              <w:bottom w:val="single" w:sz="8" w:color="023C5B"/>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023C5B"/>
            </w:tcBorders>
            <w:shd w:val="clear" w:color="auto" w:fill="E5EBEE"/>
          </w:tcPr>
          <w:p>
            <w:pPr>
              <w:jc w:val="center"/>
              <w:ind w:left="10"/>
              <w:spacing w:after="0"/>
              <w:rPr>
                <w:sz w:val="20"/>
                <w:szCs w:val="20"/>
                <w:color w:val="auto"/>
              </w:rPr>
            </w:pPr>
            <w:r>
              <w:rPr>
                <w:rFonts w:ascii="Arial" w:cs="Arial" w:eastAsia="Arial" w:hAnsi="Arial"/>
                <w:sz w:val="14"/>
                <w:szCs w:val="14"/>
                <w:color w:val="auto"/>
              </w:rPr>
              <w:t>$268,922</w:t>
            </w:r>
          </w:p>
        </w:tc>
        <w:tc>
          <w:tcPr>
            <w:tcW w:w="60" w:type="dxa"/>
            <w:vAlign w:val="bottom"/>
            <w:tcBorders>
              <w:bottom w:val="single" w:sz="8" w:color="023C5B"/>
            </w:tcBorders>
            <w:shd w:val="clear" w:color="auto" w:fill="E5EBEE"/>
          </w:tcPr>
          <w:p>
            <w:pPr>
              <w:spacing w:after="0"/>
              <w:rPr>
                <w:sz w:val="19"/>
                <w:szCs w:val="19"/>
                <w:color w:val="auto"/>
              </w:rPr>
            </w:pPr>
          </w:p>
        </w:tc>
        <w:tc>
          <w:tcPr>
            <w:tcW w:w="960" w:type="dxa"/>
            <w:vAlign w:val="bottom"/>
            <w:tcBorders>
              <w:bottom w:val="single" w:sz="8" w:color="023C5B"/>
            </w:tcBorders>
            <w:shd w:val="clear" w:color="auto" w:fill="E5EBEE"/>
          </w:tcPr>
          <w:p>
            <w:pPr>
              <w:jc w:val="center"/>
              <w:ind w:left="9"/>
              <w:spacing w:after="0"/>
              <w:rPr>
                <w:sz w:val="20"/>
                <w:szCs w:val="20"/>
                <w:color w:val="auto"/>
              </w:rPr>
            </w:pPr>
            <w:r>
              <w:rPr>
                <w:rFonts w:ascii="Arial" w:cs="Arial" w:eastAsia="Arial" w:hAnsi="Arial"/>
                <w:sz w:val="14"/>
                <w:szCs w:val="14"/>
                <w:color w:val="auto"/>
              </w:rPr>
              <w:t>$8,480,298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8" w:lineRule="exact"/>
        <w:rPr>
          <w:sz w:val="20"/>
          <w:szCs w:val="20"/>
          <w:color w:val="auto"/>
        </w:rPr>
      </w:pPr>
    </w:p>
    <w:p>
      <w:pPr>
        <w:jc w:val="both"/>
        <w:ind w:left="600" w:hanging="433"/>
        <w:spacing w:after="0" w:line="253" w:lineRule="auto"/>
        <w:tabs>
          <w:tab w:leader="none" w:pos="60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amount shown in this column for Mr. Fairbank in 2025 reflects his deferred cash bonus awarded in February 2026 for 2025 performance as described under “Year-End Incentive Opportunity” beginning on page 68. For NEOs other than Mr. Fairbank, the amount shown in this column for 2025 reflects the cash incentive awarded in February 2026 for 2025 performance, as described under “2025 NEO Compensation Program and Components” beginning on page 81. Messrs. Young, Cooper, and Mouadeb’s amounts also include the cash awards as described in “Discover-Related Special Awards.”</w:t>
      </w:r>
    </w:p>
    <w:p>
      <w:pPr>
        <w:spacing w:after="0" w:line="43" w:lineRule="exact"/>
        <w:rPr>
          <w:rFonts w:ascii="Arial" w:cs="Arial" w:eastAsia="Arial" w:hAnsi="Arial"/>
          <w:sz w:val="14"/>
          <w:szCs w:val="14"/>
          <w:color w:val="auto"/>
        </w:rPr>
      </w:pPr>
    </w:p>
    <w:p>
      <w:pPr>
        <w:jc w:val="both"/>
        <w:ind w:left="600" w:hanging="433"/>
        <w:spacing w:after="0" w:line="242" w:lineRule="auto"/>
        <w:tabs>
          <w:tab w:leader="none" w:pos="60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amounts shown in this column represent the grant date fair value of performance shares, stock-settled RSUs, and cash-settled RSUs granted to the NEOs, calculated in accordance with FASB ASC Topic 718. The grant date fair value of performance shares included in this column assumes a payout at the target performance level. The grant date fair value for the 2025 TSR Performance Shares granted to Mr. Fairbank is determined by multiplying the target number of shares by a valuation using a Monte Carlo simulation, which determined a grant date fair value of $211.36 per share (105.62% of the Company’s closing stock price on the grant date). The valuation was based on the following assumptions: (i) expected volatility based on the historical stock price volatility of the Company and the implied volatility of the Company’s exchange-traded options (32.75%); (ii) expected risk-free interest rate based on the U.S. Treasury rates as of the grant date (4.20%); and</w:t>
      </w:r>
    </w:p>
    <w:p>
      <w:pPr>
        <w:spacing w:after="0" w:line="2" w:lineRule="exact"/>
        <w:rPr>
          <w:rFonts w:ascii="Arial" w:cs="Arial" w:eastAsia="Arial" w:hAnsi="Arial"/>
          <w:sz w:val="14"/>
          <w:szCs w:val="14"/>
          <w:color w:val="auto"/>
        </w:rPr>
      </w:pPr>
    </w:p>
    <w:p>
      <w:pPr>
        <w:jc w:val="both"/>
        <w:ind w:left="600" w:hanging="5"/>
        <w:spacing w:after="0" w:line="242" w:lineRule="auto"/>
        <w:tabs>
          <w:tab w:leader="none" w:pos="841" w:val="left"/>
        </w:tabs>
        <w:numPr>
          <w:ilvl w:val="1"/>
          <w:numId w:val="106"/>
        </w:numPr>
        <w:rPr>
          <w:rFonts w:ascii="Arial" w:cs="Arial" w:eastAsia="Arial" w:hAnsi="Arial"/>
          <w:sz w:val="14"/>
          <w:szCs w:val="14"/>
          <w:color w:val="auto"/>
        </w:rPr>
      </w:pPr>
      <w:r>
        <w:rPr>
          <w:rFonts w:ascii="Arial" w:cs="Arial" w:eastAsia="Arial" w:hAnsi="Arial"/>
          <w:sz w:val="14"/>
          <w:szCs w:val="14"/>
          <w:color w:val="auto"/>
        </w:rPr>
        <w:t>the length of the remaining performance period as of the grant date (2.90 years). For 2023, the amounts shown also include the incremental expense from the amendment of the agreements for the Financial Performance Shares originally granted on February 4, 2021 to Messrs. Fairbank and LaPrade, and the amendment of the agreements for the TSR Performance Shares granted to Mr. Fairbank on February 4, 2021, February 3, 2022, and January 26, 2023, to give the Committee the ability to take into consideration companies that failed, merged, or were acquired during the performance period for the purposes of defining the Performance Share Peers. This did not include the incremental expense from the amendment of the agreements for the Financial Performance Shares originally granted on February 3, 2022 and January 26, 2023. For 2024, the amounts shown also include the incremental expense from the amendment of the agreements for the Financial Performance Shares originally granted on February 3, 2022 to all of the NEOs. For 2025, there was no incremental expense from the amendment of the agreements for the Financial Performance Shares originally granted on January 26, 2023 to all of the NEOs.</w:t>
      </w:r>
    </w:p>
    <w:p>
      <w:pPr>
        <w:spacing w:after="0" w:line="51"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amounts shown in this column represent the change in the actuarial present value of the accumulated pension benefits for Mr. Fairbank under the Cash Balance Pension Plan and the Excess Cash Balance Plan.</w:t>
      </w:r>
    </w:p>
    <w:p>
      <w:pPr>
        <w:spacing w:after="0" w:line="24" w:lineRule="exact"/>
        <w:rPr>
          <w:rFonts w:ascii="Arial" w:cs="Arial" w:eastAsia="Arial" w:hAnsi="Arial"/>
          <w:sz w:val="14"/>
          <w:szCs w:val="14"/>
          <w:color w:val="auto"/>
        </w:rPr>
      </w:pPr>
    </w:p>
    <w:p>
      <w:pPr>
        <w:jc w:val="both"/>
        <w:ind w:left="600" w:hanging="433"/>
        <w:spacing w:after="0" w:line="247" w:lineRule="auto"/>
        <w:tabs>
          <w:tab w:leader="none" w:pos="60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Mr. Fairbank’s compensation for 2025 consisted of cash-settled RSUs and a year-end incentive opportunity (which was paid in the form of a deferred cash bonus, cash-settled RSUs, and performance shares), in addition to his Discover-Related Special Awards and certain perquisites. Mr. Fairbank received a portion of his total performance year compensation for 2025 in February 2025 (cash-settled RSUs), which is reflected in the table above for 2025. Mr. Fairbank received the remainder of his performance year compensation for 2025 in February 2026 (the year-end incentive opportunity delivered in the form of a deferred cash bonus, cash-settled RSUs, and performance shares). The portion of the year-end incentive opportunity delivered as a deferred cash bonus to Mr. Fairbank in February 2026 is included in the table above, while the portion delivered as cash-settled RSUs and performance shares will be included in next year’s table pursuant</w:t>
      </w:r>
    </w:p>
    <w:p>
      <w:pPr>
        <w:spacing w:after="0" w:line="106" w:lineRule="exact"/>
        <w:rPr>
          <w:sz w:val="20"/>
          <w:szCs w:val="20"/>
          <w:color w:val="auto"/>
        </w:rPr>
      </w:pPr>
    </w:p>
    <w:p>
      <w:pPr>
        <w:ind w:left="5620"/>
        <w:spacing w:after="0"/>
        <w:tabs>
          <w:tab w:leader="none" w:pos="8700" w:val="left"/>
          <w:tab w:leader="none" w:pos="1076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-97155</wp:posOffset>
            </wp:positionV>
            <wp:extent cx="8255" cy="1784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55" w:lineRule="exact"/>
        <w:rPr>
          <w:sz w:val="20"/>
          <w:szCs w:val="20"/>
          <w:color w:val="auto"/>
        </w:rPr>
      </w:pPr>
    </w:p>
    <w:p>
      <w:pPr>
        <w:ind w:left="600"/>
        <w:spacing w:after="0" w:line="281" w:lineRule="auto"/>
        <w:rPr>
          <w:sz w:val="20"/>
          <w:szCs w:val="20"/>
          <w:color w:val="auto"/>
        </w:rPr>
      </w:pPr>
      <w:r>
        <w:rPr>
          <w:rFonts w:ascii="Arial" w:cs="Arial" w:eastAsia="Arial" w:hAnsi="Arial"/>
          <w:sz w:val="14"/>
          <w:szCs w:val="14"/>
          <w:color w:val="auto"/>
        </w:rPr>
        <w:t>to SEC rules. See “CEO Compensation by Performance Year” beginning on page 79 for more information on how the Committee makes compensation decisions and to which year the compensation awards relate.</w:t>
      </w:r>
    </w:p>
    <w:p>
      <w:pPr>
        <w:spacing w:after="0" w:line="24" w:lineRule="exact"/>
        <w:rPr>
          <w:sz w:val="20"/>
          <w:szCs w:val="20"/>
          <w:color w:val="auto"/>
        </w:rPr>
      </w:pPr>
    </w:p>
    <w:p>
      <w:pPr>
        <w:jc w:val="both"/>
        <w:ind w:left="600" w:hanging="433"/>
        <w:spacing w:after="0" w:line="249" w:lineRule="auto"/>
        <w:tabs>
          <w:tab w:leader="none" w:pos="60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For NEOs other than the CEO, compensation for 2025 consisted of a cash base salary, a cash incentive, performance shares, and stock-settled RSUs, in addition to Discover-Related Special Awards and certain perquisites. The performance shares and stock-settled RSUs awarded for 2025 performance were granted in February 2026 and are not included in the table above. The performance shares and stock-settled RSUs granted in February 2025 for 2024 performance are included in the table above for 2025. See “NEO Compensation by Performance Year” beginning on page 85 for more information on how the Committee makes compensation decisions and to which year the compensation awards relate.</w:t>
      </w:r>
    </w:p>
    <w:p>
      <w:pPr>
        <w:spacing w:after="0" w:line="47" w:lineRule="exact"/>
        <w:rPr>
          <w:rFonts w:ascii="Arial" w:cs="Arial" w:eastAsia="Arial" w:hAnsi="Arial"/>
          <w:sz w:val="14"/>
          <w:szCs w:val="14"/>
          <w:color w:val="auto"/>
        </w:rPr>
      </w:pPr>
    </w:p>
    <w:p>
      <w:pPr>
        <w:ind w:left="600" w:hanging="433"/>
        <w:spacing w:after="0"/>
        <w:tabs>
          <w:tab w:leader="none" w:pos="60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 accordance with SEC rules, no amounts are reported for Mr. Cooper for 2023 because he was not an NEO in 2023.</w:t>
      </w:r>
    </w:p>
    <w:p>
      <w:pPr>
        <w:spacing w:after="0" w:line="79" w:lineRule="exact"/>
        <w:rPr>
          <w:rFonts w:ascii="Arial" w:cs="Arial" w:eastAsia="Arial" w:hAnsi="Arial"/>
          <w:sz w:val="14"/>
          <w:szCs w:val="14"/>
          <w:color w:val="auto"/>
        </w:rPr>
      </w:pPr>
    </w:p>
    <w:p>
      <w:pPr>
        <w:ind w:left="600" w:hanging="433"/>
        <w:spacing w:after="0"/>
        <w:tabs>
          <w:tab w:leader="none" w:pos="60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 accordance with SEC rules, no amounts are reported for Mr. Mouadeb for 2023 and 2024 because he was not an NEO in 2023 and 2024.</w:t>
      </w:r>
    </w:p>
    <w:p>
      <w:pPr>
        <w:spacing w:after="0" w:line="120" w:lineRule="exact"/>
        <w:rPr>
          <w:sz w:val="20"/>
          <w:szCs w:val="20"/>
          <w:color w:val="auto"/>
        </w:rPr>
      </w:pPr>
    </w:p>
    <w:p>
      <w:pPr>
        <w:ind w:left="600" w:hanging="433"/>
        <w:spacing w:after="0"/>
        <w:tabs>
          <w:tab w:leader="none" w:pos="6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All other compensation for the NEOs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6389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29755" cy="1638935"/>
                    </a:xfrm>
                    <a:prstGeom prst="rect">
                      <a:avLst/>
                    </a:prstGeom>
                    <a:noFill/>
                  </pic:spPr>
                </pic:pic>
              </a:graphicData>
            </a:graphic>
          </wp:anchor>
        </w:drawing>
      </w:r>
    </w:p>
    <w:p>
      <w:pPr>
        <w:spacing w:after="0" w:line="109"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20" w:type="dxa"/>
            <w:vAlign w:val="bottom"/>
            <w:shd w:val="clear" w:color="auto" w:fill="023C5B"/>
          </w:tcPr>
          <w:p>
            <w:pPr>
              <w:spacing w:after="0"/>
              <w:rPr>
                <w:sz w:val="19"/>
                <w:szCs w:val="19"/>
                <w:color w:val="auto"/>
              </w:rPr>
            </w:pPr>
          </w:p>
        </w:tc>
        <w:tc>
          <w:tcPr>
            <w:tcW w:w="2060" w:type="dxa"/>
            <w:vAlign w:val="bottom"/>
            <w:shd w:val="clear" w:color="auto" w:fill="023C5B"/>
          </w:tcPr>
          <w:p>
            <w:pPr>
              <w:spacing w:after="0"/>
              <w:rPr>
                <w:sz w:val="19"/>
                <w:szCs w:val="19"/>
                <w:color w:val="auto"/>
              </w:rPr>
            </w:pPr>
          </w:p>
        </w:tc>
        <w:tc>
          <w:tcPr>
            <w:tcW w:w="20" w:type="dxa"/>
            <w:vAlign w:val="bottom"/>
            <w:shd w:val="clear" w:color="auto" w:fill="023C5B"/>
          </w:tcPr>
          <w:p>
            <w:pPr>
              <w:spacing w:after="0"/>
              <w:rPr>
                <w:sz w:val="19"/>
                <w:szCs w:val="19"/>
                <w:color w:val="auto"/>
              </w:rPr>
            </w:pPr>
          </w:p>
        </w:tc>
        <w:tc>
          <w:tcPr>
            <w:tcW w:w="20" w:type="dxa"/>
            <w:vAlign w:val="bottom"/>
            <w:shd w:val="clear" w:color="auto" w:fill="023C5B"/>
          </w:tcPr>
          <w:p>
            <w:pPr>
              <w:spacing w:after="0"/>
              <w:rPr>
                <w:sz w:val="19"/>
                <w:szCs w:val="19"/>
                <w:color w:val="auto"/>
              </w:rPr>
            </w:pPr>
          </w:p>
        </w:tc>
        <w:tc>
          <w:tcPr>
            <w:tcW w:w="74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100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1160" w:type="dxa"/>
            <w:vAlign w:val="bottom"/>
            <w:shd w:val="clear" w:color="auto" w:fill="023C5B"/>
          </w:tcPr>
          <w:p>
            <w:pPr>
              <w:spacing w:after="0"/>
              <w:rPr>
                <w:sz w:val="19"/>
                <w:szCs w:val="19"/>
                <w:color w:val="auto"/>
              </w:rPr>
            </w:pPr>
          </w:p>
        </w:tc>
        <w:tc>
          <w:tcPr>
            <w:tcW w:w="40" w:type="dxa"/>
            <w:vAlign w:val="bottom"/>
            <w:shd w:val="clear" w:color="auto" w:fill="023C5B"/>
          </w:tcPr>
          <w:p>
            <w:pPr>
              <w:spacing w:after="0"/>
              <w:rPr>
                <w:sz w:val="19"/>
                <w:szCs w:val="19"/>
                <w:color w:val="auto"/>
              </w:rPr>
            </w:pPr>
          </w:p>
        </w:tc>
        <w:tc>
          <w:tcPr>
            <w:tcW w:w="100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152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Company</w:t>
            </w:r>
          </w:p>
        </w:tc>
        <w:tc>
          <w:tcPr>
            <w:tcW w:w="110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800" w:type="dxa"/>
            <w:vAlign w:val="bottom"/>
            <w:shd w:val="clear" w:color="auto" w:fill="023C5B"/>
          </w:tcPr>
          <w:p>
            <w:pPr>
              <w:spacing w:after="0"/>
              <w:rPr>
                <w:sz w:val="19"/>
                <w:szCs w:val="19"/>
                <w:color w:val="auto"/>
              </w:rPr>
            </w:pPr>
          </w:p>
        </w:tc>
      </w:tr>
      <w:tr>
        <w:trPr>
          <w:trHeight w:val="187"/>
        </w:trPr>
        <w:tc>
          <w:tcPr>
            <w:tcW w:w="1220" w:type="dxa"/>
            <w:vAlign w:val="bottom"/>
            <w:shd w:val="clear" w:color="auto" w:fill="023C5B"/>
          </w:tcPr>
          <w:p>
            <w:pPr>
              <w:spacing w:after="0"/>
              <w:rPr>
                <w:sz w:val="16"/>
                <w:szCs w:val="16"/>
                <w:color w:val="auto"/>
              </w:rPr>
            </w:pPr>
          </w:p>
        </w:tc>
        <w:tc>
          <w:tcPr>
            <w:tcW w:w="206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74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00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160" w:type="dxa"/>
            <w:vAlign w:val="bottom"/>
            <w:shd w:val="clear" w:color="auto" w:fill="023C5B"/>
          </w:tcPr>
          <w:p>
            <w:pPr>
              <w:spacing w:after="0"/>
              <w:rPr>
                <w:sz w:val="16"/>
                <w:szCs w:val="16"/>
                <w:color w:val="auto"/>
              </w:rPr>
            </w:pPr>
          </w:p>
        </w:tc>
        <w:tc>
          <w:tcPr>
            <w:tcW w:w="40" w:type="dxa"/>
            <w:vAlign w:val="bottom"/>
            <w:shd w:val="clear" w:color="auto" w:fill="023C5B"/>
          </w:tcPr>
          <w:p>
            <w:pPr>
              <w:spacing w:after="0"/>
              <w:rPr>
                <w:sz w:val="16"/>
                <w:szCs w:val="16"/>
                <w:color w:val="auto"/>
              </w:rPr>
            </w:pPr>
          </w:p>
        </w:tc>
        <w:tc>
          <w:tcPr>
            <w:tcW w:w="100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520" w:type="dxa"/>
            <w:vAlign w:val="bottom"/>
            <w:gridSpan w:val="2"/>
            <w:shd w:val="clear" w:color="auto" w:fill="023C5B"/>
          </w:tcPr>
          <w:p>
            <w:pPr>
              <w:ind w:left="60"/>
              <w:spacing w:after="0"/>
              <w:rPr>
                <w:sz w:val="20"/>
                <w:szCs w:val="20"/>
                <w:color w:val="auto"/>
              </w:rPr>
            </w:pPr>
            <w:r>
              <w:rPr>
                <w:rFonts w:ascii="Arial" w:cs="Arial" w:eastAsia="Arial" w:hAnsi="Arial"/>
                <w:sz w:val="16"/>
                <w:szCs w:val="16"/>
                <w:b w:val="1"/>
                <w:bCs w:val="1"/>
                <w:color w:val="FFFFFF"/>
              </w:rPr>
              <w:t>  Contributions to</w:t>
            </w:r>
          </w:p>
        </w:tc>
        <w:tc>
          <w:tcPr>
            <w:tcW w:w="110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800" w:type="dxa"/>
            <w:vAlign w:val="bottom"/>
            <w:shd w:val="clear" w:color="auto" w:fill="023C5B"/>
          </w:tcPr>
          <w:p>
            <w:pPr>
              <w:spacing w:after="0"/>
              <w:rPr>
                <w:sz w:val="16"/>
                <w:szCs w:val="16"/>
                <w:color w:val="auto"/>
              </w:rPr>
            </w:pPr>
          </w:p>
        </w:tc>
      </w:tr>
      <w:tr>
        <w:trPr>
          <w:trHeight w:val="187"/>
        </w:trPr>
        <w:tc>
          <w:tcPr>
            <w:tcW w:w="1220" w:type="dxa"/>
            <w:vAlign w:val="bottom"/>
            <w:shd w:val="clear" w:color="auto" w:fill="023C5B"/>
          </w:tcPr>
          <w:p>
            <w:pPr>
              <w:spacing w:after="0"/>
              <w:rPr>
                <w:sz w:val="16"/>
                <w:szCs w:val="16"/>
                <w:color w:val="auto"/>
              </w:rPr>
            </w:pPr>
          </w:p>
        </w:tc>
        <w:tc>
          <w:tcPr>
            <w:tcW w:w="206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74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00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160" w:type="dxa"/>
            <w:vAlign w:val="bottom"/>
            <w:shd w:val="clear" w:color="auto" w:fill="023C5B"/>
          </w:tcPr>
          <w:p>
            <w:pPr>
              <w:spacing w:after="0"/>
              <w:rPr>
                <w:sz w:val="16"/>
                <w:szCs w:val="16"/>
                <w:color w:val="auto"/>
              </w:rPr>
            </w:pPr>
          </w:p>
        </w:tc>
        <w:tc>
          <w:tcPr>
            <w:tcW w:w="40" w:type="dxa"/>
            <w:vAlign w:val="bottom"/>
            <w:shd w:val="clear" w:color="auto" w:fill="023C5B"/>
          </w:tcPr>
          <w:p>
            <w:pPr>
              <w:spacing w:after="0"/>
              <w:rPr>
                <w:sz w:val="16"/>
                <w:szCs w:val="16"/>
                <w:color w:val="auto"/>
              </w:rPr>
            </w:pPr>
          </w:p>
        </w:tc>
        <w:tc>
          <w:tcPr>
            <w:tcW w:w="100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52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8"/>
              </w:rPr>
              <w:t>Defined</w:t>
            </w:r>
          </w:p>
        </w:tc>
        <w:tc>
          <w:tcPr>
            <w:tcW w:w="110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800" w:type="dxa"/>
            <w:vAlign w:val="bottom"/>
            <w:shd w:val="clear" w:color="auto" w:fill="023C5B"/>
          </w:tcPr>
          <w:p>
            <w:pPr>
              <w:spacing w:after="0"/>
              <w:rPr>
                <w:sz w:val="16"/>
                <w:szCs w:val="16"/>
                <w:color w:val="auto"/>
              </w:rPr>
            </w:pPr>
          </w:p>
        </w:tc>
      </w:tr>
      <w:tr>
        <w:trPr>
          <w:trHeight w:val="187"/>
        </w:trPr>
        <w:tc>
          <w:tcPr>
            <w:tcW w:w="3300" w:type="dxa"/>
            <w:vAlign w:val="bottom"/>
            <w:gridSpan w:val="3"/>
            <w:shd w:val="clear" w:color="auto" w:fill="023C5B"/>
          </w:tcPr>
          <w:p>
            <w:pPr>
              <w:spacing w:after="0"/>
              <w:rPr>
                <w:sz w:val="20"/>
                <w:szCs w:val="20"/>
                <w:color w:val="auto"/>
              </w:rPr>
            </w:pPr>
            <w:r>
              <w:rPr>
                <w:rFonts w:ascii="Arial" w:cs="Arial" w:eastAsia="Arial" w:hAnsi="Arial"/>
                <w:sz w:val="16"/>
                <w:szCs w:val="16"/>
                <w:b w:val="1"/>
                <w:bCs w:val="1"/>
                <w:color w:val="FFFFFF"/>
              </w:rPr>
              <w:t> Named</w:t>
            </w:r>
          </w:p>
        </w:tc>
        <w:tc>
          <w:tcPr>
            <w:tcW w:w="20" w:type="dxa"/>
            <w:vAlign w:val="bottom"/>
            <w:shd w:val="clear" w:color="auto" w:fill="023C5B"/>
          </w:tcPr>
          <w:p>
            <w:pPr>
              <w:spacing w:after="0"/>
              <w:rPr>
                <w:sz w:val="16"/>
                <w:szCs w:val="16"/>
                <w:color w:val="auto"/>
              </w:rPr>
            </w:pPr>
          </w:p>
        </w:tc>
        <w:tc>
          <w:tcPr>
            <w:tcW w:w="74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060" w:type="dxa"/>
            <w:vAlign w:val="bottom"/>
            <w:gridSpan w:val="2"/>
            <w:shd w:val="clear" w:color="auto" w:fill="023C5B"/>
          </w:tcPr>
          <w:p>
            <w:pPr>
              <w:ind w:left="60"/>
              <w:spacing w:after="0"/>
              <w:rPr>
                <w:sz w:val="20"/>
                <w:szCs w:val="20"/>
                <w:color w:val="auto"/>
              </w:rPr>
            </w:pPr>
            <w:r>
              <w:rPr>
                <w:rFonts w:ascii="Arial" w:cs="Arial" w:eastAsia="Arial" w:hAnsi="Arial"/>
                <w:sz w:val="16"/>
                <w:szCs w:val="16"/>
                <w:b w:val="1"/>
                <w:bCs w:val="1"/>
                <w:color w:val="FFFFFF"/>
              </w:rPr>
              <w:t>  Travel and</w:t>
            </w:r>
          </w:p>
        </w:tc>
        <w:tc>
          <w:tcPr>
            <w:tcW w:w="120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Health</w:t>
            </w:r>
          </w:p>
        </w:tc>
        <w:tc>
          <w:tcPr>
            <w:tcW w:w="100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52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Contribution</w:t>
            </w:r>
          </w:p>
        </w:tc>
        <w:tc>
          <w:tcPr>
            <w:tcW w:w="110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800" w:type="dxa"/>
            <w:vAlign w:val="bottom"/>
            <w:shd w:val="clear" w:color="auto" w:fill="023C5B"/>
          </w:tcPr>
          <w:p>
            <w:pPr>
              <w:spacing w:after="0"/>
              <w:rPr>
                <w:sz w:val="16"/>
                <w:szCs w:val="16"/>
                <w:color w:val="auto"/>
              </w:rPr>
            </w:pPr>
          </w:p>
        </w:tc>
      </w:tr>
      <w:tr>
        <w:trPr>
          <w:trHeight w:val="308"/>
        </w:trPr>
        <w:tc>
          <w:tcPr>
            <w:tcW w:w="3300" w:type="dxa"/>
            <w:vAlign w:val="bottom"/>
            <w:gridSpan w:val="3"/>
            <w:shd w:val="clear" w:color="auto" w:fill="023C5B"/>
          </w:tcPr>
          <w:p>
            <w:pPr>
              <w:spacing w:after="0"/>
              <w:rPr>
                <w:sz w:val="20"/>
                <w:szCs w:val="20"/>
                <w:color w:val="auto"/>
              </w:rPr>
            </w:pPr>
            <w:r>
              <w:rPr>
                <w:rFonts w:ascii="Arial" w:cs="Arial" w:eastAsia="Arial" w:hAnsi="Arial"/>
                <w:sz w:val="16"/>
                <w:szCs w:val="16"/>
                <w:b w:val="1"/>
                <w:bCs w:val="1"/>
                <w:color w:val="FFFFFF"/>
              </w:rPr>
              <w:t> Executive Officer</w:t>
            </w:r>
          </w:p>
        </w:tc>
        <w:tc>
          <w:tcPr>
            <w:tcW w:w="20" w:type="dxa"/>
            <w:vAlign w:val="bottom"/>
            <w:shd w:val="clear" w:color="auto" w:fill="023C5B"/>
          </w:tcPr>
          <w:p>
            <w:pPr>
              <w:spacing w:after="0"/>
              <w:rPr>
                <w:sz w:val="24"/>
                <w:szCs w:val="24"/>
                <w:color w:val="auto"/>
              </w:rPr>
            </w:pPr>
          </w:p>
        </w:tc>
        <w:tc>
          <w:tcPr>
            <w:tcW w:w="800" w:type="dxa"/>
            <w:vAlign w:val="bottom"/>
            <w:gridSpan w:val="2"/>
            <w:shd w:val="clear" w:color="auto" w:fill="023C5B"/>
          </w:tcPr>
          <w:p>
            <w:pPr>
              <w:ind w:left="60"/>
              <w:spacing w:after="0"/>
              <w:rPr>
                <w:sz w:val="20"/>
                <w:szCs w:val="20"/>
                <w:color w:val="auto"/>
              </w:rPr>
            </w:pPr>
            <w:r>
              <w:rPr>
                <w:rFonts w:ascii="Arial" w:cs="Arial" w:eastAsia="Arial" w:hAnsi="Arial"/>
                <w:sz w:val="16"/>
                <w:szCs w:val="16"/>
                <w:b w:val="1"/>
                <w:bCs w:val="1"/>
                <w:color w:val="FFFFFF"/>
              </w:rPr>
              <w:t>  Auto</w:t>
            </w:r>
            <w:r>
              <w:rPr>
                <w:rFonts w:ascii="Arial" w:cs="Arial" w:eastAsia="Arial" w:hAnsi="Arial"/>
                <w:sz w:val="24"/>
                <w:szCs w:val="24"/>
                <w:b w:val="1"/>
                <w:bCs w:val="1"/>
                <w:color w:val="FFFFFF"/>
                <w:vertAlign w:val="superscript"/>
              </w:rPr>
              <w:t>(a)</w:t>
            </w:r>
            <w:r>
              <w:rPr>
                <w:rFonts w:ascii="Arial" w:cs="Arial" w:eastAsia="Arial" w:hAnsi="Arial"/>
                <w:sz w:val="16"/>
                <w:szCs w:val="16"/>
                <w:b w:val="1"/>
                <w:bCs w:val="1"/>
                <w:color w:val="FFFFFF"/>
              </w:rPr>
              <w:t xml:space="preserve"> </w:t>
            </w:r>
          </w:p>
        </w:tc>
        <w:tc>
          <w:tcPr>
            <w:tcW w:w="106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5"/>
              </w:rPr>
              <w:t>Aircraft</w:t>
            </w:r>
            <w:r>
              <w:rPr>
                <w:rFonts w:ascii="Arial" w:cs="Arial" w:eastAsia="Arial" w:hAnsi="Arial"/>
                <w:sz w:val="24"/>
                <w:szCs w:val="24"/>
                <w:b w:val="1"/>
                <w:bCs w:val="1"/>
                <w:color w:val="FFFFFF"/>
                <w:w w:val="95"/>
                <w:vertAlign w:val="superscript"/>
              </w:rPr>
              <w:t>(b)</w:t>
            </w:r>
          </w:p>
        </w:tc>
        <w:tc>
          <w:tcPr>
            <w:tcW w:w="1200" w:type="dxa"/>
            <w:vAlign w:val="bottom"/>
            <w:gridSpan w:val="2"/>
            <w:shd w:val="clear" w:color="auto" w:fill="023C5B"/>
          </w:tcPr>
          <w:p>
            <w:pPr>
              <w:jc w:val="center"/>
              <w:ind w:right="20"/>
              <w:spacing w:after="0"/>
              <w:rPr>
                <w:sz w:val="20"/>
                <w:szCs w:val="20"/>
                <w:color w:val="auto"/>
              </w:rPr>
            </w:pPr>
            <w:r>
              <w:rPr>
                <w:rFonts w:ascii="Arial" w:cs="Arial" w:eastAsia="Arial" w:hAnsi="Arial"/>
                <w:sz w:val="16"/>
                <w:szCs w:val="16"/>
                <w:b w:val="1"/>
                <w:bCs w:val="1"/>
                <w:color w:val="FFFFFF"/>
                <w:w w:val="96"/>
              </w:rPr>
              <w:t>  Screening</w:t>
            </w:r>
            <w:r>
              <w:rPr>
                <w:rFonts w:ascii="Arial" w:cs="Arial" w:eastAsia="Arial" w:hAnsi="Arial"/>
                <w:sz w:val="24"/>
                <w:szCs w:val="24"/>
                <w:b w:val="1"/>
                <w:bCs w:val="1"/>
                <w:color w:val="FFFFFF"/>
                <w:w w:val="96"/>
                <w:vertAlign w:val="superscript"/>
              </w:rPr>
              <w:t>(c)</w:t>
            </w:r>
            <w:r>
              <w:rPr>
                <w:rFonts w:ascii="Arial" w:cs="Arial" w:eastAsia="Arial" w:hAnsi="Arial"/>
                <w:sz w:val="16"/>
                <w:szCs w:val="16"/>
                <w:b w:val="1"/>
                <w:bCs w:val="1"/>
                <w:color w:val="FFFFFF"/>
                <w:w w:val="96"/>
              </w:rPr>
              <w:t xml:space="preserve"> </w:t>
            </w:r>
          </w:p>
        </w:tc>
        <w:tc>
          <w:tcPr>
            <w:tcW w:w="1060" w:type="dxa"/>
            <w:vAlign w:val="bottom"/>
            <w:gridSpan w:val="2"/>
            <w:shd w:val="clear" w:color="auto" w:fill="023C5B"/>
          </w:tcPr>
          <w:p>
            <w:pPr>
              <w:ind w:left="60"/>
              <w:spacing w:after="0"/>
              <w:rPr>
                <w:sz w:val="20"/>
                <w:szCs w:val="20"/>
                <w:color w:val="auto"/>
              </w:rPr>
            </w:pPr>
            <w:r>
              <w:rPr>
                <w:rFonts w:ascii="Arial" w:cs="Arial" w:eastAsia="Arial" w:hAnsi="Arial"/>
                <w:sz w:val="16"/>
                <w:szCs w:val="16"/>
                <w:b w:val="1"/>
                <w:bCs w:val="1"/>
                <w:color w:val="FFFFFF"/>
              </w:rPr>
              <w:t>  Security</w:t>
            </w:r>
            <w:r>
              <w:rPr>
                <w:rFonts w:ascii="Arial" w:cs="Arial" w:eastAsia="Arial" w:hAnsi="Arial"/>
                <w:sz w:val="24"/>
                <w:szCs w:val="24"/>
                <w:b w:val="1"/>
                <w:bCs w:val="1"/>
                <w:color w:val="FFFFFF"/>
                <w:vertAlign w:val="superscript"/>
              </w:rPr>
              <w:t>(d)</w:t>
            </w:r>
            <w:r>
              <w:rPr>
                <w:rFonts w:ascii="Arial" w:cs="Arial" w:eastAsia="Arial" w:hAnsi="Arial"/>
                <w:sz w:val="16"/>
                <w:szCs w:val="16"/>
                <w:b w:val="1"/>
                <w:bCs w:val="1"/>
                <w:color w:val="FFFFFF"/>
              </w:rPr>
              <w:t xml:space="preserve"> </w:t>
            </w:r>
          </w:p>
        </w:tc>
        <w:tc>
          <w:tcPr>
            <w:tcW w:w="152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3"/>
              </w:rPr>
              <w:t>Plans</w:t>
            </w:r>
            <w:r>
              <w:rPr>
                <w:rFonts w:ascii="Arial" w:cs="Arial" w:eastAsia="Arial" w:hAnsi="Arial"/>
                <w:sz w:val="24"/>
                <w:szCs w:val="24"/>
                <w:b w:val="1"/>
                <w:bCs w:val="1"/>
                <w:color w:val="FFFFFF"/>
                <w:w w:val="93"/>
                <w:vertAlign w:val="superscript"/>
              </w:rPr>
              <w:t>(e)</w:t>
            </w:r>
          </w:p>
        </w:tc>
        <w:tc>
          <w:tcPr>
            <w:tcW w:w="1160" w:type="dxa"/>
            <w:vAlign w:val="bottom"/>
            <w:gridSpan w:val="2"/>
            <w:shd w:val="clear" w:color="auto" w:fill="023C5B"/>
          </w:tcPr>
          <w:p>
            <w:pPr>
              <w:ind w:left="60"/>
              <w:spacing w:after="0"/>
              <w:rPr>
                <w:sz w:val="20"/>
                <w:szCs w:val="20"/>
                <w:color w:val="auto"/>
              </w:rPr>
            </w:pPr>
            <w:r>
              <w:rPr>
                <w:rFonts w:ascii="Arial" w:cs="Arial" w:eastAsia="Arial" w:hAnsi="Arial"/>
                <w:sz w:val="16"/>
                <w:szCs w:val="16"/>
                <w:b w:val="1"/>
                <w:bCs w:val="1"/>
                <w:color w:val="FFFFFF"/>
              </w:rPr>
              <w:t>  Insurance</w:t>
            </w:r>
            <w:r>
              <w:rPr>
                <w:rFonts w:ascii="Arial" w:cs="Arial" w:eastAsia="Arial" w:hAnsi="Arial"/>
                <w:sz w:val="24"/>
                <w:szCs w:val="24"/>
                <w:b w:val="1"/>
                <w:bCs w:val="1"/>
                <w:color w:val="FFFFFF"/>
                <w:vertAlign w:val="superscript"/>
              </w:rPr>
              <w:t>(f)</w:t>
            </w:r>
            <w:r>
              <w:rPr>
                <w:rFonts w:ascii="Arial" w:cs="Arial" w:eastAsia="Arial" w:hAnsi="Arial"/>
                <w:sz w:val="16"/>
                <w:szCs w:val="16"/>
                <w:b w:val="1"/>
                <w:bCs w:val="1"/>
                <w:color w:val="FFFFFF"/>
              </w:rPr>
              <w:t xml:space="preserve"> </w:t>
            </w:r>
          </w:p>
        </w:tc>
        <w:tc>
          <w:tcPr>
            <w:tcW w:w="800" w:type="dxa"/>
            <w:vAlign w:val="bottom"/>
            <w:shd w:val="clear" w:color="auto" w:fill="023C5B"/>
          </w:tcPr>
          <w:p>
            <w:pPr>
              <w:ind w:left="60"/>
              <w:spacing w:after="0"/>
              <w:rPr>
                <w:sz w:val="20"/>
                <w:szCs w:val="20"/>
                <w:color w:val="auto"/>
              </w:rPr>
            </w:pPr>
            <w:r>
              <w:rPr>
                <w:rFonts w:ascii="Arial" w:cs="Arial" w:eastAsia="Arial" w:hAnsi="Arial"/>
                <w:sz w:val="16"/>
                <w:szCs w:val="16"/>
                <w:b w:val="1"/>
                <w:bCs w:val="1"/>
                <w:color w:val="FFFFFF"/>
                <w:w w:val="95"/>
              </w:rPr>
              <w:t>  Other</w:t>
            </w:r>
            <w:r>
              <w:rPr>
                <w:rFonts w:ascii="Arial" w:cs="Arial" w:eastAsia="Arial" w:hAnsi="Arial"/>
                <w:sz w:val="24"/>
                <w:szCs w:val="24"/>
                <w:b w:val="1"/>
                <w:bCs w:val="1"/>
                <w:color w:val="FFFFFF"/>
                <w:w w:val="95"/>
                <w:vertAlign w:val="superscript"/>
              </w:rPr>
              <w:t>(g)</w:t>
            </w:r>
            <w:r>
              <w:rPr>
                <w:rFonts w:ascii="Arial" w:cs="Arial" w:eastAsia="Arial" w:hAnsi="Arial"/>
                <w:sz w:val="16"/>
                <w:szCs w:val="16"/>
                <w:b w:val="1"/>
                <w:bCs w:val="1"/>
                <w:color w:val="FFFFFF"/>
                <w:w w:val="95"/>
              </w:rPr>
              <w:t xml:space="preserve"> </w:t>
            </w:r>
          </w:p>
        </w:tc>
      </w:tr>
      <w:tr>
        <w:trPr>
          <w:trHeight w:val="294"/>
        </w:trPr>
        <w:tc>
          <w:tcPr>
            <w:tcW w:w="3300" w:type="dxa"/>
            <w:vAlign w:val="bottom"/>
            <w:tcBorders>
              <w:bottom w:val="single" w:sz="8" w:color="E5EBEE"/>
            </w:tcBorders>
            <w:gridSpan w:val="3"/>
            <w:shd w:val="clear" w:color="auto" w:fill="E5EBEE"/>
          </w:tcPr>
          <w:p>
            <w:pPr>
              <w:spacing w:after="0"/>
              <w:rPr>
                <w:sz w:val="20"/>
                <w:szCs w:val="20"/>
                <w:color w:val="auto"/>
              </w:rPr>
            </w:pPr>
            <w:r>
              <w:rPr>
                <w:rFonts w:ascii="Arial" w:cs="Arial" w:eastAsia="Arial" w:hAnsi="Arial"/>
                <w:sz w:val="16"/>
                <w:szCs w:val="16"/>
                <w:color w:val="auto"/>
              </w:rPr>
              <w:t> Richard D. Fairbank</w:t>
            </w:r>
          </w:p>
        </w:tc>
        <w:tc>
          <w:tcPr>
            <w:tcW w:w="20" w:type="dxa"/>
            <w:vAlign w:val="bottom"/>
            <w:tcBorders>
              <w:bottom w:val="single" w:sz="8" w:color="E5EBEE"/>
            </w:tcBorders>
            <w:shd w:val="clear" w:color="auto" w:fill="E5EBEE"/>
          </w:tcPr>
          <w:p>
            <w:pPr>
              <w:spacing w:after="0"/>
              <w:rPr>
                <w:sz w:val="24"/>
                <w:szCs w:val="24"/>
                <w:color w:val="auto"/>
              </w:rPr>
            </w:pPr>
          </w:p>
        </w:tc>
        <w:tc>
          <w:tcPr>
            <w:tcW w:w="8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6"/>
              </w:rPr>
              <w:t>$—</w:t>
            </w: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$2,322</w:t>
            </w:r>
          </w:p>
        </w:tc>
        <w:tc>
          <w:tcPr>
            <w:tcW w:w="40" w:type="dxa"/>
            <w:vAlign w:val="bottom"/>
            <w:tcBorders>
              <w:bottom w:val="single" w:sz="8" w:color="E5EBEE"/>
            </w:tcBorders>
            <w:shd w:val="clear" w:color="auto" w:fill="E5EBEE"/>
          </w:tcPr>
          <w:p>
            <w:pPr>
              <w:spacing w:after="0"/>
              <w:rPr>
                <w:sz w:val="24"/>
                <w:szCs w:val="24"/>
                <w:color w:val="auto"/>
              </w:rPr>
            </w:pPr>
          </w:p>
        </w:tc>
        <w:tc>
          <w:tcPr>
            <w:tcW w:w="10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$53,195</w:t>
            </w:r>
          </w:p>
        </w:tc>
        <w:tc>
          <w:tcPr>
            <w:tcW w:w="60" w:type="dxa"/>
            <w:vAlign w:val="bottom"/>
            <w:tcBorders>
              <w:bottom w:val="single" w:sz="8" w:color="E5EBEE"/>
            </w:tcBorders>
            <w:shd w:val="clear" w:color="auto" w:fill="E5EBEE"/>
          </w:tcPr>
          <w:p>
            <w:pPr>
              <w:spacing w:after="0"/>
              <w:rPr>
                <w:sz w:val="24"/>
                <w:szCs w:val="24"/>
                <w:color w:val="auto"/>
              </w:rPr>
            </w:pPr>
          </w:p>
        </w:tc>
        <w:tc>
          <w:tcPr>
            <w:tcW w:w="15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$28,860</w:t>
            </w:r>
          </w:p>
        </w:tc>
        <w:tc>
          <w:tcPr>
            <w:tcW w:w="60" w:type="dxa"/>
            <w:vAlign w:val="bottom"/>
            <w:tcBorders>
              <w:bottom w:val="single" w:sz="8" w:color="E5EBEE"/>
            </w:tcBorders>
            <w:shd w:val="clear" w:color="auto" w:fill="E5EBEE"/>
          </w:tcPr>
          <w:p>
            <w:pPr>
              <w:spacing w:after="0"/>
              <w:rPr>
                <w:sz w:val="24"/>
                <w:szCs w:val="24"/>
                <w:color w:val="auto"/>
              </w:rPr>
            </w:pPr>
          </w:p>
        </w:tc>
        <w:tc>
          <w:tcPr>
            <w:tcW w:w="8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$48,900</w:t>
            </w:r>
          </w:p>
        </w:tc>
      </w:tr>
      <w:tr>
        <w:trPr>
          <w:trHeight w:val="244"/>
        </w:trPr>
        <w:tc>
          <w:tcPr>
            <w:tcW w:w="3280" w:type="dxa"/>
            <w:vAlign w:val="bottom"/>
            <w:tcBorders>
              <w:top w:val="single" w:sz="8" w:color="023C5B"/>
            </w:tcBorders>
            <w:gridSpan w:val="2"/>
          </w:tcPr>
          <w:p>
            <w:pPr>
              <w:spacing w:after="0"/>
              <w:rPr>
                <w:sz w:val="20"/>
                <w:szCs w:val="20"/>
                <w:color w:val="auto"/>
              </w:rPr>
            </w:pPr>
            <w:r>
              <w:rPr>
                <w:rFonts w:ascii="Arial" w:cs="Arial" w:eastAsia="Arial" w:hAnsi="Arial"/>
                <w:sz w:val="16"/>
                <w:szCs w:val="16"/>
                <w:color w:val="auto"/>
              </w:rPr>
              <w:t> Andrew M. Young</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rPr>
              <w:t>$50,030</w:t>
            </w:r>
          </w:p>
        </w:tc>
        <w:tc>
          <w:tcPr>
            <w:tcW w:w="60" w:type="dxa"/>
            <w:vAlign w:val="bottom"/>
          </w:tcPr>
          <w:p>
            <w:pPr>
              <w:spacing w:after="0"/>
              <w:rPr>
                <w:sz w:val="21"/>
                <w:szCs w:val="21"/>
                <w:color w:val="auto"/>
              </w:rPr>
            </w:pPr>
          </w:p>
        </w:tc>
        <w:tc>
          <w:tcPr>
            <w:tcW w:w="100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16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rPr>
              <w:t>$2,000</w:t>
            </w:r>
          </w:p>
        </w:tc>
        <w:tc>
          <w:tcPr>
            <w:tcW w:w="40" w:type="dxa"/>
            <w:vAlign w:val="bottom"/>
          </w:tcPr>
          <w:p>
            <w:pPr>
              <w:spacing w:after="0"/>
              <w:rPr>
                <w:sz w:val="21"/>
                <w:szCs w:val="21"/>
                <w:color w:val="auto"/>
              </w:rPr>
            </w:pPr>
          </w:p>
        </w:tc>
        <w:tc>
          <w:tcPr>
            <w:tcW w:w="100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rPr>
              <w:t>$19,562</w:t>
            </w:r>
          </w:p>
        </w:tc>
        <w:tc>
          <w:tcPr>
            <w:tcW w:w="60" w:type="dxa"/>
            <w:vAlign w:val="bottom"/>
          </w:tcPr>
          <w:p>
            <w:pPr>
              <w:spacing w:after="0"/>
              <w:rPr>
                <w:sz w:val="21"/>
                <w:szCs w:val="21"/>
                <w:color w:val="auto"/>
              </w:rPr>
            </w:pPr>
          </w:p>
        </w:tc>
        <w:tc>
          <w:tcPr>
            <w:tcW w:w="148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w w:val="98"/>
              </w:rPr>
              <w:t>$178,705</w:t>
            </w:r>
          </w:p>
        </w:tc>
        <w:tc>
          <w:tcPr>
            <w:tcW w:w="40" w:type="dxa"/>
            <w:vAlign w:val="bottom"/>
          </w:tcPr>
          <w:p>
            <w:pPr>
              <w:spacing w:after="0"/>
              <w:rPr>
                <w:sz w:val="21"/>
                <w:szCs w:val="21"/>
                <w:color w:val="auto"/>
              </w:rPr>
            </w:pPr>
          </w:p>
        </w:tc>
        <w:tc>
          <w:tcPr>
            <w:tcW w:w="110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w w:val="98"/>
              </w:rPr>
              <w:t>$4,740</w:t>
            </w:r>
          </w:p>
        </w:tc>
        <w:tc>
          <w:tcPr>
            <w:tcW w:w="60" w:type="dxa"/>
            <w:vAlign w:val="bottom"/>
          </w:tcPr>
          <w:p>
            <w:pPr>
              <w:spacing w:after="0"/>
              <w:rPr>
                <w:sz w:val="21"/>
                <w:szCs w:val="21"/>
                <w:color w:val="auto"/>
              </w:rPr>
            </w:pPr>
          </w:p>
        </w:tc>
        <w:tc>
          <w:tcPr>
            <w:tcW w:w="80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rPr>
              <w:t>$5,046</w:t>
            </w:r>
          </w:p>
        </w:tc>
      </w:tr>
      <w:tr>
        <w:trPr>
          <w:trHeight w:val="30"/>
        </w:trPr>
        <w:tc>
          <w:tcPr>
            <w:tcW w:w="1220" w:type="dxa"/>
            <w:vAlign w:val="bottom"/>
            <w:tcBorders>
              <w:bottom w:val="single" w:sz="8" w:color="023C5B"/>
            </w:tcBorders>
          </w:tcPr>
          <w:p>
            <w:pPr>
              <w:spacing w:after="0"/>
              <w:rPr>
                <w:sz w:val="2"/>
                <w:szCs w:val="2"/>
                <w:color w:val="auto"/>
              </w:rPr>
            </w:pPr>
          </w:p>
        </w:tc>
        <w:tc>
          <w:tcPr>
            <w:tcW w:w="2060" w:type="dxa"/>
            <w:vAlign w:val="bottom"/>
            <w:tcBorders>
              <w:bottom w:val="single" w:sz="8" w:color="023C5B"/>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74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100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1160" w:type="dxa"/>
            <w:vAlign w:val="bottom"/>
            <w:tcBorders>
              <w:bottom w:val="single" w:sz="8" w:color="023C5B"/>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100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1480" w:type="dxa"/>
            <w:vAlign w:val="bottom"/>
            <w:tcBorders>
              <w:bottom w:val="single" w:sz="8" w:color="023C5B"/>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110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800" w:type="dxa"/>
            <w:vAlign w:val="bottom"/>
            <w:tcBorders>
              <w:bottom w:val="single" w:sz="8" w:color="023C5B"/>
            </w:tcBorders>
          </w:tcPr>
          <w:p>
            <w:pPr>
              <w:spacing w:after="0"/>
              <w:rPr>
                <w:sz w:val="2"/>
                <w:szCs w:val="2"/>
                <w:color w:val="auto"/>
              </w:rPr>
            </w:pPr>
          </w:p>
        </w:tc>
      </w:tr>
      <w:tr>
        <w:trPr>
          <w:trHeight w:val="274"/>
        </w:trPr>
        <w:tc>
          <w:tcPr>
            <w:tcW w:w="3300" w:type="dxa"/>
            <w:vAlign w:val="bottom"/>
            <w:tcBorders>
              <w:bottom w:val="single" w:sz="8" w:color="E5EBEE"/>
            </w:tcBorders>
            <w:gridSpan w:val="3"/>
            <w:shd w:val="clear" w:color="auto" w:fill="E5EBEE"/>
          </w:tcPr>
          <w:p>
            <w:pPr>
              <w:spacing w:after="0"/>
              <w:rPr>
                <w:sz w:val="20"/>
                <w:szCs w:val="20"/>
                <w:color w:val="auto"/>
              </w:rPr>
            </w:pPr>
            <w:r>
              <w:rPr>
                <w:rFonts w:ascii="Arial" w:cs="Arial" w:eastAsia="Arial" w:hAnsi="Arial"/>
                <w:sz w:val="16"/>
                <w:szCs w:val="16"/>
                <w:color w:val="auto"/>
              </w:rPr>
              <w:t> Matthew W. Cooper</w:t>
            </w:r>
          </w:p>
        </w:tc>
        <w:tc>
          <w:tcPr>
            <w:tcW w:w="7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rPr>
              <w:t>$57,025</w:t>
            </w:r>
          </w:p>
        </w:tc>
        <w:tc>
          <w:tcPr>
            <w:tcW w:w="60" w:type="dxa"/>
            <w:vAlign w:val="bottom"/>
            <w:tcBorders>
              <w:bottom w:val="single" w:sz="8" w:color="E5EBEE"/>
            </w:tcBorders>
            <w:shd w:val="clear" w:color="auto" w:fill="E5EBEE"/>
          </w:tcPr>
          <w:p>
            <w:pPr>
              <w:spacing w:after="0"/>
              <w:rPr>
                <w:sz w:val="23"/>
                <w:szCs w:val="23"/>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$4,000</w:t>
            </w:r>
          </w:p>
        </w:tc>
        <w:tc>
          <w:tcPr>
            <w:tcW w:w="40" w:type="dxa"/>
            <w:vAlign w:val="bottom"/>
            <w:tcBorders>
              <w:bottom w:val="single" w:sz="8" w:color="E5EBEE"/>
            </w:tcBorders>
            <w:shd w:val="clear" w:color="auto" w:fill="E5EBEE"/>
          </w:tcPr>
          <w:p>
            <w:pPr>
              <w:spacing w:after="0"/>
              <w:rPr>
                <w:sz w:val="23"/>
                <w:szCs w:val="23"/>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6"/>
              </w:rPr>
              <w:t>$—</w:t>
            </w:r>
          </w:p>
        </w:tc>
        <w:tc>
          <w:tcPr>
            <w:tcW w:w="14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8"/>
              </w:rPr>
              <w:t>$218,265</w:t>
            </w:r>
          </w:p>
        </w:tc>
        <w:tc>
          <w:tcPr>
            <w:tcW w:w="40" w:type="dxa"/>
            <w:vAlign w:val="bottom"/>
            <w:tcBorders>
              <w:bottom w:val="single" w:sz="8" w:color="E5EBEE"/>
            </w:tcBorders>
            <w:shd w:val="clear" w:color="auto" w:fill="E5EBEE"/>
          </w:tcPr>
          <w:p>
            <w:pPr>
              <w:spacing w:after="0"/>
              <w:rPr>
                <w:sz w:val="23"/>
                <w:szCs w:val="23"/>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8"/>
              </w:rPr>
              <w:t>$4,740</w:t>
            </w:r>
          </w:p>
        </w:tc>
        <w:tc>
          <w:tcPr>
            <w:tcW w:w="60" w:type="dxa"/>
            <w:vAlign w:val="bottom"/>
            <w:tcBorders>
              <w:bottom w:val="single" w:sz="8" w:color="E5EBEE"/>
            </w:tcBorders>
            <w:shd w:val="clear" w:color="auto" w:fill="E5EBEE"/>
          </w:tcPr>
          <w:p>
            <w:pPr>
              <w:spacing w:after="0"/>
              <w:rPr>
                <w:sz w:val="23"/>
                <w:szCs w:val="23"/>
                <w:color w:val="auto"/>
              </w:rPr>
            </w:pPr>
          </w:p>
        </w:tc>
        <w:tc>
          <w:tcPr>
            <w:tcW w:w="8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$9,876</w:t>
            </w:r>
          </w:p>
        </w:tc>
      </w:tr>
      <w:tr>
        <w:trPr>
          <w:trHeight w:val="244"/>
        </w:trPr>
        <w:tc>
          <w:tcPr>
            <w:tcW w:w="3280" w:type="dxa"/>
            <w:vAlign w:val="bottom"/>
            <w:tcBorders>
              <w:top w:val="single" w:sz="8" w:color="023C5B"/>
            </w:tcBorders>
            <w:gridSpan w:val="2"/>
          </w:tcPr>
          <w:p>
            <w:pPr>
              <w:spacing w:after="0"/>
              <w:rPr>
                <w:sz w:val="20"/>
                <w:szCs w:val="20"/>
                <w:color w:val="auto"/>
              </w:rPr>
            </w:pPr>
            <w:r>
              <w:rPr>
                <w:rFonts w:ascii="Arial" w:cs="Arial" w:eastAsia="Arial" w:hAnsi="Arial"/>
                <w:sz w:val="16"/>
                <w:szCs w:val="16"/>
                <w:color w:val="auto"/>
              </w:rPr>
              <w:t> Mark Daniel Mouadeb</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rPr>
              <w:t>$36,490</w:t>
            </w:r>
          </w:p>
        </w:tc>
        <w:tc>
          <w:tcPr>
            <w:tcW w:w="60" w:type="dxa"/>
            <w:vAlign w:val="bottom"/>
          </w:tcPr>
          <w:p>
            <w:pPr>
              <w:spacing w:after="0"/>
              <w:rPr>
                <w:sz w:val="21"/>
                <w:szCs w:val="21"/>
                <w:color w:val="auto"/>
              </w:rPr>
            </w:pPr>
          </w:p>
        </w:tc>
        <w:tc>
          <w:tcPr>
            <w:tcW w:w="100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16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w w:val="96"/>
              </w:rPr>
              <w:t>$—</w:t>
            </w:r>
          </w:p>
        </w:tc>
        <w:tc>
          <w:tcPr>
            <w:tcW w:w="40" w:type="dxa"/>
            <w:vAlign w:val="bottom"/>
          </w:tcPr>
          <w:p>
            <w:pPr>
              <w:spacing w:after="0"/>
              <w:rPr>
                <w:sz w:val="21"/>
                <w:szCs w:val="21"/>
                <w:color w:val="auto"/>
              </w:rPr>
            </w:pPr>
          </w:p>
        </w:tc>
        <w:tc>
          <w:tcPr>
            <w:tcW w:w="100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rPr>
              <w:t>$43,288</w:t>
            </w:r>
          </w:p>
        </w:tc>
        <w:tc>
          <w:tcPr>
            <w:tcW w:w="60" w:type="dxa"/>
            <w:vAlign w:val="bottom"/>
          </w:tcPr>
          <w:p>
            <w:pPr>
              <w:spacing w:after="0"/>
              <w:rPr>
                <w:sz w:val="21"/>
                <w:szCs w:val="21"/>
                <w:color w:val="auto"/>
              </w:rPr>
            </w:pPr>
          </w:p>
        </w:tc>
        <w:tc>
          <w:tcPr>
            <w:tcW w:w="148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w w:val="98"/>
              </w:rPr>
              <w:t>$181,868</w:t>
            </w:r>
          </w:p>
        </w:tc>
        <w:tc>
          <w:tcPr>
            <w:tcW w:w="40" w:type="dxa"/>
            <w:vAlign w:val="bottom"/>
          </w:tcPr>
          <w:p>
            <w:pPr>
              <w:spacing w:after="0"/>
              <w:rPr>
                <w:sz w:val="21"/>
                <w:szCs w:val="21"/>
                <w:color w:val="auto"/>
              </w:rPr>
            </w:pPr>
          </w:p>
        </w:tc>
        <w:tc>
          <w:tcPr>
            <w:tcW w:w="110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w w:val="98"/>
              </w:rPr>
              <w:t>$2,040</w:t>
            </w:r>
          </w:p>
        </w:tc>
        <w:tc>
          <w:tcPr>
            <w:tcW w:w="60" w:type="dxa"/>
            <w:vAlign w:val="bottom"/>
          </w:tcPr>
          <w:p>
            <w:pPr>
              <w:spacing w:after="0"/>
              <w:rPr>
                <w:sz w:val="21"/>
                <w:szCs w:val="21"/>
                <w:color w:val="auto"/>
              </w:rPr>
            </w:pPr>
          </w:p>
        </w:tc>
        <w:tc>
          <w:tcPr>
            <w:tcW w:w="80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rPr>
              <w:t>$7,305</w:t>
            </w:r>
          </w:p>
        </w:tc>
      </w:tr>
      <w:tr>
        <w:trPr>
          <w:trHeight w:val="30"/>
        </w:trPr>
        <w:tc>
          <w:tcPr>
            <w:tcW w:w="1220" w:type="dxa"/>
            <w:vAlign w:val="bottom"/>
            <w:tcBorders>
              <w:bottom w:val="single" w:sz="8" w:color="023C5B"/>
            </w:tcBorders>
          </w:tcPr>
          <w:p>
            <w:pPr>
              <w:spacing w:after="0"/>
              <w:rPr>
                <w:sz w:val="2"/>
                <w:szCs w:val="2"/>
                <w:color w:val="auto"/>
              </w:rPr>
            </w:pPr>
          </w:p>
        </w:tc>
        <w:tc>
          <w:tcPr>
            <w:tcW w:w="2060" w:type="dxa"/>
            <w:vAlign w:val="bottom"/>
            <w:tcBorders>
              <w:bottom w:val="single" w:sz="8" w:color="023C5B"/>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74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100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1160" w:type="dxa"/>
            <w:vAlign w:val="bottom"/>
            <w:tcBorders>
              <w:bottom w:val="single" w:sz="8" w:color="023C5B"/>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100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1480" w:type="dxa"/>
            <w:vAlign w:val="bottom"/>
            <w:tcBorders>
              <w:bottom w:val="single" w:sz="8" w:color="023C5B"/>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110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800" w:type="dxa"/>
            <w:vAlign w:val="bottom"/>
            <w:tcBorders>
              <w:bottom w:val="single" w:sz="8" w:color="023C5B"/>
            </w:tcBorders>
          </w:tcPr>
          <w:p>
            <w:pPr>
              <w:spacing w:after="0"/>
              <w:rPr>
                <w:sz w:val="2"/>
                <w:szCs w:val="2"/>
                <w:color w:val="auto"/>
              </w:rPr>
            </w:pPr>
          </w:p>
        </w:tc>
      </w:tr>
      <w:tr>
        <w:trPr>
          <w:trHeight w:val="279"/>
        </w:trPr>
        <w:tc>
          <w:tcPr>
            <w:tcW w:w="3300" w:type="dxa"/>
            <w:vAlign w:val="bottom"/>
            <w:tcBorders>
              <w:bottom w:val="single" w:sz="8" w:color="E5EBEE"/>
            </w:tcBorders>
            <w:gridSpan w:val="3"/>
            <w:shd w:val="clear" w:color="auto" w:fill="E5EBEE"/>
          </w:tcPr>
          <w:p>
            <w:pPr>
              <w:spacing w:after="0"/>
              <w:rPr>
                <w:sz w:val="20"/>
                <w:szCs w:val="20"/>
                <w:color w:val="auto"/>
              </w:rPr>
            </w:pPr>
            <w:r>
              <w:rPr>
                <w:rFonts w:ascii="Arial" w:cs="Arial" w:eastAsia="Arial" w:hAnsi="Arial"/>
                <w:sz w:val="16"/>
                <w:szCs w:val="16"/>
                <w:color w:val="auto"/>
              </w:rPr>
              <w:t> Frank G. LaPrade, III</w:t>
            </w:r>
          </w:p>
        </w:tc>
        <w:tc>
          <w:tcPr>
            <w:tcW w:w="7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rPr>
              <w:t>$19,568</w:t>
            </w:r>
          </w:p>
        </w:tc>
        <w:tc>
          <w:tcPr>
            <w:tcW w:w="60" w:type="dxa"/>
            <w:vAlign w:val="bottom"/>
            <w:tcBorders>
              <w:bottom w:val="single" w:sz="8" w:color="E5EBEE"/>
            </w:tcBorders>
            <w:shd w:val="clear" w:color="auto" w:fill="E5EBEE"/>
          </w:tcPr>
          <w:p>
            <w:pPr>
              <w:spacing w:after="0"/>
              <w:rPr>
                <w:sz w:val="23"/>
                <w:szCs w:val="23"/>
                <w:color w:val="auto"/>
              </w:rPr>
            </w:pPr>
          </w:p>
        </w:tc>
        <w:tc>
          <w:tcPr>
            <w:tcW w:w="10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6"/>
                <w:szCs w:val="16"/>
                <w:color w:val="auto"/>
                <w:w w:val="96"/>
              </w:rPr>
              <w:t>$—</w:t>
            </w:r>
          </w:p>
        </w:tc>
        <w:tc>
          <w:tcPr>
            <w:tcW w:w="10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$50,167</w:t>
            </w:r>
          </w:p>
        </w:tc>
        <w:tc>
          <w:tcPr>
            <w:tcW w:w="60" w:type="dxa"/>
            <w:vAlign w:val="bottom"/>
            <w:tcBorders>
              <w:bottom w:val="single" w:sz="8" w:color="E5EBEE"/>
            </w:tcBorders>
            <w:shd w:val="clear" w:color="auto" w:fill="E5EBEE"/>
          </w:tcPr>
          <w:p>
            <w:pPr>
              <w:spacing w:after="0"/>
              <w:rPr>
                <w:sz w:val="23"/>
                <w:szCs w:val="23"/>
                <w:color w:val="auto"/>
              </w:rPr>
            </w:pPr>
          </w:p>
        </w:tc>
        <w:tc>
          <w:tcPr>
            <w:tcW w:w="14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8"/>
              </w:rPr>
              <w:t>$179,508</w:t>
            </w:r>
          </w:p>
        </w:tc>
        <w:tc>
          <w:tcPr>
            <w:tcW w:w="40" w:type="dxa"/>
            <w:vAlign w:val="bottom"/>
            <w:tcBorders>
              <w:bottom w:val="single" w:sz="8" w:color="E5EBEE"/>
            </w:tcBorders>
            <w:shd w:val="clear" w:color="auto" w:fill="E5EBEE"/>
          </w:tcPr>
          <w:p>
            <w:pPr>
              <w:spacing w:after="0"/>
              <w:rPr>
                <w:sz w:val="23"/>
                <w:szCs w:val="23"/>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8"/>
              </w:rPr>
              <w:t>$7,080</w:t>
            </w:r>
          </w:p>
        </w:tc>
        <w:tc>
          <w:tcPr>
            <w:tcW w:w="60" w:type="dxa"/>
            <w:vAlign w:val="bottom"/>
            <w:tcBorders>
              <w:bottom w:val="single" w:sz="8" w:color="E5EBEE"/>
            </w:tcBorders>
            <w:shd w:val="clear" w:color="auto" w:fill="E5EBEE"/>
          </w:tcPr>
          <w:p>
            <w:pPr>
              <w:spacing w:after="0"/>
              <w:rPr>
                <w:sz w:val="23"/>
                <w:szCs w:val="23"/>
                <w:color w:val="auto"/>
              </w:rPr>
            </w:pPr>
          </w:p>
        </w:tc>
        <w:tc>
          <w:tcPr>
            <w:tcW w:w="8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$4,697</w:t>
            </w:r>
          </w:p>
        </w:tc>
      </w:tr>
      <w:tr>
        <w:trPr>
          <w:trHeight w:val="127"/>
        </w:trPr>
        <w:tc>
          <w:tcPr>
            <w:tcW w:w="1220" w:type="dxa"/>
            <w:vAlign w:val="bottom"/>
            <w:tcBorders>
              <w:top w:val="single" w:sz="8" w:color="023C5B"/>
              <w:bottom w:val="single" w:sz="8" w:color="auto"/>
            </w:tcBorders>
          </w:tcPr>
          <w:p>
            <w:pPr>
              <w:spacing w:after="0"/>
              <w:rPr>
                <w:sz w:val="11"/>
                <w:szCs w:val="11"/>
                <w:color w:val="auto"/>
              </w:rPr>
            </w:pPr>
          </w:p>
        </w:tc>
        <w:tc>
          <w:tcPr>
            <w:tcW w:w="2060" w:type="dxa"/>
            <w:vAlign w:val="bottom"/>
            <w:tcBorders>
              <w:top w:val="single" w:sz="8" w:color="023C5B"/>
            </w:tcBorders>
          </w:tcPr>
          <w:p>
            <w:pPr>
              <w:spacing w:after="0"/>
              <w:rPr>
                <w:sz w:val="11"/>
                <w:szCs w:val="11"/>
                <w:color w:val="auto"/>
              </w:rPr>
            </w:pPr>
          </w:p>
        </w:tc>
        <w:tc>
          <w:tcPr>
            <w:tcW w:w="20" w:type="dxa"/>
            <w:vAlign w:val="bottom"/>
            <w:tcBorders>
              <w:top w:val="single" w:sz="8" w:color="023C5B"/>
            </w:tcBorders>
          </w:tcPr>
          <w:p>
            <w:pPr>
              <w:spacing w:after="0"/>
              <w:rPr>
                <w:sz w:val="11"/>
                <w:szCs w:val="11"/>
                <w:color w:val="auto"/>
              </w:rPr>
            </w:pPr>
          </w:p>
        </w:tc>
        <w:tc>
          <w:tcPr>
            <w:tcW w:w="20" w:type="dxa"/>
            <w:vAlign w:val="bottom"/>
            <w:tcBorders>
              <w:top w:val="single" w:sz="8" w:color="023C5B"/>
            </w:tcBorders>
          </w:tcPr>
          <w:p>
            <w:pPr>
              <w:spacing w:after="0"/>
              <w:rPr>
                <w:sz w:val="11"/>
                <w:szCs w:val="11"/>
                <w:color w:val="auto"/>
              </w:rPr>
            </w:pPr>
          </w:p>
        </w:tc>
        <w:tc>
          <w:tcPr>
            <w:tcW w:w="74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100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1160" w:type="dxa"/>
            <w:vAlign w:val="bottom"/>
            <w:tcBorders>
              <w:top w:val="single" w:sz="8" w:color="023C5B"/>
            </w:tcBorders>
          </w:tcPr>
          <w:p>
            <w:pPr>
              <w:spacing w:after="0"/>
              <w:rPr>
                <w:sz w:val="11"/>
                <w:szCs w:val="11"/>
                <w:color w:val="auto"/>
              </w:rPr>
            </w:pPr>
          </w:p>
        </w:tc>
        <w:tc>
          <w:tcPr>
            <w:tcW w:w="40" w:type="dxa"/>
            <w:vAlign w:val="bottom"/>
            <w:tcBorders>
              <w:top w:val="single" w:sz="8" w:color="023C5B"/>
            </w:tcBorders>
          </w:tcPr>
          <w:p>
            <w:pPr>
              <w:spacing w:after="0"/>
              <w:rPr>
                <w:sz w:val="11"/>
                <w:szCs w:val="11"/>
                <w:color w:val="auto"/>
              </w:rPr>
            </w:pPr>
          </w:p>
        </w:tc>
        <w:tc>
          <w:tcPr>
            <w:tcW w:w="100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1480" w:type="dxa"/>
            <w:vAlign w:val="bottom"/>
            <w:tcBorders>
              <w:top w:val="single" w:sz="8" w:color="023C5B"/>
            </w:tcBorders>
          </w:tcPr>
          <w:p>
            <w:pPr>
              <w:spacing w:after="0"/>
              <w:rPr>
                <w:sz w:val="11"/>
                <w:szCs w:val="11"/>
                <w:color w:val="auto"/>
              </w:rPr>
            </w:pPr>
          </w:p>
        </w:tc>
        <w:tc>
          <w:tcPr>
            <w:tcW w:w="40" w:type="dxa"/>
            <w:vAlign w:val="bottom"/>
            <w:tcBorders>
              <w:top w:val="single" w:sz="8" w:color="023C5B"/>
            </w:tcBorders>
          </w:tcPr>
          <w:p>
            <w:pPr>
              <w:spacing w:after="0"/>
              <w:rPr>
                <w:sz w:val="11"/>
                <w:szCs w:val="11"/>
                <w:color w:val="auto"/>
              </w:rPr>
            </w:pPr>
          </w:p>
        </w:tc>
        <w:tc>
          <w:tcPr>
            <w:tcW w:w="110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800" w:type="dxa"/>
            <w:vAlign w:val="bottom"/>
            <w:tcBorders>
              <w:top w:val="single" w:sz="8" w:color="023C5B"/>
            </w:tcBorders>
          </w:tcPr>
          <w:p>
            <w:pPr>
              <w:spacing w:after="0"/>
              <w:rPr>
                <w:sz w:val="11"/>
                <w:szCs w:val="11"/>
                <w:color w:val="auto"/>
              </w:rPr>
            </w:pPr>
          </w:p>
        </w:tc>
      </w:tr>
    </w:tbl>
    <w:p>
      <w:pPr>
        <w:spacing w:after="0" w:line="31" w:lineRule="exact"/>
        <w:rPr>
          <w:sz w:val="20"/>
          <w:szCs w:val="20"/>
          <w:color w:val="auto"/>
        </w:rPr>
      </w:pPr>
    </w:p>
    <w:p>
      <w:pPr>
        <w:jc w:val="both"/>
        <w:ind w:left="600" w:hanging="433"/>
        <w:spacing w:after="0" w:line="260" w:lineRule="auto"/>
        <w:tabs>
          <w:tab w:leader="none" w:pos="6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cost of these benefits is determined on an annual basis and includes, as applicable, annual car lease or car service, costs attributable to the difference between fair market value and the purchase price paid for the leased vehicle, and other related miscellaneous expenses (such as fuel and maintenance). Mr. Fairbank does not participate in the Company-provided automotive benefit.</w:t>
      </w:r>
    </w:p>
    <w:p>
      <w:pPr>
        <w:spacing w:after="0" w:line="38"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NEOs are required to reimburse the Company for personal use of the corporate aircraft, subject to limitations under federal aviation regulations and other applicable law. In 2025, there was no incremental cost associated with the NEOs’ use of the corporate aircraft for personal travel.</w:t>
      </w:r>
    </w:p>
    <w:p>
      <w:pPr>
        <w:spacing w:after="0" w:line="24" w:lineRule="exact"/>
        <w:rPr>
          <w:rFonts w:ascii="Arial" w:cs="Arial" w:eastAsia="Arial" w:hAnsi="Arial"/>
          <w:sz w:val="14"/>
          <w:szCs w:val="14"/>
          <w:color w:val="auto"/>
        </w:rPr>
      </w:pPr>
    </w:p>
    <w:p>
      <w:pPr>
        <w:ind w:left="600" w:hanging="433"/>
        <w:spacing w:after="0"/>
        <w:tabs>
          <w:tab w:leader="none" w:pos="6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Represents cost attributable to the annual physical program where executives have the opportunity to receive a comprehensive health screening once a year.</w:t>
      </w:r>
    </w:p>
    <w:p>
      <w:pPr>
        <w:spacing w:after="0" w:line="79" w:lineRule="exact"/>
        <w:rPr>
          <w:rFonts w:ascii="Arial" w:cs="Arial" w:eastAsia="Arial" w:hAnsi="Arial"/>
          <w:sz w:val="14"/>
          <w:szCs w:val="14"/>
          <w:color w:val="auto"/>
        </w:rPr>
      </w:pPr>
    </w:p>
    <w:p>
      <w:pPr>
        <w:jc w:val="both"/>
        <w:ind w:left="600" w:hanging="433"/>
        <w:spacing w:after="0" w:line="266" w:lineRule="auto"/>
        <w:tabs>
          <w:tab w:leader="none" w:pos="6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Represents aggregate cost to the Company for security services provided to executives. For Mr. Fairbank, the amount also includes costs attributable to a security guard who provides personal security to Mr. Fairbank. The percent of personal use of the security guard’s services is applied to the full expense amount of personal security.</w:t>
      </w:r>
    </w:p>
    <w:p>
      <w:pPr>
        <w:spacing w:after="0" w:line="204"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Represents Company contributions under qualified 401(k) and non-qualified deferred compensation programs. See the 2025 Non-Qualified Deferred Compensation table below for additional information on the contribution.</w:t>
      </w:r>
    </w:p>
    <w:p>
      <w:pPr>
        <w:spacing w:after="0" w:line="24" w:lineRule="exact"/>
        <w:rPr>
          <w:rFonts w:ascii="Arial" w:cs="Arial" w:eastAsia="Arial" w:hAnsi="Arial"/>
          <w:sz w:val="14"/>
          <w:szCs w:val="14"/>
          <w:color w:val="auto"/>
        </w:rPr>
      </w:pPr>
    </w:p>
    <w:p>
      <w:pPr>
        <w:ind w:left="600" w:hanging="433"/>
        <w:spacing w:after="0"/>
        <w:tabs>
          <w:tab w:leader="none" w:pos="6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Represents life insurance premiums paid on behalf of the executives.</w:t>
      </w:r>
    </w:p>
    <w:p>
      <w:pPr>
        <w:spacing w:after="0" w:line="79"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Represents contributions made by Capital One to charitable organizations chosen by the CEO (for 2025, the amount of these contributions was $40,000) and the other NEOs. This also includes NEO usage of Capital One-sponsored event tickets, Capital One products, and recognition items.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2025 Grants of Plan-Based Awards</w:t>
      </w:r>
    </w:p>
    <w:p>
      <w:pPr>
        <w:spacing w:after="0" w:line="22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Grants of Plan-Based Awards table provides details on equity incentive plan awards granted in 2025, including cash-settled RSUs, performance shares, and stock-settled RSUs. The columns reporting “Estimated Future Payouts Under Equity Incentive Plan Awards” and “All Other Stock Awards” relate to Capital One’s equity-based incentives awarded to the NEOs.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2025 Grants to CEO</w:t>
      </w:r>
    </w:p>
    <w:p>
      <w:pPr>
        <w:spacing w:after="0" w:line="22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In 2025, awards granted to the CEO consist of Financial Performance Shares and TSR Performance Shares (each as defined on page 69 under “Performance Share Awards”) granted in February 2025 as part of the CEO’s 2024 compensation program and (i) cash-settled RSUs granted in February 2025 for the 2024 performance year; and</w:t>
      </w:r>
    </w:p>
    <w:p>
      <w:pPr>
        <w:spacing w:after="0" w:line="97"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100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46" w:lineRule="exact"/>
        <w:rPr>
          <w:sz w:val="20"/>
          <w:szCs w:val="20"/>
          <w:color w:val="auto"/>
        </w:rPr>
      </w:pPr>
    </w:p>
    <w:p>
      <w:pPr>
        <w:jc w:val="both"/>
        <w:ind w:left="160" w:firstLine="7"/>
        <w:spacing w:after="0" w:line="243" w:lineRule="auto"/>
        <w:tabs>
          <w:tab w:leader="none" w:pos="41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cash-settled RSUs granted in February 2025 for the 2025 performance year, representing 6% of the CEO’s total compensation for the 2025 performance year. In 2025, the CEO additionally received an RSU grant as described in “Discover-Related Special Awards” beginning on page 86. The Discover-Related Special Award, which has five-year cliff vesting and will settle 50% in stock and 50% in cash, was not awarded as part of performance year compensation.</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Performance Shares</w:t>
      </w:r>
    </w:p>
    <w:p>
      <w:pPr>
        <w:spacing w:after="0" w:line="20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actual number of shares earned and issued with respect to Financial Performance Shares will be based on the Company’s PSU Adjusted ROTCE and D+TBV/Sh (each as described on page 70 under “Performance Share Award Metrics”) over the three-year period from January 1, 2025 through December 31, 2027, relative to the Performance Share Peers (as described on page 71). In addition, the total value delivered at vesting will be reduced if the Company’s PSU Adjusted ROTCE for one or more fiscal years completed during the performance period is not positive, no matter how well the Company performs relative to the Performance Share Peers.</w:t>
      </w:r>
    </w:p>
    <w:p>
      <w:pPr>
        <w:spacing w:after="0" w:line="182"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actual number of shares earned and issued with respect to TSR Performance Shares will be based on the Company’s TSR (as defined on page 70 under “Performance Share Award Metrics”) over the three-year period from January 1, 2025 through December 31, 2027, relative to the Performance Share Peers.</w:t>
      </w:r>
    </w:p>
    <w:p>
      <w:pPr>
        <w:spacing w:after="0" w:line="17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See “2025 CEO Compensation Components” beginning on page 68 for more details on the 2025 performance share awards. Dividend equivalents accrue on the performance shares at the same time as dividends are paid out to holders of shares of Capital One common stock and are paid out as additional shares only on the performance shares that actually vest based on the results certified by the Committee.</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Cash-Settled RSUs</w:t>
      </w:r>
    </w:p>
    <w:p>
      <w:pPr>
        <w:spacing w:after="0" w:line="20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Year-End Incentive RSUs were granted in February 2025 for 2024 performance, and RSUs were granted in February 2025 for the 2025 performance year. These RSUs vest in full on February 15, 2028 and settle in cash based on the average closing price of Capital One common stock for the 15 trading days preceding the vesting date. Dividend equivalents accrue on the cash-settled RSUs at the same time as dividends are paid to holders of shares of Capital One common stock and are paid in cash at the time of vesting, adjusted for performance-based vesting results. See “2025 CEO Compensation Program and Components” beginning on page 67 for more details on the 2025 cash-settled RSU awards.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2025 Grants to NEOs (other than the CEO)</w:t>
      </w:r>
    </w:p>
    <w:p>
      <w:pPr>
        <w:spacing w:after="0" w:line="22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For 2025, the awards granted to NEOs other than the CEO consist of Financial Performance Shares and stock-settled RSUs granted in February 2025 for the 2024 performance year. In 2025, the NEOs additionally received RSU grants as described in “Discover-Related Special Awards” beginning on page 86. The Discover-Related Special Awards, which have three-year cliff vesting and will settle 100% in stock, were not awarded as part of performance year compensation.</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Performance Shares</w:t>
      </w:r>
    </w:p>
    <w:p>
      <w:pPr>
        <w:spacing w:after="0" w:line="20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actual number of shares earned and issued with respect to Financial Performance Shares will be based on the Company’s PSU Adjusted ROTCE and D+TBV/Sh over the three-year period from January 1, 2025 through December 31, 2027, relative to the Performance Share Peers. In addition, the total value delivered at vesting will be reduced if the Company’s PSU Adjusted ROTCE for one or more fiscal years completed during the performance period is not positive, no matter how well the Company performs relative to the Performance Share Peers. See “2025 CEO Compensation Components” beginning on page 68 for more details on the 2025 performance share awards. Dividend equivalents accrue on the performance shares at the same time as dividends are paid out to holders of shares of Capital One common stock and are paid out as additional shares only on the performance shares that actually vest based on the results certified by the Committee.</w:t>
      </w:r>
    </w:p>
    <w:p>
      <w:pPr>
        <w:spacing w:after="0" w:line="117" w:lineRule="exact"/>
        <w:rPr>
          <w:sz w:val="20"/>
          <w:szCs w:val="20"/>
          <w:color w:val="auto"/>
        </w:rPr>
      </w:pPr>
    </w:p>
    <w:p>
      <w:pPr>
        <w:ind w:left="5520"/>
        <w:spacing w:after="0"/>
        <w:tabs>
          <w:tab w:leader="none" w:pos="862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-111760</wp:posOffset>
            </wp:positionV>
            <wp:extent cx="8255" cy="1784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Stock-Settled RSUs</w:t>
      </w:r>
    </w:p>
    <w:p>
      <w:pPr>
        <w:spacing w:after="0" w:line="208" w:lineRule="exact"/>
        <w:rPr>
          <w:sz w:val="20"/>
          <w:szCs w:val="20"/>
          <w:color w:val="auto"/>
        </w:rPr>
      </w:pPr>
    </w:p>
    <w:p>
      <w:pPr>
        <w:jc w:val="both"/>
        <w:ind w:left="160" w:right="20"/>
        <w:spacing w:after="0" w:line="238" w:lineRule="auto"/>
        <w:rPr>
          <w:sz w:val="20"/>
          <w:szCs w:val="20"/>
          <w:color w:val="auto"/>
        </w:rPr>
      </w:pPr>
      <w:r>
        <w:rPr>
          <w:rFonts w:ascii="Arial" w:cs="Arial" w:eastAsia="Arial" w:hAnsi="Arial"/>
          <w:sz w:val="18"/>
          <w:szCs w:val="18"/>
          <w:color w:val="auto"/>
        </w:rPr>
        <w:t>The stock-settled RSUs granted on February 1, 2025 vest in three equal annual installments beginning on February 15 of the year after the date of grant. Dividend equivalents accrue on the stock-settled RSUs at the same time as dividends are paid to holders of shares of Capital One common stock and are paid in cash at the time of vesting, adjusted for performance-based vesting results. These awards (as well as cash-settled RSUs for the CEO) reported below are also subject to performance-based vesting provisions that are associated with Core Earnings. As a result, the total number of shares delivered at vesting will be reduced if the Company does not achieve certain performance thresholds during the three-year vesting period. See “Additional Performance Conditions and Recovery Provisions” beginning on page 88 for more details on the performance-based vesting provisions.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2025 Grants of Plan-Based Awards Table</w:t>
      </w:r>
    </w:p>
    <w:p>
      <w:pPr>
        <w:spacing w:after="0" w:line="274" w:lineRule="exact"/>
        <w:rPr>
          <w:sz w:val="20"/>
          <w:szCs w:val="20"/>
          <w:color w:val="auto"/>
        </w:rPr>
      </w:pPr>
    </w:p>
    <w:tbl>
      <w:tblPr>
        <w:tblLayout w:type="fixed"/>
        <w:tblInd w:w="160" w:type="dxa"/>
        <w:tblCellMar>
          <w:top w:w="0" w:type="dxa"/>
          <w:left w:w="0" w:type="dxa"/>
          <w:bottom w:w="0" w:type="dxa"/>
          <w:right w:w="0" w:type="dxa"/>
        </w:tblCellMar>
      </w:tblPr>
      <w:tr>
        <w:trPr>
          <w:trHeight w:val="347"/>
        </w:trPr>
        <w:tc>
          <w:tcPr>
            <w:tcW w:w="920" w:type="dxa"/>
            <w:vAlign w:val="bottom"/>
            <w:shd w:val="clear" w:color="auto" w:fill="023C5B"/>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shd w:val="clear" w:color="auto" w:fill="023C5B"/>
          </w:tcPr>
          <w:p>
            <w:pPr>
              <w:spacing w:after="0"/>
              <w:rPr>
                <w:sz w:val="24"/>
                <w:szCs w:val="24"/>
                <w:color w:val="auto"/>
              </w:rPr>
            </w:pPr>
          </w:p>
        </w:tc>
        <w:tc>
          <w:tcPr>
            <w:tcW w:w="3660" w:type="dxa"/>
            <w:vAlign w:val="bottom"/>
            <w:shd w:val="clear" w:color="auto" w:fill="023C5B"/>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shd w:val="clear" w:color="auto" w:fill="023C5B"/>
          </w:tcPr>
          <w:p>
            <w:pPr>
              <w:spacing w:after="0"/>
              <w:rPr>
                <w:sz w:val="24"/>
                <w:szCs w:val="24"/>
                <w:color w:val="auto"/>
              </w:rPr>
            </w:pPr>
          </w:p>
        </w:tc>
        <w:tc>
          <w:tcPr>
            <w:tcW w:w="200" w:type="dxa"/>
            <w:vAlign w:val="bottom"/>
            <w:tcBorders>
              <w:right w:val="single" w:sz="8" w:color="023C5B"/>
            </w:tcBorders>
          </w:tcPr>
          <w:p>
            <w:pPr>
              <w:spacing w:after="0"/>
              <w:rPr>
                <w:sz w:val="24"/>
                <w:szCs w:val="24"/>
                <w:color w:val="auto"/>
              </w:rPr>
            </w:pPr>
          </w:p>
        </w:tc>
        <w:tc>
          <w:tcPr>
            <w:tcW w:w="860" w:type="dxa"/>
            <w:vAlign w:val="bottom"/>
            <w:shd w:val="clear" w:color="auto" w:fill="023C5B"/>
          </w:tcPr>
          <w:p>
            <w:pPr>
              <w:spacing w:after="0"/>
              <w:rPr>
                <w:sz w:val="24"/>
                <w:szCs w:val="24"/>
                <w:color w:val="auto"/>
              </w:rPr>
            </w:pPr>
          </w:p>
        </w:tc>
        <w:tc>
          <w:tcPr>
            <w:tcW w:w="140" w:type="dxa"/>
            <w:vAlign w:val="bottom"/>
            <w:shd w:val="clear" w:color="auto" w:fill="023C5B"/>
          </w:tcPr>
          <w:p>
            <w:pPr>
              <w:spacing w:after="0"/>
              <w:rPr>
                <w:sz w:val="24"/>
                <w:szCs w:val="24"/>
                <w:color w:val="auto"/>
              </w:rPr>
            </w:pPr>
          </w:p>
        </w:tc>
        <w:tc>
          <w:tcPr>
            <w:tcW w:w="600" w:type="dxa"/>
            <w:vAlign w:val="bottom"/>
            <w:shd w:val="clear" w:color="auto" w:fill="023C5B"/>
          </w:tcPr>
          <w:p>
            <w:pPr>
              <w:spacing w:after="0"/>
              <w:rPr>
                <w:sz w:val="24"/>
                <w:szCs w:val="24"/>
                <w:color w:val="auto"/>
              </w:rPr>
            </w:pPr>
          </w:p>
        </w:tc>
        <w:tc>
          <w:tcPr>
            <w:tcW w:w="140" w:type="dxa"/>
            <w:vAlign w:val="bottom"/>
            <w:shd w:val="clear" w:color="auto" w:fill="023C5B"/>
          </w:tcPr>
          <w:p>
            <w:pPr>
              <w:spacing w:after="0"/>
              <w:rPr>
                <w:sz w:val="24"/>
                <w:szCs w:val="24"/>
                <w:color w:val="auto"/>
              </w:rPr>
            </w:pPr>
          </w:p>
        </w:tc>
        <w:tc>
          <w:tcPr>
            <w:tcW w:w="920" w:type="dxa"/>
            <w:vAlign w:val="bottom"/>
            <w:shd w:val="clear" w:color="auto" w:fill="023C5B"/>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shd w:val="clear" w:color="auto" w:fill="023C5B"/>
          </w:tcPr>
          <w:p>
            <w:pPr>
              <w:ind w:left="60"/>
              <w:spacing w:after="0"/>
              <w:rPr>
                <w:sz w:val="20"/>
                <w:szCs w:val="20"/>
                <w:color w:val="auto"/>
              </w:rPr>
            </w:pPr>
            <w:r>
              <w:rPr>
                <w:rFonts w:ascii="Arial" w:cs="Arial" w:eastAsia="Arial" w:hAnsi="Arial"/>
                <w:sz w:val="16"/>
                <w:szCs w:val="16"/>
                <w:b w:val="1"/>
                <w:bCs w:val="1"/>
                <w:color w:val="FFFFFF"/>
              </w:rPr>
              <w:t> All Other</w:t>
            </w:r>
          </w:p>
        </w:tc>
        <w:tc>
          <w:tcPr>
            <w:tcW w:w="120" w:type="dxa"/>
            <w:vAlign w:val="bottom"/>
          </w:tcPr>
          <w:p>
            <w:pPr>
              <w:spacing w:after="0"/>
              <w:rPr>
                <w:sz w:val="24"/>
                <w:szCs w:val="24"/>
                <w:color w:val="auto"/>
              </w:rPr>
            </w:pPr>
          </w:p>
        </w:tc>
        <w:tc>
          <w:tcPr>
            <w:tcW w:w="1140" w:type="dxa"/>
            <w:vAlign w:val="bottom"/>
            <w:shd w:val="clear" w:color="auto" w:fill="023C5B"/>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20" w:type="dxa"/>
            <w:vAlign w:val="bottom"/>
            <w:shd w:val="clear" w:color="auto" w:fill="023C5B"/>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shd w:val="clear" w:color="auto" w:fill="023C5B"/>
          </w:tcPr>
          <w:p>
            <w:pPr>
              <w:spacing w:after="0"/>
              <w:rPr>
                <w:sz w:val="16"/>
                <w:szCs w:val="16"/>
                <w:color w:val="auto"/>
              </w:rPr>
            </w:pPr>
          </w:p>
        </w:tc>
        <w:tc>
          <w:tcPr>
            <w:tcW w:w="3660" w:type="dxa"/>
            <w:vAlign w:val="bottom"/>
            <w:shd w:val="clear" w:color="auto" w:fill="023C5B"/>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shd w:val="clear" w:color="auto" w:fill="023C5B"/>
          </w:tcPr>
          <w:p>
            <w:pPr>
              <w:spacing w:after="0"/>
              <w:rPr>
                <w:sz w:val="16"/>
                <w:szCs w:val="16"/>
                <w:color w:val="auto"/>
              </w:rPr>
            </w:pPr>
          </w:p>
        </w:tc>
        <w:tc>
          <w:tcPr>
            <w:tcW w:w="200" w:type="dxa"/>
            <w:vAlign w:val="bottom"/>
            <w:tcBorders>
              <w:right w:val="single" w:sz="8" w:color="023C5B"/>
            </w:tcBorders>
          </w:tcPr>
          <w:p>
            <w:pPr>
              <w:spacing w:after="0"/>
              <w:rPr>
                <w:sz w:val="16"/>
                <w:szCs w:val="16"/>
                <w:color w:val="auto"/>
              </w:rPr>
            </w:pPr>
          </w:p>
        </w:tc>
        <w:tc>
          <w:tcPr>
            <w:tcW w:w="860" w:type="dxa"/>
            <w:vAlign w:val="bottom"/>
            <w:shd w:val="clear" w:color="auto" w:fill="023C5B"/>
          </w:tcPr>
          <w:p>
            <w:pPr>
              <w:spacing w:after="0"/>
              <w:rPr>
                <w:sz w:val="16"/>
                <w:szCs w:val="16"/>
                <w:color w:val="auto"/>
              </w:rPr>
            </w:pPr>
          </w:p>
        </w:tc>
        <w:tc>
          <w:tcPr>
            <w:tcW w:w="140" w:type="dxa"/>
            <w:vAlign w:val="bottom"/>
            <w:shd w:val="clear" w:color="auto" w:fill="023C5B"/>
          </w:tcPr>
          <w:p>
            <w:pPr>
              <w:spacing w:after="0"/>
              <w:rPr>
                <w:sz w:val="16"/>
                <w:szCs w:val="16"/>
                <w:color w:val="auto"/>
              </w:rPr>
            </w:pPr>
          </w:p>
        </w:tc>
        <w:tc>
          <w:tcPr>
            <w:tcW w:w="600" w:type="dxa"/>
            <w:vAlign w:val="bottom"/>
            <w:shd w:val="clear" w:color="auto" w:fill="023C5B"/>
          </w:tcPr>
          <w:p>
            <w:pPr>
              <w:spacing w:after="0"/>
              <w:rPr>
                <w:sz w:val="16"/>
                <w:szCs w:val="16"/>
                <w:color w:val="auto"/>
              </w:rPr>
            </w:pPr>
          </w:p>
        </w:tc>
        <w:tc>
          <w:tcPr>
            <w:tcW w:w="140" w:type="dxa"/>
            <w:vAlign w:val="bottom"/>
            <w:shd w:val="clear" w:color="auto" w:fill="023C5B"/>
          </w:tcPr>
          <w:p>
            <w:pPr>
              <w:spacing w:after="0"/>
              <w:rPr>
                <w:sz w:val="16"/>
                <w:szCs w:val="16"/>
                <w:color w:val="auto"/>
              </w:rPr>
            </w:pPr>
          </w:p>
        </w:tc>
        <w:tc>
          <w:tcPr>
            <w:tcW w:w="920" w:type="dxa"/>
            <w:vAlign w:val="bottom"/>
            <w:shd w:val="clear" w:color="auto" w:fill="023C5B"/>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Stock</w:t>
            </w:r>
          </w:p>
        </w:tc>
        <w:tc>
          <w:tcPr>
            <w:tcW w:w="120" w:type="dxa"/>
            <w:vAlign w:val="bottom"/>
          </w:tcPr>
          <w:p>
            <w:pPr>
              <w:spacing w:after="0"/>
              <w:rPr>
                <w:sz w:val="16"/>
                <w:szCs w:val="16"/>
                <w:color w:val="auto"/>
              </w:rPr>
            </w:pPr>
          </w:p>
        </w:tc>
        <w:tc>
          <w:tcPr>
            <w:tcW w:w="1140" w:type="dxa"/>
            <w:vAlign w:val="bottom"/>
            <w:shd w:val="clear" w:color="auto" w:fill="023C5B"/>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20" w:type="dxa"/>
            <w:vAlign w:val="bottom"/>
            <w:shd w:val="clear" w:color="auto" w:fill="023C5B"/>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shd w:val="clear" w:color="auto" w:fill="023C5B"/>
          </w:tcPr>
          <w:p>
            <w:pPr>
              <w:spacing w:after="0"/>
              <w:rPr>
                <w:sz w:val="16"/>
                <w:szCs w:val="16"/>
                <w:color w:val="auto"/>
              </w:rPr>
            </w:pPr>
          </w:p>
        </w:tc>
        <w:tc>
          <w:tcPr>
            <w:tcW w:w="3660" w:type="dxa"/>
            <w:vAlign w:val="bottom"/>
            <w:shd w:val="clear" w:color="auto" w:fill="023C5B"/>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shd w:val="clear" w:color="auto" w:fill="023C5B"/>
          </w:tcPr>
          <w:p>
            <w:pPr>
              <w:spacing w:after="0"/>
              <w:rPr>
                <w:sz w:val="16"/>
                <w:szCs w:val="16"/>
                <w:color w:val="auto"/>
              </w:rPr>
            </w:pPr>
          </w:p>
        </w:tc>
        <w:tc>
          <w:tcPr>
            <w:tcW w:w="200" w:type="dxa"/>
            <w:vAlign w:val="bottom"/>
            <w:tcBorders>
              <w:right w:val="single" w:sz="8" w:color="023C5B"/>
            </w:tcBorders>
          </w:tcPr>
          <w:p>
            <w:pPr>
              <w:spacing w:after="0"/>
              <w:rPr>
                <w:sz w:val="16"/>
                <w:szCs w:val="16"/>
                <w:color w:val="auto"/>
              </w:rPr>
            </w:pPr>
          </w:p>
        </w:tc>
        <w:tc>
          <w:tcPr>
            <w:tcW w:w="2660" w:type="dxa"/>
            <w:vAlign w:val="bottom"/>
            <w:gridSpan w:val="5"/>
            <w:vMerge w:val="restart"/>
            <w:shd w:val="clear" w:color="auto" w:fill="023C5B"/>
          </w:tcPr>
          <w:p>
            <w:pPr>
              <w:ind w:left="20"/>
              <w:spacing w:after="0"/>
              <w:rPr>
                <w:sz w:val="20"/>
                <w:szCs w:val="20"/>
                <w:color w:val="auto"/>
              </w:rPr>
            </w:pPr>
            <w:r>
              <w:rPr>
                <w:rFonts w:ascii="Arial" w:cs="Arial" w:eastAsia="Arial" w:hAnsi="Arial"/>
                <w:sz w:val="16"/>
                <w:szCs w:val="16"/>
                <w:b w:val="1"/>
                <w:bCs w:val="1"/>
                <w:color w:val="FFFFFF"/>
              </w:rPr>
              <w:t> Estimated Future Payouts Under</w:t>
            </w:r>
          </w:p>
        </w:tc>
        <w:tc>
          <w:tcPr>
            <w:tcW w:w="120" w:type="dxa"/>
            <w:vAlign w:val="bottom"/>
          </w:tcPr>
          <w:p>
            <w:pPr>
              <w:spacing w:after="0"/>
              <w:rPr>
                <w:sz w:val="16"/>
                <w:szCs w:val="16"/>
                <w:color w:val="auto"/>
              </w:rPr>
            </w:pPr>
          </w:p>
        </w:tc>
        <w:tc>
          <w:tcPr>
            <w:tcW w:w="86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Awards:</w:t>
            </w:r>
          </w:p>
        </w:tc>
        <w:tc>
          <w:tcPr>
            <w:tcW w:w="120" w:type="dxa"/>
            <w:vAlign w:val="bottom"/>
          </w:tcPr>
          <w:p>
            <w:pPr>
              <w:spacing w:after="0"/>
              <w:rPr>
                <w:sz w:val="16"/>
                <w:szCs w:val="16"/>
                <w:color w:val="auto"/>
              </w:rPr>
            </w:pPr>
          </w:p>
        </w:tc>
        <w:tc>
          <w:tcPr>
            <w:tcW w:w="1140" w:type="dxa"/>
            <w:vAlign w:val="bottom"/>
            <w:shd w:val="clear" w:color="auto" w:fill="023C5B"/>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20" w:type="dxa"/>
            <w:vAlign w:val="bottom"/>
            <w:shd w:val="clear" w:color="auto" w:fill="023C5B"/>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shd w:val="clear" w:color="auto" w:fill="023C5B"/>
          </w:tcPr>
          <w:p>
            <w:pPr>
              <w:spacing w:after="0"/>
              <w:rPr>
                <w:sz w:val="15"/>
                <w:szCs w:val="15"/>
                <w:color w:val="auto"/>
              </w:rPr>
            </w:pPr>
          </w:p>
        </w:tc>
        <w:tc>
          <w:tcPr>
            <w:tcW w:w="3660" w:type="dxa"/>
            <w:vAlign w:val="bottom"/>
            <w:shd w:val="clear" w:color="auto" w:fill="023C5B"/>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shd w:val="clear" w:color="auto" w:fill="023C5B"/>
          </w:tcPr>
          <w:p>
            <w:pPr>
              <w:spacing w:after="0"/>
              <w:rPr>
                <w:sz w:val="15"/>
                <w:szCs w:val="15"/>
                <w:color w:val="auto"/>
              </w:rPr>
            </w:pPr>
          </w:p>
        </w:tc>
        <w:tc>
          <w:tcPr>
            <w:tcW w:w="200" w:type="dxa"/>
            <w:vAlign w:val="bottom"/>
            <w:tcBorders>
              <w:right w:val="single" w:sz="8" w:color="023C5B"/>
            </w:tcBorders>
          </w:tcPr>
          <w:p>
            <w:pPr>
              <w:spacing w:after="0"/>
              <w:rPr>
                <w:sz w:val="15"/>
                <w:szCs w:val="15"/>
                <w:color w:val="auto"/>
              </w:rPr>
            </w:pPr>
          </w:p>
        </w:tc>
        <w:tc>
          <w:tcPr>
            <w:tcW w:w="2660" w:type="dxa"/>
            <w:vAlign w:val="bottom"/>
            <w:gridSpan w:val="5"/>
            <w:vMerge w:val="continue"/>
            <w:shd w:val="clear" w:color="auto" w:fill="023C5B"/>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shd w:val="clear" w:color="auto" w:fill="023C5B"/>
          </w:tcPr>
          <w:p>
            <w:pPr>
              <w:jc w:val="center"/>
              <w:spacing w:after="0" w:line="174" w:lineRule="exact"/>
              <w:rPr>
                <w:sz w:val="20"/>
                <w:szCs w:val="20"/>
                <w:color w:val="auto"/>
              </w:rPr>
            </w:pPr>
            <w:r>
              <w:rPr>
                <w:rFonts w:ascii="Arial" w:cs="Arial" w:eastAsia="Arial" w:hAnsi="Arial"/>
                <w:sz w:val="16"/>
                <w:szCs w:val="16"/>
                <w:b w:val="1"/>
                <w:bCs w:val="1"/>
                <w:color w:val="FFFFFF"/>
                <w:w w:val="99"/>
              </w:rPr>
              <w:t>Number</w:t>
            </w:r>
          </w:p>
        </w:tc>
        <w:tc>
          <w:tcPr>
            <w:tcW w:w="120" w:type="dxa"/>
            <w:vAlign w:val="bottom"/>
          </w:tcPr>
          <w:p>
            <w:pPr>
              <w:spacing w:after="0"/>
              <w:rPr>
                <w:sz w:val="15"/>
                <w:szCs w:val="15"/>
                <w:color w:val="auto"/>
              </w:rPr>
            </w:pPr>
          </w:p>
        </w:tc>
        <w:tc>
          <w:tcPr>
            <w:tcW w:w="1140" w:type="dxa"/>
            <w:vAlign w:val="bottom"/>
            <w:shd w:val="clear" w:color="auto" w:fill="023C5B"/>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920" w:type="dxa"/>
            <w:vAlign w:val="bottom"/>
            <w:shd w:val="clear" w:color="auto" w:fill="023C5B"/>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shd w:val="clear" w:color="auto" w:fill="023C5B"/>
          </w:tcPr>
          <w:p>
            <w:pPr>
              <w:spacing w:after="0"/>
              <w:rPr>
                <w:sz w:val="17"/>
                <w:szCs w:val="17"/>
                <w:color w:val="auto"/>
              </w:rPr>
            </w:pPr>
          </w:p>
        </w:tc>
        <w:tc>
          <w:tcPr>
            <w:tcW w:w="3660" w:type="dxa"/>
            <w:vAlign w:val="bottom"/>
            <w:shd w:val="clear" w:color="auto" w:fill="023C5B"/>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shd w:val="clear" w:color="auto" w:fill="023C5B"/>
          </w:tcPr>
          <w:p>
            <w:pPr>
              <w:spacing w:after="0"/>
              <w:rPr>
                <w:sz w:val="17"/>
                <w:szCs w:val="17"/>
                <w:color w:val="auto"/>
              </w:rPr>
            </w:pPr>
          </w:p>
        </w:tc>
        <w:tc>
          <w:tcPr>
            <w:tcW w:w="200" w:type="dxa"/>
            <w:vAlign w:val="bottom"/>
            <w:tcBorders>
              <w:right w:val="single" w:sz="8" w:color="023C5B"/>
            </w:tcBorders>
          </w:tcPr>
          <w:p>
            <w:pPr>
              <w:spacing w:after="0"/>
              <w:rPr>
                <w:sz w:val="17"/>
                <w:szCs w:val="17"/>
                <w:color w:val="auto"/>
              </w:rPr>
            </w:pPr>
          </w:p>
        </w:tc>
        <w:tc>
          <w:tcPr>
            <w:tcW w:w="2660" w:type="dxa"/>
            <w:vAlign w:val="bottom"/>
            <w:gridSpan w:val="5"/>
            <w:shd w:val="clear" w:color="auto" w:fill="023C5B"/>
          </w:tcPr>
          <w:p>
            <w:pPr>
              <w:jc w:val="center"/>
              <w:spacing w:after="0"/>
              <w:rPr>
                <w:sz w:val="20"/>
                <w:szCs w:val="20"/>
                <w:color w:val="auto"/>
              </w:rPr>
            </w:pPr>
            <w:r>
              <w:rPr>
                <w:rFonts w:ascii="Arial" w:cs="Arial" w:eastAsia="Arial" w:hAnsi="Arial"/>
                <w:sz w:val="16"/>
                <w:szCs w:val="16"/>
                <w:b w:val="1"/>
                <w:bCs w:val="1"/>
                <w:color w:val="FFFFFF"/>
              </w:rPr>
              <w:t>Equity Incentive Plan Awards</w:t>
            </w:r>
          </w:p>
        </w:tc>
        <w:tc>
          <w:tcPr>
            <w:tcW w:w="120" w:type="dxa"/>
            <w:vAlign w:val="bottom"/>
          </w:tcPr>
          <w:p>
            <w:pPr>
              <w:spacing w:after="0"/>
              <w:rPr>
                <w:sz w:val="17"/>
                <w:szCs w:val="17"/>
                <w:color w:val="auto"/>
              </w:rPr>
            </w:pPr>
          </w:p>
        </w:tc>
        <w:tc>
          <w:tcPr>
            <w:tcW w:w="86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of</w:t>
            </w:r>
          </w:p>
        </w:tc>
        <w:tc>
          <w:tcPr>
            <w:tcW w:w="120" w:type="dxa"/>
            <w:vAlign w:val="bottom"/>
          </w:tcPr>
          <w:p>
            <w:pPr>
              <w:spacing w:after="0"/>
              <w:rPr>
                <w:sz w:val="17"/>
                <w:szCs w:val="17"/>
                <w:color w:val="auto"/>
              </w:rPr>
            </w:pPr>
          </w:p>
        </w:tc>
        <w:tc>
          <w:tcPr>
            <w:tcW w:w="1140" w:type="dxa"/>
            <w:vAlign w:val="bottom"/>
            <w:shd w:val="clear" w:color="auto" w:fill="023C5B"/>
          </w:tcPr>
          <w:p>
            <w:pPr>
              <w:jc w:val="center"/>
              <w:ind w:left="20"/>
              <w:spacing w:after="0"/>
              <w:rPr>
                <w:sz w:val="20"/>
                <w:szCs w:val="20"/>
                <w:color w:val="auto"/>
              </w:rPr>
            </w:pPr>
            <w:r>
              <w:rPr>
                <w:rFonts w:ascii="Arial" w:cs="Arial" w:eastAsia="Arial" w:hAnsi="Arial"/>
                <w:sz w:val="16"/>
                <w:szCs w:val="16"/>
                <w:b w:val="1"/>
                <w:bCs w:val="1"/>
                <w:color w:val="FFFFFF"/>
              </w:rPr>
              <w:t> Grant Date  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920" w:type="dxa"/>
            <w:vAlign w:val="bottom"/>
            <w:shd w:val="clear" w:color="auto" w:fill="023C5B"/>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shd w:val="clear" w:color="auto" w:fill="023C5B"/>
          </w:tcPr>
          <w:p>
            <w:pPr>
              <w:spacing w:after="0"/>
              <w:rPr>
                <w:sz w:val="9"/>
                <w:szCs w:val="9"/>
                <w:color w:val="auto"/>
              </w:rPr>
            </w:pPr>
          </w:p>
        </w:tc>
        <w:tc>
          <w:tcPr>
            <w:tcW w:w="3660" w:type="dxa"/>
            <w:vAlign w:val="bottom"/>
            <w:shd w:val="clear" w:color="auto" w:fill="023C5B"/>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shd w:val="clear" w:color="auto" w:fill="023C5B"/>
          </w:tcPr>
          <w:p>
            <w:pPr>
              <w:spacing w:after="0"/>
              <w:rPr>
                <w:sz w:val="9"/>
                <w:szCs w:val="9"/>
                <w:color w:val="auto"/>
              </w:rPr>
            </w:pPr>
          </w:p>
        </w:tc>
        <w:tc>
          <w:tcPr>
            <w:tcW w:w="200" w:type="dxa"/>
            <w:vAlign w:val="bottom"/>
            <w:tcBorders>
              <w:right w:val="single" w:sz="8" w:color="023C5B"/>
            </w:tcBorders>
          </w:tcPr>
          <w:p>
            <w:pPr>
              <w:spacing w:after="0"/>
              <w:rPr>
                <w:sz w:val="9"/>
                <w:szCs w:val="9"/>
                <w:color w:val="auto"/>
              </w:rPr>
            </w:pPr>
          </w:p>
        </w:tc>
        <w:tc>
          <w:tcPr>
            <w:tcW w:w="860" w:type="dxa"/>
            <w:vAlign w:val="bottom"/>
            <w:shd w:val="clear" w:color="auto" w:fill="023C5B"/>
          </w:tcPr>
          <w:p>
            <w:pPr>
              <w:spacing w:after="0"/>
              <w:rPr>
                <w:sz w:val="9"/>
                <w:szCs w:val="9"/>
                <w:color w:val="auto"/>
              </w:rPr>
            </w:pPr>
          </w:p>
        </w:tc>
        <w:tc>
          <w:tcPr>
            <w:tcW w:w="140" w:type="dxa"/>
            <w:vAlign w:val="bottom"/>
            <w:shd w:val="clear" w:color="auto" w:fill="023C5B"/>
          </w:tcPr>
          <w:p>
            <w:pPr>
              <w:spacing w:after="0"/>
              <w:rPr>
                <w:sz w:val="9"/>
                <w:szCs w:val="9"/>
                <w:color w:val="auto"/>
              </w:rPr>
            </w:pPr>
          </w:p>
        </w:tc>
        <w:tc>
          <w:tcPr>
            <w:tcW w:w="600" w:type="dxa"/>
            <w:vAlign w:val="bottom"/>
            <w:shd w:val="clear" w:color="auto" w:fill="023C5B"/>
          </w:tcPr>
          <w:p>
            <w:pPr>
              <w:spacing w:after="0"/>
              <w:rPr>
                <w:sz w:val="9"/>
                <w:szCs w:val="9"/>
                <w:color w:val="auto"/>
              </w:rPr>
            </w:pPr>
          </w:p>
        </w:tc>
        <w:tc>
          <w:tcPr>
            <w:tcW w:w="140" w:type="dxa"/>
            <w:vAlign w:val="bottom"/>
            <w:shd w:val="clear" w:color="auto" w:fill="023C5B"/>
          </w:tcPr>
          <w:p>
            <w:pPr>
              <w:spacing w:after="0"/>
              <w:rPr>
                <w:sz w:val="9"/>
                <w:szCs w:val="9"/>
                <w:color w:val="auto"/>
              </w:rPr>
            </w:pPr>
          </w:p>
        </w:tc>
        <w:tc>
          <w:tcPr>
            <w:tcW w:w="920" w:type="dxa"/>
            <w:vAlign w:val="bottom"/>
            <w:shd w:val="clear" w:color="auto" w:fill="023C5B"/>
          </w:tcPr>
          <w:p>
            <w:pPr>
              <w:spacing w:after="0"/>
              <w:rPr>
                <w:sz w:val="9"/>
                <w:szCs w:val="9"/>
                <w:color w:val="auto"/>
              </w:rPr>
            </w:pPr>
          </w:p>
        </w:tc>
        <w:tc>
          <w:tcPr>
            <w:tcW w:w="120" w:type="dxa"/>
            <w:vAlign w:val="bottom"/>
            <w:vMerge w:val="restart"/>
          </w:tcPr>
          <w:p>
            <w:pPr>
              <w:spacing w:after="0"/>
              <w:rPr>
                <w:sz w:val="9"/>
                <w:szCs w:val="9"/>
                <w:color w:val="auto"/>
              </w:rPr>
            </w:pPr>
          </w:p>
        </w:tc>
        <w:tc>
          <w:tcPr>
            <w:tcW w:w="860" w:type="dxa"/>
            <w:vAlign w:val="bottom"/>
            <w:vMerge w:val="restart"/>
            <w:shd w:val="clear" w:color="auto" w:fill="023C5B"/>
          </w:tcPr>
          <w:p>
            <w:pPr>
              <w:jc w:val="center"/>
              <w:spacing w:after="0"/>
              <w:rPr>
                <w:sz w:val="20"/>
                <w:szCs w:val="20"/>
                <w:color w:val="auto"/>
              </w:rPr>
            </w:pPr>
            <w:r>
              <w:rPr>
                <w:rFonts w:ascii="Arial" w:cs="Arial" w:eastAsia="Arial" w:hAnsi="Arial"/>
                <w:sz w:val="16"/>
                <w:szCs w:val="16"/>
                <w:b w:val="1"/>
                <w:bCs w:val="1"/>
                <w:color w:val="FFFFFF"/>
              </w:rPr>
              <w:t>Shares</w:t>
            </w:r>
          </w:p>
        </w:tc>
        <w:tc>
          <w:tcPr>
            <w:tcW w:w="120" w:type="dxa"/>
            <w:vAlign w:val="bottom"/>
            <w:vMerge w:val="restart"/>
          </w:tcPr>
          <w:p>
            <w:pPr>
              <w:spacing w:after="0"/>
              <w:rPr>
                <w:sz w:val="9"/>
                <w:szCs w:val="9"/>
                <w:color w:val="auto"/>
              </w:rPr>
            </w:pPr>
          </w:p>
        </w:tc>
        <w:tc>
          <w:tcPr>
            <w:tcW w:w="1140" w:type="dxa"/>
            <w:vAlign w:val="bottom"/>
            <w:vMerge w:val="restart"/>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 Fair Value of  </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920" w:type="dxa"/>
            <w:vAlign w:val="bottom"/>
            <w:shd w:val="clear" w:color="auto" w:fill="023C5B"/>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shd w:val="clear" w:color="auto" w:fill="023C5B"/>
          </w:tcPr>
          <w:p>
            <w:pPr>
              <w:spacing w:after="0"/>
              <w:rPr>
                <w:sz w:val="6"/>
                <w:szCs w:val="6"/>
                <w:color w:val="auto"/>
              </w:rPr>
            </w:pPr>
          </w:p>
        </w:tc>
        <w:tc>
          <w:tcPr>
            <w:tcW w:w="3660" w:type="dxa"/>
            <w:vAlign w:val="bottom"/>
            <w:shd w:val="clear" w:color="auto" w:fill="023C5B"/>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shd w:val="clear" w:color="auto" w:fill="023C5B"/>
          </w:tcPr>
          <w:p>
            <w:pPr>
              <w:spacing w:after="0"/>
              <w:rPr>
                <w:sz w:val="6"/>
                <w:szCs w:val="6"/>
                <w:color w:val="auto"/>
              </w:rPr>
            </w:pPr>
          </w:p>
        </w:tc>
        <w:tc>
          <w:tcPr>
            <w:tcW w:w="200" w:type="dxa"/>
            <w:vAlign w:val="bottom"/>
            <w:tcBorders>
              <w:right w:val="single" w:sz="8" w:color="023C5B"/>
            </w:tcBorders>
          </w:tcPr>
          <w:p>
            <w:pPr>
              <w:spacing w:after="0"/>
              <w:rPr>
                <w:sz w:val="6"/>
                <w:szCs w:val="6"/>
                <w:color w:val="auto"/>
              </w:rPr>
            </w:pPr>
          </w:p>
        </w:tc>
        <w:tc>
          <w:tcPr>
            <w:tcW w:w="860" w:type="dxa"/>
            <w:vAlign w:val="bottom"/>
            <w:shd w:val="clear" w:color="auto" w:fill="023C5B"/>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shd w:val="clear" w:color="auto" w:fill="023C5B"/>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shd w:val="clear" w:color="auto" w:fill="023C5B"/>
          </w:tcPr>
          <w:p>
            <w:pPr>
              <w:spacing w:after="0"/>
              <w:rPr>
                <w:sz w:val="6"/>
                <w:szCs w:val="6"/>
                <w:color w:val="auto"/>
              </w:rPr>
            </w:pPr>
          </w:p>
        </w:tc>
        <w:tc>
          <w:tcPr>
            <w:tcW w:w="120" w:type="dxa"/>
            <w:vAlign w:val="bottom"/>
            <w:vMerge w:val="continue"/>
          </w:tcPr>
          <w:p>
            <w:pPr>
              <w:spacing w:after="0"/>
              <w:rPr>
                <w:sz w:val="6"/>
                <w:szCs w:val="6"/>
                <w:color w:val="auto"/>
              </w:rPr>
            </w:pPr>
          </w:p>
        </w:tc>
        <w:tc>
          <w:tcPr>
            <w:tcW w:w="860" w:type="dxa"/>
            <w:vAlign w:val="bottom"/>
            <w:vMerge w:val="continue"/>
            <w:shd w:val="clear" w:color="auto" w:fill="023C5B"/>
          </w:tcPr>
          <w:p>
            <w:pPr>
              <w:spacing w:after="0"/>
              <w:rPr>
                <w:sz w:val="6"/>
                <w:szCs w:val="6"/>
                <w:color w:val="auto"/>
              </w:rPr>
            </w:pPr>
          </w:p>
        </w:tc>
        <w:tc>
          <w:tcPr>
            <w:tcW w:w="120" w:type="dxa"/>
            <w:vAlign w:val="bottom"/>
            <w:vMerge w:val="continue"/>
          </w:tcPr>
          <w:p>
            <w:pPr>
              <w:spacing w:after="0"/>
              <w:rPr>
                <w:sz w:val="6"/>
                <w:szCs w:val="6"/>
                <w:color w:val="auto"/>
              </w:rPr>
            </w:pPr>
          </w:p>
        </w:tc>
        <w:tc>
          <w:tcPr>
            <w:tcW w:w="1140" w:type="dxa"/>
            <w:vAlign w:val="bottom"/>
            <w:vMerge w:val="continue"/>
            <w:shd w:val="clear" w:color="auto" w:fill="023C5B"/>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920" w:type="dxa"/>
            <w:vAlign w:val="bottom"/>
            <w:shd w:val="clear" w:color="auto" w:fill="023C5B"/>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shd w:val="clear" w:color="auto" w:fill="023C5B"/>
          </w:tcPr>
          <w:p>
            <w:pPr>
              <w:spacing w:after="0"/>
              <w:rPr>
                <w:sz w:val="16"/>
                <w:szCs w:val="16"/>
                <w:color w:val="auto"/>
              </w:rPr>
            </w:pPr>
          </w:p>
        </w:tc>
        <w:tc>
          <w:tcPr>
            <w:tcW w:w="3660" w:type="dxa"/>
            <w:vAlign w:val="bottom"/>
            <w:shd w:val="clear" w:color="auto" w:fill="023C5B"/>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Date of</w:t>
            </w:r>
          </w:p>
        </w:tc>
        <w:tc>
          <w:tcPr>
            <w:tcW w:w="200" w:type="dxa"/>
            <w:vAlign w:val="bottom"/>
            <w:tcBorders>
              <w:right w:val="single" w:sz="8" w:color="023C5B"/>
            </w:tcBorders>
          </w:tcPr>
          <w:p>
            <w:pPr>
              <w:spacing w:after="0"/>
              <w:rPr>
                <w:sz w:val="16"/>
                <w:szCs w:val="16"/>
                <w:color w:val="auto"/>
              </w:rPr>
            </w:pPr>
          </w:p>
        </w:tc>
        <w:tc>
          <w:tcPr>
            <w:tcW w:w="860" w:type="dxa"/>
            <w:vAlign w:val="bottom"/>
            <w:shd w:val="clear" w:color="auto" w:fill="023C5B"/>
          </w:tcPr>
          <w:p>
            <w:pPr>
              <w:ind w:left="340"/>
              <w:spacing w:after="0"/>
              <w:rPr>
                <w:sz w:val="20"/>
                <w:szCs w:val="20"/>
                <w:color w:val="auto"/>
              </w:rPr>
            </w:pPr>
            <w:r>
              <w:rPr>
                <w:rFonts w:ascii="Arial" w:cs="Arial" w:eastAsia="Arial" w:hAnsi="Arial"/>
                <w:sz w:val="16"/>
                <w:szCs w:val="16"/>
                <w:b w:val="1"/>
                <w:bCs w:val="1"/>
                <w:color w:val="FFFFFF"/>
              </w:rPr>
              <w:t> </w:t>
            </w:r>
          </w:p>
        </w:tc>
        <w:tc>
          <w:tcPr>
            <w:tcW w:w="140" w:type="dxa"/>
            <w:vAlign w:val="bottom"/>
          </w:tcPr>
          <w:p>
            <w:pPr>
              <w:spacing w:after="0"/>
              <w:rPr>
                <w:sz w:val="16"/>
                <w:szCs w:val="16"/>
                <w:color w:val="auto"/>
              </w:rPr>
            </w:pPr>
          </w:p>
        </w:tc>
        <w:tc>
          <w:tcPr>
            <w:tcW w:w="600" w:type="dxa"/>
            <w:vAlign w:val="bottom"/>
            <w:shd w:val="clear" w:color="auto" w:fill="023C5B"/>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shd w:val="clear" w:color="auto" w:fill="023C5B"/>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of Stock</w:t>
            </w:r>
          </w:p>
        </w:tc>
        <w:tc>
          <w:tcPr>
            <w:tcW w:w="120" w:type="dxa"/>
            <w:vAlign w:val="bottom"/>
          </w:tcPr>
          <w:p>
            <w:pPr>
              <w:spacing w:after="0"/>
              <w:rPr>
                <w:sz w:val="16"/>
                <w:szCs w:val="16"/>
                <w:color w:val="auto"/>
              </w:rPr>
            </w:pPr>
          </w:p>
        </w:tc>
        <w:tc>
          <w:tcPr>
            <w:tcW w:w="1140" w:type="dxa"/>
            <w:vAlign w:val="bottom"/>
            <w:shd w:val="clear" w:color="auto" w:fill="023C5B"/>
          </w:tcPr>
          <w:p>
            <w:pPr>
              <w:jc w:val="center"/>
              <w:ind w:left="20"/>
              <w:spacing w:after="0"/>
              <w:rPr>
                <w:sz w:val="20"/>
                <w:szCs w:val="20"/>
                <w:color w:val="auto"/>
              </w:rPr>
            </w:pPr>
            <w:r>
              <w:rPr>
                <w:rFonts w:ascii="Arial" w:cs="Arial" w:eastAsia="Arial" w:hAnsi="Arial"/>
                <w:sz w:val="16"/>
                <w:szCs w:val="16"/>
                <w:b w:val="1"/>
                <w:bCs w:val="1"/>
                <w:color w:val="FFFFFF"/>
              </w:rPr>
              <w:t> Stock  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20" w:type="dxa"/>
            <w:vAlign w:val="bottom"/>
            <w:shd w:val="clear" w:color="auto" w:fill="023C5B"/>
          </w:tcPr>
          <w:p>
            <w:pPr>
              <w:spacing w:after="0"/>
              <w:rPr>
                <w:sz w:val="20"/>
                <w:szCs w:val="20"/>
                <w:color w:val="auto"/>
              </w:rPr>
            </w:pPr>
            <w:r>
              <w:rPr>
                <w:rFonts w:ascii="Arial" w:cs="Arial" w:eastAsia="Arial" w:hAnsi="Arial"/>
                <w:sz w:val="16"/>
                <w:szCs w:val="16"/>
                <w:b w:val="1"/>
                <w:bCs w:val="1"/>
                <w:color w:val="FFFFFF"/>
              </w:rPr>
              <w:t> Name</w:t>
            </w:r>
          </w:p>
        </w:tc>
        <w:tc>
          <w:tcPr>
            <w:tcW w:w="120" w:type="dxa"/>
            <w:vAlign w:val="bottom"/>
          </w:tcPr>
          <w:p>
            <w:pPr>
              <w:spacing w:after="0"/>
              <w:rPr>
                <w:sz w:val="19"/>
                <w:szCs w:val="19"/>
                <w:color w:val="auto"/>
              </w:rPr>
            </w:pPr>
          </w:p>
        </w:tc>
        <w:tc>
          <w:tcPr>
            <w:tcW w:w="180" w:type="dxa"/>
            <w:vAlign w:val="bottom"/>
            <w:shd w:val="clear" w:color="auto" w:fill="023C5B"/>
          </w:tcPr>
          <w:p>
            <w:pPr>
              <w:spacing w:after="0"/>
              <w:rPr>
                <w:sz w:val="19"/>
                <w:szCs w:val="19"/>
                <w:color w:val="auto"/>
              </w:rPr>
            </w:pPr>
          </w:p>
        </w:tc>
        <w:tc>
          <w:tcPr>
            <w:tcW w:w="3660" w:type="dxa"/>
            <w:vAlign w:val="bottom"/>
            <w:shd w:val="clear" w:color="auto" w:fill="023C5B"/>
          </w:tcPr>
          <w:p>
            <w:pPr>
              <w:ind w:left="1340"/>
              <w:spacing w:after="0"/>
              <w:rPr>
                <w:sz w:val="20"/>
                <w:szCs w:val="20"/>
                <w:color w:val="auto"/>
              </w:rPr>
            </w:pPr>
            <w:r>
              <w:rPr>
                <w:rFonts w:ascii="Arial" w:cs="Arial" w:eastAsia="Arial" w:hAnsi="Arial"/>
                <w:sz w:val="16"/>
                <w:szCs w:val="16"/>
                <w:b w:val="1"/>
                <w:bCs w:val="1"/>
                <w:color w:val="FFFFFF"/>
              </w:rPr>
              <w:t>Award Type</w:t>
            </w:r>
          </w:p>
        </w:tc>
        <w:tc>
          <w:tcPr>
            <w:tcW w:w="140" w:type="dxa"/>
            <w:vAlign w:val="bottom"/>
          </w:tcPr>
          <w:p>
            <w:pPr>
              <w:spacing w:after="0"/>
              <w:rPr>
                <w:sz w:val="19"/>
                <w:szCs w:val="19"/>
                <w:color w:val="auto"/>
              </w:rPr>
            </w:pPr>
          </w:p>
        </w:tc>
        <w:tc>
          <w:tcPr>
            <w:tcW w:w="800" w:type="dxa"/>
            <w:vAlign w:val="bottom"/>
            <w:shd w:val="clear" w:color="auto" w:fill="023C5B"/>
          </w:tcPr>
          <w:p>
            <w:pPr>
              <w:jc w:val="center"/>
              <w:spacing w:after="0" w:line="228" w:lineRule="exact"/>
              <w:rPr>
                <w:sz w:val="20"/>
                <w:szCs w:val="20"/>
                <w:color w:val="auto"/>
              </w:rPr>
            </w:pPr>
            <w:r>
              <w:rPr>
                <w:rFonts w:ascii="Arial" w:cs="Arial" w:eastAsia="Arial" w:hAnsi="Arial"/>
                <w:sz w:val="16"/>
                <w:szCs w:val="16"/>
                <w:b w:val="1"/>
                <w:bCs w:val="1"/>
                <w:color w:val="FFFFFF"/>
                <w:w w:val="93"/>
              </w:rPr>
              <w:t>  Grant</w:t>
            </w:r>
            <w:r>
              <w:rPr>
                <w:rFonts w:ascii="Arial" w:cs="Arial" w:eastAsia="Arial" w:hAnsi="Arial"/>
                <w:sz w:val="24"/>
                <w:szCs w:val="24"/>
                <w:b w:val="1"/>
                <w:bCs w:val="1"/>
                <w:color w:val="FFFFFF"/>
                <w:w w:val="93"/>
                <w:vertAlign w:val="superscript"/>
              </w:rPr>
              <w:t>(1)</w:t>
            </w:r>
            <w:r>
              <w:rPr>
                <w:rFonts w:ascii="Arial" w:cs="Arial" w:eastAsia="Arial" w:hAnsi="Arial"/>
                <w:sz w:val="16"/>
                <w:szCs w:val="16"/>
                <w:b w:val="1"/>
                <w:bCs w:val="1"/>
                <w:color w:val="FFFFFF"/>
                <w:w w:val="93"/>
              </w:rPr>
              <w:t xml:space="preserve"> </w:t>
            </w:r>
          </w:p>
        </w:tc>
        <w:tc>
          <w:tcPr>
            <w:tcW w:w="200" w:type="dxa"/>
            <w:vAlign w:val="bottom"/>
            <w:tcBorders>
              <w:right w:val="single" w:sz="8" w:color="023C5B"/>
            </w:tcBorders>
          </w:tcPr>
          <w:p>
            <w:pPr>
              <w:spacing w:after="0"/>
              <w:rPr>
                <w:sz w:val="19"/>
                <w:szCs w:val="19"/>
                <w:color w:val="auto"/>
              </w:rPr>
            </w:pPr>
          </w:p>
        </w:tc>
        <w:tc>
          <w:tcPr>
            <w:tcW w:w="860" w:type="dxa"/>
            <w:vAlign w:val="bottom"/>
            <w:shd w:val="clear" w:color="auto" w:fill="023C5B"/>
          </w:tcPr>
          <w:p>
            <w:pPr>
              <w:ind w:left="40"/>
              <w:spacing w:after="0"/>
              <w:rPr>
                <w:sz w:val="20"/>
                <w:szCs w:val="20"/>
                <w:color w:val="auto"/>
              </w:rPr>
            </w:pPr>
            <w:r>
              <w:rPr>
                <w:rFonts w:ascii="Arial" w:cs="Arial" w:eastAsia="Arial" w:hAnsi="Arial"/>
                <w:sz w:val="16"/>
                <w:szCs w:val="16"/>
                <w:b w:val="1"/>
                <w:bCs w:val="1"/>
                <w:color w:val="FFFFFF"/>
              </w:rPr>
              <w:t>Threshold</w:t>
            </w:r>
          </w:p>
        </w:tc>
        <w:tc>
          <w:tcPr>
            <w:tcW w:w="140" w:type="dxa"/>
            <w:vAlign w:val="bottom"/>
          </w:tcPr>
          <w:p>
            <w:pPr>
              <w:spacing w:after="0"/>
              <w:rPr>
                <w:sz w:val="19"/>
                <w:szCs w:val="19"/>
                <w:color w:val="auto"/>
              </w:rPr>
            </w:pPr>
          </w:p>
        </w:tc>
        <w:tc>
          <w:tcPr>
            <w:tcW w:w="60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140" w:type="dxa"/>
            <w:vAlign w:val="bottom"/>
          </w:tcPr>
          <w:p>
            <w:pPr>
              <w:spacing w:after="0"/>
              <w:rPr>
                <w:sz w:val="19"/>
                <w:szCs w:val="19"/>
                <w:color w:val="auto"/>
              </w:rPr>
            </w:pPr>
          </w:p>
        </w:tc>
        <w:tc>
          <w:tcPr>
            <w:tcW w:w="920" w:type="dxa"/>
            <w:vAlign w:val="bottom"/>
            <w:shd w:val="clear" w:color="auto" w:fill="023C5B"/>
          </w:tcPr>
          <w:p>
            <w:pPr>
              <w:ind w:left="100"/>
              <w:spacing w:after="0"/>
              <w:rPr>
                <w:sz w:val="20"/>
                <w:szCs w:val="20"/>
                <w:color w:val="auto"/>
              </w:rPr>
            </w:pPr>
            <w:r>
              <w:rPr>
                <w:rFonts w:ascii="Arial" w:cs="Arial" w:eastAsia="Arial" w:hAnsi="Arial"/>
                <w:sz w:val="16"/>
                <w:szCs w:val="16"/>
                <w:b w:val="1"/>
                <w:bCs w:val="1"/>
                <w:color w:val="FFFFFF"/>
              </w:rPr>
              <w:t>Maximum</w:t>
            </w:r>
          </w:p>
        </w:tc>
        <w:tc>
          <w:tcPr>
            <w:tcW w:w="120" w:type="dxa"/>
            <w:vAlign w:val="bottom"/>
          </w:tcPr>
          <w:p>
            <w:pPr>
              <w:spacing w:after="0"/>
              <w:rPr>
                <w:sz w:val="19"/>
                <w:szCs w:val="19"/>
                <w:color w:val="auto"/>
              </w:rPr>
            </w:pPr>
          </w:p>
        </w:tc>
        <w:tc>
          <w:tcPr>
            <w:tcW w:w="86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or Units</w:t>
            </w:r>
          </w:p>
        </w:tc>
        <w:tc>
          <w:tcPr>
            <w:tcW w:w="120" w:type="dxa"/>
            <w:vAlign w:val="bottom"/>
          </w:tcPr>
          <w:p>
            <w:pPr>
              <w:spacing w:after="0"/>
              <w:rPr>
                <w:sz w:val="19"/>
                <w:szCs w:val="19"/>
                <w:color w:val="auto"/>
              </w:rPr>
            </w:pPr>
          </w:p>
        </w:tc>
        <w:tc>
          <w:tcPr>
            <w:tcW w:w="1140" w:type="dxa"/>
            <w:vAlign w:val="bottom"/>
            <w:shd w:val="clear" w:color="auto" w:fill="023C5B"/>
          </w:tcPr>
          <w:p>
            <w:pPr>
              <w:jc w:val="center"/>
              <w:ind w:left="20"/>
              <w:spacing w:after="0"/>
              <w:rPr>
                <w:sz w:val="20"/>
                <w:szCs w:val="20"/>
                <w:color w:val="auto"/>
              </w:rPr>
            </w:pPr>
            <w:r>
              <w:rPr>
                <w:rFonts w:ascii="Arial" w:cs="Arial" w:eastAsia="Arial" w:hAnsi="Arial"/>
                <w:sz w:val="16"/>
                <w:szCs w:val="16"/>
                <w:b w:val="1"/>
                <w:bCs w:val="1"/>
                <w:color w:val="FFFFFF"/>
              </w:rPr>
              <w:t> Awards  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40" w:type="dxa"/>
            <w:vAlign w:val="bottom"/>
            <w:gridSpan w:val="2"/>
          </w:tcPr>
          <w:p>
            <w:pPr>
              <w:ind w:left="60"/>
              <w:spacing w:after="0"/>
              <w:rPr>
                <w:sz w:val="20"/>
                <w:szCs w:val="20"/>
                <w:color w:val="auto"/>
              </w:rPr>
            </w:pPr>
            <w:r>
              <w:rPr>
                <w:rFonts w:ascii="Arial" w:cs="Arial" w:eastAsia="Arial" w:hAnsi="Arial"/>
                <w:sz w:val="16"/>
                <w:szCs w:val="16"/>
                <w:color w:val="auto"/>
              </w:rPr>
              <w:t>Richard D.</w:t>
            </w:r>
          </w:p>
        </w:tc>
        <w:tc>
          <w:tcPr>
            <w:tcW w:w="3840" w:type="dxa"/>
            <w:vAlign w:val="bottom"/>
            <w:gridSpan w:val="2"/>
            <w:shd w:val="clear" w:color="auto" w:fill="E5EBEE"/>
          </w:tcPr>
          <w:p>
            <w:pPr>
              <w:ind w:left="80"/>
              <w:spacing w:after="0" w:line="241" w:lineRule="exact"/>
              <w:rPr>
                <w:sz w:val="20"/>
                <w:szCs w:val="20"/>
                <w:color w:val="auto"/>
              </w:rPr>
            </w:pPr>
            <w:r>
              <w:rPr>
                <w:rFonts w:ascii="Arial" w:cs="Arial" w:eastAsia="Arial" w:hAnsi="Arial"/>
                <w:sz w:val="16"/>
                <w:szCs w:val="16"/>
                <w:color w:val="auto"/>
              </w:rPr>
              <w:t>Financial Performance Shares</w:t>
            </w:r>
            <w:r>
              <w:rPr>
                <w:rFonts w:ascii="Arial" w:cs="Arial" w:eastAsia="Arial" w:hAnsi="Arial"/>
                <w:sz w:val="24"/>
                <w:szCs w:val="24"/>
                <w:color w:val="auto"/>
                <w:vertAlign w:val="superscript"/>
              </w:rPr>
              <w:t>(2)</w:t>
            </w:r>
          </w:p>
        </w:tc>
        <w:tc>
          <w:tcPr>
            <w:tcW w:w="140" w:type="dxa"/>
            <w:vAlign w:val="bottom"/>
          </w:tcPr>
          <w:p>
            <w:pPr>
              <w:spacing w:after="0"/>
              <w:rPr>
                <w:sz w:val="20"/>
                <w:szCs w:val="20"/>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2/4/2025</w:t>
            </w:r>
          </w:p>
        </w:tc>
        <w:tc>
          <w:tcPr>
            <w:tcW w:w="200" w:type="dxa"/>
            <w:vAlign w:val="bottom"/>
            <w:tcBorders>
              <w:right w:val="single" w:sz="8" w:color="E5EBEE"/>
            </w:tcBorders>
          </w:tcPr>
          <w:p>
            <w:pPr>
              <w:spacing w:after="0"/>
              <w:rPr>
                <w:sz w:val="20"/>
                <w:szCs w:val="20"/>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20"/>
                <w:szCs w:val="20"/>
                <w:color w:val="auto"/>
              </w:rPr>
            </w:pPr>
          </w:p>
        </w:tc>
        <w:tc>
          <w:tcPr>
            <w:tcW w:w="6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8"/>
              </w:rPr>
              <w:t>91,296</w:t>
            </w:r>
          </w:p>
        </w:tc>
        <w:tc>
          <w:tcPr>
            <w:tcW w:w="140" w:type="dxa"/>
            <w:vAlign w:val="bottom"/>
          </w:tcPr>
          <w:p>
            <w:pPr>
              <w:spacing w:after="0"/>
              <w:rPr>
                <w:sz w:val="20"/>
                <w:szCs w:val="20"/>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136,794</w:t>
            </w:r>
          </w:p>
        </w:tc>
        <w:tc>
          <w:tcPr>
            <w:tcW w:w="120" w:type="dxa"/>
            <w:vAlign w:val="bottom"/>
          </w:tcPr>
          <w:p>
            <w:pPr>
              <w:spacing w:after="0"/>
              <w:rPr>
                <w:sz w:val="20"/>
                <w:szCs w:val="20"/>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1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8"/>
              </w:rPr>
              <w:t>$18,250,144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40" w:type="dxa"/>
            <w:vAlign w:val="bottom"/>
            <w:gridSpan w:val="2"/>
          </w:tcPr>
          <w:p>
            <w:pPr>
              <w:ind w:left="60"/>
              <w:spacing w:after="0"/>
              <w:rPr>
                <w:sz w:val="20"/>
                <w:szCs w:val="20"/>
                <w:color w:val="auto"/>
              </w:rPr>
            </w:pPr>
            <w:r>
              <w:rPr>
                <w:rFonts w:ascii="Arial" w:cs="Arial" w:eastAsia="Arial" w:hAnsi="Arial"/>
                <w:sz w:val="16"/>
                <w:szCs w:val="16"/>
                <w:color w:val="auto"/>
              </w:rPr>
              <w:t>Fairbank</w:t>
            </w:r>
          </w:p>
        </w:tc>
        <w:tc>
          <w:tcPr>
            <w:tcW w:w="3840" w:type="dxa"/>
            <w:vAlign w:val="bottom"/>
            <w:gridSpan w:val="2"/>
          </w:tcPr>
          <w:p>
            <w:pPr>
              <w:ind w:left="80"/>
              <w:spacing w:after="0" w:line="227" w:lineRule="exact"/>
              <w:rPr>
                <w:sz w:val="20"/>
                <w:szCs w:val="20"/>
                <w:color w:val="auto"/>
              </w:rPr>
            </w:pPr>
            <w:r>
              <w:rPr>
                <w:rFonts w:ascii="Arial" w:cs="Arial" w:eastAsia="Arial" w:hAnsi="Arial"/>
                <w:sz w:val="16"/>
                <w:szCs w:val="16"/>
                <w:color w:val="auto"/>
              </w:rPr>
              <w:t>TSR Performance Shares</w:t>
            </w:r>
            <w:r>
              <w:rPr>
                <w:rFonts w:ascii="Arial" w:cs="Arial" w:eastAsia="Arial" w:hAnsi="Arial"/>
                <w:sz w:val="24"/>
                <w:szCs w:val="24"/>
                <w:color w:val="auto"/>
                <w:vertAlign w:val="superscript"/>
              </w:rPr>
              <w:t>(3)</w:t>
            </w:r>
          </w:p>
        </w:tc>
        <w:tc>
          <w:tcPr>
            <w:tcW w:w="1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2/4/2025</w:t>
            </w: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8"/>
              </w:rPr>
              <w:t>11,244</w:t>
            </w:r>
          </w:p>
        </w:tc>
        <w:tc>
          <w:tcPr>
            <w:tcW w:w="1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16,866</w:t>
            </w: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$2,376,532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gridSpan w:val="2"/>
            <w:shd w:val="clear" w:color="auto" w:fill="E5EBEE"/>
          </w:tcPr>
          <w:p>
            <w:pPr>
              <w:ind w:left="80"/>
              <w:spacing w:after="0" w:line="227" w:lineRule="exact"/>
              <w:rPr>
                <w:sz w:val="20"/>
                <w:szCs w:val="20"/>
                <w:color w:val="auto"/>
              </w:rPr>
            </w:pPr>
            <w:r>
              <w:rPr>
                <w:rFonts w:ascii="Arial" w:cs="Arial" w:eastAsia="Arial" w:hAnsi="Arial"/>
                <w:sz w:val="16"/>
                <w:szCs w:val="16"/>
                <w:color w:val="auto"/>
              </w:rPr>
              <w:t>Cash-Settled RSUs</w:t>
            </w:r>
            <w:r>
              <w:rPr>
                <w:rFonts w:ascii="Arial" w:cs="Arial" w:eastAsia="Arial" w:hAnsi="Arial"/>
                <w:sz w:val="24"/>
                <w:szCs w:val="24"/>
                <w:color w:val="auto"/>
                <w:vertAlign w:val="superscript"/>
              </w:rPr>
              <w:t>(4)</w:t>
            </w:r>
          </w:p>
        </w:tc>
        <w:tc>
          <w:tcPr>
            <w:tcW w:w="140" w:type="dxa"/>
            <w:vAlign w:val="bottom"/>
          </w:tcPr>
          <w:p>
            <w:pPr>
              <w:spacing w:after="0"/>
              <w:rPr>
                <w:sz w:val="19"/>
                <w:szCs w:val="19"/>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2/4/2025</w:t>
            </w:r>
          </w:p>
        </w:tc>
        <w:tc>
          <w:tcPr>
            <w:tcW w:w="200" w:type="dxa"/>
            <w:vAlign w:val="bottom"/>
            <w:tcBorders>
              <w:right w:val="single" w:sz="8" w:color="E5EBEE"/>
            </w:tcBorders>
          </w:tcPr>
          <w:p>
            <w:pPr>
              <w:spacing w:after="0"/>
              <w:rPr>
                <w:sz w:val="19"/>
                <w:szCs w:val="19"/>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6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8"/>
              </w:rPr>
              <w:t>24,986</w:t>
            </w:r>
          </w:p>
        </w:tc>
        <w:tc>
          <w:tcPr>
            <w:tcW w:w="120" w:type="dxa"/>
            <w:vAlign w:val="bottom"/>
          </w:tcPr>
          <w:p>
            <w:pPr>
              <w:spacing w:after="0"/>
              <w:rPr>
                <w:sz w:val="19"/>
                <w:szCs w:val="19"/>
                <w:color w:val="auto"/>
              </w:rPr>
            </w:pPr>
          </w:p>
        </w:tc>
        <w:tc>
          <w:tcPr>
            <w:tcW w:w="11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$5,000,198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gridSpan w:val="2"/>
          </w:tcPr>
          <w:p>
            <w:pPr>
              <w:ind w:left="80"/>
              <w:spacing w:after="0" w:line="227" w:lineRule="exact"/>
              <w:rPr>
                <w:sz w:val="20"/>
                <w:szCs w:val="20"/>
                <w:color w:val="auto"/>
              </w:rPr>
            </w:pPr>
            <w:r>
              <w:rPr>
                <w:rFonts w:ascii="Arial" w:cs="Arial" w:eastAsia="Arial" w:hAnsi="Arial"/>
                <w:sz w:val="16"/>
                <w:szCs w:val="16"/>
                <w:color w:val="auto"/>
              </w:rPr>
              <w:t>Cash-Settled RSUs</w:t>
            </w:r>
            <w:r>
              <w:rPr>
                <w:rFonts w:ascii="Arial" w:cs="Arial" w:eastAsia="Arial" w:hAnsi="Arial"/>
                <w:sz w:val="24"/>
                <w:szCs w:val="24"/>
                <w:color w:val="auto"/>
                <w:vertAlign w:val="superscript"/>
              </w:rPr>
              <w:t>(5)</w:t>
            </w:r>
          </w:p>
        </w:tc>
        <w:tc>
          <w:tcPr>
            <w:tcW w:w="1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2/4/2025</w:t>
            </w: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12,493</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$2,500,099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gridSpan w:val="2"/>
            <w:shd w:val="clear" w:color="auto" w:fill="E5EBEE"/>
          </w:tcPr>
          <w:p>
            <w:pPr>
              <w:ind w:left="80"/>
              <w:spacing w:after="0" w:line="227" w:lineRule="exact"/>
              <w:rPr>
                <w:sz w:val="20"/>
                <w:szCs w:val="20"/>
                <w:color w:val="auto"/>
              </w:rPr>
            </w:pPr>
            <w:r>
              <w:rPr>
                <w:rFonts w:ascii="Arial" w:cs="Arial" w:eastAsia="Arial" w:hAnsi="Arial"/>
                <w:sz w:val="16"/>
                <w:szCs w:val="16"/>
                <w:color w:val="auto"/>
              </w:rPr>
              <w:t>Stock-Settled RSUs</w:t>
            </w:r>
            <w:r>
              <w:rPr>
                <w:rFonts w:ascii="Arial" w:cs="Arial" w:eastAsia="Arial" w:hAnsi="Arial"/>
                <w:sz w:val="24"/>
                <w:szCs w:val="24"/>
                <w:color w:val="auto"/>
                <w:vertAlign w:val="superscript"/>
              </w:rPr>
              <w:t>(6)</w:t>
            </w:r>
          </w:p>
        </w:tc>
        <w:tc>
          <w:tcPr>
            <w:tcW w:w="140" w:type="dxa"/>
            <w:vAlign w:val="bottom"/>
          </w:tcPr>
          <w:p>
            <w:pPr>
              <w:spacing w:after="0"/>
              <w:rPr>
                <w:sz w:val="19"/>
                <w:szCs w:val="19"/>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6/3/2025</w:t>
            </w:r>
          </w:p>
        </w:tc>
        <w:tc>
          <w:tcPr>
            <w:tcW w:w="200" w:type="dxa"/>
            <w:vAlign w:val="bottom"/>
            <w:tcBorders>
              <w:right w:val="single" w:sz="8" w:color="E5EBEE"/>
            </w:tcBorders>
          </w:tcPr>
          <w:p>
            <w:pPr>
              <w:spacing w:after="0"/>
              <w:rPr>
                <w:sz w:val="19"/>
                <w:szCs w:val="19"/>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6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8"/>
              </w:rPr>
              <w:t>76,675</w:t>
            </w:r>
          </w:p>
        </w:tc>
        <w:tc>
          <w:tcPr>
            <w:tcW w:w="120" w:type="dxa"/>
            <w:vAlign w:val="bottom"/>
          </w:tcPr>
          <w:p>
            <w:pPr>
              <w:spacing w:after="0"/>
              <w:rPr>
                <w:sz w:val="19"/>
                <w:szCs w:val="19"/>
                <w:color w:val="auto"/>
              </w:rPr>
            </w:pPr>
          </w:p>
        </w:tc>
        <w:tc>
          <w:tcPr>
            <w:tcW w:w="11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8"/>
              </w:rPr>
              <w:t>$14,999,930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Borders>
              <w:bottom w:val="single" w:sz="8" w:color="023C5B"/>
            </w:tcBorders>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tcBorders>
              <w:bottom w:val="single" w:sz="8" w:color="023C5B"/>
            </w:tcBorders>
            <w:gridSpan w:val="2"/>
          </w:tcPr>
          <w:p>
            <w:pPr>
              <w:ind w:left="80"/>
              <w:spacing w:after="0" w:line="227" w:lineRule="exact"/>
              <w:rPr>
                <w:sz w:val="20"/>
                <w:szCs w:val="20"/>
                <w:color w:val="auto"/>
              </w:rPr>
            </w:pPr>
            <w:r>
              <w:rPr>
                <w:rFonts w:ascii="Arial" w:cs="Arial" w:eastAsia="Arial" w:hAnsi="Arial"/>
                <w:sz w:val="16"/>
                <w:szCs w:val="16"/>
                <w:color w:val="auto"/>
              </w:rPr>
              <w:t>Cash-Settled RSUs</w:t>
            </w:r>
            <w:r>
              <w:rPr>
                <w:rFonts w:ascii="Arial" w:cs="Arial" w:eastAsia="Arial" w:hAnsi="Arial"/>
                <w:sz w:val="24"/>
                <w:szCs w:val="24"/>
                <w:color w:val="auto"/>
                <w:vertAlign w:val="superscript"/>
              </w:rPr>
              <w:t>(6)</w:t>
            </w:r>
          </w:p>
        </w:tc>
        <w:tc>
          <w:tcPr>
            <w:tcW w:w="140" w:type="dxa"/>
            <w:vAlign w:val="bottom"/>
          </w:tcPr>
          <w:p>
            <w:pPr>
              <w:spacing w:after="0"/>
              <w:rPr>
                <w:sz w:val="19"/>
                <w:szCs w:val="19"/>
                <w:color w:val="auto"/>
              </w:rPr>
            </w:pPr>
          </w:p>
        </w:tc>
        <w:tc>
          <w:tcPr>
            <w:tcW w:w="80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6/3/2025</w:t>
            </w:r>
          </w:p>
        </w:tc>
        <w:tc>
          <w:tcPr>
            <w:tcW w:w="200" w:type="dxa"/>
            <w:vAlign w:val="bottom"/>
          </w:tcPr>
          <w:p>
            <w:pPr>
              <w:spacing w:after="0"/>
              <w:rPr>
                <w:sz w:val="19"/>
                <w:szCs w:val="19"/>
                <w:color w:val="auto"/>
              </w:rPr>
            </w:pPr>
          </w:p>
        </w:tc>
        <w:tc>
          <w:tcPr>
            <w:tcW w:w="86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60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92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86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8"/>
              </w:rPr>
              <w:t>76,676</w:t>
            </w:r>
          </w:p>
        </w:tc>
        <w:tc>
          <w:tcPr>
            <w:tcW w:w="120" w:type="dxa"/>
            <w:vAlign w:val="bottom"/>
          </w:tcPr>
          <w:p>
            <w:pPr>
              <w:spacing w:after="0"/>
              <w:rPr>
                <w:sz w:val="19"/>
                <w:szCs w:val="19"/>
                <w:color w:val="auto"/>
              </w:rPr>
            </w:pPr>
          </w:p>
        </w:tc>
        <w:tc>
          <w:tcPr>
            <w:tcW w:w="114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8"/>
              </w:rPr>
              <w:t>$15,000,126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ind w:left="60"/>
              <w:spacing w:after="0"/>
              <w:rPr>
                <w:sz w:val="20"/>
                <w:szCs w:val="20"/>
                <w:color w:val="auto"/>
              </w:rPr>
            </w:pPr>
            <w:r>
              <w:rPr>
                <w:rFonts w:ascii="Arial" w:cs="Arial" w:eastAsia="Arial" w:hAnsi="Arial"/>
                <w:sz w:val="16"/>
                <w:szCs w:val="16"/>
                <w:color w:val="auto"/>
              </w:rPr>
              <w:t>Andrew M.</w:t>
            </w:r>
          </w:p>
        </w:tc>
        <w:tc>
          <w:tcPr>
            <w:tcW w:w="120" w:type="dxa"/>
            <w:vAlign w:val="bottom"/>
          </w:tcPr>
          <w:p>
            <w:pPr>
              <w:spacing w:after="0"/>
              <w:rPr>
                <w:sz w:val="19"/>
                <w:szCs w:val="19"/>
                <w:color w:val="auto"/>
              </w:rPr>
            </w:pPr>
          </w:p>
        </w:tc>
        <w:tc>
          <w:tcPr>
            <w:tcW w:w="3840" w:type="dxa"/>
            <w:vAlign w:val="bottom"/>
            <w:gridSpan w:val="2"/>
            <w:shd w:val="clear" w:color="auto" w:fill="E5EBEE"/>
          </w:tcPr>
          <w:p>
            <w:pPr>
              <w:ind w:left="80"/>
              <w:spacing w:after="0" w:line="220" w:lineRule="exact"/>
              <w:rPr>
                <w:sz w:val="20"/>
                <w:szCs w:val="20"/>
                <w:color w:val="auto"/>
              </w:rPr>
            </w:pPr>
            <w:r>
              <w:rPr>
                <w:rFonts w:ascii="Arial" w:cs="Arial" w:eastAsia="Arial" w:hAnsi="Arial"/>
                <w:sz w:val="16"/>
                <w:szCs w:val="16"/>
                <w:color w:val="auto"/>
              </w:rPr>
              <w:t>Financial Performance Shares</w:t>
            </w:r>
            <w:r>
              <w:rPr>
                <w:rFonts w:ascii="Arial" w:cs="Arial" w:eastAsia="Arial" w:hAnsi="Arial"/>
                <w:sz w:val="24"/>
                <w:szCs w:val="24"/>
                <w:color w:val="auto"/>
                <w:vertAlign w:val="superscript"/>
              </w:rPr>
              <w:t>(2)</w:t>
            </w:r>
          </w:p>
        </w:tc>
        <w:tc>
          <w:tcPr>
            <w:tcW w:w="140" w:type="dxa"/>
            <w:vAlign w:val="bottom"/>
          </w:tcPr>
          <w:p>
            <w:pPr>
              <w:spacing w:after="0"/>
              <w:rPr>
                <w:sz w:val="19"/>
                <w:szCs w:val="19"/>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2/4/2025</w:t>
            </w:r>
          </w:p>
        </w:tc>
        <w:tc>
          <w:tcPr>
            <w:tcW w:w="200" w:type="dxa"/>
            <w:vAlign w:val="bottom"/>
            <w:tcBorders>
              <w:right w:val="single" w:sz="8" w:color="E5EBEE"/>
            </w:tcBorders>
          </w:tcPr>
          <w:p>
            <w:pPr>
              <w:spacing w:after="0"/>
              <w:rPr>
                <w:sz w:val="19"/>
                <w:szCs w:val="19"/>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9"/>
                <w:szCs w:val="19"/>
                <w:color w:val="auto"/>
              </w:rPr>
            </w:pPr>
          </w:p>
        </w:tc>
        <w:tc>
          <w:tcPr>
            <w:tcW w:w="6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7,796</w:t>
            </w:r>
          </w:p>
        </w:tc>
        <w:tc>
          <w:tcPr>
            <w:tcW w:w="140" w:type="dxa"/>
            <w:vAlign w:val="bottom"/>
          </w:tcPr>
          <w:p>
            <w:pPr>
              <w:spacing w:after="0"/>
              <w:rPr>
                <w:sz w:val="19"/>
                <w:szCs w:val="19"/>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8"/>
              </w:rPr>
              <w:t>11,694</w:t>
            </w:r>
          </w:p>
        </w:tc>
        <w:tc>
          <w:tcPr>
            <w:tcW w:w="120" w:type="dxa"/>
            <w:vAlign w:val="bottom"/>
          </w:tcPr>
          <w:p>
            <w:pPr>
              <w:spacing w:after="0"/>
              <w:rPr>
                <w:sz w:val="19"/>
                <w:szCs w:val="19"/>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11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$1,560,136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040" w:type="dxa"/>
            <w:vAlign w:val="bottom"/>
            <w:gridSpan w:val="2"/>
          </w:tcPr>
          <w:p>
            <w:pPr>
              <w:ind w:left="60"/>
              <w:spacing w:after="0"/>
              <w:rPr>
                <w:sz w:val="20"/>
                <w:szCs w:val="20"/>
                <w:color w:val="auto"/>
              </w:rPr>
            </w:pPr>
            <w:r>
              <w:rPr>
                <w:rFonts w:ascii="Arial" w:cs="Arial" w:eastAsia="Arial" w:hAnsi="Arial"/>
                <w:sz w:val="16"/>
                <w:szCs w:val="16"/>
                <w:color w:val="auto"/>
              </w:rPr>
              <w:t>Young</w:t>
            </w:r>
          </w:p>
        </w:tc>
        <w:tc>
          <w:tcPr>
            <w:tcW w:w="3840" w:type="dxa"/>
            <w:vAlign w:val="bottom"/>
            <w:gridSpan w:val="2"/>
          </w:tcPr>
          <w:p>
            <w:pPr>
              <w:ind w:left="80"/>
              <w:spacing w:after="0"/>
              <w:rPr>
                <w:sz w:val="20"/>
                <w:szCs w:val="20"/>
                <w:color w:val="auto"/>
              </w:rPr>
            </w:pPr>
            <w:r>
              <w:rPr>
                <w:rFonts w:ascii="Arial" w:cs="Arial" w:eastAsia="Arial" w:hAnsi="Arial"/>
                <w:sz w:val="16"/>
                <w:szCs w:val="16"/>
                <w:color w:val="auto"/>
              </w:rPr>
              <w:t>Stock-Settled RSUs</w:t>
            </w:r>
          </w:p>
        </w:tc>
        <w:tc>
          <w:tcPr>
            <w:tcW w:w="1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2/4/2025</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6,497</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$1,300,180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20" w:type="dxa"/>
            <w:vAlign w:val="bottom"/>
            <w:tcBorders>
              <w:bottom w:val="single" w:sz="8" w:color="023C5B"/>
            </w:tcBorders>
          </w:tcPr>
          <w:p>
            <w:pPr>
              <w:spacing w:after="0"/>
              <w:rPr>
                <w:sz w:val="21"/>
                <w:szCs w:val="21"/>
                <w:color w:val="auto"/>
              </w:rPr>
            </w:pPr>
          </w:p>
        </w:tc>
        <w:tc>
          <w:tcPr>
            <w:tcW w:w="120" w:type="dxa"/>
            <w:vAlign w:val="bottom"/>
          </w:tcPr>
          <w:p>
            <w:pPr>
              <w:spacing w:after="0"/>
              <w:rPr>
                <w:sz w:val="21"/>
                <w:szCs w:val="21"/>
                <w:color w:val="auto"/>
              </w:rPr>
            </w:pPr>
          </w:p>
        </w:tc>
        <w:tc>
          <w:tcPr>
            <w:tcW w:w="3840" w:type="dxa"/>
            <w:vAlign w:val="bottom"/>
            <w:tcBorders>
              <w:bottom w:val="single" w:sz="8" w:color="023C5B"/>
            </w:tcBorders>
            <w:gridSpan w:val="2"/>
            <w:shd w:val="clear" w:color="auto" w:fill="E5EBEE"/>
          </w:tcPr>
          <w:p>
            <w:pPr>
              <w:ind w:left="80"/>
              <w:spacing w:after="0" w:line="243" w:lineRule="exact"/>
              <w:rPr>
                <w:sz w:val="20"/>
                <w:szCs w:val="20"/>
                <w:color w:val="auto"/>
              </w:rPr>
            </w:pPr>
            <w:r>
              <w:rPr>
                <w:rFonts w:ascii="Arial" w:cs="Arial" w:eastAsia="Arial" w:hAnsi="Arial"/>
                <w:sz w:val="16"/>
                <w:szCs w:val="16"/>
                <w:color w:val="auto"/>
              </w:rPr>
              <w:t>Stock-Settled RSUs</w:t>
            </w:r>
            <w:r>
              <w:rPr>
                <w:rFonts w:ascii="Arial" w:cs="Arial" w:eastAsia="Arial" w:hAnsi="Arial"/>
                <w:sz w:val="24"/>
                <w:szCs w:val="24"/>
                <w:color w:val="auto"/>
                <w:vertAlign w:val="superscript"/>
              </w:rPr>
              <w:t>(6)</w:t>
            </w:r>
          </w:p>
        </w:tc>
        <w:tc>
          <w:tcPr>
            <w:tcW w:w="140" w:type="dxa"/>
            <w:vAlign w:val="bottom"/>
          </w:tcPr>
          <w:p>
            <w:pPr>
              <w:spacing w:after="0"/>
              <w:rPr>
                <w:sz w:val="21"/>
                <w:szCs w:val="21"/>
                <w:color w:val="auto"/>
              </w:rPr>
            </w:pPr>
          </w:p>
        </w:tc>
        <w:tc>
          <w:tcPr>
            <w:tcW w:w="8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9"/>
              </w:rPr>
              <w:t>6/3/2025</w:t>
            </w:r>
          </w:p>
        </w:tc>
        <w:tc>
          <w:tcPr>
            <w:tcW w:w="200" w:type="dxa"/>
            <w:vAlign w:val="bottom"/>
            <w:tcBorders>
              <w:right w:val="single" w:sz="8" w:color="E5EBEE"/>
            </w:tcBorders>
          </w:tcPr>
          <w:p>
            <w:pPr>
              <w:spacing w:after="0"/>
              <w:rPr>
                <w:sz w:val="21"/>
                <w:szCs w:val="21"/>
                <w:color w:val="auto"/>
              </w:rPr>
            </w:pPr>
          </w:p>
        </w:tc>
        <w:tc>
          <w:tcPr>
            <w:tcW w:w="86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1"/>
                <w:szCs w:val="21"/>
                <w:color w:val="auto"/>
              </w:rPr>
            </w:pPr>
          </w:p>
        </w:tc>
        <w:tc>
          <w:tcPr>
            <w:tcW w:w="6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1"/>
                <w:szCs w:val="21"/>
                <w:color w:val="auto"/>
              </w:rPr>
            </w:pPr>
          </w:p>
        </w:tc>
        <w:tc>
          <w:tcPr>
            <w:tcW w:w="92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86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8"/>
              </w:rPr>
              <w:t>15,336</w:t>
            </w:r>
          </w:p>
        </w:tc>
        <w:tc>
          <w:tcPr>
            <w:tcW w:w="120" w:type="dxa"/>
            <w:vAlign w:val="bottom"/>
          </w:tcPr>
          <w:p>
            <w:pPr>
              <w:spacing w:after="0"/>
              <w:rPr>
                <w:sz w:val="21"/>
                <w:szCs w:val="21"/>
                <w:color w:val="auto"/>
              </w:rPr>
            </w:pPr>
          </w:p>
        </w:tc>
        <w:tc>
          <w:tcPr>
            <w:tcW w:w="114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9"/>
              </w:rPr>
              <w:t>$3,000,182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920" w:type="dxa"/>
            <w:vAlign w:val="bottom"/>
          </w:tcPr>
          <w:p>
            <w:pPr>
              <w:ind w:left="60"/>
              <w:spacing w:after="0"/>
              <w:rPr>
                <w:sz w:val="20"/>
                <w:szCs w:val="20"/>
                <w:color w:val="auto"/>
              </w:rPr>
            </w:pPr>
            <w:r>
              <w:rPr>
                <w:rFonts w:ascii="Arial" w:cs="Arial" w:eastAsia="Arial" w:hAnsi="Arial"/>
                <w:sz w:val="16"/>
                <w:szCs w:val="16"/>
                <w:color w:val="auto"/>
                <w:w w:val="99"/>
              </w:rPr>
              <w:t>Matthew W.</w:t>
            </w:r>
          </w:p>
        </w:tc>
        <w:tc>
          <w:tcPr>
            <w:tcW w:w="120" w:type="dxa"/>
            <w:vAlign w:val="bottom"/>
          </w:tcPr>
          <w:p>
            <w:pPr>
              <w:spacing w:after="0"/>
              <w:rPr>
                <w:sz w:val="19"/>
                <w:szCs w:val="19"/>
                <w:color w:val="auto"/>
              </w:rPr>
            </w:pPr>
          </w:p>
        </w:tc>
        <w:tc>
          <w:tcPr>
            <w:tcW w:w="3840" w:type="dxa"/>
            <w:vAlign w:val="bottom"/>
            <w:gridSpan w:val="2"/>
          </w:tcPr>
          <w:p>
            <w:pPr>
              <w:ind w:left="80"/>
              <w:spacing w:after="0" w:line="220" w:lineRule="exact"/>
              <w:rPr>
                <w:sz w:val="20"/>
                <w:szCs w:val="20"/>
                <w:color w:val="auto"/>
              </w:rPr>
            </w:pPr>
            <w:r>
              <w:rPr>
                <w:rFonts w:ascii="Arial" w:cs="Arial" w:eastAsia="Arial" w:hAnsi="Arial"/>
                <w:sz w:val="16"/>
                <w:szCs w:val="16"/>
                <w:color w:val="auto"/>
              </w:rPr>
              <w:t>Financial Performance Shares</w:t>
            </w:r>
            <w:r>
              <w:rPr>
                <w:rFonts w:ascii="Arial" w:cs="Arial" w:eastAsia="Arial" w:hAnsi="Arial"/>
                <w:sz w:val="24"/>
                <w:szCs w:val="24"/>
                <w:color w:val="auto"/>
                <w:vertAlign w:val="superscript"/>
              </w:rPr>
              <w:t>(2)</w:t>
            </w:r>
          </w:p>
        </w:tc>
        <w:tc>
          <w:tcPr>
            <w:tcW w:w="1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2/4/2025</w:t>
            </w: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9,601</w:t>
            </w:r>
          </w:p>
        </w:tc>
        <w:tc>
          <w:tcPr>
            <w:tcW w:w="1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14,402</w:t>
            </w: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$1,921,352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040" w:type="dxa"/>
            <w:vAlign w:val="bottom"/>
            <w:gridSpan w:val="2"/>
          </w:tcPr>
          <w:p>
            <w:pPr>
              <w:ind w:left="60"/>
              <w:spacing w:after="0"/>
              <w:rPr>
                <w:sz w:val="20"/>
                <w:szCs w:val="20"/>
                <w:color w:val="auto"/>
              </w:rPr>
            </w:pPr>
            <w:r>
              <w:rPr>
                <w:rFonts w:ascii="Arial" w:cs="Arial" w:eastAsia="Arial" w:hAnsi="Arial"/>
                <w:sz w:val="16"/>
                <w:szCs w:val="16"/>
                <w:color w:val="auto"/>
              </w:rPr>
              <w:t>Cooper</w:t>
            </w:r>
          </w:p>
        </w:tc>
        <w:tc>
          <w:tcPr>
            <w:tcW w:w="3840" w:type="dxa"/>
            <w:vAlign w:val="bottom"/>
            <w:gridSpan w:val="2"/>
            <w:shd w:val="clear" w:color="auto" w:fill="E5EBEE"/>
          </w:tcPr>
          <w:p>
            <w:pPr>
              <w:ind w:left="80"/>
              <w:spacing w:after="0"/>
              <w:rPr>
                <w:sz w:val="20"/>
                <w:szCs w:val="20"/>
                <w:color w:val="auto"/>
              </w:rPr>
            </w:pPr>
            <w:r>
              <w:rPr>
                <w:rFonts w:ascii="Arial" w:cs="Arial" w:eastAsia="Arial" w:hAnsi="Arial"/>
                <w:sz w:val="16"/>
                <w:szCs w:val="16"/>
                <w:color w:val="auto"/>
              </w:rPr>
              <w:t>Stock-Settled RSUs</w:t>
            </w:r>
          </w:p>
        </w:tc>
        <w:tc>
          <w:tcPr>
            <w:tcW w:w="140" w:type="dxa"/>
            <w:vAlign w:val="bottom"/>
          </w:tcPr>
          <w:p>
            <w:pPr>
              <w:spacing w:after="0"/>
              <w:rPr>
                <w:sz w:val="19"/>
                <w:szCs w:val="19"/>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2/4/2025</w:t>
            </w:r>
          </w:p>
        </w:tc>
        <w:tc>
          <w:tcPr>
            <w:tcW w:w="200" w:type="dxa"/>
            <w:vAlign w:val="bottom"/>
            <w:tcBorders>
              <w:right w:val="single" w:sz="8" w:color="E5EBEE"/>
            </w:tcBorders>
          </w:tcPr>
          <w:p>
            <w:pPr>
              <w:spacing w:after="0"/>
              <w:rPr>
                <w:sz w:val="19"/>
                <w:szCs w:val="19"/>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6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8,001</w:t>
            </w:r>
          </w:p>
        </w:tc>
        <w:tc>
          <w:tcPr>
            <w:tcW w:w="120" w:type="dxa"/>
            <w:vAlign w:val="bottom"/>
          </w:tcPr>
          <w:p>
            <w:pPr>
              <w:spacing w:after="0"/>
              <w:rPr>
                <w:sz w:val="19"/>
                <w:szCs w:val="19"/>
                <w:color w:val="auto"/>
              </w:rPr>
            </w:pPr>
          </w:p>
        </w:tc>
        <w:tc>
          <w:tcPr>
            <w:tcW w:w="11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$1,601,160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Borders>
              <w:bottom w:val="single" w:sz="8" w:color="023C5B"/>
            </w:tcBorders>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tcBorders>
              <w:bottom w:val="single" w:sz="8" w:color="023C5B"/>
            </w:tcBorders>
            <w:gridSpan w:val="2"/>
          </w:tcPr>
          <w:p>
            <w:pPr>
              <w:ind w:left="80"/>
              <w:spacing w:after="0" w:line="227" w:lineRule="exact"/>
              <w:rPr>
                <w:sz w:val="20"/>
                <w:szCs w:val="20"/>
                <w:color w:val="auto"/>
              </w:rPr>
            </w:pPr>
            <w:r>
              <w:rPr>
                <w:rFonts w:ascii="Arial" w:cs="Arial" w:eastAsia="Arial" w:hAnsi="Arial"/>
                <w:sz w:val="16"/>
                <w:szCs w:val="16"/>
                <w:color w:val="auto"/>
              </w:rPr>
              <w:t>Stock-Settled RSUs</w:t>
            </w:r>
            <w:r>
              <w:rPr>
                <w:rFonts w:ascii="Arial" w:cs="Arial" w:eastAsia="Arial" w:hAnsi="Arial"/>
                <w:sz w:val="24"/>
                <w:szCs w:val="24"/>
                <w:color w:val="auto"/>
                <w:vertAlign w:val="superscript"/>
              </w:rPr>
              <w:t>(6)</w:t>
            </w:r>
          </w:p>
        </w:tc>
        <w:tc>
          <w:tcPr>
            <w:tcW w:w="140" w:type="dxa"/>
            <w:vAlign w:val="bottom"/>
          </w:tcPr>
          <w:p>
            <w:pPr>
              <w:spacing w:after="0"/>
              <w:rPr>
                <w:sz w:val="19"/>
                <w:szCs w:val="19"/>
                <w:color w:val="auto"/>
              </w:rPr>
            </w:pPr>
          </w:p>
        </w:tc>
        <w:tc>
          <w:tcPr>
            <w:tcW w:w="80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6/3/2025</w:t>
            </w:r>
          </w:p>
        </w:tc>
        <w:tc>
          <w:tcPr>
            <w:tcW w:w="200" w:type="dxa"/>
            <w:vAlign w:val="bottom"/>
          </w:tcPr>
          <w:p>
            <w:pPr>
              <w:spacing w:after="0"/>
              <w:rPr>
                <w:sz w:val="19"/>
                <w:szCs w:val="19"/>
                <w:color w:val="auto"/>
              </w:rPr>
            </w:pPr>
          </w:p>
        </w:tc>
        <w:tc>
          <w:tcPr>
            <w:tcW w:w="86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60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92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86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8"/>
              </w:rPr>
              <w:t>28,115</w:t>
            </w:r>
          </w:p>
        </w:tc>
        <w:tc>
          <w:tcPr>
            <w:tcW w:w="120" w:type="dxa"/>
            <w:vAlign w:val="bottom"/>
          </w:tcPr>
          <w:p>
            <w:pPr>
              <w:spacing w:after="0"/>
              <w:rPr>
                <w:sz w:val="19"/>
                <w:szCs w:val="19"/>
                <w:color w:val="auto"/>
              </w:rPr>
            </w:pPr>
          </w:p>
        </w:tc>
        <w:tc>
          <w:tcPr>
            <w:tcW w:w="114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$5,500,137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0" w:type="dxa"/>
            <w:vAlign w:val="bottom"/>
          </w:tcPr>
          <w:p>
            <w:pPr>
              <w:ind w:left="60"/>
              <w:spacing w:after="0"/>
              <w:rPr>
                <w:sz w:val="20"/>
                <w:szCs w:val="20"/>
                <w:color w:val="auto"/>
              </w:rPr>
            </w:pPr>
            <w:r>
              <w:rPr>
                <w:rFonts w:ascii="Arial" w:cs="Arial" w:eastAsia="Arial" w:hAnsi="Arial"/>
                <w:sz w:val="16"/>
                <w:szCs w:val="16"/>
                <w:color w:val="auto"/>
                <w:w w:val="98"/>
              </w:rPr>
              <w:t>Mark Daniel</w:t>
            </w:r>
          </w:p>
        </w:tc>
        <w:tc>
          <w:tcPr>
            <w:tcW w:w="120" w:type="dxa"/>
            <w:vAlign w:val="bottom"/>
          </w:tcPr>
          <w:p>
            <w:pPr>
              <w:spacing w:after="0"/>
              <w:rPr>
                <w:sz w:val="19"/>
                <w:szCs w:val="19"/>
                <w:color w:val="auto"/>
              </w:rPr>
            </w:pPr>
          </w:p>
        </w:tc>
        <w:tc>
          <w:tcPr>
            <w:tcW w:w="3840" w:type="dxa"/>
            <w:vAlign w:val="bottom"/>
            <w:gridSpan w:val="2"/>
            <w:shd w:val="clear" w:color="auto" w:fill="E5EBEE"/>
          </w:tcPr>
          <w:p>
            <w:pPr>
              <w:ind w:left="80"/>
              <w:spacing w:after="0" w:line="220" w:lineRule="exact"/>
              <w:rPr>
                <w:sz w:val="20"/>
                <w:szCs w:val="20"/>
                <w:color w:val="auto"/>
              </w:rPr>
            </w:pPr>
            <w:r>
              <w:rPr>
                <w:rFonts w:ascii="Arial" w:cs="Arial" w:eastAsia="Arial" w:hAnsi="Arial"/>
                <w:sz w:val="16"/>
                <w:szCs w:val="16"/>
                <w:color w:val="auto"/>
              </w:rPr>
              <w:t>Financial Performance Shares</w:t>
            </w:r>
            <w:r>
              <w:rPr>
                <w:rFonts w:ascii="Arial" w:cs="Arial" w:eastAsia="Arial" w:hAnsi="Arial"/>
                <w:sz w:val="24"/>
                <w:szCs w:val="24"/>
                <w:color w:val="auto"/>
                <w:vertAlign w:val="superscript"/>
              </w:rPr>
              <w:t>(2)</w:t>
            </w:r>
          </w:p>
        </w:tc>
        <w:tc>
          <w:tcPr>
            <w:tcW w:w="140" w:type="dxa"/>
            <w:vAlign w:val="bottom"/>
          </w:tcPr>
          <w:p>
            <w:pPr>
              <w:spacing w:after="0"/>
              <w:rPr>
                <w:sz w:val="19"/>
                <w:szCs w:val="19"/>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2/4/2025</w:t>
            </w:r>
          </w:p>
        </w:tc>
        <w:tc>
          <w:tcPr>
            <w:tcW w:w="200" w:type="dxa"/>
            <w:vAlign w:val="bottom"/>
            <w:tcBorders>
              <w:right w:val="single" w:sz="8" w:color="E5EBEE"/>
            </w:tcBorders>
          </w:tcPr>
          <w:p>
            <w:pPr>
              <w:spacing w:after="0"/>
              <w:rPr>
                <w:sz w:val="19"/>
                <w:szCs w:val="19"/>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9"/>
                <w:szCs w:val="19"/>
                <w:color w:val="auto"/>
              </w:rPr>
            </w:pPr>
          </w:p>
        </w:tc>
        <w:tc>
          <w:tcPr>
            <w:tcW w:w="6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8,448</w:t>
            </w:r>
          </w:p>
        </w:tc>
        <w:tc>
          <w:tcPr>
            <w:tcW w:w="140" w:type="dxa"/>
            <w:vAlign w:val="bottom"/>
          </w:tcPr>
          <w:p>
            <w:pPr>
              <w:spacing w:after="0"/>
              <w:rPr>
                <w:sz w:val="19"/>
                <w:szCs w:val="19"/>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8"/>
              </w:rPr>
              <w:t>12,672</w:t>
            </w:r>
          </w:p>
        </w:tc>
        <w:tc>
          <w:tcPr>
            <w:tcW w:w="120" w:type="dxa"/>
            <w:vAlign w:val="bottom"/>
          </w:tcPr>
          <w:p>
            <w:pPr>
              <w:spacing w:after="0"/>
              <w:rPr>
                <w:sz w:val="19"/>
                <w:szCs w:val="19"/>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11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$1,690,614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040" w:type="dxa"/>
            <w:vAlign w:val="bottom"/>
            <w:gridSpan w:val="2"/>
          </w:tcPr>
          <w:p>
            <w:pPr>
              <w:ind w:left="60"/>
              <w:spacing w:after="0"/>
              <w:rPr>
                <w:sz w:val="20"/>
                <w:szCs w:val="20"/>
                <w:color w:val="auto"/>
              </w:rPr>
            </w:pPr>
            <w:r>
              <w:rPr>
                <w:rFonts w:ascii="Arial" w:cs="Arial" w:eastAsia="Arial" w:hAnsi="Arial"/>
                <w:sz w:val="16"/>
                <w:szCs w:val="16"/>
                <w:color w:val="auto"/>
              </w:rPr>
              <w:t>Mouadeb</w:t>
            </w:r>
          </w:p>
        </w:tc>
        <w:tc>
          <w:tcPr>
            <w:tcW w:w="3840" w:type="dxa"/>
            <w:vAlign w:val="bottom"/>
            <w:gridSpan w:val="2"/>
          </w:tcPr>
          <w:p>
            <w:pPr>
              <w:ind w:left="80"/>
              <w:spacing w:after="0"/>
              <w:rPr>
                <w:sz w:val="20"/>
                <w:szCs w:val="20"/>
                <w:color w:val="auto"/>
              </w:rPr>
            </w:pPr>
            <w:r>
              <w:rPr>
                <w:rFonts w:ascii="Arial" w:cs="Arial" w:eastAsia="Arial" w:hAnsi="Arial"/>
                <w:sz w:val="16"/>
                <w:szCs w:val="16"/>
                <w:color w:val="auto"/>
              </w:rPr>
              <w:t>Stock-Settled RSUs</w:t>
            </w:r>
          </w:p>
        </w:tc>
        <w:tc>
          <w:tcPr>
            <w:tcW w:w="1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2/4/2025</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7,040</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$1,408,845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20" w:type="dxa"/>
            <w:vAlign w:val="bottom"/>
            <w:tcBorders>
              <w:bottom w:val="single" w:sz="8" w:color="023C5B"/>
            </w:tcBorders>
          </w:tcPr>
          <w:p>
            <w:pPr>
              <w:spacing w:after="0"/>
              <w:rPr>
                <w:sz w:val="21"/>
                <w:szCs w:val="21"/>
                <w:color w:val="auto"/>
              </w:rPr>
            </w:pPr>
          </w:p>
        </w:tc>
        <w:tc>
          <w:tcPr>
            <w:tcW w:w="120" w:type="dxa"/>
            <w:vAlign w:val="bottom"/>
          </w:tcPr>
          <w:p>
            <w:pPr>
              <w:spacing w:after="0"/>
              <w:rPr>
                <w:sz w:val="21"/>
                <w:szCs w:val="21"/>
                <w:color w:val="auto"/>
              </w:rPr>
            </w:pPr>
          </w:p>
        </w:tc>
        <w:tc>
          <w:tcPr>
            <w:tcW w:w="3840" w:type="dxa"/>
            <w:vAlign w:val="bottom"/>
            <w:tcBorders>
              <w:bottom w:val="single" w:sz="8" w:color="023C5B"/>
            </w:tcBorders>
            <w:gridSpan w:val="2"/>
            <w:shd w:val="clear" w:color="auto" w:fill="E5EBEE"/>
          </w:tcPr>
          <w:p>
            <w:pPr>
              <w:ind w:left="80"/>
              <w:spacing w:after="0" w:line="243" w:lineRule="exact"/>
              <w:rPr>
                <w:sz w:val="20"/>
                <w:szCs w:val="20"/>
                <w:color w:val="auto"/>
              </w:rPr>
            </w:pPr>
            <w:r>
              <w:rPr>
                <w:rFonts w:ascii="Arial" w:cs="Arial" w:eastAsia="Arial" w:hAnsi="Arial"/>
                <w:sz w:val="16"/>
                <w:szCs w:val="16"/>
                <w:color w:val="auto"/>
              </w:rPr>
              <w:t>Stock-Settled RSUs</w:t>
            </w:r>
            <w:r>
              <w:rPr>
                <w:rFonts w:ascii="Arial" w:cs="Arial" w:eastAsia="Arial" w:hAnsi="Arial"/>
                <w:sz w:val="24"/>
                <w:szCs w:val="24"/>
                <w:color w:val="auto"/>
                <w:vertAlign w:val="superscript"/>
              </w:rPr>
              <w:t>(6)</w:t>
            </w:r>
          </w:p>
        </w:tc>
        <w:tc>
          <w:tcPr>
            <w:tcW w:w="140" w:type="dxa"/>
            <w:vAlign w:val="bottom"/>
          </w:tcPr>
          <w:p>
            <w:pPr>
              <w:spacing w:after="0"/>
              <w:rPr>
                <w:sz w:val="21"/>
                <w:szCs w:val="21"/>
                <w:color w:val="auto"/>
              </w:rPr>
            </w:pPr>
          </w:p>
        </w:tc>
        <w:tc>
          <w:tcPr>
            <w:tcW w:w="8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9"/>
              </w:rPr>
              <w:t>6/3/2025</w:t>
            </w:r>
          </w:p>
        </w:tc>
        <w:tc>
          <w:tcPr>
            <w:tcW w:w="200" w:type="dxa"/>
            <w:vAlign w:val="bottom"/>
            <w:tcBorders>
              <w:right w:val="single" w:sz="8" w:color="E5EBEE"/>
            </w:tcBorders>
          </w:tcPr>
          <w:p>
            <w:pPr>
              <w:spacing w:after="0"/>
              <w:rPr>
                <w:sz w:val="21"/>
                <w:szCs w:val="21"/>
                <w:color w:val="auto"/>
              </w:rPr>
            </w:pPr>
          </w:p>
        </w:tc>
        <w:tc>
          <w:tcPr>
            <w:tcW w:w="86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1"/>
                <w:szCs w:val="21"/>
                <w:color w:val="auto"/>
              </w:rPr>
            </w:pPr>
          </w:p>
        </w:tc>
        <w:tc>
          <w:tcPr>
            <w:tcW w:w="6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1"/>
                <w:szCs w:val="21"/>
                <w:color w:val="auto"/>
              </w:rPr>
            </w:pPr>
          </w:p>
        </w:tc>
        <w:tc>
          <w:tcPr>
            <w:tcW w:w="92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86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8"/>
              </w:rPr>
              <w:t>23,003</w:t>
            </w:r>
          </w:p>
        </w:tc>
        <w:tc>
          <w:tcPr>
            <w:tcW w:w="120" w:type="dxa"/>
            <w:vAlign w:val="bottom"/>
          </w:tcPr>
          <w:p>
            <w:pPr>
              <w:spacing w:after="0"/>
              <w:rPr>
                <w:sz w:val="21"/>
                <w:szCs w:val="21"/>
                <w:color w:val="auto"/>
              </w:rPr>
            </w:pPr>
          </w:p>
        </w:tc>
        <w:tc>
          <w:tcPr>
            <w:tcW w:w="114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6"/>
                <w:szCs w:val="16"/>
                <w:color w:val="auto"/>
                <w:w w:val="99"/>
              </w:rPr>
              <w:t>$4,500,077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920" w:type="dxa"/>
            <w:vAlign w:val="bottom"/>
          </w:tcPr>
          <w:p>
            <w:pPr>
              <w:ind w:left="60"/>
              <w:spacing w:after="0"/>
              <w:rPr>
                <w:sz w:val="20"/>
                <w:szCs w:val="20"/>
                <w:color w:val="auto"/>
              </w:rPr>
            </w:pPr>
            <w:r>
              <w:rPr>
                <w:rFonts w:ascii="Arial" w:cs="Arial" w:eastAsia="Arial" w:hAnsi="Arial"/>
                <w:sz w:val="16"/>
                <w:szCs w:val="16"/>
                <w:color w:val="auto"/>
              </w:rPr>
              <w:t>Frank G.</w:t>
            </w:r>
          </w:p>
        </w:tc>
        <w:tc>
          <w:tcPr>
            <w:tcW w:w="120" w:type="dxa"/>
            <w:vAlign w:val="bottom"/>
          </w:tcPr>
          <w:p>
            <w:pPr>
              <w:spacing w:after="0"/>
              <w:rPr>
                <w:sz w:val="19"/>
                <w:szCs w:val="19"/>
                <w:color w:val="auto"/>
              </w:rPr>
            </w:pPr>
          </w:p>
        </w:tc>
        <w:tc>
          <w:tcPr>
            <w:tcW w:w="3840" w:type="dxa"/>
            <w:vAlign w:val="bottom"/>
            <w:gridSpan w:val="2"/>
          </w:tcPr>
          <w:p>
            <w:pPr>
              <w:ind w:left="80"/>
              <w:spacing w:after="0" w:line="220" w:lineRule="exact"/>
              <w:rPr>
                <w:sz w:val="20"/>
                <w:szCs w:val="20"/>
                <w:color w:val="auto"/>
              </w:rPr>
            </w:pPr>
            <w:r>
              <w:rPr>
                <w:rFonts w:ascii="Arial" w:cs="Arial" w:eastAsia="Arial" w:hAnsi="Arial"/>
                <w:sz w:val="16"/>
                <w:szCs w:val="16"/>
                <w:color w:val="auto"/>
              </w:rPr>
              <w:t>Financial Performance Shares</w:t>
            </w:r>
            <w:r>
              <w:rPr>
                <w:rFonts w:ascii="Arial" w:cs="Arial" w:eastAsia="Arial" w:hAnsi="Arial"/>
                <w:sz w:val="24"/>
                <w:szCs w:val="24"/>
                <w:color w:val="auto"/>
                <w:vertAlign w:val="superscript"/>
              </w:rPr>
              <w:t>(2)</w:t>
            </w:r>
          </w:p>
        </w:tc>
        <w:tc>
          <w:tcPr>
            <w:tcW w:w="1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2/4/2025</w:t>
            </w:r>
          </w:p>
        </w:tc>
        <w:tc>
          <w:tcPr>
            <w:tcW w:w="2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8"/>
              </w:rPr>
              <w:t>10,404</w:t>
            </w:r>
          </w:p>
        </w:tc>
        <w:tc>
          <w:tcPr>
            <w:tcW w:w="1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8"/>
              </w:rPr>
              <w:t>15,606</w:t>
            </w: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$2,082,048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040" w:type="dxa"/>
            <w:vAlign w:val="bottom"/>
            <w:gridSpan w:val="2"/>
          </w:tcPr>
          <w:p>
            <w:pPr>
              <w:ind w:left="60"/>
              <w:spacing w:after="0"/>
              <w:rPr>
                <w:sz w:val="20"/>
                <w:szCs w:val="20"/>
                <w:color w:val="auto"/>
              </w:rPr>
            </w:pPr>
            <w:r>
              <w:rPr>
                <w:rFonts w:ascii="Arial" w:cs="Arial" w:eastAsia="Arial" w:hAnsi="Arial"/>
                <w:sz w:val="16"/>
                <w:szCs w:val="16"/>
                <w:color w:val="auto"/>
              </w:rPr>
              <w:t>LaPrade, III</w:t>
            </w:r>
          </w:p>
        </w:tc>
        <w:tc>
          <w:tcPr>
            <w:tcW w:w="3840" w:type="dxa"/>
            <w:vAlign w:val="bottom"/>
            <w:gridSpan w:val="2"/>
            <w:shd w:val="clear" w:color="auto" w:fill="E5EBEE"/>
          </w:tcPr>
          <w:p>
            <w:pPr>
              <w:ind w:left="80"/>
              <w:spacing w:after="0"/>
              <w:rPr>
                <w:sz w:val="20"/>
                <w:szCs w:val="20"/>
                <w:color w:val="auto"/>
              </w:rPr>
            </w:pPr>
            <w:r>
              <w:rPr>
                <w:rFonts w:ascii="Arial" w:cs="Arial" w:eastAsia="Arial" w:hAnsi="Arial"/>
                <w:sz w:val="16"/>
                <w:szCs w:val="16"/>
                <w:color w:val="auto"/>
              </w:rPr>
              <w:t>Stock-Settled RSUs</w:t>
            </w:r>
          </w:p>
        </w:tc>
        <w:tc>
          <w:tcPr>
            <w:tcW w:w="140" w:type="dxa"/>
            <w:vAlign w:val="bottom"/>
          </w:tcPr>
          <w:p>
            <w:pPr>
              <w:spacing w:after="0"/>
              <w:rPr>
                <w:sz w:val="19"/>
                <w:szCs w:val="19"/>
                <w:color w:val="auto"/>
              </w:rPr>
            </w:pPr>
          </w:p>
        </w:tc>
        <w:tc>
          <w:tcPr>
            <w:tcW w:w="8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2/4/2025</w:t>
            </w:r>
          </w:p>
        </w:tc>
        <w:tc>
          <w:tcPr>
            <w:tcW w:w="200" w:type="dxa"/>
            <w:vAlign w:val="bottom"/>
            <w:tcBorders>
              <w:right w:val="single" w:sz="8" w:color="E5EBEE"/>
            </w:tcBorders>
          </w:tcPr>
          <w:p>
            <w:pPr>
              <w:spacing w:after="0"/>
              <w:rPr>
                <w:sz w:val="19"/>
                <w:szCs w:val="19"/>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60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92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8,670</w:t>
            </w:r>
          </w:p>
        </w:tc>
        <w:tc>
          <w:tcPr>
            <w:tcW w:w="120" w:type="dxa"/>
            <w:vAlign w:val="bottom"/>
          </w:tcPr>
          <w:p>
            <w:pPr>
              <w:spacing w:after="0"/>
              <w:rPr>
                <w:sz w:val="19"/>
                <w:szCs w:val="19"/>
                <w:color w:val="auto"/>
              </w:rPr>
            </w:pPr>
          </w:p>
        </w:tc>
        <w:tc>
          <w:tcPr>
            <w:tcW w:w="1140" w:type="dxa"/>
            <w:vAlign w:val="bottom"/>
            <w:shd w:val="clear" w:color="auto" w:fill="E5EBEE"/>
          </w:tcPr>
          <w:p>
            <w:pPr>
              <w:jc w:val="center"/>
              <w:spacing w:after="0"/>
              <w:rPr>
                <w:sz w:val="20"/>
                <w:szCs w:val="20"/>
                <w:color w:val="auto"/>
              </w:rPr>
            </w:pPr>
            <w:r>
              <w:rPr>
                <w:rFonts w:ascii="Arial" w:cs="Arial" w:eastAsia="Arial" w:hAnsi="Arial"/>
                <w:sz w:val="16"/>
                <w:szCs w:val="16"/>
                <w:color w:val="auto"/>
                <w:w w:val="99"/>
              </w:rPr>
              <w:t>$1,735,040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20" w:type="dxa"/>
            <w:vAlign w:val="bottom"/>
            <w:tcBorders>
              <w:bottom w:val="single" w:sz="8" w:color="023C5B"/>
            </w:tcBorders>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tcBorders>
              <w:bottom w:val="single" w:sz="8" w:color="023C5B"/>
            </w:tcBorders>
            <w:gridSpan w:val="2"/>
          </w:tcPr>
          <w:p>
            <w:pPr>
              <w:ind w:left="80"/>
              <w:spacing w:after="0" w:line="227" w:lineRule="exact"/>
              <w:rPr>
                <w:sz w:val="20"/>
                <w:szCs w:val="20"/>
                <w:color w:val="auto"/>
              </w:rPr>
            </w:pPr>
            <w:r>
              <w:rPr>
                <w:rFonts w:ascii="Arial" w:cs="Arial" w:eastAsia="Arial" w:hAnsi="Arial"/>
                <w:sz w:val="16"/>
                <w:szCs w:val="16"/>
                <w:color w:val="auto"/>
              </w:rPr>
              <w:t>Stock-Settled RSUs</w:t>
            </w:r>
            <w:r>
              <w:rPr>
                <w:rFonts w:ascii="Arial" w:cs="Arial" w:eastAsia="Arial" w:hAnsi="Arial"/>
                <w:sz w:val="24"/>
                <w:szCs w:val="24"/>
                <w:color w:val="auto"/>
                <w:vertAlign w:val="superscript"/>
              </w:rPr>
              <w:t>(6)</w:t>
            </w:r>
          </w:p>
        </w:tc>
        <w:tc>
          <w:tcPr>
            <w:tcW w:w="140" w:type="dxa"/>
            <w:vAlign w:val="bottom"/>
          </w:tcPr>
          <w:p>
            <w:pPr>
              <w:spacing w:after="0"/>
              <w:rPr>
                <w:sz w:val="19"/>
                <w:szCs w:val="19"/>
                <w:color w:val="auto"/>
              </w:rPr>
            </w:pPr>
          </w:p>
        </w:tc>
        <w:tc>
          <w:tcPr>
            <w:tcW w:w="80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6/3/2025</w:t>
            </w:r>
          </w:p>
        </w:tc>
        <w:tc>
          <w:tcPr>
            <w:tcW w:w="200" w:type="dxa"/>
            <w:vAlign w:val="bottom"/>
          </w:tcPr>
          <w:p>
            <w:pPr>
              <w:spacing w:after="0"/>
              <w:rPr>
                <w:sz w:val="19"/>
                <w:szCs w:val="19"/>
                <w:color w:val="auto"/>
              </w:rPr>
            </w:pPr>
          </w:p>
        </w:tc>
        <w:tc>
          <w:tcPr>
            <w:tcW w:w="86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60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92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9"/>
                <w:szCs w:val="19"/>
                <w:color w:val="auto"/>
              </w:rPr>
            </w:pPr>
          </w:p>
        </w:tc>
        <w:tc>
          <w:tcPr>
            <w:tcW w:w="86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8"/>
              </w:rPr>
              <w:t>12,780</w:t>
            </w:r>
          </w:p>
        </w:tc>
        <w:tc>
          <w:tcPr>
            <w:tcW w:w="120" w:type="dxa"/>
            <w:vAlign w:val="bottom"/>
          </w:tcPr>
          <w:p>
            <w:pPr>
              <w:spacing w:after="0"/>
              <w:rPr>
                <w:sz w:val="19"/>
                <w:szCs w:val="19"/>
                <w:color w:val="auto"/>
              </w:rPr>
            </w:pPr>
          </w:p>
        </w:tc>
        <w:tc>
          <w:tcPr>
            <w:tcW w:w="1140" w:type="dxa"/>
            <w:vAlign w:val="bottom"/>
            <w:tcBorders>
              <w:bottom w:val="single" w:sz="8" w:color="023C5B"/>
            </w:tcBorders>
          </w:tcPr>
          <w:p>
            <w:pPr>
              <w:jc w:val="center"/>
              <w:spacing w:after="0"/>
              <w:rPr>
                <w:sz w:val="20"/>
                <w:szCs w:val="20"/>
                <w:color w:val="auto"/>
              </w:rPr>
            </w:pPr>
            <w:r>
              <w:rPr>
                <w:rFonts w:ascii="Arial" w:cs="Arial" w:eastAsia="Arial" w:hAnsi="Arial"/>
                <w:sz w:val="16"/>
                <w:szCs w:val="16"/>
                <w:color w:val="auto"/>
                <w:w w:val="99"/>
              </w:rPr>
              <w:t>$2,500,151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3885565</wp:posOffset>
            </wp:positionH>
            <wp:positionV relativeFrom="paragraph">
              <wp:posOffset>-3065145</wp:posOffset>
            </wp:positionV>
            <wp:extent cx="172402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72402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-2742565</wp:posOffset>
            </wp:positionV>
            <wp:extent cx="69297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 w:lineRule="exact"/>
        <w:rPr>
          <w:sz w:val="20"/>
          <w:szCs w:val="20"/>
          <w:color w:val="auto"/>
        </w:rPr>
      </w:pPr>
    </w:p>
    <w:p>
      <w:pPr>
        <w:ind w:left="600" w:hanging="433"/>
        <w:spacing w:after="0"/>
        <w:tabs>
          <w:tab w:leader="none" w:pos="6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Date on which awards were approved by the Committee and the Independent Directors and granted to the NEOs.</w:t>
      </w:r>
    </w:p>
    <w:p>
      <w:pPr>
        <w:spacing w:after="0" w:line="79" w:lineRule="exact"/>
        <w:rPr>
          <w:rFonts w:ascii="Arial" w:cs="Arial" w:eastAsia="Arial" w:hAnsi="Arial"/>
          <w:sz w:val="14"/>
          <w:szCs w:val="14"/>
          <w:color w:val="auto"/>
        </w:rPr>
      </w:pPr>
    </w:p>
    <w:p>
      <w:pPr>
        <w:ind w:left="600" w:right="20" w:hanging="433"/>
        <w:spacing w:after="0" w:line="281" w:lineRule="auto"/>
        <w:tabs>
          <w:tab w:leader="none" w:pos="6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Financial Performance Shares are reported based on the probable outcome of the performance conditions as of the grant date and excludes potential accrued dividend equivalents.</w:t>
      </w:r>
    </w:p>
    <w:p>
      <w:pPr>
        <w:spacing w:after="0" w:line="24" w:lineRule="exact"/>
        <w:rPr>
          <w:rFonts w:ascii="Arial" w:cs="Arial" w:eastAsia="Arial" w:hAnsi="Arial"/>
          <w:sz w:val="14"/>
          <w:szCs w:val="14"/>
          <w:color w:val="auto"/>
        </w:rPr>
      </w:pPr>
    </w:p>
    <w:p>
      <w:pPr>
        <w:ind w:left="600" w:right="20" w:hanging="433"/>
        <w:spacing w:after="0" w:line="281" w:lineRule="auto"/>
        <w:tabs>
          <w:tab w:leader="none" w:pos="6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TSR Performance Shares granted to Mr. Fairbank are reported based on the probable outcome of the performance conditions as of the grant date. See footnote 2 to the 2025 Summary Compensation Table above for additional information regarding the grant date fair value for the TSR Performance Shares.</w:t>
      </w:r>
    </w:p>
    <w:p>
      <w:pPr>
        <w:spacing w:after="0" w:line="24" w:lineRule="exact"/>
        <w:rPr>
          <w:rFonts w:ascii="Arial" w:cs="Arial" w:eastAsia="Arial" w:hAnsi="Arial"/>
          <w:sz w:val="14"/>
          <w:szCs w:val="14"/>
          <w:color w:val="auto"/>
        </w:rPr>
      </w:pPr>
    </w:p>
    <w:p>
      <w:pPr>
        <w:ind w:left="600" w:hanging="433"/>
        <w:spacing w:after="0"/>
        <w:tabs>
          <w:tab w:leader="none" w:pos="6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Grant of cash-settled RSUs after the end of the performance year, representing a portion of Mr. Fairbank’s 2024 year-end incentive opportunity.</w:t>
      </w:r>
    </w:p>
    <w:p>
      <w:pPr>
        <w:spacing w:after="0" w:line="79" w:lineRule="exact"/>
        <w:rPr>
          <w:rFonts w:ascii="Arial" w:cs="Arial" w:eastAsia="Arial" w:hAnsi="Arial"/>
          <w:sz w:val="14"/>
          <w:szCs w:val="14"/>
          <w:color w:val="auto"/>
        </w:rPr>
      </w:pPr>
    </w:p>
    <w:p>
      <w:pPr>
        <w:ind w:left="600" w:hanging="433"/>
        <w:spacing w:after="0"/>
        <w:tabs>
          <w:tab w:leader="none" w:pos="6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Grant of cash-settled RSUs at the beginning of the performance year, representing a portion of Mr. Fairbank’s 2025 total compensation.</w:t>
      </w:r>
    </w:p>
    <w:p>
      <w:pPr>
        <w:spacing w:after="0" w:line="79" w:lineRule="exact"/>
        <w:rPr>
          <w:rFonts w:ascii="Arial" w:cs="Arial" w:eastAsia="Arial" w:hAnsi="Arial"/>
          <w:sz w:val="14"/>
          <w:szCs w:val="14"/>
          <w:color w:val="auto"/>
        </w:rPr>
      </w:pPr>
    </w:p>
    <w:p>
      <w:pPr>
        <w:ind w:left="600" w:hanging="433"/>
        <w:spacing w:after="0"/>
        <w:tabs>
          <w:tab w:leader="none" w:pos="6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See “Discover-Related Special Awards” beginning on page 86 for more information.</w:t>
      </w:r>
    </w:p>
    <w:p>
      <w:pPr>
        <w:spacing w:after="0" w:line="129"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100"/>
          </w:cols>
          <w:pgMar w:left="320" w:top="478"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2025 Option Exercises and Stock Vested Table</w:t>
      </w:r>
    </w:p>
    <w:p>
      <w:pPr>
        <w:spacing w:after="0" w:line="274" w:lineRule="exact"/>
        <w:rPr>
          <w:sz w:val="20"/>
          <w:szCs w:val="20"/>
          <w:color w:val="auto"/>
        </w:rPr>
      </w:pPr>
    </w:p>
    <w:tbl>
      <w:tblPr>
        <w:tblLayout w:type="fixed"/>
        <w:tblInd w:w="160" w:type="dxa"/>
        <w:tblCellMar>
          <w:top w:w="0" w:type="dxa"/>
          <w:left w:w="0" w:type="dxa"/>
          <w:bottom w:w="0" w:type="dxa"/>
          <w:right w:w="0" w:type="dxa"/>
        </w:tblCellMar>
      </w:tblPr>
      <w:tr>
        <w:trPr>
          <w:trHeight w:val="288"/>
        </w:trPr>
        <w:tc>
          <w:tcPr>
            <w:tcW w:w="1220" w:type="dxa"/>
            <w:vAlign w:val="bottom"/>
            <w:tcBorders>
              <w:bottom w:val="single" w:sz="8" w:color="023C5B"/>
            </w:tcBorders>
            <w:shd w:val="clear" w:color="auto" w:fill="023C5B"/>
          </w:tcPr>
          <w:p>
            <w:pPr>
              <w:spacing w:after="0"/>
              <w:rPr>
                <w:sz w:val="24"/>
                <w:szCs w:val="24"/>
                <w:color w:val="auto"/>
              </w:rPr>
            </w:pPr>
          </w:p>
        </w:tc>
        <w:tc>
          <w:tcPr>
            <w:tcW w:w="2980" w:type="dxa"/>
            <w:vAlign w:val="bottom"/>
            <w:tcBorders>
              <w:bottom w:val="single" w:sz="8" w:color="023C5B"/>
            </w:tcBorders>
            <w:shd w:val="clear" w:color="auto" w:fill="023C5B"/>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Borders>
              <w:bottom w:val="single" w:sz="8" w:color="023C5B"/>
            </w:tcBorders>
            <w:gridSpan w:val="3"/>
            <w:shd w:val="clear" w:color="auto" w:fill="023C5B"/>
          </w:tcPr>
          <w:p>
            <w:pPr>
              <w:ind w:left="1240"/>
              <w:spacing w:after="0"/>
              <w:rPr>
                <w:sz w:val="20"/>
                <w:szCs w:val="20"/>
                <w:color w:val="auto"/>
              </w:rPr>
            </w:pPr>
            <w:r>
              <w:rPr>
                <w:rFonts w:ascii="Arial" w:cs="Arial" w:eastAsia="Arial" w:hAnsi="Arial"/>
                <w:sz w:val="16"/>
                <w:szCs w:val="16"/>
                <w:b w:val="1"/>
                <w:bCs w:val="1"/>
                <w:color w:val="FFFFFF"/>
              </w:rPr>
              <w:t>Option Awards</w:t>
            </w:r>
          </w:p>
        </w:tc>
        <w:tc>
          <w:tcPr>
            <w:tcW w:w="120" w:type="dxa"/>
            <w:vAlign w:val="bottom"/>
          </w:tcPr>
          <w:p>
            <w:pPr>
              <w:spacing w:after="0"/>
              <w:rPr>
                <w:sz w:val="24"/>
                <w:szCs w:val="24"/>
                <w:color w:val="auto"/>
              </w:rPr>
            </w:pPr>
          </w:p>
        </w:tc>
        <w:tc>
          <w:tcPr>
            <w:tcW w:w="2880" w:type="dxa"/>
            <w:vAlign w:val="bottom"/>
            <w:tcBorders>
              <w:bottom w:val="single" w:sz="8" w:color="023C5B"/>
            </w:tcBorders>
            <w:gridSpan w:val="3"/>
            <w:shd w:val="clear" w:color="auto" w:fill="023C5B"/>
          </w:tcPr>
          <w:p>
            <w:pPr>
              <w:ind w:left="940"/>
              <w:spacing w:after="0"/>
              <w:rPr>
                <w:sz w:val="20"/>
                <w:szCs w:val="20"/>
                <w:color w:val="auto"/>
              </w:rPr>
            </w:pPr>
            <w:r>
              <w:rPr>
                <w:rFonts w:ascii="Arial" w:cs="Arial" w:eastAsia="Arial" w:hAnsi="Arial"/>
                <w:sz w:val="16"/>
                <w:szCs w:val="16"/>
                <w:b w:val="1"/>
                <w:bCs w:val="1"/>
                <w:color w:val="FFFFFF"/>
              </w:rPr>
              <w:t>Stock Awards</w:t>
            </w:r>
          </w:p>
        </w:tc>
      </w:tr>
      <w:tr>
        <w:trPr>
          <w:trHeight w:val="227"/>
        </w:trPr>
        <w:tc>
          <w:tcPr>
            <w:tcW w:w="1220" w:type="dxa"/>
            <w:vAlign w:val="bottom"/>
            <w:shd w:val="clear" w:color="auto" w:fill="023C5B"/>
          </w:tcPr>
          <w:p>
            <w:pPr>
              <w:spacing w:after="0"/>
              <w:rPr>
                <w:sz w:val="19"/>
                <w:szCs w:val="19"/>
                <w:color w:val="auto"/>
              </w:rPr>
            </w:pPr>
          </w:p>
        </w:tc>
        <w:tc>
          <w:tcPr>
            <w:tcW w:w="2980" w:type="dxa"/>
            <w:vAlign w:val="bottom"/>
            <w:shd w:val="clear" w:color="auto" w:fill="023C5B"/>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shd w:val="clear" w:color="auto" w:fill="023C5B"/>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shd w:val="clear" w:color="auto" w:fill="023C5B"/>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140" w:type="dxa"/>
            <w:vAlign w:val="bottom"/>
          </w:tcPr>
          <w:p>
            <w:pPr>
              <w:spacing w:after="0"/>
              <w:rPr>
                <w:sz w:val="19"/>
                <w:szCs w:val="19"/>
                <w:color w:val="auto"/>
              </w:rPr>
            </w:pPr>
          </w:p>
        </w:tc>
        <w:tc>
          <w:tcPr>
            <w:tcW w:w="1580" w:type="dxa"/>
            <w:vAlign w:val="bottom"/>
            <w:shd w:val="clear" w:color="auto" w:fill="023C5B"/>
          </w:tcPr>
          <w:p>
            <w:pPr>
              <w:spacing w:after="0"/>
              <w:rPr>
                <w:sz w:val="19"/>
                <w:szCs w:val="19"/>
                <w:color w:val="auto"/>
              </w:rPr>
            </w:pPr>
          </w:p>
        </w:tc>
      </w:tr>
      <w:tr>
        <w:trPr>
          <w:trHeight w:val="187"/>
        </w:trPr>
        <w:tc>
          <w:tcPr>
            <w:tcW w:w="1220" w:type="dxa"/>
            <w:vAlign w:val="bottom"/>
            <w:shd w:val="clear" w:color="auto" w:fill="023C5B"/>
          </w:tcPr>
          <w:p>
            <w:pPr>
              <w:spacing w:after="0"/>
              <w:rPr>
                <w:sz w:val="16"/>
                <w:szCs w:val="16"/>
                <w:color w:val="auto"/>
              </w:rPr>
            </w:pPr>
          </w:p>
        </w:tc>
        <w:tc>
          <w:tcPr>
            <w:tcW w:w="2980" w:type="dxa"/>
            <w:vAlign w:val="bottom"/>
            <w:shd w:val="clear" w:color="auto" w:fill="023C5B"/>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shd w:val="clear" w:color="auto" w:fill="023C5B"/>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shd w:val="clear" w:color="auto" w:fill="023C5B"/>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Shares</w:t>
            </w:r>
          </w:p>
        </w:tc>
        <w:tc>
          <w:tcPr>
            <w:tcW w:w="140" w:type="dxa"/>
            <w:vAlign w:val="bottom"/>
          </w:tcPr>
          <w:p>
            <w:pPr>
              <w:spacing w:after="0"/>
              <w:rPr>
                <w:sz w:val="16"/>
                <w:szCs w:val="16"/>
                <w:color w:val="auto"/>
              </w:rPr>
            </w:pPr>
          </w:p>
        </w:tc>
        <w:tc>
          <w:tcPr>
            <w:tcW w:w="1580" w:type="dxa"/>
            <w:vAlign w:val="bottom"/>
            <w:shd w:val="clear" w:color="auto" w:fill="023C5B"/>
          </w:tcPr>
          <w:p>
            <w:pPr>
              <w:spacing w:after="0"/>
              <w:rPr>
                <w:sz w:val="16"/>
                <w:szCs w:val="16"/>
                <w:color w:val="auto"/>
              </w:rPr>
            </w:pPr>
          </w:p>
        </w:tc>
      </w:tr>
      <w:tr>
        <w:trPr>
          <w:trHeight w:val="187"/>
        </w:trPr>
        <w:tc>
          <w:tcPr>
            <w:tcW w:w="1220" w:type="dxa"/>
            <w:vAlign w:val="bottom"/>
            <w:shd w:val="clear" w:color="auto" w:fill="023C5B"/>
          </w:tcPr>
          <w:p>
            <w:pPr>
              <w:spacing w:after="0"/>
              <w:rPr>
                <w:sz w:val="16"/>
                <w:szCs w:val="16"/>
                <w:color w:val="auto"/>
              </w:rPr>
            </w:pPr>
          </w:p>
        </w:tc>
        <w:tc>
          <w:tcPr>
            <w:tcW w:w="2980" w:type="dxa"/>
            <w:vAlign w:val="bottom"/>
            <w:shd w:val="clear" w:color="auto" w:fill="023C5B"/>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Number of Shares</w:t>
            </w:r>
          </w:p>
        </w:tc>
        <w:tc>
          <w:tcPr>
            <w:tcW w:w="140" w:type="dxa"/>
            <w:vAlign w:val="bottom"/>
          </w:tcPr>
          <w:p>
            <w:pPr>
              <w:spacing w:after="0"/>
              <w:rPr>
                <w:sz w:val="16"/>
                <w:szCs w:val="16"/>
                <w:color w:val="auto"/>
              </w:rPr>
            </w:pPr>
          </w:p>
        </w:tc>
        <w:tc>
          <w:tcPr>
            <w:tcW w:w="1580" w:type="dxa"/>
            <w:vAlign w:val="bottom"/>
            <w:shd w:val="clear" w:color="auto" w:fill="023C5B"/>
          </w:tcPr>
          <w:p>
            <w:pPr>
              <w:ind w:left="60"/>
              <w:spacing w:after="0"/>
              <w:rPr>
                <w:sz w:val="20"/>
                <w:szCs w:val="20"/>
                <w:color w:val="auto"/>
              </w:rPr>
            </w:pPr>
            <w:r>
              <w:rPr>
                <w:rFonts w:ascii="Arial" w:cs="Arial" w:eastAsia="Arial" w:hAnsi="Arial"/>
                <w:sz w:val="16"/>
                <w:szCs w:val="16"/>
                <w:b w:val="1"/>
                <w:bCs w:val="1"/>
                <w:color w:val="FFFFFF"/>
              </w:rPr>
              <w:t>  Value Realized on</w:t>
            </w:r>
          </w:p>
        </w:tc>
        <w:tc>
          <w:tcPr>
            <w:tcW w:w="120" w:type="dxa"/>
            <w:vAlign w:val="bottom"/>
          </w:tcPr>
          <w:p>
            <w:pPr>
              <w:spacing w:after="0"/>
              <w:rPr>
                <w:sz w:val="16"/>
                <w:szCs w:val="16"/>
                <w:color w:val="auto"/>
              </w:rPr>
            </w:pPr>
          </w:p>
        </w:tc>
        <w:tc>
          <w:tcPr>
            <w:tcW w:w="1160" w:type="dxa"/>
            <w:vAlign w:val="bottom"/>
            <w:shd w:val="clear" w:color="auto" w:fill="023C5B"/>
          </w:tcPr>
          <w:p>
            <w:pPr>
              <w:ind w:left="60"/>
              <w:spacing w:after="0"/>
              <w:rPr>
                <w:sz w:val="20"/>
                <w:szCs w:val="20"/>
                <w:color w:val="auto"/>
              </w:rPr>
            </w:pPr>
            <w:r>
              <w:rPr>
                <w:rFonts w:ascii="Arial" w:cs="Arial" w:eastAsia="Arial" w:hAnsi="Arial"/>
                <w:sz w:val="16"/>
                <w:szCs w:val="16"/>
                <w:b w:val="1"/>
                <w:bCs w:val="1"/>
                <w:color w:val="FFFFFF"/>
              </w:rPr>
              <w:t>  Acquired on</w:t>
            </w:r>
          </w:p>
        </w:tc>
        <w:tc>
          <w:tcPr>
            <w:tcW w:w="140" w:type="dxa"/>
            <w:vAlign w:val="bottom"/>
          </w:tcPr>
          <w:p>
            <w:pPr>
              <w:spacing w:after="0"/>
              <w:rPr>
                <w:sz w:val="16"/>
                <w:szCs w:val="16"/>
                <w:color w:val="auto"/>
              </w:rPr>
            </w:pPr>
          </w:p>
        </w:tc>
        <w:tc>
          <w:tcPr>
            <w:tcW w:w="158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6"/>
              </w:rPr>
              <w:t>  Value Realized on</w:t>
            </w:r>
          </w:p>
        </w:tc>
      </w:tr>
      <w:tr>
        <w:trPr>
          <w:trHeight w:val="228"/>
        </w:trPr>
        <w:tc>
          <w:tcPr>
            <w:tcW w:w="4200" w:type="dxa"/>
            <w:vAlign w:val="bottom"/>
            <w:gridSpan w:val="2"/>
            <w:shd w:val="clear" w:color="auto" w:fill="023C5B"/>
          </w:tcPr>
          <w:p>
            <w:pPr>
              <w:spacing w:after="0"/>
              <w:rPr>
                <w:sz w:val="20"/>
                <w:szCs w:val="20"/>
                <w:color w:val="auto"/>
              </w:rPr>
            </w:pPr>
            <w:r>
              <w:rPr>
                <w:rFonts w:ascii="Arial" w:cs="Arial" w:eastAsia="Arial" w:hAnsi="Arial"/>
                <w:sz w:val="16"/>
                <w:szCs w:val="16"/>
                <w:b w:val="1"/>
                <w:bCs w:val="1"/>
                <w:color w:val="FFFFFF"/>
              </w:rPr>
              <w:t> Name</w:t>
            </w:r>
          </w:p>
        </w:tc>
        <w:tc>
          <w:tcPr>
            <w:tcW w:w="140" w:type="dxa"/>
            <w:vAlign w:val="bottom"/>
          </w:tcPr>
          <w:p>
            <w:pPr>
              <w:spacing w:after="0"/>
              <w:rPr>
                <w:sz w:val="19"/>
                <w:szCs w:val="19"/>
                <w:color w:val="auto"/>
              </w:rPr>
            </w:pPr>
          </w:p>
        </w:tc>
        <w:tc>
          <w:tcPr>
            <w:tcW w:w="186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 xml:space="preserve">  Acquired on Exercise </w:t>
            </w:r>
          </w:p>
        </w:tc>
        <w:tc>
          <w:tcPr>
            <w:tcW w:w="140" w:type="dxa"/>
            <w:vAlign w:val="bottom"/>
          </w:tcPr>
          <w:p>
            <w:pPr>
              <w:spacing w:after="0"/>
              <w:rPr>
                <w:sz w:val="19"/>
                <w:szCs w:val="19"/>
                <w:color w:val="auto"/>
              </w:rPr>
            </w:pPr>
          </w:p>
        </w:tc>
        <w:tc>
          <w:tcPr>
            <w:tcW w:w="1580" w:type="dxa"/>
            <w:vAlign w:val="bottom"/>
            <w:shd w:val="clear" w:color="auto" w:fill="023C5B"/>
          </w:tcPr>
          <w:p>
            <w:pPr>
              <w:ind w:left="400"/>
              <w:spacing w:after="0" w:line="228" w:lineRule="exact"/>
              <w:rPr>
                <w:sz w:val="20"/>
                <w:szCs w:val="20"/>
                <w:color w:val="auto"/>
              </w:rPr>
            </w:pPr>
            <w:r>
              <w:rPr>
                <w:rFonts w:ascii="Arial" w:cs="Arial" w:eastAsia="Arial" w:hAnsi="Arial"/>
                <w:sz w:val="16"/>
                <w:szCs w:val="16"/>
                <w:b w:val="1"/>
                <w:bCs w:val="1"/>
                <w:color w:val="FFFFFF"/>
              </w:rPr>
              <w:t>Exercise</w:t>
            </w:r>
            <w:r>
              <w:rPr>
                <w:rFonts w:ascii="Arial" w:cs="Arial" w:eastAsia="Arial" w:hAnsi="Arial"/>
                <w:sz w:val="24"/>
                <w:szCs w:val="24"/>
                <w:b w:val="1"/>
                <w:bCs w:val="1"/>
                <w:color w:val="FFFFFF"/>
                <w:vertAlign w:val="superscript"/>
              </w:rPr>
              <w:t>(1)</w:t>
            </w:r>
          </w:p>
        </w:tc>
        <w:tc>
          <w:tcPr>
            <w:tcW w:w="120" w:type="dxa"/>
            <w:vAlign w:val="bottom"/>
          </w:tcPr>
          <w:p>
            <w:pPr>
              <w:spacing w:after="0"/>
              <w:rPr>
                <w:sz w:val="19"/>
                <w:szCs w:val="19"/>
                <w:color w:val="auto"/>
              </w:rPr>
            </w:pPr>
          </w:p>
        </w:tc>
        <w:tc>
          <w:tcPr>
            <w:tcW w:w="116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4"/>
              </w:rPr>
              <w:t>  Vesting </w:t>
            </w:r>
          </w:p>
        </w:tc>
        <w:tc>
          <w:tcPr>
            <w:tcW w:w="140" w:type="dxa"/>
            <w:vAlign w:val="bottom"/>
          </w:tcPr>
          <w:p>
            <w:pPr>
              <w:spacing w:after="0"/>
              <w:rPr>
                <w:sz w:val="19"/>
                <w:szCs w:val="19"/>
                <w:color w:val="auto"/>
              </w:rPr>
            </w:pPr>
          </w:p>
        </w:tc>
        <w:tc>
          <w:tcPr>
            <w:tcW w:w="1580" w:type="dxa"/>
            <w:vAlign w:val="bottom"/>
            <w:shd w:val="clear" w:color="auto" w:fill="023C5B"/>
          </w:tcPr>
          <w:p>
            <w:pPr>
              <w:jc w:val="center"/>
              <w:spacing w:after="0" w:line="228" w:lineRule="exact"/>
              <w:rPr>
                <w:sz w:val="20"/>
                <w:szCs w:val="20"/>
                <w:color w:val="auto"/>
              </w:rPr>
            </w:pPr>
            <w:r>
              <w:rPr>
                <w:rFonts w:ascii="Arial" w:cs="Arial" w:eastAsia="Arial" w:hAnsi="Arial"/>
                <w:sz w:val="16"/>
                <w:szCs w:val="16"/>
                <w:b w:val="1"/>
                <w:bCs w:val="1"/>
                <w:color w:val="FFFFFF"/>
                <w:w w:val="97"/>
              </w:rPr>
              <w:t>  Vesting</w:t>
            </w:r>
            <w:r>
              <w:rPr>
                <w:rFonts w:ascii="Arial" w:cs="Arial" w:eastAsia="Arial" w:hAnsi="Arial"/>
                <w:sz w:val="24"/>
                <w:szCs w:val="24"/>
                <w:b w:val="1"/>
                <w:bCs w:val="1"/>
                <w:color w:val="FFFFFF"/>
                <w:w w:val="97"/>
                <w:vertAlign w:val="superscript"/>
              </w:rPr>
              <w:t>(2)</w:t>
            </w:r>
            <w:r>
              <w:rPr>
                <w:rFonts w:ascii="Arial" w:cs="Arial" w:eastAsia="Arial" w:hAnsi="Arial"/>
                <w:sz w:val="16"/>
                <w:szCs w:val="16"/>
                <w:b w:val="1"/>
                <w:bCs w:val="1"/>
                <w:color w:val="FFFFFF"/>
                <w:w w:val="97"/>
              </w:rPr>
              <w:t xml:space="preserve"> </w:t>
            </w:r>
          </w:p>
        </w:tc>
      </w:tr>
      <w:tr>
        <w:trPr>
          <w:trHeight w:val="299"/>
        </w:trPr>
        <w:tc>
          <w:tcPr>
            <w:tcW w:w="4200" w:type="dxa"/>
            <w:vAlign w:val="bottom"/>
            <w:tcBorders>
              <w:bottom w:val="single" w:sz="8" w:color="E5EBEE"/>
            </w:tcBorders>
            <w:gridSpan w:val="2"/>
            <w:shd w:val="clear" w:color="auto" w:fill="E5EBEE"/>
          </w:tcPr>
          <w:p>
            <w:pPr>
              <w:spacing w:after="0"/>
              <w:rPr>
                <w:sz w:val="20"/>
                <w:szCs w:val="20"/>
                <w:color w:val="auto"/>
              </w:rPr>
            </w:pPr>
            <w:r>
              <w:rPr>
                <w:rFonts w:ascii="Arial" w:cs="Arial" w:eastAsia="Arial" w:hAnsi="Arial"/>
                <w:sz w:val="16"/>
                <w:szCs w:val="16"/>
                <w:color w:val="auto"/>
              </w:rPr>
              <w:t> Richard D. Fairbank</w:t>
            </w:r>
          </w:p>
        </w:tc>
        <w:tc>
          <w:tcPr>
            <w:tcW w:w="140" w:type="dxa"/>
            <w:vAlign w:val="bottom"/>
          </w:tcPr>
          <w:p>
            <w:pPr>
              <w:spacing w:after="0"/>
              <w:rPr>
                <w:sz w:val="24"/>
                <w:szCs w:val="24"/>
                <w:color w:val="auto"/>
              </w:rPr>
            </w:pPr>
          </w:p>
        </w:tc>
        <w:tc>
          <w:tcPr>
            <w:tcW w:w="186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106,973</w:t>
            </w:r>
          </w:p>
        </w:tc>
        <w:tc>
          <w:tcPr>
            <w:tcW w:w="140" w:type="dxa"/>
            <w:vAlign w:val="bottom"/>
          </w:tcPr>
          <w:p>
            <w:pPr>
              <w:spacing w:after="0"/>
              <w:rPr>
                <w:sz w:val="24"/>
                <w:szCs w:val="24"/>
                <w:color w:val="auto"/>
              </w:rPr>
            </w:pPr>
          </w:p>
        </w:tc>
        <w:tc>
          <w:tcPr>
            <w:tcW w:w="15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$17,057,165</w:t>
            </w:r>
          </w:p>
        </w:tc>
        <w:tc>
          <w:tcPr>
            <w:tcW w:w="120" w:type="dxa"/>
            <w:vAlign w:val="bottom"/>
          </w:tcPr>
          <w:p>
            <w:pPr>
              <w:spacing w:after="0"/>
              <w:rPr>
                <w:sz w:val="24"/>
                <w:szCs w:val="24"/>
                <w:color w:val="auto"/>
              </w:rPr>
            </w:pPr>
          </w:p>
        </w:tc>
        <w:tc>
          <w:tcPr>
            <w:tcW w:w="116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152,778</w:t>
            </w:r>
          </w:p>
        </w:tc>
        <w:tc>
          <w:tcPr>
            <w:tcW w:w="140" w:type="dxa"/>
            <w:vAlign w:val="bottom"/>
          </w:tcPr>
          <w:p>
            <w:pPr>
              <w:spacing w:after="0"/>
              <w:rPr>
                <w:sz w:val="24"/>
                <w:szCs w:val="24"/>
                <w:color w:val="auto"/>
              </w:rPr>
            </w:pPr>
          </w:p>
        </w:tc>
        <w:tc>
          <w:tcPr>
            <w:tcW w:w="15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8"/>
              </w:rPr>
              <w:t>$26,449,172</w:t>
            </w:r>
          </w:p>
        </w:tc>
      </w:tr>
      <w:tr>
        <w:trPr>
          <w:trHeight w:val="231"/>
        </w:trPr>
        <w:tc>
          <w:tcPr>
            <w:tcW w:w="4200" w:type="dxa"/>
            <w:vAlign w:val="bottom"/>
            <w:tcBorders>
              <w:top w:val="single" w:sz="8" w:color="023C5B"/>
            </w:tcBorders>
            <w:gridSpan w:val="2"/>
          </w:tcPr>
          <w:p>
            <w:pPr>
              <w:spacing w:after="0"/>
              <w:rPr>
                <w:sz w:val="20"/>
                <w:szCs w:val="20"/>
                <w:color w:val="auto"/>
              </w:rPr>
            </w:pPr>
            <w:r>
              <w:rPr>
                <w:rFonts w:ascii="Arial" w:cs="Arial" w:eastAsia="Arial" w:hAnsi="Arial"/>
                <w:sz w:val="16"/>
                <w:szCs w:val="16"/>
                <w:color w:val="auto"/>
              </w:rPr>
              <w:t> Andrew M. Young</w:t>
            </w:r>
          </w:p>
        </w:tc>
        <w:tc>
          <w:tcPr>
            <w:tcW w:w="140" w:type="dxa"/>
            <w:vAlign w:val="bottom"/>
          </w:tcPr>
          <w:p>
            <w:pPr>
              <w:spacing w:after="0"/>
              <w:rPr>
                <w:sz w:val="20"/>
                <w:szCs w:val="20"/>
                <w:color w:val="auto"/>
              </w:rPr>
            </w:pPr>
          </w:p>
        </w:tc>
        <w:tc>
          <w:tcPr>
            <w:tcW w:w="186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158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rPr>
              <w:t>15,663</w:t>
            </w:r>
          </w:p>
        </w:tc>
        <w:tc>
          <w:tcPr>
            <w:tcW w:w="140" w:type="dxa"/>
            <w:vAlign w:val="bottom"/>
          </w:tcPr>
          <w:p>
            <w:pPr>
              <w:spacing w:after="0"/>
              <w:rPr>
                <w:sz w:val="20"/>
                <w:szCs w:val="20"/>
                <w:color w:val="auto"/>
              </w:rPr>
            </w:pPr>
          </w:p>
        </w:tc>
        <w:tc>
          <w:tcPr>
            <w:tcW w:w="158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w w:val="99"/>
              </w:rPr>
              <w:t>$2,911,382</w:t>
            </w:r>
          </w:p>
        </w:tc>
      </w:tr>
      <w:tr>
        <w:trPr>
          <w:trHeight w:val="44"/>
        </w:trPr>
        <w:tc>
          <w:tcPr>
            <w:tcW w:w="1220" w:type="dxa"/>
            <w:vAlign w:val="bottom"/>
          </w:tcPr>
          <w:p>
            <w:pPr>
              <w:spacing w:after="0"/>
              <w:rPr>
                <w:sz w:val="3"/>
                <w:szCs w:val="3"/>
                <w:color w:val="auto"/>
              </w:rPr>
            </w:pPr>
          </w:p>
        </w:tc>
        <w:tc>
          <w:tcPr>
            <w:tcW w:w="3120" w:type="dxa"/>
            <w:vAlign w:val="bottom"/>
            <w:gridSpan w:val="2"/>
          </w:tcPr>
          <w:p>
            <w:pPr>
              <w:spacing w:after="0"/>
              <w:rPr>
                <w:sz w:val="3"/>
                <w:szCs w:val="3"/>
                <w:color w:val="auto"/>
              </w:rPr>
            </w:pPr>
          </w:p>
        </w:tc>
        <w:tc>
          <w:tcPr>
            <w:tcW w:w="1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720" w:type="dxa"/>
            <w:vAlign w:val="bottom"/>
            <w:gridSpan w:val="2"/>
          </w:tcPr>
          <w:p>
            <w:pPr>
              <w:spacing w:after="0"/>
              <w:rPr>
                <w:sz w:val="3"/>
                <w:szCs w:val="3"/>
                <w:color w:val="auto"/>
              </w:rPr>
            </w:pPr>
          </w:p>
        </w:tc>
      </w:tr>
      <w:tr>
        <w:trPr>
          <w:trHeight w:val="279"/>
        </w:trPr>
        <w:tc>
          <w:tcPr>
            <w:tcW w:w="4200" w:type="dxa"/>
            <w:vAlign w:val="bottom"/>
            <w:tcBorders>
              <w:top w:val="single" w:sz="8" w:color="023C5B"/>
              <w:bottom w:val="single" w:sz="8" w:color="E5EBEE"/>
            </w:tcBorders>
            <w:gridSpan w:val="2"/>
            <w:shd w:val="clear" w:color="auto" w:fill="E5EBEE"/>
          </w:tcPr>
          <w:p>
            <w:pPr>
              <w:spacing w:after="0"/>
              <w:rPr>
                <w:sz w:val="20"/>
                <w:szCs w:val="20"/>
                <w:color w:val="auto"/>
              </w:rPr>
            </w:pPr>
            <w:r>
              <w:rPr>
                <w:rFonts w:ascii="Arial" w:cs="Arial" w:eastAsia="Arial" w:hAnsi="Arial"/>
                <w:sz w:val="16"/>
                <w:szCs w:val="16"/>
                <w:color w:val="auto"/>
              </w:rPr>
              <w:t> Matthew W. Cooper</w:t>
            </w:r>
          </w:p>
        </w:tc>
        <w:tc>
          <w:tcPr>
            <w:tcW w:w="140" w:type="dxa"/>
            <w:vAlign w:val="bottom"/>
          </w:tcPr>
          <w:p>
            <w:pPr>
              <w:spacing w:after="0"/>
              <w:rPr>
                <w:sz w:val="23"/>
                <w:szCs w:val="23"/>
                <w:color w:val="auto"/>
              </w:rPr>
            </w:pPr>
          </w:p>
        </w:tc>
        <w:tc>
          <w:tcPr>
            <w:tcW w:w="1860" w:type="dxa"/>
            <w:vAlign w:val="bottom"/>
            <w:tcBorders>
              <w:top w:val="single" w:sz="8" w:color="023C5B"/>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3"/>
                <w:szCs w:val="23"/>
                <w:color w:val="auto"/>
              </w:rPr>
            </w:pPr>
          </w:p>
        </w:tc>
        <w:tc>
          <w:tcPr>
            <w:tcW w:w="1580" w:type="dxa"/>
            <w:vAlign w:val="bottom"/>
            <w:tcBorders>
              <w:top w:val="single" w:sz="8" w:color="023C5B"/>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160" w:type="dxa"/>
            <w:vAlign w:val="bottom"/>
            <w:tcBorders>
              <w:top w:val="single" w:sz="8" w:color="023C5B"/>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16,252</w:t>
            </w:r>
          </w:p>
        </w:tc>
        <w:tc>
          <w:tcPr>
            <w:tcW w:w="140" w:type="dxa"/>
            <w:vAlign w:val="bottom"/>
          </w:tcPr>
          <w:p>
            <w:pPr>
              <w:spacing w:after="0"/>
              <w:rPr>
                <w:sz w:val="23"/>
                <w:szCs w:val="23"/>
                <w:color w:val="auto"/>
              </w:rPr>
            </w:pPr>
          </w:p>
        </w:tc>
        <w:tc>
          <w:tcPr>
            <w:tcW w:w="1580" w:type="dxa"/>
            <w:vAlign w:val="bottom"/>
            <w:tcBorders>
              <w:top w:val="single" w:sz="8" w:color="023C5B"/>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$3,040,831</w:t>
            </w:r>
          </w:p>
        </w:tc>
      </w:tr>
      <w:tr>
        <w:trPr>
          <w:trHeight w:val="231"/>
        </w:trPr>
        <w:tc>
          <w:tcPr>
            <w:tcW w:w="4200" w:type="dxa"/>
            <w:vAlign w:val="bottom"/>
            <w:tcBorders>
              <w:top w:val="single" w:sz="8" w:color="023C5B"/>
            </w:tcBorders>
            <w:gridSpan w:val="2"/>
          </w:tcPr>
          <w:p>
            <w:pPr>
              <w:spacing w:after="0"/>
              <w:rPr>
                <w:sz w:val="20"/>
                <w:szCs w:val="20"/>
                <w:color w:val="auto"/>
              </w:rPr>
            </w:pPr>
            <w:r>
              <w:rPr>
                <w:rFonts w:ascii="Arial" w:cs="Arial" w:eastAsia="Arial" w:hAnsi="Arial"/>
                <w:sz w:val="16"/>
                <w:szCs w:val="16"/>
                <w:color w:val="auto"/>
              </w:rPr>
              <w:t> Mark Daniel Mouadeb</w:t>
            </w:r>
          </w:p>
        </w:tc>
        <w:tc>
          <w:tcPr>
            <w:tcW w:w="140" w:type="dxa"/>
            <w:vAlign w:val="bottom"/>
          </w:tcPr>
          <w:p>
            <w:pPr>
              <w:spacing w:after="0"/>
              <w:rPr>
                <w:sz w:val="20"/>
                <w:szCs w:val="20"/>
                <w:color w:val="auto"/>
              </w:rPr>
            </w:pPr>
          </w:p>
        </w:tc>
        <w:tc>
          <w:tcPr>
            <w:tcW w:w="186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158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w w:val="99"/>
              </w:rPr>
              <w:t>7,870</w:t>
            </w:r>
          </w:p>
        </w:tc>
        <w:tc>
          <w:tcPr>
            <w:tcW w:w="140" w:type="dxa"/>
            <w:vAlign w:val="bottom"/>
          </w:tcPr>
          <w:p>
            <w:pPr>
              <w:spacing w:after="0"/>
              <w:rPr>
                <w:sz w:val="20"/>
                <w:szCs w:val="20"/>
                <w:color w:val="auto"/>
              </w:rPr>
            </w:pPr>
          </w:p>
        </w:tc>
        <w:tc>
          <w:tcPr>
            <w:tcW w:w="1580" w:type="dxa"/>
            <w:vAlign w:val="bottom"/>
            <w:tcBorders>
              <w:top w:val="single" w:sz="8" w:color="023C5B"/>
            </w:tcBorders>
          </w:tcPr>
          <w:p>
            <w:pPr>
              <w:jc w:val="center"/>
              <w:spacing w:after="0"/>
              <w:rPr>
                <w:sz w:val="20"/>
                <w:szCs w:val="20"/>
                <w:color w:val="auto"/>
              </w:rPr>
            </w:pPr>
            <w:r>
              <w:rPr>
                <w:rFonts w:ascii="Arial" w:cs="Arial" w:eastAsia="Arial" w:hAnsi="Arial"/>
                <w:sz w:val="16"/>
                <w:szCs w:val="16"/>
                <w:color w:val="auto"/>
                <w:w w:val="99"/>
              </w:rPr>
              <w:t>$1,542,869</w:t>
            </w:r>
          </w:p>
        </w:tc>
      </w:tr>
      <w:tr>
        <w:trPr>
          <w:trHeight w:val="44"/>
        </w:trPr>
        <w:tc>
          <w:tcPr>
            <w:tcW w:w="1220" w:type="dxa"/>
            <w:vAlign w:val="bottom"/>
          </w:tcPr>
          <w:p>
            <w:pPr>
              <w:spacing w:after="0"/>
              <w:rPr>
                <w:sz w:val="3"/>
                <w:szCs w:val="3"/>
                <w:color w:val="auto"/>
              </w:rPr>
            </w:pPr>
          </w:p>
        </w:tc>
        <w:tc>
          <w:tcPr>
            <w:tcW w:w="3120" w:type="dxa"/>
            <w:vAlign w:val="bottom"/>
            <w:gridSpan w:val="2"/>
          </w:tcPr>
          <w:p>
            <w:pPr>
              <w:spacing w:after="0"/>
              <w:rPr>
                <w:sz w:val="3"/>
                <w:szCs w:val="3"/>
                <w:color w:val="auto"/>
              </w:rPr>
            </w:pPr>
          </w:p>
        </w:tc>
        <w:tc>
          <w:tcPr>
            <w:tcW w:w="1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1720" w:type="dxa"/>
            <w:vAlign w:val="bottom"/>
            <w:gridSpan w:val="2"/>
          </w:tcPr>
          <w:p>
            <w:pPr>
              <w:spacing w:after="0"/>
              <w:rPr>
                <w:sz w:val="3"/>
                <w:szCs w:val="3"/>
                <w:color w:val="auto"/>
              </w:rPr>
            </w:pPr>
          </w:p>
        </w:tc>
      </w:tr>
      <w:tr>
        <w:trPr>
          <w:trHeight w:val="279"/>
        </w:trPr>
        <w:tc>
          <w:tcPr>
            <w:tcW w:w="4200" w:type="dxa"/>
            <w:vAlign w:val="bottom"/>
            <w:tcBorders>
              <w:top w:val="single" w:sz="8" w:color="023C5B"/>
              <w:bottom w:val="single" w:sz="8" w:color="E5EBEE"/>
            </w:tcBorders>
            <w:gridSpan w:val="2"/>
            <w:shd w:val="clear" w:color="auto" w:fill="E5EBEE"/>
          </w:tcPr>
          <w:p>
            <w:pPr>
              <w:spacing w:after="0"/>
              <w:rPr>
                <w:sz w:val="20"/>
                <w:szCs w:val="20"/>
                <w:color w:val="auto"/>
              </w:rPr>
            </w:pPr>
            <w:r>
              <w:rPr>
                <w:rFonts w:ascii="Arial" w:cs="Arial" w:eastAsia="Arial" w:hAnsi="Arial"/>
                <w:sz w:val="16"/>
                <w:szCs w:val="16"/>
                <w:color w:val="auto"/>
              </w:rPr>
              <w:t> Frank G. LaPrade, III</w:t>
            </w:r>
          </w:p>
        </w:tc>
        <w:tc>
          <w:tcPr>
            <w:tcW w:w="140" w:type="dxa"/>
            <w:vAlign w:val="bottom"/>
          </w:tcPr>
          <w:p>
            <w:pPr>
              <w:spacing w:after="0"/>
              <w:rPr>
                <w:sz w:val="23"/>
                <w:szCs w:val="23"/>
                <w:color w:val="auto"/>
              </w:rPr>
            </w:pPr>
          </w:p>
        </w:tc>
        <w:tc>
          <w:tcPr>
            <w:tcW w:w="1860" w:type="dxa"/>
            <w:vAlign w:val="bottom"/>
            <w:tcBorders>
              <w:top w:val="single" w:sz="8" w:color="023C5B"/>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3"/>
                <w:szCs w:val="23"/>
                <w:color w:val="auto"/>
              </w:rPr>
            </w:pPr>
          </w:p>
        </w:tc>
        <w:tc>
          <w:tcPr>
            <w:tcW w:w="1580" w:type="dxa"/>
            <w:vAlign w:val="bottom"/>
            <w:tcBorders>
              <w:top w:val="single" w:sz="8" w:color="023C5B"/>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160" w:type="dxa"/>
            <w:vAlign w:val="bottom"/>
            <w:tcBorders>
              <w:top w:val="single" w:sz="8" w:color="023C5B"/>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rPr>
              <w:t>22,588</w:t>
            </w:r>
          </w:p>
        </w:tc>
        <w:tc>
          <w:tcPr>
            <w:tcW w:w="140" w:type="dxa"/>
            <w:vAlign w:val="bottom"/>
          </w:tcPr>
          <w:p>
            <w:pPr>
              <w:spacing w:after="0"/>
              <w:rPr>
                <w:sz w:val="23"/>
                <w:szCs w:val="23"/>
                <w:color w:val="auto"/>
              </w:rPr>
            </w:pPr>
          </w:p>
        </w:tc>
        <w:tc>
          <w:tcPr>
            <w:tcW w:w="1580" w:type="dxa"/>
            <w:vAlign w:val="bottom"/>
            <w:tcBorders>
              <w:top w:val="single" w:sz="8" w:color="023C5B"/>
              <w:bottom w:val="single" w:sz="8" w:color="E5EBEE"/>
            </w:tcBorders>
            <w:shd w:val="clear" w:color="auto" w:fill="E5EBEE"/>
          </w:tcPr>
          <w:p>
            <w:pPr>
              <w:jc w:val="center"/>
              <w:spacing w:after="0"/>
              <w:rPr>
                <w:sz w:val="20"/>
                <w:szCs w:val="20"/>
                <w:color w:val="auto"/>
              </w:rPr>
            </w:pPr>
            <w:r>
              <w:rPr>
                <w:rFonts w:ascii="Arial" w:cs="Arial" w:eastAsia="Arial" w:hAnsi="Arial"/>
                <w:sz w:val="16"/>
                <w:szCs w:val="16"/>
                <w:color w:val="auto"/>
                <w:w w:val="99"/>
              </w:rPr>
              <w:t>$4,204,779</w:t>
            </w:r>
          </w:p>
        </w:tc>
      </w:tr>
      <w:tr>
        <w:trPr>
          <w:trHeight w:val="127"/>
        </w:trPr>
        <w:tc>
          <w:tcPr>
            <w:tcW w:w="1220" w:type="dxa"/>
            <w:vAlign w:val="bottom"/>
            <w:tcBorders>
              <w:top w:val="single" w:sz="8" w:color="023C5B"/>
              <w:bottom w:val="single" w:sz="8" w:color="auto"/>
            </w:tcBorders>
          </w:tcPr>
          <w:p>
            <w:pPr>
              <w:spacing w:after="0"/>
              <w:rPr>
                <w:sz w:val="11"/>
                <w:szCs w:val="11"/>
                <w:color w:val="auto"/>
              </w:rPr>
            </w:pPr>
          </w:p>
        </w:tc>
        <w:tc>
          <w:tcPr>
            <w:tcW w:w="2980" w:type="dxa"/>
            <w:vAlign w:val="bottom"/>
            <w:tcBorders>
              <w:top w:val="single" w:sz="8" w:color="023C5B"/>
            </w:tcBorders>
          </w:tcPr>
          <w:p>
            <w:pPr>
              <w:spacing w:after="0"/>
              <w:rPr>
                <w:sz w:val="11"/>
                <w:szCs w:val="11"/>
                <w:color w:val="auto"/>
              </w:rPr>
            </w:pPr>
          </w:p>
        </w:tc>
        <w:tc>
          <w:tcPr>
            <w:tcW w:w="140" w:type="dxa"/>
            <w:vAlign w:val="bottom"/>
          </w:tcPr>
          <w:p>
            <w:pPr>
              <w:spacing w:after="0"/>
              <w:rPr>
                <w:sz w:val="11"/>
                <w:szCs w:val="11"/>
                <w:color w:val="auto"/>
              </w:rPr>
            </w:pPr>
          </w:p>
        </w:tc>
        <w:tc>
          <w:tcPr>
            <w:tcW w:w="1860" w:type="dxa"/>
            <w:vAlign w:val="bottom"/>
            <w:tcBorders>
              <w:top w:val="single" w:sz="8" w:color="023C5B"/>
            </w:tcBorders>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Borders>
              <w:top w:val="single" w:sz="8" w:color="023C5B"/>
            </w:tcBorders>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top w:val="single" w:sz="8" w:color="023C5B"/>
            </w:tcBorders>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tcBorders>
              <w:top w:val="single" w:sz="8" w:color="023C5B"/>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-1570355</wp:posOffset>
            </wp:positionV>
            <wp:extent cx="6929755" cy="54356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29755" cy="543560"/>
                    </a:xfrm>
                    <a:prstGeom prst="rect">
                      <a:avLst/>
                    </a:prstGeom>
                    <a:noFill/>
                  </pic:spPr>
                </pic:pic>
              </a:graphicData>
            </a:graphic>
          </wp:anchor>
        </w:drawing>
      </w:r>
    </w:p>
    <w:p>
      <w:pPr>
        <w:spacing w:after="0" w:line="11" w:lineRule="exact"/>
        <w:rPr>
          <w:sz w:val="20"/>
          <w:szCs w:val="20"/>
          <w:color w:val="auto"/>
        </w:rPr>
      </w:pPr>
    </w:p>
    <w:p>
      <w:pPr>
        <w:ind w:left="600" w:hanging="433"/>
        <w:spacing w:after="0"/>
        <w:tabs>
          <w:tab w:leader="none" w:pos="6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value realized is the pre-tax value of the shares (market price less the exercise price) received.</w:t>
      </w:r>
    </w:p>
    <w:p>
      <w:pPr>
        <w:spacing w:after="0" w:line="79" w:lineRule="exact"/>
        <w:rPr>
          <w:rFonts w:ascii="Arial" w:cs="Arial" w:eastAsia="Arial" w:hAnsi="Arial"/>
          <w:sz w:val="14"/>
          <w:szCs w:val="14"/>
          <w:color w:val="auto"/>
        </w:rPr>
      </w:pPr>
    </w:p>
    <w:p>
      <w:pPr>
        <w:jc w:val="both"/>
        <w:ind w:left="600" w:hanging="433"/>
        <w:spacing w:after="0" w:line="247" w:lineRule="auto"/>
        <w:tabs>
          <w:tab w:leader="none" w:pos="6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value realized for awards, other than certain cash-settled RSUs and performance shares, is the pre-tax value of the number of shares multiplied by the closing price of Capital One common stock on the vesting date, as reported by the NYSE Composite Transaction Tape. For performance shares, the value realized also reflects the accrued dividends paid out as additional shares as of the date the performance share award results were certified by the Committee. Except for cash-settled RSUs that were vested and released in connection with tax withholding on February 4, 2025, the pre-tax value realized for all other cash-settled RSUs and value realized is the number of shares multiplied by the closing price of Capital One common stock for the 15 trading days preceding the vesting date, in accordance with the terms of the applicable awards. The value included in the table above that was realized from cash-settled RSUs for Mr. Fairbank was $7,532,347.</w:t>
      </w:r>
    </w:p>
    <w:p>
      <w:pPr>
        <w:spacing w:after="0" w:line="106" w:lineRule="exact"/>
        <w:rPr>
          <w:sz w:val="20"/>
          <w:szCs w:val="20"/>
          <w:color w:val="auto"/>
        </w:rPr>
      </w:pPr>
    </w:p>
    <w:p>
      <w:pPr>
        <w:ind w:left="5520"/>
        <w:spacing w:after="0"/>
        <w:tabs>
          <w:tab w:leader="none" w:pos="862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-111760</wp:posOffset>
            </wp:positionV>
            <wp:extent cx="8255" cy="1784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2025 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173990</wp:posOffset>
            </wp:positionV>
            <wp:extent cx="6929755" cy="75412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29755" cy="7541260"/>
                    </a:xfrm>
                    <a:prstGeom prst="rect">
                      <a:avLst/>
                    </a:prstGeom>
                    <a:noFill/>
                  </pic:spPr>
                </pic:pic>
              </a:graphicData>
            </a:graphic>
          </wp:anchor>
        </w:drawing>
      </w: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53"/>
        </w:trPr>
        <w:tc>
          <w:tcPr>
            <w:tcW w:w="1240" w:type="dxa"/>
            <w:vAlign w:val="bottom"/>
            <w:shd w:val="clear" w:color="auto" w:fill="023C5B"/>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shd w:val="clear" w:color="auto" w:fill="023C5B"/>
          </w:tcPr>
          <w:p>
            <w:pPr>
              <w:spacing w:after="0"/>
              <w:rPr>
                <w:sz w:val="4"/>
                <w:szCs w:val="4"/>
                <w:color w:val="auto"/>
              </w:rPr>
            </w:pPr>
          </w:p>
        </w:tc>
        <w:tc>
          <w:tcPr>
            <w:tcW w:w="180" w:type="dxa"/>
            <w:vAlign w:val="bottom"/>
            <w:shd w:val="clear" w:color="auto" w:fill="023C5B"/>
          </w:tcPr>
          <w:p>
            <w:pPr>
              <w:spacing w:after="0"/>
              <w:rPr>
                <w:sz w:val="4"/>
                <w:szCs w:val="4"/>
                <w:color w:val="auto"/>
              </w:rPr>
            </w:pPr>
          </w:p>
        </w:tc>
        <w:tc>
          <w:tcPr>
            <w:tcW w:w="1000" w:type="dxa"/>
            <w:vAlign w:val="bottom"/>
            <w:shd w:val="clear" w:color="auto" w:fill="023C5B"/>
          </w:tcPr>
          <w:p>
            <w:pPr>
              <w:spacing w:after="0"/>
              <w:rPr>
                <w:sz w:val="4"/>
                <w:szCs w:val="4"/>
                <w:color w:val="auto"/>
              </w:rPr>
            </w:pPr>
          </w:p>
        </w:tc>
        <w:tc>
          <w:tcPr>
            <w:tcW w:w="1300" w:type="dxa"/>
            <w:vAlign w:val="bottom"/>
            <w:gridSpan w:val="3"/>
            <w:vMerge w:val="restart"/>
            <w:shd w:val="clear" w:color="auto" w:fill="023C5B"/>
          </w:tcPr>
          <w:p>
            <w:pPr>
              <w:ind w:left="80"/>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21"/>
                <w:szCs w:val="21"/>
                <w:b w:val="1"/>
                <w:bCs w:val="1"/>
                <w:color w:val="FFFFFF"/>
                <w:vertAlign w:val="superscript"/>
              </w:rPr>
              <w:t>(1)</w:t>
            </w:r>
          </w:p>
        </w:tc>
        <w:tc>
          <w:tcPr>
            <w:tcW w:w="180" w:type="dxa"/>
            <w:vAlign w:val="bottom"/>
            <w:shd w:val="clear" w:color="auto" w:fill="023C5B"/>
          </w:tcPr>
          <w:p>
            <w:pPr>
              <w:spacing w:after="0"/>
              <w:rPr>
                <w:sz w:val="4"/>
                <w:szCs w:val="4"/>
                <w:color w:val="auto"/>
              </w:rPr>
            </w:pPr>
          </w:p>
        </w:tc>
        <w:tc>
          <w:tcPr>
            <w:tcW w:w="740" w:type="dxa"/>
            <w:vAlign w:val="bottom"/>
            <w:shd w:val="clear" w:color="auto" w:fill="023C5B"/>
          </w:tcPr>
          <w:p>
            <w:pPr>
              <w:spacing w:after="0"/>
              <w:rPr>
                <w:sz w:val="4"/>
                <w:szCs w:val="4"/>
                <w:color w:val="auto"/>
              </w:rPr>
            </w:pPr>
          </w:p>
        </w:tc>
        <w:tc>
          <w:tcPr>
            <w:tcW w:w="180" w:type="dxa"/>
            <w:vAlign w:val="bottom"/>
            <w:shd w:val="clear" w:color="auto" w:fill="023C5B"/>
          </w:tcPr>
          <w:p>
            <w:pPr>
              <w:spacing w:after="0"/>
              <w:rPr>
                <w:sz w:val="4"/>
                <w:szCs w:val="4"/>
                <w:color w:val="auto"/>
              </w:rPr>
            </w:pPr>
          </w:p>
        </w:tc>
        <w:tc>
          <w:tcPr>
            <w:tcW w:w="860" w:type="dxa"/>
            <w:vAlign w:val="bottom"/>
            <w:shd w:val="clear" w:color="auto" w:fill="023C5B"/>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shd w:val="clear" w:color="auto" w:fill="023C5B"/>
          </w:tcPr>
          <w:p>
            <w:pPr>
              <w:spacing w:after="0"/>
              <w:rPr>
                <w:sz w:val="4"/>
                <w:szCs w:val="4"/>
                <w:color w:val="auto"/>
              </w:rPr>
            </w:pPr>
          </w:p>
        </w:tc>
        <w:tc>
          <w:tcPr>
            <w:tcW w:w="180" w:type="dxa"/>
            <w:vAlign w:val="bottom"/>
            <w:shd w:val="clear" w:color="auto" w:fill="023C5B"/>
          </w:tcPr>
          <w:p>
            <w:pPr>
              <w:spacing w:after="0"/>
              <w:rPr>
                <w:sz w:val="4"/>
                <w:szCs w:val="4"/>
                <w:color w:val="auto"/>
              </w:rPr>
            </w:pPr>
          </w:p>
        </w:tc>
        <w:tc>
          <w:tcPr>
            <w:tcW w:w="1960" w:type="dxa"/>
            <w:vAlign w:val="bottom"/>
            <w:gridSpan w:val="3"/>
            <w:vMerge w:val="restart"/>
            <w:shd w:val="clear" w:color="auto" w:fill="023C5B"/>
          </w:tcPr>
          <w:p>
            <w:pPr>
              <w:ind w:left="560"/>
              <w:spacing w:after="0"/>
              <w:rPr>
                <w:sz w:val="20"/>
                <w:szCs w:val="20"/>
                <w:color w:val="auto"/>
              </w:rPr>
            </w:pPr>
            <w:r>
              <w:rPr>
                <w:rFonts w:ascii="Arial" w:cs="Arial" w:eastAsia="Arial" w:hAnsi="Arial"/>
                <w:sz w:val="14"/>
                <w:szCs w:val="14"/>
                <w:b w:val="1"/>
                <w:bCs w:val="1"/>
                <w:color w:val="FFFFFF"/>
              </w:rPr>
              <w:t>Stock Awards</w:t>
            </w:r>
          </w:p>
        </w:tc>
        <w:tc>
          <w:tcPr>
            <w:tcW w:w="200" w:type="dxa"/>
            <w:vAlign w:val="bottom"/>
            <w:shd w:val="clear" w:color="auto" w:fill="023C5B"/>
          </w:tcPr>
          <w:p>
            <w:pPr>
              <w:spacing w:after="0"/>
              <w:rPr>
                <w:sz w:val="4"/>
                <w:szCs w:val="4"/>
                <w:color w:val="auto"/>
              </w:rPr>
            </w:pPr>
          </w:p>
        </w:tc>
        <w:tc>
          <w:tcPr>
            <w:tcW w:w="940" w:type="dxa"/>
            <w:vAlign w:val="bottom"/>
            <w:shd w:val="clear" w:color="auto" w:fill="023C5B"/>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240" w:type="dxa"/>
            <w:vAlign w:val="bottom"/>
            <w:shd w:val="clear" w:color="auto" w:fill="023C5B"/>
          </w:tcPr>
          <w:p>
            <w:pPr>
              <w:spacing w:after="0"/>
              <w:rPr>
                <w:sz w:val="20"/>
                <w:szCs w:val="20"/>
                <w:color w:val="auto"/>
              </w:rPr>
            </w:pPr>
          </w:p>
        </w:tc>
        <w:tc>
          <w:tcPr>
            <w:tcW w:w="180" w:type="dxa"/>
            <w:vAlign w:val="bottom"/>
            <w:shd w:val="clear" w:color="auto" w:fill="023C5B"/>
          </w:tcPr>
          <w:p>
            <w:pPr>
              <w:spacing w:after="0"/>
              <w:rPr>
                <w:sz w:val="20"/>
                <w:szCs w:val="20"/>
                <w:color w:val="auto"/>
              </w:rPr>
            </w:pPr>
          </w:p>
        </w:tc>
        <w:tc>
          <w:tcPr>
            <w:tcW w:w="760" w:type="dxa"/>
            <w:vAlign w:val="bottom"/>
            <w:shd w:val="clear" w:color="auto" w:fill="023C5B"/>
          </w:tcPr>
          <w:p>
            <w:pPr>
              <w:spacing w:after="0"/>
              <w:rPr>
                <w:sz w:val="20"/>
                <w:szCs w:val="20"/>
                <w:color w:val="auto"/>
              </w:rPr>
            </w:pPr>
          </w:p>
        </w:tc>
        <w:tc>
          <w:tcPr>
            <w:tcW w:w="180" w:type="dxa"/>
            <w:vAlign w:val="bottom"/>
            <w:shd w:val="clear" w:color="auto" w:fill="023C5B"/>
          </w:tcPr>
          <w:p>
            <w:pPr>
              <w:spacing w:after="0"/>
              <w:rPr>
                <w:sz w:val="20"/>
                <w:szCs w:val="20"/>
                <w:color w:val="auto"/>
              </w:rPr>
            </w:pPr>
          </w:p>
        </w:tc>
        <w:tc>
          <w:tcPr>
            <w:tcW w:w="1000" w:type="dxa"/>
            <w:vAlign w:val="bottom"/>
            <w:shd w:val="clear" w:color="auto" w:fill="023C5B"/>
          </w:tcPr>
          <w:p>
            <w:pPr>
              <w:spacing w:after="0"/>
              <w:rPr>
                <w:sz w:val="20"/>
                <w:szCs w:val="20"/>
                <w:color w:val="auto"/>
              </w:rPr>
            </w:pPr>
          </w:p>
        </w:tc>
        <w:tc>
          <w:tcPr>
            <w:tcW w:w="1300" w:type="dxa"/>
            <w:vAlign w:val="bottom"/>
            <w:gridSpan w:val="3"/>
            <w:vMerge w:val="continue"/>
            <w:shd w:val="clear" w:color="auto" w:fill="023C5B"/>
          </w:tcPr>
          <w:p>
            <w:pPr>
              <w:spacing w:after="0"/>
              <w:rPr>
                <w:sz w:val="20"/>
                <w:szCs w:val="20"/>
                <w:color w:val="auto"/>
              </w:rPr>
            </w:pPr>
          </w:p>
        </w:tc>
        <w:tc>
          <w:tcPr>
            <w:tcW w:w="180" w:type="dxa"/>
            <w:vAlign w:val="bottom"/>
            <w:shd w:val="clear" w:color="auto" w:fill="023C5B"/>
          </w:tcPr>
          <w:p>
            <w:pPr>
              <w:spacing w:after="0"/>
              <w:rPr>
                <w:sz w:val="20"/>
                <w:szCs w:val="20"/>
                <w:color w:val="auto"/>
              </w:rPr>
            </w:pPr>
          </w:p>
        </w:tc>
        <w:tc>
          <w:tcPr>
            <w:tcW w:w="740" w:type="dxa"/>
            <w:vAlign w:val="bottom"/>
            <w:shd w:val="clear" w:color="auto" w:fill="023C5B"/>
          </w:tcPr>
          <w:p>
            <w:pPr>
              <w:spacing w:after="0"/>
              <w:rPr>
                <w:sz w:val="20"/>
                <w:szCs w:val="20"/>
                <w:color w:val="auto"/>
              </w:rPr>
            </w:pPr>
          </w:p>
        </w:tc>
        <w:tc>
          <w:tcPr>
            <w:tcW w:w="180" w:type="dxa"/>
            <w:vAlign w:val="bottom"/>
            <w:shd w:val="clear" w:color="auto" w:fill="023C5B"/>
          </w:tcPr>
          <w:p>
            <w:pPr>
              <w:spacing w:after="0"/>
              <w:rPr>
                <w:sz w:val="20"/>
                <w:szCs w:val="20"/>
                <w:color w:val="auto"/>
              </w:rPr>
            </w:pPr>
          </w:p>
        </w:tc>
        <w:tc>
          <w:tcPr>
            <w:tcW w:w="860" w:type="dxa"/>
            <w:vAlign w:val="bottom"/>
            <w:shd w:val="clear" w:color="auto" w:fill="023C5B"/>
          </w:tcPr>
          <w:p>
            <w:pPr>
              <w:spacing w:after="0"/>
              <w:rPr>
                <w:sz w:val="20"/>
                <w:szCs w:val="20"/>
                <w:color w:val="auto"/>
              </w:rPr>
            </w:pPr>
          </w:p>
        </w:tc>
        <w:tc>
          <w:tcPr>
            <w:tcW w:w="180" w:type="dxa"/>
            <w:vAlign w:val="bottom"/>
            <w:shd w:val="clear" w:color="auto" w:fill="023C5B"/>
          </w:tcPr>
          <w:p>
            <w:pPr>
              <w:spacing w:after="0"/>
              <w:rPr>
                <w:sz w:val="20"/>
                <w:szCs w:val="20"/>
                <w:color w:val="auto"/>
              </w:rPr>
            </w:pPr>
          </w:p>
        </w:tc>
        <w:tc>
          <w:tcPr>
            <w:tcW w:w="840" w:type="dxa"/>
            <w:vAlign w:val="bottom"/>
            <w:shd w:val="clear" w:color="auto" w:fill="023C5B"/>
          </w:tcPr>
          <w:p>
            <w:pPr>
              <w:spacing w:after="0"/>
              <w:rPr>
                <w:sz w:val="20"/>
                <w:szCs w:val="20"/>
                <w:color w:val="auto"/>
              </w:rPr>
            </w:pPr>
          </w:p>
        </w:tc>
        <w:tc>
          <w:tcPr>
            <w:tcW w:w="180" w:type="dxa"/>
            <w:vAlign w:val="bottom"/>
            <w:shd w:val="clear" w:color="auto" w:fill="023C5B"/>
          </w:tcPr>
          <w:p>
            <w:pPr>
              <w:spacing w:after="0"/>
              <w:rPr>
                <w:sz w:val="20"/>
                <w:szCs w:val="20"/>
                <w:color w:val="auto"/>
              </w:rPr>
            </w:pPr>
          </w:p>
        </w:tc>
        <w:tc>
          <w:tcPr>
            <w:tcW w:w="1960" w:type="dxa"/>
            <w:vAlign w:val="bottom"/>
            <w:gridSpan w:val="3"/>
            <w:vMerge w:val="continue"/>
            <w:shd w:val="clear" w:color="auto" w:fill="023C5B"/>
          </w:tcPr>
          <w:p>
            <w:pPr>
              <w:spacing w:after="0"/>
              <w:rPr>
                <w:sz w:val="20"/>
                <w:szCs w:val="20"/>
                <w:color w:val="auto"/>
              </w:rPr>
            </w:pPr>
          </w:p>
        </w:tc>
        <w:tc>
          <w:tcPr>
            <w:tcW w:w="200" w:type="dxa"/>
            <w:vAlign w:val="bottom"/>
            <w:shd w:val="clear" w:color="auto" w:fill="023C5B"/>
          </w:tcPr>
          <w:p>
            <w:pPr>
              <w:spacing w:after="0"/>
              <w:rPr>
                <w:sz w:val="20"/>
                <w:szCs w:val="20"/>
                <w:color w:val="auto"/>
              </w:rPr>
            </w:pPr>
          </w:p>
        </w:tc>
        <w:tc>
          <w:tcPr>
            <w:tcW w:w="940" w:type="dxa"/>
            <w:vAlign w:val="bottom"/>
            <w:shd w:val="clear" w:color="auto" w:fill="023C5B"/>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40" w:type="dxa"/>
            <w:vAlign w:val="bottom"/>
            <w:shd w:val="clear" w:color="auto" w:fill="023C5B"/>
          </w:tcPr>
          <w:p>
            <w:pPr>
              <w:spacing w:after="0"/>
              <w:rPr>
                <w:sz w:val="15"/>
                <w:szCs w:val="15"/>
                <w:color w:val="auto"/>
              </w:rPr>
            </w:pPr>
          </w:p>
        </w:tc>
        <w:tc>
          <w:tcPr>
            <w:tcW w:w="180" w:type="dxa"/>
            <w:vAlign w:val="bottom"/>
            <w:shd w:val="clear" w:color="auto" w:fill="023C5B"/>
          </w:tcPr>
          <w:p>
            <w:pPr>
              <w:spacing w:after="0"/>
              <w:rPr>
                <w:sz w:val="15"/>
                <w:szCs w:val="15"/>
                <w:color w:val="auto"/>
              </w:rPr>
            </w:pPr>
          </w:p>
        </w:tc>
        <w:tc>
          <w:tcPr>
            <w:tcW w:w="760" w:type="dxa"/>
            <w:vAlign w:val="bottom"/>
            <w:shd w:val="clear" w:color="auto" w:fill="023C5B"/>
          </w:tcPr>
          <w:p>
            <w:pPr>
              <w:spacing w:after="0"/>
              <w:rPr>
                <w:sz w:val="15"/>
                <w:szCs w:val="15"/>
                <w:color w:val="auto"/>
              </w:rPr>
            </w:pPr>
          </w:p>
        </w:tc>
        <w:tc>
          <w:tcPr>
            <w:tcW w:w="180" w:type="dxa"/>
            <w:vAlign w:val="bottom"/>
            <w:shd w:val="clear" w:color="auto" w:fill="023C5B"/>
          </w:tcPr>
          <w:p>
            <w:pPr>
              <w:spacing w:after="0"/>
              <w:rPr>
                <w:sz w:val="15"/>
                <w:szCs w:val="15"/>
                <w:color w:val="auto"/>
              </w:rPr>
            </w:pPr>
          </w:p>
        </w:tc>
        <w:tc>
          <w:tcPr>
            <w:tcW w:w="1000" w:type="dxa"/>
            <w:vAlign w:val="bottom"/>
            <w:shd w:val="clear" w:color="auto" w:fill="023C5B"/>
          </w:tcPr>
          <w:p>
            <w:pPr>
              <w:spacing w:after="0"/>
              <w:rPr>
                <w:sz w:val="15"/>
                <w:szCs w:val="15"/>
                <w:color w:val="auto"/>
              </w:rPr>
            </w:pPr>
          </w:p>
        </w:tc>
        <w:tc>
          <w:tcPr>
            <w:tcW w:w="180" w:type="dxa"/>
            <w:vAlign w:val="bottom"/>
            <w:shd w:val="clear" w:color="auto" w:fill="023C5B"/>
          </w:tcPr>
          <w:p>
            <w:pPr>
              <w:spacing w:after="0"/>
              <w:rPr>
                <w:sz w:val="15"/>
                <w:szCs w:val="15"/>
                <w:color w:val="auto"/>
              </w:rPr>
            </w:pPr>
          </w:p>
        </w:tc>
        <w:tc>
          <w:tcPr>
            <w:tcW w:w="80" w:type="dxa"/>
            <w:vAlign w:val="bottom"/>
            <w:tcBorders>
              <w:right w:val="single" w:sz="8" w:color="023C5B"/>
            </w:tcBorders>
            <w:shd w:val="clear" w:color="auto" w:fill="023C5B"/>
          </w:tcPr>
          <w:p>
            <w:pPr>
              <w:spacing w:after="0"/>
              <w:rPr>
                <w:sz w:val="15"/>
                <w:szCs w:val="15"/>
                <w:color w:val="auto"/>
              </w:rPr>
            </w:pPr>
          </w:p>
        </w:tc>
        <w:tc>
          <w:tcPr>
            <w:tcW w:w="1040" w:type="dxa"/>
            <w:vAlign w:val="bottom"/>
            <w:shd w:val="clear" w:color="auto" w:fill="023C5B"/>
          </w:tcPr>
          <w:p>
            <w:pPr>
              <w:spacing w:after="0"/>
              <w:rPr>
                <w:sz w:val="15"/>
                <w:szCs w:val="15"/>
                <w:color w:val="auto"/>
              </w:rPr>
            </w:pPr>
          </w:p>
        </w:tc>
        <w:tc>
          <w:tcPr>
            <w:tcW w:w="180" w:type="dxa"/>
            <w:vAlign w:val="bottom"/>
            <w:shd w:val="clear" w:color="auto" w:fill="023C5B"/>
          </w:tcPr>
          <w:p>
            <w:pPr>
              <w:spacing w:after="0"/>
              <w:rPr>
                <w:sz w:val="15"/>
                <w:szCs w:val="15"/>
                <w:color w:val="auto"/>
              </w:rPr>
            </w:pPr>
          </w:p>
        </w:tc>
        <w:tc>
          <w:tcPr>
            <w:tcW w:w="740" w:type="dxa"/>
            <w:vAlign w:val="bottom"/>
            <w:shd w:val="clear" w:color="auto" w:fill="023C5B"/>
          </w:tcPr>
          <w:p>
            <w:pPr>
              <w:spacing w:after="0"/>
              <w:rPr>
                <w:sz w:val="15"/>
                <w:szCs w:val="15"/>
                <w:color w:val="auto"/>
              </w:rPr>
            </w:pPr>
          </w:p>
        </w:tc>
        <w:tc>
          <w:tcPr>
            <w:tcW w:w="180" w:type="dxa"/>
            <w:vAlign w:val="bottom"/>
            <w:shd w:val="clear" w:color="auto" w:fill="023C5B"/>
          </w:tcPr>
          <w:p>
            <w:pPr>
              <w:spacing w:after="0"/>
              <w:rPr>
                <w:sz w:val="15"/>
                <w:szCs w:val="15"/>
                <w:color w:val="auto"/>
              </w:rPr>
            </w:pPr>
          </w:p>
        </w:tc>
        <w:tc>
          <w:tcPr>
            <w:tcW w:w="860" w:type="dxa"/>
            <w:vAlign w:val="bottom"/>
            <w:shd w:val="clear" w:color="auto" w:fill="023C5B"/>
          </w:tcPr>
          <w:p>
            <w:pPr>
              <w:spacing w:after="0"/>
              <w:rPr>
                <w:sz w:val="15"/>
                <w:szCs w:val="15"/>
                <w:color w:val="auto"/>
              </w:rPr>
            </w:pPr>
          </w:p>
        </w:tc>
        <w:tc>
          <w:tcPr>
            <w:tcW w:w="180" w:type="dxa"/>
            <w:vAlign w:val="bottom"/>
            <w:shd w:val="clear" w:color="auto" w:fill="023C5B"/>
          </w:tcPr>
          <w:p>
            <w:pPr>
              <w:spacing w:after="0"/>
              <w:rPr>
                <w:sz w:val="15"/>
                <w:szCs w:val="15"/>
                <w:color w:val="auto"/>
              </w:rPr>
            </w:pPr>
          </w:p>
        </w:tc>
        <w:tc>
          <w:tcPr>
            <w:tcW w:w="840" w:type="dxa"/>
            <w:vAlign w:val="bottom"/>
            <w:shd w:val="clear" w:color="auto" w:fill="023C5B"/>
          </w:tcPr>
          <w:p>
            <w:pPr>
              <w:spacing w:after="0"/>
              <w:rPr>
                <w:sz w:val="15"/>
                <w:szCs w:val="15"/>
                <w:color w:val="auto"/>
              </w:rPr>
            </w:pPr>
          </w:p>
        </w:tc>
        <w:tc>
          <w:tcPr>
            <w:tcW w:w="180" w:type="dxa"/>
            <w:vAlign w:val="bottom"/>
            <w:shd w:val="clear" w:color="auto" w:fill="023C5B"/>
          </w:tcPr>
          <w:p>
            <w:pPr>
              <w:spacing w:after="0"/>
              <w:rPr>
                <w:sz w:val="15"/>
                <w:szCs w:val="15"/>
                <w:color w:val="auto"/>
              </w:rPr>
            </w:pPr>
          </w:p>
        </w:tc>
        <w:tc>
          <w:tcPr>
            <w:tcW w:w="940" w:type="dxa"/>
            <w:vAlign w:val="bottom"/>
            <w:shd w:val="clear" w:color="auto" w:fill="023C5B"/>
          </w:tcPr>
          <w:p>
            <w:pPr>
              <w:spacing w:after="0"/>
              <w:rPr>
                <w:sz w:val="15"/>
                <w:szCs w:val="15"/>
                <w:color w:val="auto"/>
              </w:rPr>
            </w:pPr>
          </w:p>
        </w:tc>
        <w:tc>
          <w:tcPr>
            <w:tcW w:w="200" w:type="dxa"/>
            <w:vAlign w:val="bottom"/>
            <w:shd w:val="clear" w:color="auto" w:fill="023C5B"/>
          </w:tcPr>
          <w:p>
            <w:pPr>
              <w:spacing w:after="0"/>
              <w:rPr>
                <w:sz w:val="15"/>
                <w:szCs w:val="15"/>
                <w:color w:val="auto"/>
              </w:rPr>
            </w:pPr>
          </w:p>
        </w:tc>
        <w:tc>
          <w:tcPr>
            <w:tcW w:w="820" w:type="dxa"/>
            <w:vAlign w:val="bottom"/>
            <w:vMerge w:val="restart"/>
            <w:shd w:val="clear" w:color="auto" w:fill="023C5B"/>
          </w:tcPr>
          <w:p>
            <w:pPr>
              <w:jc w:val="center"/>
              <w:spacing w:after="0"/>
              <w:rPr>
                <w:sz w:val="20"/>
                <w:szCs w:val="20"/>
                <w:color w:val="auto"/>
              </w:rPr>
            </w:pPr>
            <w:r>
              <w:rPr>
                <w:rFonts w:ascii="Arial" w:cs="Arial" w:eastAsia="Arial" w:hAnsi="Arial"/>
                <w:sz w:val="14"/>
                <w:szCs w:val="14"/>
                <w:b w:val="1"/>
                <w:bCs w:val="1"/>
                <w:color w:val="FFFFFF"/>
              </w:rPr>
              <w:t>Equity</w:t>
            </w:r>
          </w:p>
        </w:tc>
        <w:tc>
          <w:tcPr>
            <w:tcW w:w="200" w:type="dxa"/>
            <w:vAlign w:val="bottom"/>
            <w:shd w:val="clear" w:color="auto" w:fill="023C5B"/>
          </w:tcPr>
          <w:p>
            <w:pPr>
              <w:spacing w:after="0"/>
              <w:rPr>
                <w:sz w:val="15"/>
                <w:szCs w:val="15"/>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47"/>
        </w:trPr>
        <w:tc>
          <w:tcPr>
            <w:tcW w:w="1240" w:type="dxa"/>
            <w:vAlign w:val="bottom"/>
            <w:shd w:val="clear" w:color="auto" w:fill="023C5B"/>
          </w:tcPr>
          <w:p>
            <w:pPr>
              <w:spacing w:after="0"/>
              <w:rPr>
                <w:sz w:val="12"/>
                <w:szCs w:val="12"/>
                <w:color w:val="auto"/>
              </w:rPr>
            </w:pPr>
          </w:p>
        </w:tc>
        <w:tc>
          <w:tcPr>
            <w:tcW w:w="180" w:type="dxa"/>
            <w:vAlign w:val="bottom"/>
            <w:shd w:val="clear" w:color="auto" w:fill="023C5B"/>
          </w:tcPr>
          <w:p>
            <w:pPr>
              <w:spacing w:after="0"/>
              <w:rPr>
                <w:sz w:val="12"/>
                <w:szCs w:val="12"/>
                <w:color w:val="auto"/>
              </w:rPr>
            </w:pPr>
          </w:p>
        </w:tc>
        <w:tc>
          <w:tcPr>
            <w:tcW w:w="760" w:type="dxa"/>
            <w:vAlign w:val="bottom"/>
            <w:shd w:val="clear" w:color="auto" w:fill="023C5B"/>
          </w:tcPr>
          <w:p>
            <w:pPr>
              <w:spacing w:after="0"/>
              <w:rPr>
                <w:sz w:val="12"/>
                <w:szCs w:val="12"/>
                <w:color w:val="auto"/>
              </w:rPr>
            </w:pPr>
          </w:p>
        </w:tc>
        <w:tc>
          <w:tcPr>
            <w:tcW w:w="180" w:type="dxa"/>
            <w:vAlign w:val="bottom"/>
            <w:shd w:val="clear" w:color="auto" w:fill="023C5B"/>
          </w:tcPr>
          <w:p>
            <w:pPr>
              <w:spacing w:after="0"/>
              <w:rPr>
                <w:sz w:val="12"/>
                <w:szCs w:val="12"/>
                <w:color w:val="auto"/>
              </w:rPr>
            </w:pPr>
          </w:p>
        </w:tc>
        <w:tc>
          <w:tcPr>
            <w:tcW w:w="1000" w:type="dxa"/>
            <w:vAlign w:val="bottom"/>
            <w:shd w:val="clear" w:color="auto" w:fill="023C5B"/>
          </w:tcPr>
          <w:p>
            <w:pPr>
              <w:spacing w:after="0"/>
              <w:rPr>
                <w:sz w:val="12"/>
                <w:szCs w:val="12"/>
                <w:color w:val="auto"/>
              </w:rPr>
            </w:pPr>
          </w:p>
        </w:tc>
        <w:tc>
          <w:tcPr>
            <w:tcW w:w="180" w:type="dxa"/>
            <w:vAlign w:val="bottom"/>
            <w:shd w:val="clear" w:color="auto" w:fill="023C5B"/>
          </w:tcPr>
          <w:p>
            <w:pPr>
              <w:spacing w:after="0"/>
              <w:rPr>
                <w:sz w:val="12"/>
                <w:szCs w:val="12"/>
                <w:color w:val="auto"/>
              </w:rPr>
            </w:pPr>
          </w:p>
        </w:tc>
        <w:tc>
          <w:tcPr>
            <w:tcW w:w="80" w:type="dxa"/>
            <w:vAlign w:val="bottom"/>
            <w:tcBorders>
              <w:right w:val="single" w:sz="8" w:color="023C5B"/>
            </w:tcBorders>
            <w:shd w:val="clear" w:color="auto" w:fill="023C5B"/>
          </w:tcPr>
          <w:p>
            <w:pPr>
              <w:spacing w:after="0"/>
              <w:rPr>
                <w:sz w:val="12"/>
                <w:szCs w:val="12"/>
                <w:color w:val="auto"/>
              </w:rPr>
            </w:pPr>
          </w:p>
        </w:tc>
        <w:tc>
          <w:tcPr>
            <w:tcW w:w="1040" w:type="dxa"/>
            <w:vAlign w:val="bottom"/>
            <w:shd w:val="clear" w:color="auto" w:fill="023C5B"/>
          </w:tcPr>
          <w:p>
            <w:pPr>
              <w:spacing w:after="0"/>
              <w:rPr>
                <w:sz w:val="12"/>
                <w:szCs w:val="12"/>
                <w:color w:val="auto"/>
              </w:rPr>
            </w:pPr>
          </w:p>
        </w:tc>
        <w:tc>
          <w:tcPr>
            <w:tcW w:w="180" w:type="dxa"/>
            <w:vAlign w:val="bottom"/>
            <w:shd w:val="clear" w:color="auto" w:fill="023C5B"/>
          </w:tcPr>
          <w:p>
            <w:pPr>
              <w:spacing w:after="0"/>
              <w:rPr>
                <w:sz w:val="12"/>
                <w:szCs w:val="12"/>
                <w:color w:val="auto"/>
              </w:rPr>
            </w:pPr>
          </w:p>
        </w:tc>
        <w:tc>
          <w:tcPr>
            <w:tcW w:w="740" w:type="dxa"/>
            <w:vAlign w:val="bottom"/>
            <w:shd w:val="clear" w:color="auto" w:fill="023C5B"/>
          </w:tcPr>
          <w:p>
            <w:pPr>
              <w:spacing w:after="0"/>
              <w:rPr>
                <w:sz w:val="12"/>
                <w:szCs w:val="12"/>
                <w:color w:val="auto"/>
              </w:rPr>
            </w:pPr>
          </w:p>
        </w:tc>
        <w:tc>
          <w:tcPr>
            <w:tcW w:w="180" w:type="dxa"/>
            <w:vAlign w:val="bottom"/>
            <w:shd w:val="clear" w:color="auto" w:fill="023C5B"/>
          </w:tcPr>
          <w:p>
            <w:pPr>
              <w:spacing w:after="0"/>
              <w:rPr>
                <w:sz w:val="12"/>
                <w:szCs w:val="12"/>
                <w:color w:val="auto"/>
              </w:rPr>
            </w:pPr>
          </w:p>
        </w:tc>
        <w:tc>
          <w:tcPr>
            <w:tcW w:w="860" w:type="dxa"/>
            <w:vAlign w:val="bottom"/>
            <w:shd w:val="clear" w:color="auto" w:fill="023C5B"/>
          </w:tcPr>
          <w:p>
            <w:pPr>
              <w:spacing w:after="0"/>
              <w:rPr>
                <w:sz w:val="12"/>
                <w:szCs w:val="12"/>
                <w:color w:val="auto"/>
              </w:rPr>
            </w:pPr>
          </w:p>
        </w:tc>
        <w:tc>
          <w:tcPr>
            <w:tcW w:w="180" w:type="dxa"/>
            <w:vAlign w:val="bottom"/>
            <w:shd w:val="clear" w:color="auto" w:fill="023C5B"/>
          </w:tcPr>
          <w:p>
            <w:pPr>
              <w:spacing w:after="0"/>
              <w:rPr>
                <w:sz w:val="12"/>
                <w:szCs w:val="12"/>
                <w:color w:val="auto"/>
              </w:rPr>
            </w:pPr>
          </w:p>
        </w:tc>
        <w:tc>
          <w:tcPr>
            <w:tcW w:w="840" w:type="dxa"/>
            <w:vAlign w:val="bottom"/>
            <w:shd w:val="clear" w:color="auto" w:fill="023C5B"/>
          </w:tcPr>
          <w:p>
            <w:pPr>
              <w:spacing w:after="0"/>
              <w:rPr>
                <w:sz w:val="12"/>
                <w:szCs w:val="12"/>
                <w:color w:val="auto"/>
              </w:rPr>
            </w:pPr>
          </w:p>
        </w:tc>
        <w:tc>
          <w:tcPr>
            <w:tcW w:w="180" w:type="dxa"/>
            <w:vAlign w:val="bottom"/>
            <w:shd w:val="clear" w:color="auto" w:fill="023C5B"/>
          </w:tcPr>
          <w:p>
            <w:pPr>
              <w:spacing w:after="0"/>
              <w:rPr>
                <w:sz w:val="12"/>
                <w:szCs w:val="12"/>
                <w:color w:val="auto"/>
              </w:rPr>
            </w:pPr>
          </w:p>
        </w:tc>
        <w:tc>
          <w:tcPr>
            <w:tcW w:w="940" w:type="dxa"/>
            <w:vAlign w:val="bottom"/>
            <w:shd w:val="clear" w:color="auto" w:fill="023C5B"/>
          </w:tcPr>
          <w:p>
            <w:pPr>
              <w:spacing w:after="0"/>
              <w:rPr>
                <w:sz w:val="12"/>
                <w:szCs w:val="12"/>
                <w:color w:val="auto"/>
              </w:rPr>
            </w:pPr>
          </w:p>
        </w:tc>
        <w:tc>
          <w:tcPr>
            <w:tcW w:w="200" w:type="dxa"/>
            <w:vAlign w:val="bottom"/>
            <w:shd w:val="clear" w:color="auto" w:fill="023C5B"/>
          </w:tcPr>
          <w:p>
            <w:pPr>
              <w:spacing w:after="0"/>
              <w:rPr>
                <w:sz w:val="12"/>
                <w:szCs w:val="12"/>
                <w:color w:val="auto"/>
              </w:rPr>
            </w:pPr>
          </w:p>
        </w:tc>
        <w:tc>
          <w:tcPr>
            <w:tcW w:w="820" w:type="dxa"/>
            <w:vAlign w:val="bottom"/>
            <w:vMerge w:val="continue"/>
            <w:shd w:val="clear" w:color="auto" w:fill="023C5B"/>
          </w:tcPr>
          <w:p>
            <w:pPr>
              <w:spacing w:after="0"/>
              <w:rPr>
                <w:sz w:val="12"/>
                <w:szCs w:val="12"/>
                <w:color w:val="auto"/>
              </w:rPr>
            </w:pPr>
          </w:p>
        </w:tc>
        <w:tc>
          <w:tcPr>
            <w:tcW w:w="200" w:type="dxa"/>
            <w:vAlign w:val="bottom"/>
            <w:shd w:val="clear" w:color="auto" w:fill="023C5B"/>
          </w:tcPr>
          <w:p>
            <w:pPr>
              <w:spacing w:after="0"/>
              <w:rPr>
                <w:sz w:val="12"/>
                <w:szCs w:val="12"/>
                <w:color w:val="auto"/>
              </w:rPr>
            </w:pPr>
          </w:p>
        </w:tc>
        <w:tc>
          <w:tcPr>
            <w:tcW w:w="940" w:type="dxa"/>
            <w:vAlign w:val="bottom"/>
            <w:shd w:val="clear" w:color="auto" w:fill="023C5B"/>
          </w:tcPr>
          <w:p>
            <w:pPr>
              <w:jc w:val="center"/>
              <w:spacing w:after="0" w:line="147" w:lineRule="exact"/>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0"/>
        </w:trPr>
        <w:tc>
          <w:tcPr>
            <w:tcW w:w="12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100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0" w:type="dxa"/>
            <w:vAlign w:val="bottom"/>
            <w:tcBorders>
              <w:right w:val="single" w:sz="8" w:color="023C5B"/>
            </w:tcBorders>
            <w:shd w:val="clear" w:color="auto" w:fill="023C5B"/>
          </w:tcPr>
          <w:p>
            <w:pPr>
              <w:spacing w:after="0"/>
              <w:rPr>
                <w:sz w:val="13"/>
                <w:szCs w:val="13"/>
                <w:color w:val="auto"/>
              </w:rPr>
            </w:pPr>
          </w:p>
        </w:tc>
        <w:tc>
          <w:tcPr>
            <w:tcW w:w="10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940" w:type="dxa"/>
            <w:vAlign w:val="bottom"/>
            <w:shd w:val="clear" w:color="auto" w:fill="023C5B"/>
          </w:tcPr>
          <w:p>
            <w:pPr>
              <w:spacing w:after="0"/>
              <w:rPr>
                <w:sz w:val="13"/>
                <w:szCs w:val="13"/>
                <w:color w:val="auto"/>
              </w:rPr>
            </w:pPr>
          </w:p>
        </w:tc>
        <w:tc>
          <w:tcPr>
            <w:tcW w:w="200" w:type="dxa"/>
            <w:vAlign w:val="bottom"/>
            <w:shd w:val="clear" w:color="auto" w:fill="023C5B"/>
          </w:tcPr>
          <w:p>
            <w:pPr>
              <w:spacing w:after="0"/>
              <w:rPr>
                <w:sz w:val="13"/>
                <w:szCs w:val="13"/>
                <w:color w:val="auto"/>
              </w:rPr>
            </w:pP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Incentive</w:t>
            </w:r>
          </w:p>
        </w:tc>
        <w:tc>
          <w:tcPr>
            <w:tcW w:w="20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Plan</w:t>
            </w:r>
          </w:p>
        </w:tc>
        <w:tc>
          <w:tcPr>
            <w:tcW w:w="0" w:type="dxa"/>
            <w:vAlign w:val="bottom"/>
          </w:tcPr>
          <w:p>
            <w:pPr>
              <w:spacing w:after="0"/>
              <w:rPr>
                <w:sz w:val="1"/>
                <w:szCs w:val="1"/>
                <w:color w:val="auto"/>
              </w:rPr>
            </w:pPr>
          </w:p>
        </w:tc>
      </w:tr>
      <w:tr>
        <w:trPr>
          <w:trHeight w:val="160"/>
        </w:trPr>
        <w:tc>
          <w:tcPr>
            <w:tcW w:w="12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100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0" w:type="dxa"/>
            <w:vAlign w:val="bottom"/>
            <w:tcBorders>
              <w:right w:val="single" w:sz="8" w:color="023C5B"/>
            </w:tcBorders>
            <w:shd w:val="clear" w:color="auto" w:fill="023C5B"/>
          </w:tcPr>
          <w:p>
            <w:pPr>
              <w:spacing w:after="0"/>
              <w:rPr>
                <w:sz w:val="13"/>
                <w:szCs w:val="13"/>
                <w:color w:val="auto"/>
              </w:rPr>
            </w:pPr>
          </w:p>
        </w:tc>
        <w:tc>
          <w:tcPr>
            <w:tcW w:w="10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940" w:type="dxa"/>
            <w:vAlign w:val="bottom"/>
            <w:shd w:val="clear" w:color="auto" w:fill="023C5B"/>
          </w:tcPr>
          <w:p>
            <w:pPr>
              <w:spacing w:after="0"/>
              <w:rPr>
                <w:sz w:val="13"/>
                <w:szCs w:val="13"/>
                <w:color w:val="auto"/>
              </w:rPr>
            </w:pPr>
          </w:p>
        </w:tc>
        <w:tc>
          <w:tcPr>
            <w:tcW w:w="200" w:type="dxa"/>
            <w:vAlign w:val="bottom"/>
            <w:shd w:val="clear" w:color="auto" w:fill="023C5B"/>
          </w:tcPr>
          <w:p>
            <w:pPr>
              <w:spacing w:after="0"/>
              <w:rPr>
                <w:sz w:val="13"/>
                <w:szCs w:val="13"/>
                <w:color w:val="auto"/>
              </w:rPr>
            </w:pP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Plan</w:t>
            </w:r>
          </w:p>
        </w:tc>
        <w:tc>
          <w:tcPr>
            <w:tcW w:w="20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0"/>
        </w:trPr>
        <w:tc>
          <w:tcPr>
            <w:tcW w:w="12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100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0" w:type="dxa"/>
            <w:vAlign w:val="bottom"/>
            <w:tcBorders>
              <w:right w:val="single" w:sz="8" w:color="023C5B"/>
            </w:tcBorders>
            <w:shd w:val="clear" w:color="auto" w:fill="023C5B"/>
          </w:tcPr>
          <w:p>
            <w:pPr>
              <w:spacing w:after="0"/>
              <w:rPr>
                <w:sz w:val="13"/>
                <w:szCs w:val="13"/>
                <w:color w:val="auto"/>
              </w:rPr>
            </w:pPr>
          </w:p>
        </w:tc>
        <w:tc>
          <w:tcPr>
            <w:tcW w:w="10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940" w:type="dxa"/>
            <w:vAlign w:val="bottom"/>
            <w:shd w:val="clear" w:color="auto" w:fill="023C5B"/>
          </w:tcPr>
          <w:p>
            <w:pPr>
              <w:spacing w:after="0"/>
              <w:rPr>
                <w:sz w:val="13"/>
                <w:szCs w:val="13"/>
                <w:color w:val="auto"/>
              </w:rPr>
            </w:pPr>
          </w:p>
        </w:tc>
        <w:tc>
          <w:tcPr>
            <w:tcW w:w="200" w:type="dxa"/>
            <w:vAlign w:val="bottom"/>
            <w:shd w:val="clear" w:color="auto" w:fill="023C5B"/>
          </w:tcPr>
          <w:p>
            <w:pPr>
              <w:spacing w:after="0"/>
              <w:rPr>
                <w:sz w:val="13"/>
                <w:szCs w:val="13"/>
                <w:color w:val="auto"/>
              </w:rPr>
            </w:pP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Awards:</w:t>
            </w:r>
          </w:p>
        </w:tc>
        <w:tc>
          <w:tcPr>
            <w:tcW w:w="20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160"/>
        </w:trPr>
        <w:tc>
          <w:tcPr>
            <w:tcW w:w="12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100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0" w:type="dxa"/>
            <w:vAlign w:val="bottom"/>
            <w:tcBorders>
              <w:right w:val="single" w:sz="8" w:color="023C5B"/>
            </w:tcBorders>
            <w:shd w:val="clear" w:color="auto" w:fill="023C5B"/>
          </w:tcPr>
          <w:p>
            <w:pPr>
              <w:spacing w:after="0"/>
              <w:rPr>
                <w:sz w:val="13"/>
                <w:szCs w:val="13"/>
                <w:color w:val="auto"/>
              </w:rPr>
            </w:pPr>
          </w:p>
        </w:tc>
        <w:tc>
          <w:tcPr>
            <w:tcW w:w="10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940" w:type="dxa"/>
            <w:vAlign w:val="bottom"/>
            <w:shd w:val="clear" w:color="auto" w:fill="023C5B"/>
          </w:tcPr>
          <w:p>
            <w:pPr>
              <w:spacing w:after="0"/>
              <w:rPr>
                <w:sz w:val="13"/>
                <w:szCs w:val="13"/>
                <w:color w:val="auto"/>
              </w:rPr>
            </w:pPr>
          </w:p>
        </w:tc>
        <w:tc>
          <w:tcPr>
            <w:tcW w:w="200" w:type="dxa"/>
            <w:vAlign w:val="bottom"/>
            <w:shd w:val="clear" w:color="auto" w:fill="023C5B"/>
          </w:tcPr>
          <w:p>
            <w:pPr>
              <w:spacing w:after="0"/>
              <w:rPr>
                <w:sz w:val="13"/>
                <w:szCs w:val="13"/>
                <w:color w:val="auto"/>
              </w:rPr>
            </w:pP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Number of</w:t>
            </w:r>
          </w:p>
        </w:tc>
        <w:tc>
          <w:tcPr>
            <w:tcW w:w="20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Payout</w:t>
            </w:r>
          </w:p>
        </w:tc>
        <w:tc>
          <w:tcPr>
            <w:tcW w:w="0" w:type="dxa"/>
            <w:vAlign w:val="bottom"/>
          </w:tcPr>
          <w:p>
            <w:pPr>
              <w:spacing w:after="0"/>
              <w:rPr>
                <w:sz w:val="1"/>
                <w:szCs w:val="1"/>
                <w:color w:val="auto"/>
              </w:rPr>
            </w:pPr>
          </w:p>
        </w:tc>
      </w:tr>
      <w:tr>
        <w:trPr>
          <w:trHeight w:val="160"/>
        </w:trPr>
        <w:tc>
          <w:tcPr>
            <w:tcW w:w="12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100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0" w:type="dxa"/>
            <w:vAlign w:val="bottom"/>
            <w:tcBorders>
              <w:right w:val="single" w:sz="8" w:color="023C5B"/>
            </w:tcBorders>
            <w:shd w:val="clear" w:color="auto" w:fill="023C5B"/>
          </w:tcPr>
          <w:p>
            <w:pPr>
              <w:spacing w:after="0"/>
              <w:rPr>
                <w:sz w:val="13"/>
                <w:szCs w:val="13"/>
                <w:color w:val="auto"/>
              </w:rPr>
            </w:pPr>
          </w:p>
        </w:tc>
        <w:tc>
          <w:tcPr>
            <w:tcW w:w="10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940" w:type="dxa"/>
            <w:vAlign w:val="bottom"/>
            <w:shd w:val="clear" w:color="auto" w:fill="023C5B"/>
          </w:tcPr>
          <w:p>
            <w:pPr>
              <w:spacing w:after="0"/>
              <w:rPr>
                <w:sz w:val="13"/>
                <w:szCs w:val="13"/>
                <w:color w:val="auto"/>
              </w:rPr>
            </w:pPr>
          </w:p>
        </w:tc>
        <w:tc>
          <w:tcPr>
            <w:tcW w:w="200" w:type="dxa"/>
            <w:vAlign w:val="bottom"/>
            <w:shd w:val="clear" w:color="auto" w:fill="023C5B"/>
          </w:tcPr>
          <w:p>
            <w:pPr>
              <w:spacing w:after="0"/>
              <w:rPr>
                <w:sz w:val="13"/>
                <w:szCs w:val="13"/>
                <w:color w:val="auto"/>
              </w:rPr>
            </w:pP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Unearned</w:t>
            </w:r>
          </w:p>
        </w:tc>
        <w:tc>
          <w:tcPr>
            <w:tcW w:w="20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160"/>
        </w:trPr>
        <w:tc>
          <w:tcPr>
            <w:tcW w:w="12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100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0" w:type="dxa"/>
            <w:vAlign w:val="bottom"/>
            <w:tcBorders>
              <w:right w:val="single" w:sz="8" w:color="023C5B"/>
            </w:tcBorders>
            <w:shd w:val="clear" w:color="auto" w:fill="023C5B"/>
          </w:tcPr>
          <w:p>
            <w:pPr>
              <w:spacing w:after="0"/>
              <w:rPr>
                <w:sz w:val="13"/>
                <w:szCs w:val="13"/>
                <w:color w:val="auto"/>
              </w:rPr>
            </w:pPr>
          </w:p>
        </w:tc>
        <w:tc>
          <w:tcPr>
            <w:tcW w:w="10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Market</w:t>
            </w:r>
          </w:p>
        </w:tc>
        <w:tc>
          <w:tcPr>
            <w:tcW w:w="200" w:type="dxa"/>
            <w:vAlign w:val="bottom"/>
            <w:shd w:val="clear" w:color="auto" w:fill="023C5B"/>
          </w:tcPr>
          <w:p>
            <w:pPr>
              <w:spacing w:after="0"/>
              <w:rPr>
                <w:sz w:val="13"/>
                <w:szCs w:val="13"/>
                <w:color w:val="auto"/>
              </w:rPr>
            </w:pP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Shares,</w:t>
            </w:r>
          </w:p>
        </w:tc>
        <w:tc>
          <w:tcPr>
            <w:tcW w:w="20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60"/>
        </w:trPr>
        <w:tc>
          <w:tcPr>
            <w:tcW w:w="12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1180" w:type="dxa"/>
            <w:vAlign w:val="bottom"/>
            <w:gridSpan w:val="2"/>
            <w:shd w:val="clear" w:color="auto" w:fill="023C5B"/>
          </w:tcPr>
          <w:p>
            <w:pPr>
              <w:jc w:val="center"/>
              <w:ind w:right="109"/>
              <w:spacing w:after="0"/>
              <w:rPr>
                <w:sz w:val="20"/>
                <w:szCs w:val="20"/>
                <w:color w:val="auto"/>
              </w:rPr>
            </w:pPr>
            <w:r>
              <w:rPr>
                <w:rFonts w:ascii="Arial" w:cs="Arial" w:eastAsia="Arial" w:hAnsi="Arial"/>
                <w:sz w:val="14"/>
                <w:szCs w:val="14"/>
                <w:b w:val="1"/>
                <w:bCs w:val="1"/>
                <w:color w:val="FFFFFF"/>
              </w:rPr>
              <w:t>Number of</w:t>
            </w:r>
          </w:p>
        </w:tc>
        <w:tc>
          <w:tcPr>
            <w:tcW w:w="80" w:type="dxa"/>
            <w:vAlign w:val="bottom"/>
            <w:tcBorders>
              <w:right w:val="single" w:sz="8" w:color="023C5B"/>
            </w:tcBorders>
            <w:shd w:val="clear" w:color="auto" w:fill="023C5B"/>
          </w:tcPr>
          <w:p>
            <w:pPr>
              <w:spacing w:after="0"/>
              <w:rPr>
                <w:sz w:val="13"/>
                <w:szCs w:val="13"/>
                <w:color w:val="auto"/>
              </w:rPr>
            </w:pPr>
          </w:p>
        </w:tc>
        <w:tc>
          <w:tcPr>
            <w:tcW w:w="1040" w:type="dxa"/>
            <w:vAlign w:val="bottom"/>
            <w:shd w:val="clear" w:color="auto" w:fill="023C5B"/>
          </w:tcPr>
          <w:p>
            <w:pPr>
              <w:jc w:val="center"/>
              <w:ind w:right="29"/>
              <w:spacing w:after="0"/>
              <w:rPr>
                <w:sz w:val="20"/>
                <w:szCs w:val="20"/>
                <w:color w:val="auto"/>
              </w:rPr>
            </w:pPr>
            <w:r>
              <w:rPr>
                <w:rFonts w:ascii="Arial" w:cs="Arial" w:eastAsia="Arial" w:hAnsi="Arial"/>
                <w:sz w:val="14"/>
                <w:szCs w:val="14"/>
                <w:b w:val="1"/>
                <w:bCs w:val="1"/>
                <w:color w:val="FFFFFF"/>
                <w:w w:val="99"/>
              </w:rPr>
              <w:t>Number of</w:t>
            </w:r>
          </w:p>
        </w:tc>
        <w:tc>
          <w:tcPr>
            <w:tcW w:w="180" w:type="dxa"/>
            <w:vAlign w:val="bottom"/>
            <w:shd w:val="clear" w:color="auto" w:fill="023C5B"/>
          </w:tcPr>
          <w:p>
            <w:pPr>
              <w:spacing w:after="0"/>
              <w:rPr>
                <w:sz w:val="13"/>
                <w:szCs w:val="13"/>
                <w:color w:val="auto"/>
              </w:rPr>
            </w:pPr>
          </w:p>
        </w:tc>
        <w:tc>
          <w:tcPr>
            <w:tcW w:w="7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Number of</w:t>
            </w:r>
          </w:p>
        </w:tc>
        <w:tc>
          <w:tcPr>
            <w:tcW w:w="18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Value of</w:t>
            </w:r>
          </w:p>
        </w:tc>
        <w:tc>
          <w:tcPr>
            <w:tcW w:w="200" w:type="dxa"/>
            <w:vAlign w:val="bottom"/>
            <w:shd w:val="clear" w:color="auto" w:fill="023C5B"/>
          </w:tcPr>
          <w:p>
            <w:pPr>
              <w:spacing w:after="0"/>
              <w:rPr>
                <w:sz w:val="13"/>
                <w:szCs w:val="13"/>
                <w:color w:val="auto"/>
              </w:rPr>
            </w:pP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Units, or</w:t>
            </w:r>
          </w:p>
        </w:tc>
        <w:tc>
          <w:tcPr>
            <w:tcW w:w="20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60"/>
        </w:trPr>
        <w:tc>
          <w:tcPr>
            <w:tcW w:w="12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1180" w:type="dxa"/>
            <w:vAlign w:val="bottom"/>
            <w:gridSpan w:val="2"/>
            <w:shd w:val="clear" w:color="auto" w:fill="023C5B"/>
          </w:tcPr>
          <w:p>
            <w:pPr>
              <w:jc w:val="center"/>
              <w:ind w:right="109"/>
              <w:spacing w:after="0"/>
              <w:rPr>
                <w:sz w:val="20"/>
                <w:szCs w:val="20"/>
                <w:color w:val="auto"/>
              </w:rPr>
            </w:pPr>
            <w:r>
              <w:rPr>
                <w:rFonts w:ascii="Arial" w:cs="Arial" w:eastAsia="Arial" w:hAnsi="Arial"/>
                <w:sz w:val="14"/>
                <w:szCs w:val="14"/>
                <w:b w:val="1"/>
                <w:bCs w:val="1"/>
                <w:color w:val="FFFFFF"/>
              </w:rPr>
              <w:t>Securities</w:t>
            </w:r>
          </w:p>
        </w:tc>
        <w:tc>
          <w:tcPr>
            <w:tcW w:w="80" w:type="dxa"/>
            <w:vAlign w:val="bottom"/>
            <w:tcBorders>
              <w:right w:val="single" w:sz="8" w:color="023C5B"/>
            </w:tcBorders>
            <w:shd w:val="clear" w:color="auto" w:fill="023C5B"/>
          </w:tcPr>
          <w:p>
            <w:pPr>
              <w:spacing w:after="0"/>
              <w:rPr>
                <w:sz w:val="13"/>
                <w:szCs w:val="13"/>
                <w:color w:val="auto"/>
              </w:rPr>
            </w:pPr>
          </w:p>
        </w:tc>
        <w:tc>
          <w:tcPr>
            <w:tcW w:w="1040" w:type="dxa"/>
            <w:vAlign w:val="bottom"/>
            <w:shd w:val="clear" w:color="auto" w:fill="023C5B"/>
          </w:tcPr>
          <w:p>
            <w:pPr>
              <w:jc w:val="center"/>
              <w:ind w:right="9"/>
              <w:spacing w:after="0"/>
              <w:rPr>
                <w:sz w:val="20"/>
                <w:szCs w:val="20"/>
                <w:color w:val="auto"/>
              </w:rPr>
            </w:pPr>
            <w:r>
              <w:rPr>
                <w:rFonts w:ascii="Arial" w:cs="Arial" w:eastAsia="Arial" w:hAnsi="Arial"/>
                <w:sz w:val="14"/>
                <w:szCs w:val="14"/>
                <w:b w:val="1"/>
                <w:bCs w:val="1"/>
                <w:color w:val="FFFFFF"/>
              </w:rPr>
              <w:t>Securities</w:t>
            </w:r>
          </w:p>
        </w:tc>
        <w:tc>
          <w:tcPr>
            <w:tcW w:w="180" w:type="dxa"/>
            <w:vAlign w:val="bottom"/>
            <w:shd w:val="clear" w:color="auto" w:fill="023C5B"/>
          </w:tcPr>
          <w:p>
            <w:pPr>
              <w:spacing w:after="0"/>
              <w:rPr>
                <w:sz w:val="13"/>
                <w:szCs w:val="13"/>
                <w:color w:val="auto"/>
              </w:rPr>
            </w:pPr>
          </w:p>
        </w:tc>
        <w:tc>
          <w:tcPr>
            <w:tcW w:w="7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Shares or</w:t>
            </w:r>
          </w:p>
        </w:tc>
        <w:tc>
          <w:tcPr>
            <w:tcW w:w="18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w w:val="99"/>
              </w:rPr>
              <w:t>Shares or</w:t>
            </w:r>
          </w:p>
        </w:tc>
        <w:tc>
          <w:tcPr>
            <w:tcW w:w="200" w:type="dxa"/>
            <w:vAlign w:val="bottom"/>
            <w:shd w:val="clear" w:color="auto" w:fill="023C5B"/>
          </w:tcPr>
          <w:p>
            <w:pPr>
              <w:spacing w:after="0"/>
              <w:rPr>
                <w:sz w:val="13"/>
                <w:szCs w:val="13"/>
                <w:color w:val="auto"/>
              </w:rPr>
            </w:pP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Other</w:t>
            </w:r>
          </w:p>
        </w:tc>
        <w:tc>
          <w:tcPr>
            <w:tcW w:w="20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Units, or</w:t>
            </w:r>
          </w:p>
        </w:tc>
        <w:tc>
          <w:tcPr>
            <w:tcW w:w="0" w:type="dxa"/>
            <w:vAlign w:val="bottom"/>
          </w:tcPr>
          <w:p>
            <w:pPr>
              <w:spacing w:after="0"/>
              <w:rPr>
                <w:sz w:val="1"/>
                <w:szCs w:val="1"/>
                <w:color w:val="auto"/>
              </w:rPr>
            </w:pPr>
          </w:p>
        </w:tc>
      </w:tr>
      <w:tr>
        <w:trPr>
          <w:trHeight w:val="160"/>
        </w:trPr>
        <w:tc>
          <w:tcPr>
            <w:tcW w:w="12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1180" w:type="dxa"/>
            <w:vAlign w:val="bottom"/>
            <w:gridSpan w:val="2"/>
            <w:shd w:val="clear" w:color="auto" w:fill="023C5B"/>
          </w:tcPr>
          <w:p>
            <w:pPr>
              <w:jc w:val="center"/>
              <w:ind w:right="129"/>
              <w:spacing w:after="0"/>
              <w:rPr>
                <w:sz w:val="20"/>
                <w:szCs w:val="20"/>
                <w:color w:val="auto"/>
              </w:rPr>
            </w:pPr>
            <w:r>
              <w:rPr>
                <w:rFonts w:ascii="Arial" w:cs="Arial" w:eastAsia="Arial" w:hAnsi="Arial"/>
                <w:sz w:val="14"/>
                <w:szCs w:val="14"/>
                <w:b w:val="1"/>
                <w:bCs w:val="1"/>
                <w:color w:val="FFFFFF"/>
              </w:rPr>
              <w:t>Underlying</w:t>
            </w:r>
          </w:p>
        </w:tc>
        <w:tc>
          <w:tcPr>
            <w:tcW w:w="80" w:type="dxa"/>
            <w:vAlign w:val="bottom"/>
            <w:tcBorders>
              <w:right w:val="single" w:sz="8" w:color="023C5B"/>
            </w:tcBorders>
            <w:shd w:val="clear" w:color="auto" w:fill="023C5B"/>
          </w:tcPr>
          <w:p>
            <w:pPr>
              <w:spacing w:after="0"/>
              <w:rPr>
                <w:sz w:val="13"/>
                <w:szCs w:val="13"/>
                <w:color w:val="auto"/>
              </w:rPr>
            </w:pPr>
          </w:p>
        </w:tc>
        <w:tc>
          <w:tcPr>
            <w:tcW w:w="1040" w:type="dxa"/>
            <w:vAlign w:val="bottom"/>
            <w:shd w:val="clear" w:color="auto" w:fill="023C5B"/>
          </w:tcPr>
          <w:p>
            <w:pPr>
              <w:jc w:val="center"/>
              <w:ind w:right="29"/>
              <w:spacing w:after="0"/>
              <w:rPr>
                <w:sz w:val="20"/>
                <w:szCs w:val="20"/>
                <w:color w:val="auto"/>
              </w:rPr>
            </w:pPr>
            <w:r>
              <w:rPr>
                <w:rFonts w:ascii="Arial" w:cs="Arial" w:eastAsia="Arial" w:hAnsi="Arial"/>
                <w:sz w:val="14"/>
                <w:szCs w:val="14"/>
                <w:b w:val="1"/>
                <w:bCs w:val="1"/>
                <w:color w:val="FFFFFF"/>
              </w:rPr>
              <w:t>Underlying</w:t>
            </w:r>
          </w:p>
        </w:tc>
        <w:tc>
          <w:tcPr>
            <w:tcW w:w="180" w:type="dxa"/>
            <w:vAlign w:val="bottom"/>
            <w:shd w:val="clear" w:color="auto" w:fill="023C5B"/>
          </w:tcPr>
          <w:p>
            <w:pPr>
              <w:spacing w:after="0"/>
              <w:rPr>
                <w:sz w:val="13"/>
                <w:szCs w:val="13"/>
                <w:color w:val="auto"/>
              </w:rPr>
            </w:pPr>
          </w:p>
        </w:tc>
        <w:tc>
          <w:tcPr>
            <w:tcW w:w="7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8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w w:val="99"/>
              </w:rPr>
              <w:t>Units of</w:t>
            </w:r>
          </w:p>
        </w:tc>
        <w:tc>
          <w:tcPr>
            <w:tcW w:w="18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w w:val="99"/>
              </w:rPr>
              <w:t>Units of</w:t>
            </w:r>
          </w:p>
        </w:tc>
        <w:tc>
          <w:tcPr>
            <w:tcW w:w="200" w:type="dxa"/>
            <w:vAlign w:val="bottom"/>
            <w:shd w:val="clear" w:color="auto" w:fill="023C5B"/>
          </w:tcPr>
          <w:p>
            <w:pPr>
              <w:spacing w:after="0"/>
              <w:rPr>
                <w:sz w:val="13"/>
                <w:szCs w:val="13"/>
                <w:color w:val="auto"/>
              </w:rPr>
            </w:pP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Rights</w:t>
            </w:r>
          </w:p>
        </w:tc>
        <w:tc>
          <w:tcPr>
            <w:tcW w:w="20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Other</w:t>
            </w:r>
          </w:p>
        </w:tc>
        <w:tc>
          <w:tcPr>
            <w:tcW w:w="0" w:type="dxa"/>
            <w:vAlign w:val="bottom"/>
          </w:tcPr>
          <w:p>
            <w:pPr>
              <w:spacing w:after="0"/>
              <w:rPr>
                <w:sz w:val="1"/>
                <w:szCs w:val="1"/>
                <w:color w:val="auto"/>
              </w:rPr>
            </w:pPr>
          </w:p>
        </w:tc>
      </w:tr>
      <w:tr>
        <w:trPr>
          <w:trHeight w:val="160"/>
        </w:trPr>
        <w:tc>
          <w:tcPr>
            <w:tcW w:w="124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760" w:type="dxa"/>
            <w:vAlign w:val="bottom"/>
            <w:shd w:val="clear" w:color="auto" w:fill="023C5B"/>
          </w:tcPr>
          <w:p>
            <w:pPr>
              <w:spacing w:after="0"/>
              <w:rPr>
                <w:sz w:val="13"/>
                <w:szCs w:val="13"/>
                <w:color w:val="auto"/>
              </w:rPr>
            </w:pPr>
          </w:p>
        </w:tc>
        <w:tc>
          <w:tcPr>
            <w:tcW w:w="180" w:type="dxa"/>
            <w:vAlign w:val="bottom"/>
            <w:shd w:val="clear" w:color="auto" w:fill="023C5B"/>
          </w:tcPr>
          <w:p>
            <w:pPr>
              <w:spacing w:after="0"/>
              <w:rPr>
                <w:sz w:val="13"/>
                <w:szCs w:val="13"/>
                <w:color w:val="auto"/>
              </w:rPr>
            </w:pPr>
          </w:p>
        </w:tc>
        <w:tc>
          <w:tcPr>
            <w:tcW w:w="1180" w:type="dxa"/>
            <w:vAlign w:val="bottom"/>
            <w:gridSpan w:val="2"/>
            <w:shd w:val="clear" w:color="auto" w:fill="023C5B"/>
          </w:tcPr>
          <w:p>
            <w:pPr>
              <w:jc w:val="center"/>
              <w:ind w:right="149"/>
              <w:spacing w:after="0"/>
              <w:rPr>
                <w:sz w:val="20"/>
                <w:szCs w:val="20"/>
                <w:color w:val="auto"/>
              </w:rPr>
            </w:pPr>
            <w:r>
              <w:rPr>
                <w:rFonts w:ascii="Arial" w:cs="Arial" w:eastAsia="Arial" w:hAnsi="Arial"/>
                <w:sz w:val="14"/>
                <w:szCs w:val="14"/>
                <w:b w:val="1"/>
                <w:bCs w:val="1"/>
                <w:color w:val="FFFFFF"/>
              </w:rPr>
              <w:t> Unexercised</w:t>
            </w:r>
          </w:p>
        </w:tc>
        <w:tc>
          <w:tcPr>
            <w:tcW w:w="80" w:type="dxa"/>
            <w:vAlign w:val="bottom"/>
            <w:tcBorders>
              <w:right w:val="single" w:sz="8" w:color="023C5B"/>
            </w:tcBorders>
            <w:shd w:val="clear" w:color="auto" w:fill="023C5B"/>
          </w:tcPr>
          <w:p>
            <w:pPr>
              <w:spacing w:after="0"/>
              <w:rPr>
                <w:sz w:val="13"/>
                <w:szCs w:val="13"/>
                <w:color w:val="auto"/>
              </w:rPr>
            </w:pPr>
          </w:p>
        </w:tc>
        <w:tc>
          <w:tcPr>
            <w:tcW w:w="1040" w:type="dxa"/>
            <w:vAlign w:val="bottom"/>
            <w:shd w:val="clear" w:color="auto" w:fill="023C5B"/>
          </w:tcPr>
          <w:p>
            <w:pPr>
              <w:jc w:val="center"/>
              <w:ind w:right="29"/>
              <w:spacing w:after="0"/>
              <w:rPr>
                <w:sz w:val="20"/>
                <w:szCs w:val="20"/>
                <w:color w:val="auto"/>
              </w:rPr>
            </w:pPr>
            <w:r>
              <w:rPr>
                <w:rFonts w:ascii="Arial" w:cs="Arial" w:eastAsia="Arial" w:hAnsi="Arial"/>
                <w:sz w:val="14"/>
                <w:szCs w:val="14"/>
                <w:b w:val="1"/>
                <w:bCs w:val="1"/>
                <w:color w:val="FFFFFF"/>
              </w:rPr>
              <w:t>Unexercised</w:t>
            </w:r>
          </w:p>
        </w:tc>
        <w:tc>
          <w:tcPr>
            <w:tcW w:w="180" w:type="dxa"/>
            <w:vAlign w:val="bottom"/>
            <w:shd w:val="clear" w:color="auto" w:fill="023C5B"/>
          </w:tcPr>
          <w:p>
            <w:pPr>
              <w:spacing w:after="0"/>
              <w:rPr>
                <w:sz w:val="13"/>
                <w:szCs w:val="13"/>
                <w:color w:val="auto"/>
              </w:rPr>
            </w:pPr>
          </w:p>
        </w:tc>
        <w:tc>
          <w:tcPr>
            <w:tcW w:w="920" w:type="dxa"/>
            <w:vAlign w:val="bottom"/>
            <w:gridSpan w:val="2"/>
            <w:shd w:val="clear" w:color="auto" w:fill="023C5B"/>
          </w:tcPr>
          <w:p>
            <w:pPr>
              <w:jc w:val="center"/>
              <w:ind w:right="180"/>
              <w:spacing w:after="0"/>
              <w:rPr>
                <w:sz w:val="20"/>
                <w:szCs w:val="20"/>
                <w:color w:val="auto"/>
              </w:rPr>
            </w:pPr>
            <w:r>
              <w:rPr>
                <w:rFonts w:ascii="Arial" w:cs="Arial" w:eastAsia="Arial" w:hAnsi="Arial"/>
                <w:sz w:val="14"/>
                <w:szCs w:val="14"/>
                <w:b w:val="1"/>
                <w:bCs w:val="1"/>
                <w:color w:val="FFFFFF"/>
              </w:rPr>
              <w:t>Option</w:t>
            </w:r>
          </w:p>
        </w:tc>
        <w:tc>
          <w:tcPr>
            <w:tcW w:w="86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w w:val="97"/>
              </w:rPr>
              <w:t>Option</w:t>
            </w:r>
          </w:p>
        </w:tc>
        <w:tc>
          <w:tcPr>
            <w:tcW w:w="180" w:type="dxa"/>
            <w:vAlign w:val="bottom"/>
            <w:shd w:val="clear" w:color="auto" w:fill="023C5B"/>
          </w:tcPr>
          <w:p>
            <w:pPr>
              <w:spacing w:after="0"/>
              <w:rPr>
                <w:sz w:val="13"/>
                <w:szCs w:val="13"/>
                <w:color w:val="auto"/>
              </w:rPr>
            </w:pPr>
          </w:p>
        </w:tc>
        <w:tc>
          <w:tcPr>
            <w:tcW w:w="8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Stock that</w:t>
            </w:r>
          </w:p>
        </w:tc>
        <w:tc>
          <w:tcPr>
            <w:tcW w:w="18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Stock that</w:t>
            </w:r>
          </w:p>
        </w:tc>
        <w:tc>
          <w:tcPr>
            <w:tcW w:w="200" w:type="dxa"/>
            <w:vAlign w:val="bottom"/>
            <w:shd w:val="clear" w:color="auto" w:fill="023C5B"/>
          </w:tcPr>
          <w:p>
            <w:pPr>
              <w:spacing w:after="0"/>
              <w:rPr>
                <w:sz w:val="13"/>
                <w:szCs w:val="13"/>
                <w:color w:val="auto"/>
              </w:rPr>
            </w:pP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that Have</w:t>
            </w:r>
          </w:p>
        </w:tc>
        <w:tc>
          <w:tcPr>
            <w:tcW w:w="20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Rights that</w:t>
            </w:r>
          </w:p>
        </w:tc>
        <w:tc>
          <w:tcPr>
            <w:tcW w:w="0" w:type="dxa"/>
            <w:vAlign w:val="bottom"/>
          </w:tcPr>
          <w:p>
            <w:pPr>
              <w:spacing w:after="0"/>
              <w:rPr>
                <w:sz w:val="1"/>
                <w:szCs w:val="1"/>
                <w:color w:val="auto"/>
              </w:rPr>
            </w:pPr>
          </w:p>
        </w:tc>
      </w:tr>
      <w:tr>
        <w:trPr>
          <w:trHeight w:val="157"/>
        </w:trPr>
        <w:tc>
          <w:tcPr>
            <w:tcW w:w="1240" w:type="dxa"/>
            <w:vAlign w:val="bottom"/>
            <w:vMerge w:val="restart"/>
            <w:shd w:val="clear" w:color="auto" w:fill="023C5B"/>
          </w:tcPr>
          <w:p>
            <w:pPr>
              <w:spacing w:after="0"/>
              <w:rPr>
                <w:sz w:val="20"/>
                <w:szCs w:val="20"/>
                <w:color w:val="auto"/>
              </w:rPr>
            </w:pPr>
            <w:r>
              <w:rPr>
                <w:rFonts w:ascii="Arial" w:cs="Arial" w:eastAsia="Arial" w:hAnsi="Arial"/>
                <w:sz w:val="14"/>
                <w:szCs w:val="14"/>
                <w:b w:val="1"/>
                <w:bCs w:val="1"/>
                <w:color w:val="FFFFFF"/>
              </w:rPr>
              <w:t> Name</w:t>
            </w:r>
          </w:p>
        </w:tc>
        <w:tc>
          <w:tcPr>
            <w:tcW w:w="180" w:type="dxa"/>
            <w:vAlign w:val="bottom"/>
            <w:shd w:val="clear" w:color="auto" w:fill="023C5B"/>
          </w:tcPr>
          <w:p>
            <w:pPr>
              <w:spacing w:after="0"/>
              <w:rPr>
                <w:sz w:val="13"/>
                <w:szCs w:val="13"/>
                <w:color w:val="auto"/>
              </w:rPr>
            </w:pPr>
          </w:p>
        </w:tc>
        <w:tc>
          <w:tcPr>
            <w:tcW w:w="760" w:type="dxa"/>
            <w:vAlign w:val="bottom"/>
            <w:shd w:val="clear" w:color="auto" w:fill="023C5B"/>
          </w:tcPr>
          <w:p>
            <w:pPr>
              <w:ind w:left="160"/>
              <w:spacing w:after="0" w:line="157" w:lineRule="exact"/>
              <w:rPr>
                <w:sz w:val="20"/>
                <w:szCs w:val="20"/>
                <w:color w:val="auto"/>
              </w:rPr>
            </w:pPr>
            <w:r>
              <w:rPr>
                <w:rFonts w:ascii="Arial" w:cs="Arial" w:eastAsia="Arial" w:hAnsi="Arial"/>
                <w:sz w:val="14"/>
                <w:szCs w:val="14"/>
                <w:b w:val="1"/>
                <w:bCs w:val="1"/>
                <w:color w:val="FFFFFF"/>
              </w:rPr>
              <w:t> Grant</w:t>
            </w:r>
          </w:p>
        </w:tc>
        <w:tc>
          <w:tcPr>
            <w:tcW w:w="180" w:type="dxa"/>
            <w:vAlign w:val="bottom"/>
            <w:shd w:val="clear" w:color="auto" w:fill="023C5B"/>
          </w:tcPr>
          <w:p>
            <w:pPr>
              <w:spacing w:after="0"/>
              <w:rPr>
                <w:sz w:val="13"/>
                <w:szCs w:val="13"/>
                <w:color w:val="auto"/>
              </w:rPr>
            </w:pPr>
          </w:p>
        </w:tc>
        <w:tc>
          <w:tcPr>
            <w:tcW w:w="1180" w:type="dxa"/>
            <w:vAlign w:val="bottom"/>
            <w:gridSpan w:val="2"/>
            <w:shd w:val="clear" w:color="auto" w:fill="023C5B"/>
          </w:tcPr>
          <w:p>
            <w:pPr>
              <w:jc w:val="center"/>
              <w:ind w:right="129"/>
              <w:spacing w:after="0" w:line="157" w:lineRule="exact"/>
              <w:rPr>
                <w:sz w:val="20"/>
                <w:szCs w:val="20"/>
                <w:color w:val="auto"/>
              </w:rPr>
            </w:pPr>
            <w:r>
              <w:rPr>
                <w:rFonts w:ascii="Arial" w:cs="Arial" w:eastAsia="Arial" w:hAnsi="Arial"/>
                <w:sz w:val="14"/>
                <w:szCs w:val="14"/>
                <w:b w:val="1"/>
                <w:bCs w:val="1"/>
                <w:color w:val="FFFFFF"/>
              </w:rPr>
              <w:t>Options</w:t>
            </w:r>
          </w:p>
        </w:tc>
        <w:tc>
          <w:tcPr>
            <w:tcW w:w="80" w:type="dxa"/>
            <w:vAlign w:val="bottom"/>
            <w:tcBorders>
              <w:right w:val="single" w:sz="8" w:color="023C5B"/>
            </w:tcBorders>
            <w:shd w:val="clear" w:color="auto" w:fill="023C5B"/>
          </w:tcPr>
          <w:p>
            <w:pPr>
              <w:spacing w:after="0"/>
              <w:rPr>
                <w:sz w:val="13"/>
                <w:szCs w:val="13"/>
                <w:color w:val="auto"/>
              </w:rPr>
            </w:pPr>
          </w:p>
        </w:tc>
        <w:tc>
          <w:tcPr>
            <w:tcW w:w="1040" w:type="dxa"/>
            <w:vAlign w:val="bottom"/>
            <w:shd w:val="clear" w:color="auto" w:fill="023C5B"/>
          </w:tcPr>
          <w:p>
            <w:pPr>
              <w:jc w:val="center"/>
              <w:ind w:right="29"/>
              <w:spacing w:after="0" w:line="157" w:lineRule="exact"/>
              <w:rPr>
                <w:sz w:val="20"/>
                <w:szCs w:val="20"/>
                <w:color w:val="auto"/>
              </w:rPr>
            </w:pPr>
            <w:r>
              <w:rPr>
                <w:rFonts w:ascii="Arial" w:cs="Arial" w:eastAsia="Arial" w:hAnsi="Arial"/>
                <w:sz w:val="14"/>
                <w:szCs w:val="14"/>
                <w:b w:val="1"/>
                <w:bCs w:val="1"/>
                <w:color w:val="FFFFFF"/>
              </w:rPr>
              <w:t>Options</w:t>
            </w:r>
          </w:p>
        </w:tc>
        <w:tc>
          <w:tcPr>
            <w:tcW w:w="180" w:type="dxa"/>
            <w:vAlign w:val="bottom"/>
            <w:shd w:val="clear" w:color="auto" w:fill="023C5B"/>
          </w:tcPr>
          <w:p>
            <w:pPr>
              <w:spacing w:after="0"/>
              <w:rPr>
                <w:sz w:val="13"/>
                <w:szCs w:val="13"/>
                <w:color w:val="auto"/>
              </w:rPr>
            </w:pPr>
          </w:p>
        </w:tc>
        <w:tc>
          <w:tcPr>
            <w:tcW w:w="920" w:type="dxa"/>
            <w:vAlign w:val="bottom"/>
            <w:gridSpan w:val="2"/>
            <w:shd w:val="clear" w:color="auto" w:fill="023C5B"/>
          </w:tcPr>
          <w:p>
            <w:pPr>
              <w:jc w:val="center"/>
              <w:ind w:right="220"/>
              <w:spacing w:after="0" w:line="157" w:lineRule="exact"/>
              <w:rPr>
                <w:sz w:val="20"/>
                <w:szCs w:val="20"/>
                <w:color w:val="auto"/>
              </w:rPr>
            </w:pPr>
            <w:r>
              <w:rPr>
                <w:rFonts w:ascii="Arial" w:cs="Arial" w:eastAsia="Arial" w:hAnsi="Arial"/>
                <w:sz w:val="14"/>
                <w:szCs w:val="14"/>
                <w:b w:val="1"/>
                <w:bCs w:val="1"/>
                <w:color w:val="FFFFFF"/>
              </w:rPr>
              <w:t> Exercise</w:t>
            </w:r>
          </w:p>
        </w:tc>
        <w:tc>
          <w:tcPr>
            <w:tcW w:w="860" w:type="dxa"/>
            <w:vAlign w:val="bottom"/>
            <w:shd w:val="clear" w:color="auto" w:fill="023C5B"/>
          </w:tcPr>
          <w:p>
            <w:pPr>
              <w:jc w:val="center"/>
              <w:spacing w:after="0" w:line="157" w:lineRule="exact"/>
              <w:rPr>
                <w:sz w:val="20"/>
                <w:szCs w:val="20"/>
                <w:color w:val="auto"/>
              </w:rPr>
            </w:pPr>
            <w:r>
              <w:rPr>
                <w:rFonts w:ascii="Arial" w:cs="Arial" w:eastAsia="Arial" w:hAnsi="Arial"/>
                <w:sz w:val="14"/>
                <w:szCs w:val="14"/>
                <w:b w:val="1"/>
                <w:bCs w:val="1"/>
                <w:color w:val="FFFFFF"/>
              </w:rPr>
              <w:t> Expiration</w:t>
            </w:r>
          </w:p>
        </w:tc>
        <w:tc>
          <w:tcPr>
            <w:tcW w:w="180" w:type="dxa"/>
            <w:vAlign w:val="bottom"/>
            <w:shd w:val="clear" w:color="auto" w:fill="023C5B"/>
          </w:tcPr>
          <w:p>
            <w:pPr>
              <w:spacing w:after="0"/>
              <w:rPr>
                <w:sz w:val="13"/>
                <w:szCs w:val="13"/>
                <w:color w:val="auto"/>
              </w:rPr>
            </w:pPr>
          </w:p>
        </w:tc>
        <w:tc>
          <w:tcPr>
            <w:tcW w:w="840" w:type="dxa"/>
            <w:vAlign w:val="bottom"/>
            <w:shd w:val="clear" w:color="auto" w:fill="023C5B"/>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18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line="157" w:lineRule="exact"/>
              <w:rPr>
                <w:sz w:val="20"/>
                <w:szCs w:val="20"/>
                <w:color w:val="auto"/>
              </w:rPr>
            </w:pPr>
            <w:r>
              <w:rPr>
                <w:rFonts w:ascii="Arial" w:cs="Arial" w:eastAsia="Arial" w:hAnsi="Arial"/>
                <w:sz w:val="14"/>
                <w:szCs w:val="14"/>
                <w:b w:val="1"/>
                <w:bCs w:val="1"/>
                <w:color w:val="FFFFFF"/>
                <w:w w:val="98"/>
              </w:rPr>
              <w:t>Have Not</w:t>
            </w:r>
          </w:p>
        </w:tc>
        <w:tc>
          <w:tcPr>
            <w:tcW w:w="200" w:type="dxa"/>
            <w:vAlign w:val="bottom"/>
            <w:shd w:val="clear" w:color="auto" w:fill="023C5B"/>
          </w:tcPr>
          <w:p>
            <w:pPr>
              <w:spacing w:after="0"/>
              <w:rPr>
                <w:sz w:val="13"/>
                <w:szCs w:val="13"/>
                <w:color w:val="auto"/>
              </w:rPr>
            </w:pPr>
          </w:p>
        </w:tc>
        <w:tc>
          <w:tcPr>
            <w:tcW w:w="820" w:type="dxa"/>
            <w:vAlign w:val="bottom"/>
            <w:shd w:val="clear" w:color="auto" w:fill="023C5B"/>
          </w:tcPr>
          <w:p>
            <w:pPr>
              <w:jc w:val="center"/>
              <w:spacing w:after="0" w:line="157" w:lineRule="exact"/>
              <w:rPr>
                <w:sz w:val="20"/>
                <w:szCs w:val="20"/>
                <w:color w:val="auto"/>
              </w:rPr>
            </w:pPr>
            <w:r>
              <w:rPr>
                <w:rFonts w:ascii="Arial" w:cs="Arial" w:eastAsia="Arial" w:hAnsi="Arial"/>
                <w:sz w:val="14"/>
                <w:szCs w:val="14"/>
                <w:b w:val="1"/>
                <w:bCs w:val="1"/>
                <w:color w:val="FFFFFF"/>
              </w:rPr>
              <w:t>Not</w:t>
            </w:r>
          </w:p>
        </w:tc>
        <w:tc>
          <w:tcPr>
            <w:tcW w:w="200" w:type="dxa"/>
            <w:vAlign w:val="bottom"/>
            <w:shd w:val="clear" w:color="auto" w:fill="023C5B"/>
          </w:tcPr>
          <w:p>
            <w:pPr>
              <w:spacing w:after="0"/>
              <w:rPr>
                <w:sz w:val="13"/>
                <w:szCs w:val="13"/>
                <w:color w:val="auto"/>
              </w:rPr>
            </w:pPr>
          </w:p>
        </w:tc>
        <w:tc>
          <w:tcPr>
            <w:tcW w:w="940" w:type="dxa"/>
            <w:vAlign w:val="bottom"/>
            <w:shd w:val="clear" w:color="auto" w:fill="023C5B"/>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200"/>
        </w:trPr>
        <w:tc>
          <w:tcPr>
            <w:tcW w:w="1240" w:type="dxa"/>
            <w:vAlign w:val="bottom"/>
            <w:vMerge w:val="continue"/>
            <w:shd w:val="clear" w:color="auto" w:fill="023C5B"/>
          </w:tcPr>
          <w:p>
            <w:pPr>
              <w:spacing w:after="0"/>
              <w:rPr>
                <w:sz w:val="17"/>
                <w:szCs w:val="17"/>
                <w:color w:val="auto"/>
              </w:rPr>
            </w:pPr>
          </w:p>
        </w:tc>
        <w:tc>
          <w:tcPr>
            <w:tcW w:w="180" w:type="dxa"/>
            <w:vAlign w:val="bottom"/>
            <w:shd w:val="clear" w:color="auto" w:fill="023C5B"/>
          </w:tcPr>
          <w:p>
            <w:pPr>
              <w:spacing w:after="0"/>
              <w:rPr>
                <w:sz w:val="17"/>
                <w:szCs w:val="17"/>
                <w:color w:val="auto"/>
              </w:rPr>
            </w:pPr>
          </w:p>
        </w:tc>
        <w:tc>
          <w:tcPr>
            <w:tcW w:w="760" w:type="dxa"/>
            <w:vAlign w:val="bottom"/>
            <w:shd w:val="clear" w:color="auto" w:fill="023C5B"/>
          </w:tcPr>
          <w:p>
            <w:pPr>
              <w:ind w:left="200"/>
              <w:spacing w:after="0"/>
              <w:rPr>
                <w:sz w:val="20"/>
                <w:szCs w:val="20"/>
                <w:color w:val="auto"/>
              </w:rPr>
            </w:pPr>
            <w:r>
              <w:rPr>
                <w:rFonts w:ascii="Arial" w:cs="Arial" w:eastAsia="Arial" w:hAnsi="Arial"/>
                <w:sz w:val="14"/>
                <w:szCs w:val="14"/>
                <w:b w:val="1"/>
                <w:bCs w:val="1"/>
                <w:color w:val="FFFFFF"/>
              </w:rPr>
              <w:t>Date </w:t>
            </w:r>
          </w:p>
        </w:tc>
        <w:tc>
          <w:tcPr>
            <w:tcW w:w="180" w:type="dxa"/>
            <w:vAlign w:val="bottom"/>
            <w:shd w:val="clear" w:color="auto" w:fill="023C5B"/>
          </w:tcPr>
          <w:p>
            <w:pPr>
              <w:spacing w:after="0"/>
              <w:rPr>
                <w:sz w:val="17"/>
                <w:szCs w:val="17"/>
                <w:color w:val="auto"/>
              </w:rPr>
            </w:pPr>
          </w:p>
        </w:tc>
        <w:tc>
          <w:tcPr>
            <w:tcW w:w="1180" w:type="dxa"/>
            <w:vAlign w:val="bottom"/>
            <w:gridSpan w:val="2"/>
            <w:shd w:val="clear" w:color="auto" w:fill="023C5B"/>
          </w:tcPr>
          <w:p>
            <w:pPr>
              <w:jc w:val="center"/>
              <w:ind w:right="109"/>
              <w:spacing w:after="0"/>
              <w:rPr>
                <w:sz w:val="20"/>
                <w:szCs w:val="20"/>
                <w:color w:val="auto"/>
              </w:rPr>
            </w:pPr>
            <w:r>
              <w:rPr>
                <w:rFonts w:ascii="Arial" w:cs="Arial" w:eastAsia="Arial" w:hAnsi="Arial"/>
                <w:sz w:val="14"/>
                <w:szCs w:val="14"/>
                <w:b w:val="1"/>
                <w:bCs w:val="1"/>
                <w:color w:val="FFFFFF"/>
              </w:rPr>
              <w:t>Exercisable</w:t>
            </w:r>
          </w:p>
        </w:tc>
        <w:tc>
          <w:tcPr>
            <w:tcW w:w="11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 xml:space="preserve"> Unexercisable </w:t>
            </w:r>
          </w:p>
        </w:tc>
        <w:tc>
          <w:tcPr>
            <w:tcW w:w="180" w:type="dxa"/>
            <w:vAlign w:val="bottom"/>
            <w:shd w:val="clear" w:color="auto" w:fill="023C5B"/>
          </w:tcPr>
          <w:p>
            <w:pPr>
              <w:spacing w:after="0"/>
              <w:rPr>
                <w:sz w:val="17"/>
                <w:szCs w:val="17"/>
                <w:color w:val="auto"/>
              </w:rPr>
            </w:pPr>
          </w:p>
        </w:tc>
        <w:tc>
          <w:tcPr>
            <w:tcW w:w="920" w:type="dxa"/>
            <w:vAlign w:val="bottom"/>
            <w:gridSpan w:val="2"/>
            <w:shd w:val="clear" w:color="auto" w:fill="023C5B"/>
          </w:tcPr>
          <w:p>
            <w:pPr>
              <w:jc w:val="center"/>
              <w:ind w:right="200"/>
              <w:spacing w:after="0" w:line="201" w:lineRule="exact"/>
              <w:rPr>
                <w:sz w:val="20"/>
                <w:szCs w:val="20"/>
                <w:color w:val="auto"/>
              </w:rPr>
            </w:pPr>
            <w:r>
              <w:rPr>
                <w:rFonts w:ascii="Arial" w:cs="Arial" w:eastAsia="Arial" w:hAnsi="Arial"/>
                <w:sz w:val="14"/>
                <w:szCs w:val="14"/>
                <w:b w:val="1"/>
                <w:bCs w:val="1"/>
                <w:color w:val="FFFFFF"/>
                <w:w w:val="93"/>
              </w:rPr>
              <w:t>Price</w:t>
            </w:r>
            <w:r>
              <w:rPr>
                <w:rFonts w:ascii="Arial" w:cs="Arial" w:eastAsia="Arial" w:hAnsi="Arial"/>
                <w:sz w:val="21"/>
                <w:szCs w:val="21"/>
                <w:b w:val="1"/>
                <w:bCs w:val="1"/>
                <w:color w:val="FFFFFF"/>
                <w:w w:val="93"/>
                <w:vertAlign w:val="superscript"/>
              </w:rPr>
              <w:t>(2)</w:t>
            </w:r>
          </w:p>
        </w:tc>
        <w:tc>
          <w:tcPr>
            <w:tcW w:w="86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Date</w:t>
            </w:r>
          </w:p>
        </w:tc>
        <w:tc>
          <w:tcPr>
            <w:tcW w:w="180" w:type="dxa"/>
            <w:vAlign w:val="bottom"/>
            <w:shd w:val="clear" w:color="auto" w:fill="023C5B"/>
          </w:tcPr>
          <w:p>
            <w:pPr>
              <w:spacing w:after="0"/>
              <w:rPr>
                <w:sz w:val="17"/>
                <w:szCs w:val="17"/>
                <w:color w:val="auto"/>
              </w:rPr>
            </w:pPr>
          </w:p>
        </w:tc>
        <w:tc>
          <w:tcPr>
            <w:tcW w:w="84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Vested</w:t>
            </w:r>
          </w:p>
        </w:tc>
        <w:tc>
          <w:tcPr>
            <w:tcW w:w="180" w:type="dxa"/>
            <w:vAlign w:val="bottom"/>
            <w:shd w:val="clear" w:color="auto" w:fill="023C5B"/>
          </w:tcPr>
          <w:p>
            <w:pPr>
              <w:spacing w:after="0"/>
              <w:rPr>
                <w:sz w:val="17"/>
                <w:szCs w:val="17"/>
                <w:color w:val="auto"/>
              </w:rPr>
            </w:pPr>
          </w:p>
        </w:tc>
        <w:tc>
          <w:tcPr>
            <w:tcW w:w="940" w:type="dxa"/>
            <w:vAlign w:val="bottom"/>
            <w:shd w:val="clear" w:color="auto" w:fill="023C5B"/>
          </w:tcPr>
          <w:p>
            <w:pPr>
              <w:jc w:val="center"/>
              <w:spacing w:after="0" w:line="201" w:lineRule="exact"/>
              <w:rPr>
                <w:sz w:val="20"/>
                <w:szCs w:val="20"/>
                <w:color w:val="auto"/>
              </w:rPr>
            </w:pPr>
            <w:r>
              <w:rPr>
                <w:rFonts w:ascii="Arial" w:cs="Arial" w:eastAsia="Arial" w:hAnsi="Arial"/>
                <w:sz w:val="14"/>
                <w:szCs w:val="14"/>
                <w:b w:val="1"/>
                <w:bCs w:val="1"/>
                <w:color w:val="FFFFFF"/>
                <w:w w:val="95"/>
              </w:rPr>
              <w:t>Vested</w:t>
            </w:r>
            <w:r>
              <w:rPr>
                <w:rFonts w:ascii="Arial" w:cs="Arial" w:eastAsia="Arial" w:hAnsi="Arial"/>
                <w:sz w:val="21"/>
                <w:szCs w:val="21"/>
                <w:b w:val="1"/>
                <w:bCs w:val="1"/>
                <w:color w:val="FFFFFF"/>
                <w:w w:val="95"/>
                <w:vertAlign w:val="superscript"/>
              </w:rPr>
              <w:t>(3)</w:t>
            </w:r>
          </w:p>
        </w:tc>
        <w:tc>
          <w:tcPr>
            <w:tcW w:w="200" w:type="dxa"/>
            <w:vAlign w:val="bottom"/>
            <w:shd w:val="clear" w:color="auto" w:fill="023C5B"/>
          </w:tcPr>
          <w:p>
            <w:pPr>
              <w:spacing w:after="0"/>
              <w:rPr>
                <w:sz w:val="17"/>
                <w:szCs w:val="17"/>
                <w:color w:val="auto"/>
              </w:rPr>
            </w:pP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Vested</w:t>
            </w:r>
          </w:p>
        </w:tc>
        <w:tc>
          <w:tcPr>
            <w:tcW w:w="200" w:type="dxa"/>
            <w:vAlign w:val="bottom"/>
            <w:shd w:val="clear" w:color="auto" w:fill="023C5B"/>
          </w:tcPr>
          <w:p>
            <w:pPr>
              <w:spacing w:after="0"/>
              <w:rPr>
                <w:sz w:val="17"/>
                <w:szCs w:val="17"/>
                <w:color w:val="auto"/>
              </w:rPr>
            </w:pPr>
          </w:p>
        </w:tc>
        <w:tc>
          <w:tcPr>
            <w:tcW w:w="940" w:type="dxa"/>
            <w:vAlign w:val="bottom"/>
            <w:shd w:val="clear" w:color="auto" w:fill="023C5B"/>
          </w:tcPr>
          <w:p>
            <w:pPr>
              <w:jc w:val="center"/>
              <w:spacing w:after="0" w:line="201" w:lineRule="exact"/>
              <w:rPr>
                <w:sz w:val="20"/>
                <w:szCs w:val="20"/>
                <w:color w:val="auto"/>
              </w:rPr>
            </w:pPr>
            <w:r>
              <w:rPr>
                <w:rFonts w:ascii="Arial" w:cs="Arial" w:eastAsia="Arial" w:hAnsi="Arial"/>
                <w:sz w:val="14"/>
                <w:szCs w:val="14"/>
                <w:b w:val="1"/>
                <w:bCs w:val="1"/>
                <w:color w:val="FFFFFF"/>
                <w:w w:val="91"/>
              </w:rPr>
              <w:t>Vested</w:t>
            </w:r>
            <w:r>
              <w:rPr>
                <w:rFonts w:ascii="Arial" w:cs="Arial" w:eastAsia="Arial" w:hAnsi="Arial"/>
                <w:sz w:val="21"/>
                <w:szCs w:val="21"/>
                <w:b w:val="1"/>
                <w:bCs w:val="1"/>
                <w:color w:val="FFFFFF"/>
                <w:w w:val="91"/>
                <w:vertAlign w:val="superscript"/>
              </w:rPr>
              <w:t>(3)</w:t>
            </w:r>
          </w:p>
        </w:tc>
        <w:tc>
          <w:tcPr>
            <w:tcW w:w="0" w:type="dxa"/>
            <w:vAlign w:val="bottom"/>
          </w:tcPr>
          <w:p>
            <w:pPr>
              <w:spacing w:after="0"/>
              <w:rPr>
                <w:sz w:val="1"/>
                <w:szCs w:val="1"/>
                <w:color w:val="auto"/>
              </w:rPr>
            </w:pPr>
          </w:p>
        </w:tc>
      </w:tr>
      <w:tr>
        <w:trPr>
          <w:trHeight w:val="165"/>
        </w:trPr>
        <w:tc>
          <w:tcPr>
            <w:tcW w:w="1420" w:type="dxa"/>
            <w:vAlign w:val="bottom"/>
            <w:gridSpan w:val="2"/>
          </w:tcPr>
          <w:p>
            <w:pPr>
              <w:ind w:left="40"/>
              <w:spacing w:after="0"/>
              <w:rPr>
                <w:sz w:val="20"/>
                <w:szCs w:val="20"/>
                <w:color w:val="auto"/>
              </w:rPr>
            </w:pPr>
            <w:r>
              <w:rPr>
                <w:rFonts w:ascii="Arial" w:cs="Arial" w:eastAsia="Arial" w:hAnsi="Arial"/>
                <w:sz w:val="14"/>
                <w:szCs w:val="14"/>
                <w:color w:val="auto"/>
              </w:rPr>
              <w:t>Richard D.</w:t>
            </w: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2/2/2017</w:t>
            </w:r>
          </w:p>
        </w:tc>
        <w:tc>
          <w:tcPr>
            <w:tcW w:w="180" w:type="dxa"/>
            <w:vAlign w:val="bottom"/>
          </w:tcPr>
          <w:p>
            <w:pPr>
              <w:spacing w:after="0"/>
              <w:rPr>
                <w:sz w:val="14"/>
                <w:szCs w:val="14"/>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7"/>
              </w:rPr>
              <w:t>81,486</w:t>
            </w:r>
          </w:p>
        </w:tc>
        <w:tc>
          <w:tcPr>
            <w:tcW w:w="180" w:type="dxa"/>
            <w:vAlign w:val="bottom"/>
          </w:tcPr>
          <w:p>
            <w:pPr>
              <w:spacing w:after="0"/>
              <w:rPr>
                <w:sz w:val="14"/>
                <w:szCs w:val="14"/>
                <w:color w:val="auto"/>
              </w:rPr>
            </w:pPr>
          </w:p>
        </w:tc>
        <w:tc>
          <w:tcPr>
            <w:tcW w:w="80" w:type="dxa"/>
            <w:vAlign w:val="bottom"/>
            <w:tcBorders>
              <w:right w:val="single" w:sz="8" w:color="E5EBEE"/>
            </w:tcBorders>
            <w:shd w:val="clear" w:color="auto" w:fill="E5EBEE"/>
          </w:tcPr>
          <w:p>
            <w:pPr>
              <w:spacing w:after="0"/>
              <w:rPr>
                <w:sz w:val="14"/>
                <w:szCs w:val="14"/>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7"/>
              </w:rPr>
              <w:t>$86.34</w:t>
            </w:r>
          </w:p>
        </w:tc>
        <w:tc>
          <w:tcPr>
            <w:tcW w:w="180" w:type="dxa"/>
            <w:vAlign w:val="bottom"/>
          </w:tcPr>
          <w:p>
            <w:pPr>
              <w:spacing w:after="0"/>
              <w:rPr>
                <w:sz w:val="14"/>
                <w:szCs w:val="14"/>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2/2/2027</w:t>
            </w:r>
          </w:p>
        </w:tc>
        <w:tc>
          <w:tcPr>
            <w:tcW w:w="180" w:type="dxa"/>
            <w:vAlign w:val="bottom"/>
          </w:tcPr>
          <w:p>
            <w:pPr>
              <w:spacing w:after="0"/>
              <w:rPr>
                <w:sz w:val="14"/>
                <w:szCs w:val="14"/>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3"/>
        </w:trPr>
        <w:tc>
          <w:tcPr>
            <w:tcW w:w="1420" w:type="dxa"/>
            <w:vAlign w:val="bottom"/>
            <w:gridSpan w:val="2"/>
            <w:vMerge w:val="restart"/>
          </w:tcPr>
          <w:p>
            <w:pPr>
              <w:ind w:left="40"/>
              <w:spacing w:after="0"/>
              <w:rPr>
                <w:sz w:val="20"/>
                <w:szCs w:val="20"/>
                <w:color w:val="auto"/>
              </w:rPr>
            </w:pPr>
            <w:r>
              <w:rPr>
                <w:rFonts w:ascii="Arial" w:cs="Arial" w:eastAsia="Arial" w:hAnsi="Arial"/>
                <w:sz w:val="14"/>
                <w:szCs w:val="14"/>
                <w:color w:val="auto"/>
              </w:rPr>
              <w:t>Fairbank</w:t>
            </w:r>
          </w:p>
        </w:tc>
        <w:tc>
          <w:tcPr>
            <w:tcW w:w="760" w:type="dxa"/>
            <w:vAlign w:val="bottom"/>
            <w:shd w:val="clear" w:color="auto" w:fill="E5EBEE"/>
          </w:tcPr>
          <w:p>
            <w:pPr>
              <w:spacing w:after="0"/>
              <w:rPr>
                <w:sz w:val="5"/>
                <w:szCs w:val="5"/>
                <w:color w:val="auto"/>
              </w:rPr>
            </w:pPr>
          </w:p>
        </w:tc>
        <w:tc>
          <w:tcPr>
            <w:tcW w:w="180" w:type="dxa"/>
            <w:vAlign w:val="bottom"/>
            <w:vMerge w:val="restart"/>
          </w:tcPr>
          <w:p>
            <w:pPr>
              <w:spacing w:after="0"/>
              <w:rPr>
                <w:sz w:val="5"/>
                <w:szCs w:val="5"/>
                <w:color w:val="auto"/>
              </w:rPr>
            </w:pPr>
          </w:p>
        </w:tc>
        <w:tc>
          <w:tcPr>
            <w:tcW w:w="1000" w:type="dxa"/>
            <w:vAlign w:val="bottom"/>
            <w:shd w:val="clear" w:color="auto" w:fill="E5EBEE"/>
          </w:tcPr>
          <w:p>
            <w:pPr>
              <w:spacing w:after="0"/>
              <w:rPr>
                <w:sz w:val="5"/>
                <w:szCs w:val="5"/>
                <w:color w:val="auto"/>
              </w:rPr>
            </w:pPr>
          </w:p>
        </w:tc>
        <w:tc>
          <w:tcPr>
            <w:tcW w:w="180" w:type="dxa"/>
            <w:vAlign w:val="bottom"/>
            <w:vMerge w:val="restart"/>
          </w:tcPr>
          <w:p>
            <w:pPr>
              <w:spacing w:after="0"/>
              <w:rPr>
                <w:sz w:val="5"/>
                <w:szCs w:val="5"/>
                <w:color w:val="auto"/>
              </w:rPr>
            </w:pPr>
          </w:p>
        </w:tc>
        <w:tc>
          <w:tcPr>
            <w:tcW w:w="80" w:type="dxa"/>
            <w:vAlign w:val="bottom"/>
            <w:tcBorders>
              <w:right w:val="single" w:sz="8" w:color="E5EBEE"/>
            </w:tcBorders>
            <w:shd w:val="clear" w:color="auto" w:fill="E5EBEE"/>
          </w:tcPr>
          <w:p>
            <w:pPr>
              <w:spacing w:after="0"/>
              <w:rPr>
                <w:sz w:val="5"/>
                <w:szCs w:val="5"/>
                <w:color w:val="auto"/>
              </w:rPr>
            </w:pPr>
          </w:p>
        </w:tc>
        <w:tc>
          <w:tcPr>
            <w:tcW w:w="1040" w:type="dxa"/>
            <w:vAlign w:val="bottom"/>
            <w:shd w:val="clear" w:color="auto" w:fill="E5EBEE"/>
          </w:tcPr>
          <w:p>
            <w:pPr>
              <w:spacing w:after="0"/>
              <w:rPr>
                <w:sz w:val="5"/>
                <w:szCs w:val="5"/>
                <w:color w:val="auto"/>
              </w:rPr>
            </w:pPr>
          </w:p>
        </w:tc>
        <w:tc>
          <w:tcPr>
            <w:tcW w:w="180" w:type="dxa"/>
            <w:vAlign w:val="bottom"/>
            <w:vMerge w:val="restart"/>
          </w:tcPr>
          <w:p>
            <w:pPr>
              <w:spacing w:after="0"/>
              <w:rPr>
                <w:sz w:val="5"/>
                <w:szCs w:val="5"/>
                <w:color w:val="auto"/>
              </w:rPr>
            </w:pPr>
          </w:p>
        </w:tc>
        <w:tc>
          <w:tcPr>
            <w:tcW w:w="740" w:type="dxa"/>
            <w:vAlign w:val="bottom"/>
            <w:shd w:val="clear" w:color="auto" w:fill="E5EBEE"/>
          </w:tcPr>
          <w:p>
            <w:pPr>
              <w:spacing w:after="0"/>
              <w:rPr>
                <w:sz w:val="5"/>
                <w:szCs w:val="5"/>
                <w:color w:val="auto"/>
              </w:rPr>
            </w:pPr>
          </w:p>
        </w:tc>
        <w:tc>
          <w:tcPr>
            <w:tcW w:w="180" w:type="dxa"/>
            <w:vAlign w:val="bottom"/>
            <w:vMerge w:val="restart"/>
          </w:tcPr>
          <w:p>
            <w:pPr>
              <w:spacing w:after="0"/>
              <w:rPr>
                <w:sz w:val="5"/>
                <w:szCs w:val="5"/>
                <w:color w:val="auto"/>
              </w:rPr>
            </w:pPr>
          </w:p>
        </w:tc>
        <w:tc>
          <w:tcPr>
            <w:tcW w:w="860" w:type="dxa"/>
            <w:vAlign w:val="bottom"/>
            <w:shd w:val="clear" w:color="auto" w:fill="E5EBEE"/>
          </w:tcPr>
          <w:p>
            <w:pPr>
              <w:spacing w:after="0"/>
              <w:rPr>
                <w:sz w:val="5"/>
                <w:szCs w:val="5"/>
                <w:color w:val="auto"/>
              </w:rPr>
            </w:pPr>
          </w:p>
        </w:tc>
        <w:tc>
          <w:tcPr>
            <w:tcW w:w="180" w:type="dxa"/>
            <w:vAlign w:val="bottom"/>
            <w:vMerge w:val="restart"/>
          </w:tcPr>
          <w:p>
            <w:pPr>
              <w:spacing w:after="0"/>
              <w:rPr>
                <w:sz w:val="5"/>
                <w:szCs w:val="5"/>
                <w:color w:val="auto"/>
              </w:rPr>
            </w:pPr>
          </w:p>
        </w:tc>
        <w:tc>
          <w:tcPr>
            <w:tcW w:w="840" w:type="dxa"/>
            <w:vAlign w:val="bottom"/>
            <w:shd w:val="clear" w:color="auto" w:fill="E5EBEE"/>
          </w:tcPr>
          <w:p>
            <w:pPr>
              <w:spacing w:after="0"/>
              <w:rPr>
                <w:sz w:val="5"/>
                <w:szCs w:val="5"/>
                <w:color w:val="auto"/>
              </w:rPr>
            </w:pPr>
          </w:p>
        </w:tc>
        <w:tc>
          <w:tcPr>
            <w:tcW w:w="180" w:type="dxa"/>
            <w:vAlign w:val="bottom"/>
            <w:vMerge w:val="restart"/>
          </w:tcPr>
          <w:p>
            <w:pPr>
              <w:spacing w:after="0"/>
              <w:rPr>
                <w:sz w:val="5"/>
                <w:szCs w:val="5"/>
                <w:color w:val="auto"/>
              </w:rPr>
            </w:pPr>
          </w:p>
        </w:tc>
        <w:tc>
          <w:tcPr>
            <w:tcW w:w="940" w:type="dxa"/>
            <w:vAlign w:val="bottom"/>
            <w:shd w:val="clear" w:color="auto" w:fill="E5EBEE"/>
          </w:tcPr>
          <w:p>
            <w:pPr>
              <w:spacing w:after="0"/>
              <w:rPr>
                <w:sz w:val="5"/>
                <w:szCs w:val="5"/>
                <w:color w:val="auto"/>
              </w:rPr>
            </w:pPr>
          </w:p>
        </w:tc>
        <w:tc>
          <w:tcPr>
            <w:tcW w:w="200" w:type="dxa"/>
            <w:vAlign w:val="bottom"/>
            <w:vMerge w:val="restart"/>
          </w:tcPr>
          <w:p>
            <w:pPr>
              <w:spacing w:after="0"/>
              <w:rPr>
                <w:sz w:val="5"/>
                <w:szCs w:val="5"/>
                <w:color w:val="auto"/>
              </w:rPr>
            </w:pPr>
          </w:p>
        </w:tc>
        <w:tc>
          <w:tcPr>
            <w:tcW w:w="820" w:type="dxa"/>
            <w:vAlign w:val="bottom"/>
            <w:shd w:val="clear" w:color="auto" w:fill="E5EBEE"/>
          </w:tcPr>
          <w:p>
            <w:pPr>
              <w:spacing w:after="0"/>
              <w:rPr>
                <w:sz w:val="5"/>
                <w:szCs w:val="5"/>
                <w:color w:val="auto"/>
              </w:rPr>
            </w:pPr>
          </w:p>
        </w:tc>
        <w:tc>
          <w:tcPr>
            <w:tcW w:w="200" w:type="dxa"/>
            <w:vAlign w:val="bottom"/>
            <w:vMerge w:val="restart"/>
          </w:tcPr>
          <w:p>
            <w:pPr>
              <w:spacing w:after="0"/>
              <w:rPr>
                <w:sz w:val="5"/>
                <w:szCs w:val="5"/>
                <w:color w:val="auto"/>
              </w:rPr>
            </w:pPr>
          </w:p>
        </w:tc>
        <w:tc>
          <w:tcPr>
            <w:tcW w:w="940" w:type="dxa"/>
            <w:vAlign w:val="bottom"/>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420" w:type="dxa"/>
            <w:vAlign w:val="bottom"/>
            <w:gridSpan w:val="2"/>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1/26/2023</w:t>
            </w:r>
          </w:p>
        </w:tc>
        <w:tc>
          <w:tcPr>
            <w:tcW w:w="180" w:type="dxa"/>
            <w:vAlign w:val="bottom"/>
            <w:vMerge w:val="continue"/>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8"/>
                <w:szCs w:val="18"/>
                <w:color w:val="auto"/>
              </w:rPr>
            </w:pPr>
          </w:p>
        </w:tc>
        <w:tc>
          <w:tcPr>
            <w:tcW w:w="840" w:type="dxa"/>
            <w:vAlign w:val="bottom"/>
          </w:tcPr>
          <w:p>
            <w:pPr>
              <w:jc w:val="center"/>
              <w:spacing w:after="0" w:line="214" w:lineRule="exact"/>
              <w:rPr>
                <w:sz w:val="20"/>
                <w:szCs w:val="20"/>
                <w:color w:val="auto"/>
              </w:rPr>
            </w:pPr>
            <w:r>
              <w:rPr>
                <w:rFonts w:ascii="Arial" w:cs="Arial" w:eastAsia="Arial" w:hAnsi="Arial"/>
                <w:sz w:val="14"/>
                <w:szCs w:val="14"/>
                <w:color w:val="auto"/>
                <w:w w:val="93"/>
              </w:rPr>
              <w:t>24,021</w:t>
            </w:r>
            <w:r>
              <w:rPr>
                <w:rFonts w:ascii="Arial" w:cs="Arial" w:eastAsia="Arial" w:hAnsi="Arial"/>
                <w:sz w:val="21"/>
                <w:szCs w:val="21"/>
                <w:color w:val="auto"/>
                <w:w w:val="93"/>
                <w:vertAlign w:val="superscript"/>
              </w:rPr>
              <w:t>(4)</w:t>
            </w:r>
          </w:p>
        </w:tc>
        <w:tc>
          <w:tcPr>
            <w:tcW w:w="180" w:type="dxa"/>
            <w:vAlign w:val="bottom"/>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$5,091,499</w:t>
            </w:r>
          </w:p>
        </w:tc>
        <w:tc>
          <w:tcPr>
            <w:tcW w:w="200" w:type="dxa"/>
            <w:vAlign w:val="bottom"/>
            <w:vMerge w:val="continue"/>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1/26/2023</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3"/>
              </w:rPr>
              <w:t>21,008</w:t>
            </w:r>
            <w:r>
              <w:rPr>
                <w:rFonts w:ascii="Arial" w:cs="Arial" w:eastAsia="Arial" w:hAnsi="Arial"/>
                <w:sz w:val="21"/>
                <w:szCs w:val="21"/>
                <w:color w:val="auto"/>
                <w:w w:val="93"/>
                <w:vertAlign w:val="superscript"/>
              </w:rPr>
              <w:t>(4)</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$5,821,730</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1/26/2023</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center"/>
              <w:spacing w:after="0" w:line="214" w:lineRule="exact"/>
              <w:rPr>
                <w:sz w:val="20"/>
                <w:szCs w:val="20"/>
                <w:color w:val="auto"/>
              </w:rPr>
            </w:pPr>
            <w:r>
              <w:rPr>
                <w:rFonts w:ascii="Arial" w:cs="Arial" w:eastAsia="Arial" w:hAnsi="Arial"/>
                <w:sz w:val="14"/>
                <w:szCs w:val="14"/>
                <w:color w:val="auto"/>
                <w:w w:val="93"/>
              </w:rPr>
              <w:t>64,100</w:t>
            </w:r>
            <w:r>
              <w:rPr>
                <w:rFonts w:ascii="Arial" w:cs="Arial" w:eastAsia="Arial" w:hAnsi="Arial"/>
                <w:sz w:val="21"/>
                <w:szCs w:val="21"/>
                <w:color w:val="auto"/>
                <w:w w:val="93"/>
                <w:vertAlign w:val="superscript"/>
              </w:rPr>
              <w:t>(5)</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$15,535,276</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1/26/2023</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3"/>
              </w:rPr>
              <w:t>53,309</w:t>
            </w:r>
            <w:r>
              <w:rPr>
                <w:rFonts w:ascii="Arial" w:cs="Arial" w:eastAsia="Arial" w:hAnsi="Arial"/>
                <w:sz w:val="21"/>
                <w:szCs w:val="21"/>
                <w:color w:val="auto"/>
                <w:w w:val="93"/>
                <w:vertAlign w:val="superscript"/>
              </w:rPr>
              <w:t>(5)</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$12,919,969</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2/1/2024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line="214" w:lineRule="exact"/>
              <w:rPr>
                <w:sz w:val="20"/>
                <w:szCs w:val="20"/>
                <w:color w:val="auto"/>
              </w:rPr>
            </w:pPr>
            <w:r>
              <w:rPr>
                <w:rFonts w:ascii="Arial" w:cs="Arial" w:eastAsia="Arial" w:hAnsi="Arial"/>
                <w:sz w:val="14"/>
                <w:szCs w:val="14"/>
                <w:color w:val="auto"/>
                <w:w w:val="93"/>
              </w:rPr>
              <w:t>34,550</w:t>
            </w:r>
            <w:r>
              <w:rPr>
                <w:rFonts w:ascii="Arial" w:cs="Arial" w:eastAsia="Arial" w:hAnsi="Arial"/>
                <w:sz w:val="21"/>
                <w:szCs w:val="21"/>
                <w:color w:val="auto"/>
                <w:w w:val="93"/>
                <w:vertAlign w:val="superscript"/>
              </w:rPr>
              <w:t>(4)</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$8,373,538</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2/1/2024</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3"/>
              </w:rPr>
              <w:t>18,378</w:t>
            </w:r>
            <w:r>
              <w:rPr>
                <w:rFonts w:ascii="Arial" w:cs="Arial" w:eastAsia="Arial" w:hAnsi="Arial"/>
                <w:sz w:val="21"/>
                <w:szCs w:val="21"/>
                <w:color w:val="auto"/>
                <w:w w:val="93"/>
                <w:vertAlign w:val="superscript"/>
              </w:rPr>
              <w:t>(4)</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$4,454,092</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2/1/2024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center"/>
              <w:spacing w:after="0" w:line="214" w:lineRule="exact"/>
              <w:rPr>
                <w:sz w:val="20"/>
                <w:szCs w:val="20"/>
                <w:color w:val="auto"/>
              </w:rPr>
            </w:pPr>
            <w:r>
              <w:rPr>
                <w:rFonts w:ascii="Arial" w:cs="Arial" w:eastAsia="Arial" w:hAnsi="Arial"/>
                <w:sz w:val="14"/>
                <w:szCs w:val="14"/>
                <w:color w:val="auto"/>
                <w:w w:val="94"/>
              </w:rPr>
              <w:t>140,459</w:t>
            </w:r>
            <w:r>
              <w:rPr>
                <w:rFonts w:ascii="Arial" w:cs="Arial" w:eastAsia="Arial" w:hAnsi="Arial"/>
                <w:sz w:val="21"/>
                <w:szCs w:val="21"/>
                <w:color w:val="auto"/>
                <w:w w:val="94"/>
                <w:vertAlign w:val="superscript"/>
              </w:rPr>
              <w:t>(6)</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$34,041,643</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2/1/2024</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3"/>
              </w:rPr>
              <w:t>46,820</w:t>
            </w:r>
            <w:r>
              <w:rPr>
                <w:rFonts w:ascii="Arial" w:cs="Arial" w:eastAsia="Arial" w:hAnsi="Arial"/>
                <w:sz w:val="21"/>
                <w:szCs w:val="21"/>
                <w:color w:val="auto"/>
                <w:w w:val="93"/>
                <w:vertAlign w:val="superscript"/>
              </w:rPr>
              <w:t>(6)</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$11,347,295</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2/4/2025</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line="214" w:lineRule="exact"/>
              <w:rPr>
                <w:sz w:val="20"/>
                <w:szCs w:val="20"/>
                <w:color w:val="auto"/>
              </w:rPr>
            </w:pPr>
            <w:r>
              <w:rPr>
                <w:rFonts w:ascii="Arial" w:cs="Arial" w:eastAsia="Arial" w:hAnsi="Arial"/>
                <w:sz w:val="14"/>
                <w:szCs w:val="14"/>
                <w:color w:val="auto"/>
                <w:w w:val="93"/>
              </w:rPr>
              <w:t>24,986</w:t>
            </w:r>
            <w:r>
              <w:rPr>
                <w:rFonts w:ascii="Arial" w:cs="Arial" w:eastAsia="Arial" w:hAnsi="Arial"/>
                <w:sz w:val="21"/>
                <w:szCs w:val="21"/>
                <w:color w:val="auto"/>
                <w:w w:val="93"/>
                <w:vertAlign w:val="superscript"/>
              </w:rPr>
              <w:t>(4)</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$6,055,607</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2/4/2025</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3"/>
              </w:rPr>
              <w:t>12,493</w:t>
            </w:r>
            <w:r>
              <w:rPr>
                <w:rFonts w:ascii="Arial" w:cs="Arial" w:eastAsia="Arial" w:hAnsi="Arial"/>
                <w:sz w:val="21"/>
                <w:szCs w:val="21"/>
                <w:color w:val="auto"/>
                <w:w w:val="93"/>
                <w:vertAlign w:val="superscript"/>
              </w:rPr>
              <w:t>(4)</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$3,027,803</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2/4/2025</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center"/>
              <w:spacing w:after="0" w:line="214" w:lineRule="exact"/>
              <w:rPr>
                <w:sz w:val="20"/>
                <w:szCs w:val="20"/>
                <w:color w:val="auto"/>
              </w:rPr>
            </w:pPr>
            <w:r>
              <w:rPr>
                <w:rFonts w:ascii="Arial" w:cs="Arial" w:eastAsia="Arial" w:hAnsi="Arial"/>
                <w:sz w:val="14"/>
                <w:szCs w:val="14"/>
                <w:color w:val="auto"/>
                <w:w w:val="94"/>
              </w:rPr>
              <w:t>136,794</w:t>
            </w:r>
            <w:r>
              <w:rPr>
                <w:rFonts w:ascii="Arial" w:cs="Arial" w:eastAsia="Arial" w:hAnsi="Arial"/>
                <w:sz w:val="21"/>
                <w:szCs w:val="21"/>
                <w:color w:val="auto"/>
                <w:w w:val="94"/>
                <w:vertAlign w:val="superscript"/>
              </w:rPr>
              <w:t>(6)</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$33,153,394</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2/4/2025</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3"/>
              </w:rPr>
              <w:t>16,866</w:t>
            </w:r>
            <w:r>
              <w:rPr>
                <w:rFonts w:ascii="Arial" w:cs="Arial" w:eastAsia="Arial" w:hAnsi="Arial"/>
                <w:sz w:val="21"/>
                <w:szCs w:val="21"/>
                <w:color w:val="auto"/>
                <w:w w:val="93"/>
                <w:vertAlign w:val="superscript"/>
              </w:rPr>
              <w:t>(6)</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$4,087,644</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6/3/2025</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line="214" w:lineRule="exact"/>
              <w:rPr>
                <w:sz w:val="20"/>
                <w:szCs w:val="20"/>
                <w:color w:val="auto"/>
              </w:rPr>
            </w:pPr>
            <w:r>
              <w:rPr>
                <w:rFonts w:ascii="Arial" w:cs="Arial" w:eastAsia="Arial" w:hAnsi="Arial"/>
                <w:sz w:val="14"/>
                <w:szCs w:val="14"/>
                <w:color w:val="auto"/>
                <w:w w:val="93"/>
              </w:rPr>
              <w:t>76,675</w:t>
            </w:r>
            <w:r>
              <w:rPr>
                <w:rFonts w:ascii="Arial" w:cs="Arial" w:eastAsia="Arial" w:hAnsi="Arial"/>
                <w:sz w:val="21"/>
                <w:szCs w:val="21"/>
                <w:color w:val="auto"/>
                <w:w w:val="93"/>
                <w:vertAlign w:val="superscript"/>
              </w:rPr>
              <w:t>(7)</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$18,582,953</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Borders>
              <w:bottom w:val="single" w:sz="8" w:color="023C5B"/>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6/3/2025</w:t>
            </w:r>
          </w:p>
        </w:tc>
        <w:tc>
          <w:tcPr>
            <w:tcW w:w="180" w:type="dxa"/>
            <w:vAlign w:val="bottom"/>
          </w:tcPr>
          <w:p>
            <w:pPr>
              <w:spacing w:after="0"/>
              <w:rPr>
                <w:sz w:val="18"/>
                <w:szCs w:val="18"/>
                <w:color w:val="auto"/>
              </w:rPr>
            </w:pPr>
          </w:p>
        </w:tc>
        <w:tc>
          <w:tcPr>
            <w:tcW w:w="10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bottom w:val="single" w:sz="8" w:color="023C5B"/>
              <w:right w:val="single" w:sz="8" w:color="E5EBEE"/>
            </w:tcBorders>
            <w:shd w:val="clear" w:color="auto" w:fill="E5EBEE"/>
          </w:tcPr>
          <w:p>
            <w:pPr>
              <w:spacing w:after="0"/>
              <w:rPr>
                <w:sz w:val="18"/>
                <w:szCs w:val="18"/>
                <w:color w:val="auto"/>
              </w:rPr>
            </w:pPr>
          </w:p>
        </w:tc>
        <w:tc>
          <w:tcPr>
            <w:tcW w:w="1040" w:type="dxa"/>
            <w:vAlign w:val="bottom"/>
            <w:tcBorders>
              <w:bottom w:val="single" w:sz="8" w:color="023C5B"/>
            </w:tcBorders>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Borders>
              <w:bottom w:val="single" w:sz="8" w:color="023C5B"/>
            </w:tcBorders>
            <w:shd w:val="clear" w:color="auto" w:fill="E5EBEE"/>
          </w:tcPr>
          <w:p>
            <w:pPr>
              <w:jc w:val="center"/>
              <w:spacing w:after="0" w:line="214" w:lineRule="exact"/>
              <w:rPr>
                <w:sz w:val="20"/>
                <w:szCs w:val="20"/>
                <w:color w:val="auto"/>
              </w:rPr>
            </w:pPr>
            <w:r>
              <w:rPr>
                <w:rFonts w:ascii="Arial" w:cs="Arial" w:eastAsia="Arial" w:hAnsi="Arial"/>
                <w:sz w:val="14"/>
                <w:szCs w:val="14"/>
                <w:color w:val="auto"/>
                <w:w w:val="93"/>
              </w:rPr>
              <w:t>76,676</w:t>
            </w:r>
            <w:r>
              <w:rPr>
                <w:rFonts w:ascii="Arial" w:cs="Arial" w:eastAsia="Arial" w:hAnsi="Arial"/>
                <w:sz w:val="21"/>
                <w:szCs w:val="21"/>
                <w:color w:val="auto"/>
                <w:w w:val="93"/>
                <w:vertAlign w:val="superscript"/>
              </w:rPr>
              <w:t>(8)</w:t>
            </w:r>
          </w:p>
        </w:tc>
        <w:tc>
          <w:tcPr>
            <w:tcW w:w="180" w:type="dxa"/>
            <w:vAlign w:val="bottom"/>
          </w:tcPr>
          <w:p>
            <w:pPr>
              <w:spacing w:after="0"/>
              <w:rPr>
                <w:sz w:val="18"/>
                <w:szCs w:val="18"/>
                <w:color w:val="auto"/>
              </w:rPr>
            </w:pPr>
          </w:p>
        </w:tc>
        <w:tc>
          <w:tcPr>
            <w:tcW w:w="94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$18,583,195</w:t>
            </w:r>
          </w:p>
        </w:tc>
        <w:tc>
          <w:tcPr>
            <w:tcW w:w="200" w:type="dxa"/>
            <w:vAlign w:val="bottom"/>
          </w:tcPr>
          <w:p>
            <w:pPr>
              <w:spacing w:after="0"/>
              <w:rPr>
                <w:sz w:val="18"/>
                <w:szCs w:val="18"/>
                <w:color w:val="auto"/>
              </w:rPr>
            </w:pPr>
          </w:p>
        </w:tc>
        <w:tc>
          <w:tcPr>
            <w:tcW w:w="82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240" w:type="dxa"/>
            <w:vAlign w:val="bottom"/>
          </w:tcPr>
          <w:p>
            <w:pPr>
              <w:ind w:left="40"/>
              <w:spacing w:after="0"/>
              <w:rPr>
                <w:sz w:val="20"/>
                <w:szCs w:val="20"/>
                <w:color w:val="auto"/>
              </w:rPr>
            </w:pPr>
            <w:r>
              <w:rPr>
                <w:rFonts w:ascii="Arial" w:cs="Arial" w:eastAsia="Arial" w:hAnsi="Arial"/>
                <w:sz w:val="14"/>
                <w:szCs w:val="14"/>
                <w:color w:val="auto"/>
              </w:rPr>
              <w:t>Andrew M. Young</w:t>
            </w: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1/26/2023</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line="208" w:lineRule="exact"/>
              <w:rPr>
                <w:sz w:val="20"/>
                <w:szCs w:val="20"/>
                <w:color w:val="auto"/>
              </w:rPr>
            </w:pPr>
            <w:r>
              <w:rPr>
                <w:rFonts w:ascii="Arial" w:cs="Arial" w:eastAsia="Arial" w:hAnsi="Arial"/>
                <w:sz w:val="14"/>
                <w:szCs w:val="14"/>
                <w:color w:val="auto"/>
                <w:w w:val="91"/>
              </w:rPr>
              <w:t>3,396</w:t>
            </w:r>
            <w:r>
              <w:rPr>
                <w:rFonts w:ascii="Arial" w:cs="Arial" w:eastAsia="Arial" w:hAnsi="Arial"/>
                <w:sz w:val="21"/>
                <w:szCs w:val="21"/>
                <w:color w:val="auto"/>
                <w:w w:val="91"/>
                <w:vertAlign w:val="superscript"/>
              </w:rPr>
              <w:t>(9)</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$823,055</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1/26/2023</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1"/>
              </w:rPr>
              <w:t>7,335</w:t>
            </w:r>
            <w:r>
              <w:rPr>
                <w:rFonts w:ascii="Arial" w:cs="Arial" w:eastAsia="Arial" w:hAnsi="Arial"/>
                <w:sz w:val="21"/>
                <w:szCs w:val="21"/>
                <w:color w:val="auto"/>
                <w:w w:val="91"/>
                <w:vertAlign w:val="superscript"/>
              </w:rPr>
              <w:t>(5)</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$1,777,711</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2/1/2024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line="214" w:lineRule="exact"/>
              <w:rPr>
                <w:sz w:val="20"/>
                <w:szCs w:val="20"/>
                <w:color w:val="auto"/>
              </w:rPr>
            </w:pPr>
            <w:r>
              <w:rPr>
                <w:rFonts w:ascii="Arial" w:cs="Arial" w:eastAsia="Arial" w:hAnsi="Arial"/>
                <w:sz w:val="14"/>
                <w:szCs w:val="14"/>
                <w:color w:val="auto"/>
                <w:w w:val="91"/>
              </w:rPr>
              <w:t>6,158</w:t>
            </w:r>
            <w:r>
              <w:rPr>
                <w:rFonts w:ascii="Arial" w:cs="Arial" w:eastAsia="Arial" w:hAnsi="Arial"/>
                <w:sz w:val="21"/>
                <w:szCs w:val="21"/>
                <w:color w:val="auto"/>
                <w:w w:val="91"/>
                <w:vertAlign w:val="superscript"/>
              </w:rPr>
              <w:t>(9)</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$1,492,453</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2/1/2024</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3"/>
              </w:rPr>
              <w:t>16,625</w:t>
            </w:r>
            <w:r>
              <w:rPr>
                <w:rFonts w:ascii="Arial" w:cs="Arial" w:eastAsia="Arial" w:hAnsi="Arial"/>
                <w:sz w:val="21"/>
                <w:szCs w:val="21"/>
                <w:color w:val="auto"/>
                <w:w w:val="93"/>
                <w:vertAlign w:val="superscript"/>
              </w:rPr>
              <w:t>(6)</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$4,029,235</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2/4/2025</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line="214" w:lineRule="exact"/>
              <w:rPr>
                <w:sz w:val="20"/>
                <w:szCs w:val="20"/>
                <w:color w:val="auto"/>
              </w:rPr>
            </w:pPr>
            <w:r>
              <w:rPr>
                <w:rFonts w:ascii="Arial" w:cs="Arial" w:eastAsia="Arial" w:hAnsi="Arial"/>
                <w:sz w:val="14"/>
                <w:szCs w:val="14"/>
                <w:color w:val="auto"/>
                <w:w w:val="91"/>
              </w:rPr>
              <w:t>6,497</w:t>
            </w:r>
            <w:r>
              <w:rPr>
                <w:rFonts w:ascii="Arial" w:cs="Arial" w:eastAsia="Arial" w:hAnsi="Arial"/>
                <w:sz w:val="21"/>
                <w:szCs w:val="21"/>
                <w:color w:val="auto"/>
                <w:w w:val="91"/>
                <w:vertAlign w:val="superscript"/>
              </w:rPr>
              <w:t>(9)</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$1,574,613</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2/4/2025</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3"/>
              </w:rPr>
              <w:t>11,694</w:t>
            </w:r>
            <w:r>
              <w:rPr>
                <w:rFonts w:ascii="Arial" w:cs="Arial" w:eastAsia="Arial" w:hAnsi="Arial"/>
                <w:sz w:val="21"/>
                <w:szCs w:val="21"/>
                <w:color w:val="auto"/>
                <w:w w:val="93"/>
                <w:vertAlign w:val="superscript"/>
              </w:rPr>
              <w:t>(6)</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$2,834,158</w:t>
            </w:r>
          </w:p>
        </w:tc>
        <w:tc>
          <w:tcPr>
            <w:tcW w:w="0" w:type="dxa"/>
            <w:vAlign w:val="bottom"/>
          </w:tcPr>
          <w:p>
            <w:pPr>
              <w:spacing w:after="0"/>
              <w:rPr>
                <w:sz w:val="1"/>
                <w:szCs w:val="1"/>
                <w:color w:val="auto"/>
              </w:rPr>
            </w:pPr>
          </w:p>
        </w:tc>
      </w:tr>
      <w:tr>
        <w:trPr>
          <w:trHeight w:val="214"/>
        </w:trPr>
        <w:tc>
          <w:tcPr>
            <w:tcW w:w="1240" w:type="dxa"/>
            <w:vAlign w:val="bottom"/>
            <w:tcBorders>
              <w:bottom w:val="single" w:sz="8" w:color="023C5B"/>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6/3/2025</w:t>
            </w:r>
          </w:p>
        </w:tc>
        <w:tc>
          <w:tcPr>
            <w:tcW w:w="180" w:type="dxa"/>
            <w:vAlign w:val="bottom"/>
          </w:tcPr>
          <w:p>
            <w:pPr>
              <w:spacing w:after="0"/>
              <w:rPr>
                <w:sz w:val="18"/>
                <w:szCs w:val="18"/>
                <w:color w:val="auto"/>
              </w:rPr>
            </w:pPr>
          </w:p>
        </w:tc>
        <w:tc>
          <w:tcPr>
            <w:tcW w:w="100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bottom w:val="single" w:sz="8" w:color="023C5B"/>
            </w:tcBorders>
          </w:tcPr>
          <w:p>
            <w:pPr>
              <w:spacing w:after="0"/>
              <w:rPr>
                <w:sz w:val="18"/>
                <w:szCs w:val="18"/>
                <w:color w:val="auto"/>
              </w:rPr>
            </w:pPr>
          </w:p>
        </w:tc>
        <w:tc>
          <w:tcPr>
            <w:tcW w:w="1040" w:type="dxa"/>
            <w:vAlign w:val="bottom"/>
            <w:tcBorders>
              <w:bottom w:val="single" w:sz="8" w:color="023C5B"/>
            </w:tcBorders>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Borders>
              <w:bottom w:val="single" w:sz="8" w:color="023C5B"/>
            </w:tcBorders>
          </w:tcPr>
          <w:p>
            <w:pPr>
              <w:jc w:val="center"/>
              <w:spacing w:after="0" w:line="214" w:lineRule="exact"/>
              <w:rPr>
                <w:sz w:val="20"/>
                <w:szCs w:val="20"/>
                <w:color w:val="auto"/>
              </w:rPr>
            </w:pPr>
            <w:r>
              <w:rPr>
                <w:rFonts w:ascii="Arial" w:cs="Arial" w:eastAsia="Arial" w:hAnsi="Arial"/>
                <w:sz w:val="14"/>
                <w:szCs w:val="14"/>
                <w:color w:val="auto"/>
                <w:w w:val="94"/>
              </w:rPr>
              <w:t>15,336</w:t>
            </w:r>
            <w:r>
              <w:rPr>
                <w:rFonts w:ascii="Arial" w:cs="Arial" w:eastAsia="Arial" w:hAnsi="Arial"/>
                <w:sz w:val="21"/>
                <w:szCs w:val="21"/>
                <w:color w:val="auto"/>
                <w:w w:val="94"/>
                <w:vertAlign w:val="superscript"/>
              </w:rPr>
              <w:t>(10)</w:t>
            </w:r>
          </w:p>
        </w:tc>
        <w:tc>
          <w:tcPr>
            <w:tcW w:w="180" w:type="dxa"/>
            <w:vAlign w:val="bottom"/>
          </w:tcPr>
          <w:p>
            <w:pPr>
              <w:spacing w:after="0"/>
              <w:rPr>
                <w:sz w:val="18"/>
                <w:szCs w:val="18"/>
                <w:color w:val="auto"/>
              </w:rPr>
            </w:pPr>
          </w:p>
        </w:tc>
        <w:tc>
          <w:tcPr>
            <w:tcW w:w="94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$3,716,833</w:t>
            </w:r>
          </w:p>
        </w:tc>
        <w:tc>
          <w:tcPr>
            <w:tcW w:w="200" w:type="dxa"/>
            <w:vAlign w:val="bottom"/>
          </w:tcPr>
          <w:p>
            <w:pPr>
              <w:spacing w:after="0"/>
              <w:rPr>
                <w:sz w:val="18"/>
                <w:szCs w:val="18"/>
                <w:color w:val="auto"/>
              </w:rPr>
            </w:pPr>
          </w:p>
        </w:tc>
        <w:tc>
          <w:tcPr>
            <w:tcW w:w="82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240" w:type="dxa"/>
            <w:vAlign w:val="bottom"/>
          </w:tcPr>
          <w:p>
            <w:pPr>
              <w:ind w:left="40"/>
              <w:spacing w:after="0" w:line="145" w:lineRule="exact"/>
              <w:rPr>
                <w:sz w:val="20"/>
                <w:szCs w:val="20"/>
                <w:color w:val="auto"/>
              </w:rPr>
            </w:pPr>
            <w:r>
              <w:rPr>
                <w:rFonts w:ascii="Arial" w:cs="Arial" w:eastAsia="Arial" w:hAnsi="Arial"/>
                <w:sz w:val="14"/>
                <w:szCs w:val="14"/>
                <w:color w:val="auto"/>
              </w:rPr>
              <w:t>Matthew W.</w:t>
            </w:r>
          </w:p>
        </w:tc>
        <w:tc>
          <w:tcPr>
            <w:tcW w:w="180" w:type="dxa"/>
            <w:vAlign w:val="bottom"/>
          </w:tcPr>
          <w:p>
            <w:pPr>
              <w:spacing w:after="0"/>
              <w:rPr>
                <w:sz w:val="12"/>
                <w:szCs w:val="12"/>
                <w:color w:val="auto"/>
              </w:rPr>
            </w:pPr>
          </w:p>
        </w:tc>
        <w:tc>
          <w:tcPr>
            <w:tcW w:w="76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shd w:val="clear" w:color="auto" w:fill="E5EBEE"/>
              </w:rPr>
              <w:t>1/26/2023</w:t>
            </w:r>
          </w:p>
        </w:tc>
        <w:tc>
          <w:tcPr>
            <w:tcW w:w="180" w:type="dxa"/>
            <w:vAlign w:val="bottom"/>
          </w:tcPr>
          <w:p>
            <w:pPr>
              <w:spacing w:after="0"/>
              <w:rPr>
                <w:sz w:val="12"/>
                <w:szCs w:val="12"/>
                <w:color w:val="auto"/>
              </w:rPr>
            </w:pPr>
          </w:p>
        </w:tc>
        <w:tc>
          <w:tcPr>
            <w:tcW w:w="100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80" w:type="dxa"/>
            <w:vAlign w:val="bottom"/>
            <w:tcBorders>
              <w:right w:val="single" w:sz="8" w:color="E5EBEE"/>
            </w:tcBorders>
            <w:shd w:val="clear" w:color="auto" w:fill="E5EBEE"/>
          </w:tcPr>
          <w:p>
            <w:pPr>
              <w:spacing w:after="0"/>
              <w:rPr>
                <w:sz w:val="12"/>
                <w:szCs w:val="12"/>
                <w:color w:val="auto"/>
              </w:rPr>
            </w:pPr>
          </w:p>
        </w:tc>
        <w:tc>
          <w:tcPr>
            <w:tcW w:w="1040" w:type="dxa"/>
            <w:vAlign w:val="bottom"/>
            <w:shd w:val="clear" w:color="auto" w:fill="E5EBEE"/>
          </w:tcPr>
          <w:p>
            <w:pPr>
              <w:ind w:left="50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shd w:val="clear" w:color="auto" w:fill="E5EBEE"/>
          </w:tcPr>
          <w:p>
            <w:pPr>
              <w:jc w:val="center"/>
              <w:spacing w:after="0" w:line="145" w:lineRule="exact"/>
              <w:rPr>
                <w:sz w:val="20"/>
                <w:szCs w:val="20"/>
                <w:color w:val="auto"/>
              </w:rPr>
            </w:pPr>
            <w:r>
              <w:rPr>
                <w:rFonts w:ascii="Arial" w:cs="Arial" w:eastAsia="Arial" w:hAnsi="Arial"/>
                <w:sz w:val="11"/>
                <w:szCs w:val="11"/>
                <w:color w:val="auto"/>
              </w:rPr>
              <w:t>3,590</w:t>
            </w:r>
            <w:r>
              <w:rPr>
                <w:rFonts w:ascii="Arial" w:cs="Arial" w:eastAsia="Arial" w:hAnsi="Arial"/>
                <w:sz w:val="16"/>
                <w:szCs w:val="16"/>
                <w:color w:val="auto"/>
                <w:vertAlign w:val="superscript"/>
              </w:rPr>
              <w:t>(9)</w:t>
            </w:r>
          </w:p>
        </w:tc>
        <w:tc>
          <w:tcPr>
            <w:tcW w:w="180" w:type="dxa"/>
            <w:vAlign w:val="bottom"/>
          </w:tcPr>
          <w:p>
            <w:pPr>
              <w:spacing w:after="0"/>
              <w:rPr>
                <w:sz w:val="12"/>
                <w:szCs w:val="12"/>
                <w:color w:val="auto"/>
              </w:rPr>
            </w:pPr>
          </w:p>
        </w:tc>
        <w:tc>
          <w:tcPr>
            <w:tcW w:w="94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rPr>
              <w:t>$870,072</w:t>
            </w:r>
          </w:p>
        </w:tc>
        <w:tc>
          <w:tcPr>
            <w:tcW w:w="200" w:type="dxa"/>
            <w:vAlign w:val="bottom"/>
          </w:tcPr>
          <w:p>
            <w:pPr>
              <w:spacing w:after="0"/>
              <w:rPr>
                <w:sz w:val="12"/>
                <w:szCs w:val="12"/>
                <w:color w:val="auto"/>
              </w:rPr>
            </w:pPr>
          </w:p>
        </w:tc>
        <w:tc>
          <w:tcPr>
            <w:tcW w:w="82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94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3"/>
        </w:trPr>
        <w:tc>
          <w:tcPr>
            <w:tcW w:w="1420" w:type="dxa"/>
            <w:vAlign w:val="bottom"/>
            <w:gridSpan w:val="2"/>
            <w:vMerge w:val="restart"/>
          </w:tcPr>
          <w:p>
            <w:pPr>
              <w:ind w:left="40"/>
              <w:spacing w:after="0"/>
              <w:rPr>
                <w:sz w:val="20"/>
                <w:szCs w:val="20"/>
                <w:color w:val="auto"/>
              </w:rPr>
            </w:pPr>
            <w:r>
              <w:rPr>
                <w:rFonts w:ascii="Arial" w:cs="Arial" w:eastAsia="Arial" w:hAnsi="Arial"/>
                <w:sz w:val="14"/>
                <w:szCs w:val="14"/>
                <w:color w:val="auto"/>
              </w:rPr>
              <w:t>Cooper</w:t>
            </w:r>
          </w:p>
        </w:tc>
        <w:tc>
          <w:tcPr>
            <w:tcW w:w="760" w:type="dxa"/>
            <w:vAlign w:val="bottom"/>
            <w:shd w:val="clear" w:color="auto" w:fill="E5EBE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shd w:val="clear" w:color="auto" w:fill="E5EBEE"/>
          </w:tcPr>
          <w:p>
            <w:pPr>
              <w:spacing w:after="0"/>
              <w:rPr>
                <w:sz w:val="5"/>
                <w:szCs w:val="5"/>
                <w:color w:val="auto"/>
              </w:rPr>
            </w:pPr>
          </w:p>
        </w:tc>
        <w:tc>
          <w:tcPr>
            <w:tcW w:w="180" w:type="dxa"/>
            <w:vAlign w:val="bottom"/>
            <w:vMerge w:val="restart"/>
          </w:tcPr>
          <w:p>
            <w:pPr>
              <w:spacing w:after="0"/>
              <w:rPr>
                <w:sz w:val="5"/>
                <w:szCs w:val="5"/>
                <w:color w:val="auto"/>
              </w:rPr>
            </w:pPr>
          </w:p>
        </w:tc>
        <w:tc>
          <w:tcPr>
            <w:tcW w:w="80" w:type="dxa"/>
            <w:vAlign w:val="bottom"/>
            <w:tcBorders>
              <w:right w:val="single" w:sz="8" w:color="E5EBEE"/>
            </w:tcBorders>
            <w:shd w:val="clear" w:color="auto" w:fill="E5EBEE"/>
          </w:tcPr>
          <w:p>
            <w:pPr>
              <w:spacing w:after="0"/>
              <w:rPr>
                <w:sz w:val="5"/>
                <w:szCs w:val="5"/>
                <w:color w:val="auto"/>
              </w:rPr>
            </w:pPr>
          </w:p>
        </w:tc>
        <w:tc>
          <w:tcPr>
            <w:tcW w:w="1040" w:type="dxa"/>
            <w:vAlign w:val="bottom"/>
            <w:shd w:val="clear" w:color="auto" w:fill="E5EBE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shd w:val="clear" w:color="auto" w:fill="E5EBEE"/>
          </w:tcPr>
          <w:p>
            <w:pPr>
              <w:spacing w:after="0"/>
              <w:rPr>
                <w:sz w:val="5"/>
                <w:szCs w:val="5"/>
                <w:color w:val="auto"/>
              </w:rPr>
            </w:pPr>
          </w:p>
        </w:tc>
        <w:tc>
          <w:tcPr>
            <w:tcW w:w="180" w:type="dxa"/>
            <w:vAlign w:val="bottom"/>
            <w:vMerge w:val="restart"/>
          </w:tcPr>
          <w:p>
            <w:pPr>
              <w:spacing w:after="0"/>
              <w:rPr>
                <w:sz w:val="5"/>
                <w:szCs w:val="5"/>
                <w:color w:val="auto"/>
              </w:rPr>
            </w:pPr>
          </w:p>
        </w:tc>
        <w:tc>
          <w:tcPr>
            <w:tcW w:w="860" w:type="dxa"/>
            <w:vAlign w:val="bottom"/>
            <w:shd w:val="clear" w:color="auto" w:fill="E5EBE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shd w:val="clear" w:color="auto" w:fill="E5EBE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shd w:val="clear" w:color="auto" w:fill="E5EBEE"/>
          </w:tcPr>
          <w:p>
            <w:pPr>
              <w:spacing w:after="0"/>
              <w:rPr>
                <w:sz w:val="5"/>
                <w:szCs w:val="5"/>
                <w:color w:val="auto"/>
              </w:rPr>
            </w:pPr>
          </w:p>
        </w:tc>
        <w:tc>
          <w:tcPr>
            <w:tcW w:w="200" w:type="dxa"/>
            <w:vAlign w:val="bottom"/>
            <w:vMerge w:val="restart"/>
          </w:tcPr>
          <w:p>
            <w:pPr>
              <w:spacing w:after="0"/>
              <w:rPr>
                <w:sz w:val="5"/>
                <w:szCs w:val="5"/>
                <w:color w:val="auto"/>
              </w:rPr>
            </w:pPr>
          </w:p>
        </w:tc>
        <w:tc>
          <w:tcPr>
            <w:tcW w:w="820" w:type="dxa"/>
            <w:vAlign w:val="bottom"/>
            <w:shd w:val="clear" w:color="auto" w:fill="E5EBEE"/>
          </w:tcPr>
          <w:p>
            <w:pPr>
              <w:spacing w:after="0"/>
              <w:rPr>
                <w:sz w:val="5"/>
                <w:szCs w:val="5"/>
                <w:color w:val="auto"/>
              </w:rPr>
            </w:pPr>
          </w:p>
        </w:tc>
        <w:tc>
          <w:tcPr>
            <w:tcW w:w="200" w:type="dxa"/>
            <w:vAlign w:val="bottom"/>
            <w:vMerge w:val="restart"/>
          </w:tcPr>
          <w:p>
            <w:pPr>
              <w:spacing w:after="0"/>
              <w:rPr>
                <w:sz w:val="5"/>
                <w:szCs w:val="5"/>
                <w:color w:val="auto"/>
              </w:rPr>
            </w:pPr>
          </w:p>
        </w:tc>
        <w:tc>
          <w:tcPr>
            <w:tcW w:w="940" w:type="dxa"/>
            <w:vAlign w:val="bottom"/>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420" w:type="dxa"/>
            <w:vAlign w:val="bottom"/>
            <w:gridSpan w:val="2"/>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1/26/2023</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8"/>
                <w:szCs w:val="18"/>
                <w:color w:val="auto"/>
              </w:rPr>
            </w:pPr>
          </w:p>
        </w:tc>
        <w:tc>
          <w:tcPr>
            <w:tcW w:w="820" w:type="dxa"/>
            <w:vAlign w:val="bottom"/>
          </w:tcPr>
          <w:p>
            <w:pPr>
              <w:jc w:val="center"/>
              <w:spacing w:after="0" w:line="214" w:lineRule="exact"/>
              <w:rPr>
                <w:sz w:val="20"/>
                <w:szCs w:val="20"/>
                <w:color w:val="auto"/>
              </w:rPr>
            </w:pPr>
            <w:r>
              <w:rPr>
                <w:rFonts w:ascii="Arial" w:cs="Arial" w:eastAsia="Arial" w:hAnsi="Arial"/>
                <w:sz w:val="14"/>
                <w:szCs w:val="14"/>
                <w:color w:val="auto"/>
                <w:w w:val="91"/>
              </w:rPr>
              <w:t>7,755</w:t>
            </w:r>
            <w:r>
              <w:rPr>
                <w:rFonts w:ascii="Arial" w:cs="Arial" w:eastAsia="Arial" w:hAnsi="Arial"/>
                <w:sz w:val="21"/>
                <w:szCs w:val="21"/>
                <w:color w:val="auto"/>
                <w:w w:val="91"/>
                <w:vertAlign w:val="superscript"/>
              </w:rPr>
              <w:t>(5)</w:t>
            </w:r>
          </w:p>
        </w:tc>
        <w:tc>
          <w:tcPr>
            <w:tcW w:w="200" w:type="dxa"/>
            <w:vAlign w:val="bottom"/>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$1,879,502</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2/1/2024</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1"/>
              </w:rPr>
              <w:t>7,692</w:t>
            </w:r>
            <w:r>
              <w:rPr>
                <w:rFonts w:ascii="Arial" w:cs="Arial" w:eastAsia="Arial" w:hAnsi="Arial"/>
                <w:sz w:val="21"/>
                <w:szCs w:val="21"/>
                <w:color w:val="auto"/>
                <w:w w:val="91"/>
                <w:vertAlign w:val="superscript"/>
              </w:rPr>
              <w:t>(9)</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$1,864,233</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2/1/2024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center"/>
              <w:spacing w:after="0" w:line="214" w:lineRule="exact"/>
              <w:rPr>
                <w:sz w:val="20"/>
                <w:szCs w:val="20"/>
                <w:color w:val="auto"/>
              </w:rPr>
            </w:pPr>
            <w:r>
              <w:rPr>
                <w:rFonts w:ascii="Arial" w:cs="Arial" w:eastAsia="Arial" w:hAnsi="Arial"/>
                <w:sz w:val="14"/>
                <w:szCs w:val="14"/>
                <w:color w:val="auto"/>
                <w:w w:val="93"/>
              </w:rPr>
              <w:t>20,769</w:t>
            </w:r>
            <w:r>
              <w:rPr>
                <w:rFonts w:ascii="Arial" w:cs="Arial" w:eastAsia="Arial" w:hAnsi="Arial"/>
                <w:sz w:val="21"/>
                <w:szCs w:val="21"/>
                <w:color w:val="auto"/>
                <w:w w:val="93"/>
                <w:vertAlign w:val="superscript"/>
              </w:rPr>
              <w:t>(6)</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$5,033,575</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2/4/2025</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1"/>
              </w:rPr>
              <w:t>8,001</w:t>
            </w:r>
            <w:r>
              <w:rPr>
                <w:rFonts w:ascii="Arial" w:cs="Arial" w:eastAsia="Arial" w:hAnsi="Arial"/>
                <w:sz w:val="21"/>
                <w:szCs w:val="21"/>
                <w:color w:val="auto"/>
                <w:w w:val="91"/>
                <w:vertAlign w:val="superscript"/>
              </w:rPr>
              <w:t>(9)</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$1,939,122</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2/4/2025</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center"/>
              <w:spacing w:after="0" w:line="214" w:lineRule="exact"/>
              <w:rPr>
                <w:sz w:val="20"/>
                <w:szCs w:val="20"/>
                <w:color w:val="auto"/>
              </w:rPr>
            </w:pPr>
            <w:r>
              <w:rPr>
                <w:rFonts w:ascii="Arial" w:cs="Arial" w:eastAsia="Arial" w:hAnsi="Arial"/>
                <w:sz w:val="14"/>
                <w:szCs w:val="14"/>
                <w:color w:val="auto"/>
                <w:w w:val="93"/>
              </w:rPr>
              <w:t>14,402</w:t>
            </w:r>
            <w:r>
              <w:rPr>
                <w:rFonts w:ascii="Arial" w:cs="Arial" w:eastAsia="Arial" w:hAnsi="Arial"/>
                <w:sz w:val="21"/>
                <w:szCs w:val="21"/>
                <w:color w:val="auto"/>
                <w:w w:val="93"/>
                <w:vertAlign w:val="superscript"/>
              </w:rPr>
              <w:t>(6)</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$3,490,469</w:t>
            </w:r>
          </w:p>
        </w:tc>
        <w:tc>
          <w:tcPr>
            <w:tcW w:w="0" w:type="dxa"/>
            <w:vAlign w:val="bottom"/>
          </w:tcPr>
          <w:p>
            <w:pPr>
              <w:spacing w:after="0"/>
              <w:rPr>
                <w:sz w:val="1"/>
                <w:szCs w:val="1"/>
                <w:color w:val="auto"/>
              </w:rPr>
            </w:pPr>
          </w:p>
        </w:tc>
      </w:tr>
      <w:tr>
        <w:trPr>
          <w:trHeight w:val="214"/>
        </w:trPr>
        <w:tc>
          <w:tcPr>
            <w:tcW w:w="1240" w:type="dxa"/>
            <w:vAlign w:val="bottom"/>
            <w:tcBorders>
              <w:bottom w:val="single" w:sz="8" w:color="023C5B"/>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6/3/2025</w:t>
            </w:r>
          </w:p>
        </w:tc>
        <w:tc>
          <w:tcPr>
            <w:tcW w:w="180" w:type="dxa"/>
            <w:vAlign w:val="bottom"/>
          </w:tcPr>
          <w:p>
            <w:pPr>
              <w:spacing w:after="0"/>
              <w:rPr>
                <w:sz w:val="18"/>
                <w:szCs w:val="18"/>
                <w:color w:val="auto"/>
              </w:rPr>
            </w:pPr>
          </w:p>
        </w:tc>
        <w:tc>
          <w:tcPr>
            <w:tcW w:w="10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bottom w:val="single" w:sz="8" w:color="023C5B"/>
              <w:right w:val="single" w:sz="8" w:color="E5EBEE"/>
            </w:tcBorders>
            <w:shd w:val="clear" w:color="auto" w:fill="E5EBEE"/>
          </w:tcPr>
          <w:p>
            <w:pPr>
              <w:spacing w:after="0"/>
              <w:rPr>
                <w:sz w:val="18"/>
                <w:szCs w:val="18"/>
                <w:color w:val="auto"/>
              </w:rPr>
            </w:pPr>
          </w:p>
        </w:tc>
        <w:tc>
          <w:tcPr>
            <w:tcW w:w="1040" w:type="dxa"/>
            <w:vAlign w:val="bottom"/>
            <w:tcBorders>
              <w:bottom w:val="single" w:sz="8" w:color="023C5B"/>
            </w:tcBorders>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Borders>
              <w:bottom w:val="single" w:sz="8" w:color="023C5B"/>
            </w:tcBorders>
            <w:shd w:val="clear" w:color="auto" w:fill="E5EBEE"/>
          </w:tcPr>
          <w:p>
            <w:pPr>
              <w:jc w:val="center"/>
              <w:spacing w:after="0" w:line="214" w:lineRule="exact"/>
              <w:rPr>
                <w:sz w:val="20"/>
                <w:szCs w:val="20"/>
                <w:color w:val="auto"/>
              </w:rPr>
            </w:pPr>
            <w:r>
              <w:rPr>
                <w:rFonts w:ascii="Arial" w:cs="Arial" w:eastAsia="Arial" w:hAnsi="Arial"/>
                <w:sz w:val="14"/>
                <w:szCs w:val="14"/>
                <w:color w:val="auto"/>
                <w:w w:val="91"/>
              </w:rPr>
              <w:t>28,115</w:t>
            </w:r>
            <w:r>
              <w:rPr>
                <w:rFonts w:ascii="Arial" w:cs="Arial" w:eastAsia="Arial" w:hAnsi="Arial"/>
                <w:sz w:val="21"/>
                <w:szCs w:val="21"/>
                <w:color w:val="auto"/>
                <w:w w:val="91"/>
                <w:vertAlign w:val="superscript"/>
              </w:rPr>
              <w:t>(10)</w:t>
            </w:r>
          </w:p>
        </w:tc>
        <w:tc>
          <w:tcPr>
            <w:tcW w:w="180" w:type="dxa"/>
            <w:vAlign w:val="bottom"/>
          </w:tcPr>
          <w:p>
            <w:pPr>
              <w:spacing w:after="0"/>
              <w:rPr>
                <w:sz w:val="18"/>
                <w:szCs w:val="18"/>
                <w:color w:val="auto"/>
              </w:rPr>
            </w:pPr>
          </w:p>
        </w:tc>
        <w:tc>
          <w:tcPr>
            <w:tcW w:w="94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$6,813,951</w:t>
            </w:r>
          </w:p>
        </w:tc>
        <w:tc>
          <w:tcPr>
            <w:tcW w:w="200" w:type="dxa"/>
            <w:vAlign w:val="bottom"/>
          </w:tcPr>
          <w:p>
            <w:pPr>
              <w:spacing w:after="0"/>
              <w:rPr>
                <w:sz w:val="18"/>
                <w:szCs w:val="18"/>
                <w:color w:val="auto"/>
              </w:rPr>
            </w:pPr>
          </w:p>
        </w:tc>
        <w:tc>
          <w:tcPr>
            <w:tcW w:w="82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240" w:type="dxa"/>
            <w:vAlign w:val="bottom"/>
          </w:tcPr>
          <w:p>
            <w:pPr>
              <w:ind w:left="40"/>
              <w:spacing w:after="0" w:line="145" w:lineRule="exact"/>
              <w:rPr>
                <w:sz w:val="20"/>
                <w:szCs w:val="20"/>
                <w:color w:val="auto"/>
              </w:rPr>
            </w:pPr>
            <w:r>
              <w:rPr>
                <w:rFonts w:ascii="Arial" w:cs="Arial" w:eastAsia="Arial" w:hAnsi="Arial"/>
                <w:sz w:val="14"/>
                <w:szCs w:val="14"/>
                <w:color w:val="auto"/>
              </w:rPr>
              <w:t>Mark Daniel</w:t>
            </w:r>
          </w:p>
        </w:tc>
        <w:tc>
          <w:tcPr>
            <w:tcW w:w="18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color w:val="auto"/>
              </w:rPr>
              <w:t>1/26/2023</w:t>
            </w:r>
          </w:p>
        </w:tc>
        <w:tc>
          <w:tcPr>
            <w:tcW w:w="18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ind w:left="50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tcPr>
          <w:p>
            <w:pPr>
              <w:jc w:val="cente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1"/>
                <w:szCs w:val="11"/>
                <w:color w:val="auto"/>
              </w:rPr>
              <w:t>2,281</w:t>
            </w:r>
            <w:r>
              <w:rPr>
                <w:rFonts w:ascii="Arial" w:cs="Arial" w:eastAsia="Arial" w:hAnsi="Arial"/>
                <w:sz w:val="16"/>
                <w:szCs w:val="16"/>
                <w:color w:val="auto"/>
                <w:vertAlign w:val="superscript"/>
              </w:rPr>
              <w:t>(9)</w:t>
            </w:r>
          </w:p>
        </w:tc>
        <w:tc>
          <w:tcPr>
            <w:tcW w:w="18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auto"/>
              </w:rPr>
              <w:t>$552,823</w:t>
            </w:r>
          </w:p>
        </w:tc>
        <w:tc>
          <w:tcPr>
            <w:tcW w:w="20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3"/>
        </w:trPr>
        <w:tc>
          <w:tcPr>
            <w:tcW w:w="1420" w:type="dxa"/>
            <w:vAlign w:val="bottom"/>
            <w:gridSpan w:val="2"/>
            <w:vMerge w:val="restart"/>
          </w:tcPr>
          <w:p>
            <w:pPr>
              <w:ind w:left="40"/>
              <w:spacing w:after="0"/>
              <w:rPr>
                <w:sz w:val="20"/>
                <w:szCs w:val="20"/>
                <w:color w:val="auto"/>
              </w:rPr>
            </w:pPr>
            <w:r>
              <w:rPr>
                <w:rFonts w:ascii="Arial" w:cs="Arial" w:eastAsia="Arial" w:hAnsi="Arial"/>
                <w:sz w:val="14"/>
                <w:szCs w:val="14"/>
                <w:color w:val="auto"/>
              </w:rPr>
              <w:t>Mouadeb</w:t>
            </w: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420" w:type="dxa"/>
            <w:vAlign w:val="bottom"/>
            <w:gridSpan w:val="2"/>
            <w:vMerge w:val="continue"/>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shd w:val="clear" w:color="auto" w:fill="E5EBEE"/>
              </w:rPr>
              <w:t>1/26/2023</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vMerge w:val="continue"/>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8"/>
                <w:szCs w:val="18"/>
                <w:color w:val="auto"/>
              </w:rPr>
            </w:pPr>
          </w:p>
        </w:tc>
        <w:tc>
          <w:tcPr>
            <w:tcW w:w="82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1"/>
              </w:rPr>
              <w:t>4,926</w:t>
            </w:r>
            <w:r>
              <w:rPr>
                <w:rFonts w:ascii="Arial" w:cs="Arial" w:eastAsia="Arial" w:hAnsi="Arial"/>
                <w:sz w:val="21"/>
                <w:szCs w:val="21"/>
                <w:color w:val="auto"/>
                <w:w w:val="91"/>
                <w:vertAlign w:val="superscript"/>
              </w:rPr>
              <w:t>(5)</w:t>
            </w:r>
          </w:p>
        </w:tc>
        <w:tc>
          <w:tcPr>
            <w:tcW w:w="200" w:type="dxa"/>
            <w:vAlign w:val="bottom"/>
            <w:vMerge w:val="continue"/>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$1,193,865</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2/1/2024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line="214" w:lineRule="exact"/>
              <w:rPr>
                <w:sz w:val="20"/>
                <w:szCs w:val="20"/>
                <w:color w:val="auto"/>
              </w:rPr>
            </w:pPr>
            <w:r>
              <w:rPr>
                <w:rFonts w:ascii="Arial" w:cs="Arial" w:eastAsia="Arial" w:hAnsi="Arial"/>
                <w:sz w:val="14"/>
                <w:szCs w:val="14"/>
                <w:color w:val="auto"/>
                <w:w w:val="91"/>
              </w:rPr>
              <w:t>5,235</w:t>
            </w:r>
            <w:r>
              <w:rPr>
                <w:rFonts w:ascii="Arial" w:cs="Arial" w:eastAsia="Arial" w:hAnsi="Arial"/>
                <w:sz w:val="21"/>
                <w:szCs w:val="21"/>
                <w:color w:val="auto"/>
                <w:w w:val="91"/>
                <w:vertAlign w:val="superscript"/>
              </w:rPr>
              <w:t>(9)</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$1,268,755</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2/1/2024</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3"/>
              </w:rPr>
              <w:t>14,133</w:t>
            </w:r>
            <w:r>
              <w:rPr>
                <w:rFonts w:ascii="Arial" w:cs="Arial" w:eastAsia="Arial" w:hAnsi="Arial"/>
                <w:sz w:val="21"/>
                <w:szCs w:val="21"/>
                <w:color w:val="auto"/>
                <w:w w:val="93"/>
                <w:vertAlign w:val="superscript"/>
              </w:rPr>
              <w:t>(6)</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$3,425,274</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2/4/2025</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line="214" w:lineRule="exact"/>
              <w:rPr>
                <w:sz w:val="20"/>
                <w:szCs w:val="20"/>
                <w:color w:val="auto"/>
              </w:rPr>
            </w:pPr>
            <w:r>
              <w:rPr>
                <w:rFonts w:ascii="Arial" w:cs="Arial" w:eastAsia="Arial" w:hAnsi="Arial"/>
                <w:sz w:val="14"/>
                <w:szCs w:val="14"/>
                <w:color w:val="auto"/>
                <w:w w:val="91"/>
              </w:rPr>
              <w:t>7,040</w:t>
            </w:r>
            <w:r>
              <w:rPr>
                <w:rFonts w:ascii="Arial" w:cs="Arial" w:eastAsia="Arial" w:hAnsi="Arial"/>
                <w:sz w:val="21"/>
                <w:szCs w:val="21"/>
                <w:color w:val="auto"/>
                <w:w w:val="91"/>
                <w:vertAlign w:val="superscript"/>
              </w:rPr>
              <w:t>(9)</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$1,706,214</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2/4/2025</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3"/>
              </w:rPr>
              <w:t>12,672</w:t>
            </w:r>
            <w:r>
              <w:rPr>
                <w:rFonts w:ascii="Arial" w:cs="Arial" w:eastAsia="Arial" w:hAnsi="Arial"/>
                <w:sz w:val="21"/>
                <w:szCs w:val="21"/>
                <w:color w:val="auto"/>
                <w:w w:val="93"/>
                <w:vertAlign w:val="superscript"/>
              </w:rPr>
              <w:t>(6)</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$3,071,186</w:t>
            </w:r>
          </w:p>
        </w:tc>
        <w:tc>
          <w:tcPr>
            <w:tcW w:w="0" w:type="dxa"/>
            <w:vAlign w:val="bottom"/>
          </w:tcPr>
          <w:p>
            <w:pPr>
              <w:spacing w:after="0"/>
              <w:rPr>
                <w:sz w:val="1"/>
                <w:szCs w:val="1"/>
                <w:color w:val="auto"/>
              </w:rPr>
            </w:pPr>
          </w:p>
        </w:tc>
      </w:tr>
      <w:tr>
        <w:trPr>
          <w:trHeight w:val="214"/>
        </w:trPr>
        <w:tc>
          <w:tcPr>
            <w:tcW w:w="1240" w:type="dxa"/>
            <w:vAlign w:val="bottom"/>
            <w:tcBorders>
              <w:bottom w:val="single" w:sz="8" w:color="023C5B"/>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6/3/2025</w:t>
            </w:r>
          </w:p>
        </w:tc>
        <w:tc>
          <w:tcPr>
            <w:tcW w:w="180" w:type="dxa"/>
            <w:vAlign w:val="bottom"/>
          </w:tcPr>
          <w:p>
            <w:pPr>
              <w:spacing w:after="0"/>
              <w:rPr>
                <w:sz w:val="18"/>
                <w:szCs w:val="18"/>
                <w:color w:val="auto"/>
              </w:rPr>
            </w:pPr>
          </w:p>
        </w:tc>
        <w:tc>
          <w:tcPr>
            <w:tcW w:w="100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bottom w:val="single" w:sz="8" w:color="023C5B"/>
            </w:tcBorders>
          </w:tcPr>
          <w:p>
            <w:pPr>
              <w:spacing w:after="0"/>
              <w:rPr>
                <w:sz w:val="18"/>
                <w:szCs w:val="18"/>
                <w:color w:val="auto"/>
              </w:rPr>
            </w:pPr>
          </w:p>
        </w:tc>
        <w:tc>
          <w:tcPr>
            <w:tcW w:w="1040" w:type="dxa"/>
            <w:vAlign w:val="bottom"/>
            <w:tcBorders>
              <w:bottom w:val="single" w:sz="8" w:color="023C5B"/>
            </w:tcBorders>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Borders>
              <w:bottom w:val="single" w:sz="8" w:color="023C5B"/>
            </w:tcBorders>
          </w:tcPr>
          <w:p>
            <w:pPr>
              <w:jc w:val="center"/>
              <w:spacing w:after="0" w:line="214" w:lineRule="exact"/>
              <w:rPr>
                <w:sz w:val="20"/>
                <w:szCs w:val="20"/>
                <w:color w:val="auto"/>
              </w:rPr>
            </w:pPr>
            <w:r>
              <w:rPr>
                <w:rFonts w:ascii="Arial" w:cs="Arial" w:eastAsia="Arial" w:hAnsi="Arial"/>
                <w:sz w:val="14"/>
                <w:szCs w:val="14"/>
                <w:color w:val="auto"/>
                <w:w w:val="94"/>
              </w:rPr>
              <w:t>23,003</w:t>
            </w:r>
            <w:r>
              <w:rPr>
                <w:rFonts w:ascii="Arial" w:cs="Arial" w:eastAsia="Arial" w:hAnsi="Arial"/>
                <w:sz w:val="21"/>
                <w:szCs w:val="21"/>
                <w:color w:val="auto"/>
                <w:w w:val="94"/>
                <w:vertAlign w:val="superscript"/>
              </w:rPr>
              <w:t>(10)</w:t>
            </w:r>
          </w:p>
        </w:tc>
        <w:tc>
          <w:tcPr>
            <w:tcW w:w="180" w:type="dxa"/>
            <w:vAlign w:val="bottom"/>
          </w:tcPr>
          <w:p>
            <w:pPr>
              <w:spacing w:after="0"/>
              <w:rPr>
                <w:sz w:val="18"/>
                <w:szCs w:val="18"/>
                <w:color w:val="auto"/>
              </w:rPr>
            </w:pPr>
          </w:p>
        </w:tc>
        <w:tc>
          <w:tcPr>
            <w:tcW w:w="94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$5,575,007</w:t>
            </w:r>
          </w:p>
        </w:tc>
        <w:tc>
          <w:tcPr>
            <w:tcW w:w="200" w:type="dxa"/>
            <w:vAlign w:val="bottom"/>
          </w:tcPr>
          <w:p>
            <w:pPr>
              <w:spacing w:after="0"/>
              <w:rPr>
                <w:sz w:val="18"/>
                <w:szCs w:val="18"/>
                <w:color w:val="auto"/>
              </w:rPr>
            </w:pPr>
          </w:p>
        </w:tc>
        <w:tc>
          <w:tcPr>
            <w:tcW w:w="82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240" w:type="dxa"/>
            <w:vAlign w:val="bottom"/>
          </w:tcPr>
          <w:p>
            <w:pPr>
              <w:ind w:left="40"/>
              <w:spacing w:after="0" w:line="145" w:lineRule="exact"/>
              <w:rPr>
                <w:sz w:val="20"/>
                <w:szCs w:val="20"/>
                <w:color w:val="auto"/>
              </w:rPr>
            </w:pPr>
            <w:r>
              <w:rPr>
                <w:rFonts w:ascii="Arial" w:cs="Arial" w:eastAsia="Arial" w:hAnsi="Arial"/>
                <w:sz w:val="14"/>
                <w:szCs w:val="14"/>
                <w:color w:val="auto"/>
              </w:rPr>
              <w:t>Frank G.</w:t>
            </w:r>
          </w:p>
        </w:tc>
        <w:tc>
          <w:tcPr>
            <w:tcW w:w="180" w:type="dxa"/>
            <w:vAlign w:val="bottom"/>
          </w:tcPr>
          <w:p>
            <w:pPr>
              <w:spacing w:after="0"/>
              <w:rPr>
                <w:sz w:val="12"/>
                <w:szCs w:val="12"/>
                <w:color w:val="auto"/>
              </w:rPr>
            </w:pPr>
          </w:p>
        </w:tc>
        <w:tc>
          <w:tcPr>
            <w:tcW w:w="76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shd w:val="clear" w:color="auto" w:fill="E5EBEE"/>
              </w:rPr>
              <w:t>1/26/2023</w:t>
            </w:r>
          </w:p>
        </w:tc>
        <w:tc>
          <w:tcPr>
            <w:tcW w:w="180" w:type="dxa"/>
            <w:vAlign w:val="bottom"/>
          </w:tcPr>
          <w:p>
            <w:pPr>
              <w:spacing w:after="0"/>
              <w:rPr>
                <w:sz w:val="12"/>
                <w:szCs w:val="12"/>
                <w:color w:val="auto"/>
              </w:rPr>
            </w:pPr>
          </w:p>
        </w:tc>
        <w:tc>
          <w:tcPr>
            <w:tcW w:w="100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80" w:type="dxa"/>
            <w:vAlign w:val="bottom"/>
            <w:tcBorders>
              <w:right w:val="single" w:sz="8" w:color="E5EBEE"/>
            </w:tcBorders>
            <w:shd w:val="clear" w:color="auto" w:fill="E5EBEE"/>
          </w:tcPr>
          <w:p>
            <w:pPr>
              <w:spacing w:after="0"/>
              <w:rPr>
                <w:sz w:val="12"/>
                <w:szCs w:val="12"/>
                <w:color w:val="auto"/>
              </w:rPr>
            </w:pPr>
          </w:p>
        </w:tc>
        <w:tc>
          <w:tcPr>
            <w:tcW w:w="1040" w:type="dxa"/>
            <w:vAlign w:val="bottom"/>
            <w:shd w:val="clear" w:color="auto" w:fill="E5EBEE"/>
          </w:tcPr>
          <w:p>
            <w:pPr>
              <w:ind w:left="50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shd w:val="clear" w:color="auto" w:fill="E5EBEE"/>
          </w:tcPr>
          <w:p>
            <w:pPr>
              <w:jc w:val="center"/>
              <w:spacing w:after="0" w:line="145" w:lineRule="exact"/>
              <w:rPr>
                <w:sz w:val="20"/>
                <w:szCs w:val="20"/>
                <w:color w:val="auto"/>
              </w:rPr>
            </w:pPr>
            <w:r>
              <w:rPr>
                <w:rFonts w:ascii="Arial" w:cs="Arial" w:eastAsia="Arial" w:hAnsi="Arial"/>
                <w:sz w:val="11"/>
                <w:szCs w:val="11"/>
                <w:color w:val="auto"/>
              </w:rPr>
              <w:t>5,391</w:t>
            </w:r>
            <w:r>
              <w:rPr>
                <w:rFonts w:ascii="Arial" w:cs="Arial" w:eastAsia="Arial" w:hAnsi="Arial"/>
                <w:sz w:val="16"/>
                <w:szCs w:val="16"/>
                <w:color w:val="auto"/>
                <w:vertAlign w:val="superscript"/>
              </w:rPr>
              <w:t>(9)</w:t>
            </w:r>
          </w:p>
        </w:tc>
        <w:tc>
          <w:tcPr>
            <w:tcW w:w="180" w:type="dxa"/>
            <w:vAlign w:val="bottom"/>
          </w:tcPr>
          <w:p>
            <w:pPr>
              <w:spacing w:after="0"/>
              <w:rPr>
                <w:sz w:val="12"/>
                <w:szCs w:val="12"/>
                <w:color w:val="auto"/>
              </w:rPr>
            </w:pPr>
          </w:p>
        </w:tc>
        <w:tc>
          <w:tcPr>
            <w:tcW w:w="94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rPr>
              <w:t>$1,306,563</w:t>
            </w:r>
          </w:p>
        </w:tc>
        <w:tc>
          <w:tcPr>
            <w:tcW w:w="200" w:type="dxa"/>
            <w:vAlign w:val="bottom"/>
          </w:tcPr>
          <w:p>
            <w:pPr>
              <w:spacing w:after="0"/>
              <w:rPr>
                <w:sz w:val="12"/>
                <w:szCs w:val="12"/>
                <w:color w:val="auto"/>
              </w:rPr>
            </w:pPr>
          </w:p>
        </w:tc>
        <w:tc>
          <w:tcPr>
            <w:tcW w:w="82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940" w:type="dxa"/>
            <w:vAlign w:val="bottom"/>
            <w:shd w:val="clear" w:color="auto" w:fill="E5EBEE"/>
          </w:tcPr>
          <w:p>
            <w:pPr>
              <w:jc w:val="cente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3"/>
        </w:trPr>
        <w:tc>
          <w:tcPr>
            <w:tcW w:w="1420" w:type="dxa"/>
            <w:vAlign w:val="bottom"/>
            <w:gridSpan w:val="2"/>
            <w:vMerge w:val="restart"/>
          </w:tcPr>
          <w:p>
            <w:pPr>
              <w:ind w:left="40"/>
              <w:spacing w:after="0"/>
              <w:rPr>
                <w:sz w:val="20"/>
                <w:szCs w:val="20"/>
                <w:color w:val="auto"/>
              </w:rPr>
            </w:pPr>
            <w:r>
              <w:rPr>
                <w:rFonts w:ascii="Arial" w:cs="Arial" w:eastAsia="Arial" w:hAnsi="Arial"/>
                <w:sz w:val="14"/>
                <w:szCs w:val="14"/>
                <w:color w:val="auto"/>
              </w:rPr>
              <w:t>LaPrade, III</w:t>
            </w:r>
          </w:p>
        </w:tc>
        <w:tc>
          <w:tcPr>
            <w:tcW w:w="760" w:type="dxa"/>
            <w:vAlign w:val="bottom"/>
            <w:shd w:val="clear" w:color="auto" w:fill="E5EBE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shd w:val="clear" w:color="auto" w:fill="E5EBEE"/>
          </w:tcPr>
          <w:p>
            <w:pPr>
              <w:spacing w:after="0"/>
              <w:rPr>
                <w:sz w:val="5"/>
                <w:szCs w:val="5"/>
                <w:color w:val="auto"/>
              </w:rPr>
            </w:pPr>
          </w:p>
        </w:tc>
        <w:tc>
          <w:tcPr>
            <w:tcW w:w="180" w:type="dxa"/>
            <w:vAlign w:val="bottom"/>
            <w:vMerge w:val="restart"/>
          </w:tcPr>
          <w:p>
            <w:pPr>
              <w:spacing w:after="0"/>
              <w:rPr>
                <w:sz w:val="5"/>
                <w:szCs w:val="5"/>
                <w:color w:val="auto"/>
              </w:rPr>
            </w:pPr>
          </w:p>
        </w:tc>
        <w:tc>
          <w:tcPr>
            <w:tcW w:w="80" w:type="dxa"/>
            <w:vAlign w:val="bottom"/>
            <w:tcBorders>
              <w:right w:val="single" w:sz="8" w:color="E5EBEE"/>
            </w:tcBorders>
            <w:shd w:val="clear" w:color="auto" w:fill="E5EBEE"/>
          </w:tcPr>
          <w:p>
            <w:pPr>
              <w:spacing w:after="0"/>
              <w:rPr>
                <w:sz w:val="5"/>
                <w:szCs w:val="5"/>
                <w:color w:val="auto"/>
              </w:rPr>
            </w:pPr>
          </w:p>
        </w:tc>
        <w:tc>
          <w:tcPr>
            <w:tcW w:w="1040" w:type="dxa"/>
            <w:vAlign w:val="bottom"/>
            <w:shd w:val="clear" w:color="auto" w:fill="E5EBE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shd w:val="clear" w:color="auto" w:fill="E5EBEE"/>
          </w:tcPr>
          <w:p>
            <w:pPr>
              <w:spacing w:after="0"/>
              <w:rPr>
                <w:sz w:val="5"/>
                <w:szCs w:val="5"/>
                <w:color w:val="auto"/>
              </w:rPr>
            </w:pPr>
          </w:p>
        </w:tc>
        <w:tc>
          <w:tcPr>
            <w:tcW w:w="180" w:type="dxa"/>
            <w:vAlign w:val="bottom"/>
            <w:vMerge w:val="restart"/>
          </w:tcPr>
          <w:p>
            <w:pPr>
              <w:spacing w:after="0"/>
              <w:rPr>
                <w:sz w:val="5"/>
                <w:szCs w:val="5"/>
                <w:color w:val="auto"/>
              </w:rPr>
            </w:pPr>
          </w:p>
        </w:tc>
        <w:tc>
          <w:tcPr>
            <w:tcW w:w="860" w:type="dxa"/>
            <w:vAlign w:val="bottom"/>
            <w:shd w:val="clear" w:color="auto" w:fill="E5EBE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shd w:val="clear" w:color="auto" w:fill="E5EBE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shd w:val="clear" w:color="auto" w:fill="E5EBEE"/>
          </w:tcPr>
          <w:p>
            <w:pPr>
              <w:spacing w:after="0"/>
              <w:rPr>
                <w:sz w:val="5"/>
                <w:szCs w:val="5"/>
                <w:color w:val="auto"/>
              </w:rPr>
            </w:pPr>
          </w:p>
        </w:tc>
        <w:tc>
          <w:tcPr>
            <w:tcW w:w="200" w:type="dxa"/>
            <w:vAlign w:val="bottom"/>
            <w:vMerge w:val="restart"/>
          </w:tcPr>
          <w:p>
            <w:pPr>
              <w:spacing w:after="0"/>
              <w:rPr>
                <w:sz w:val="5"/>
                <w:szCs w:val="5"/>
                <w:color w:val="auto"/>
              </w:rPr>
            </w:pPr>
          </w:p>
        </w:tc>
        <w:tc>
          <w:tcPr>
            <w:tcW w:w="820" w:type="dxa"/>
            <w:vAlign w:val="bottom"/>
            <w:shd w:val="clear" w:color="auto" w:fill="E5EBEE"/>
          </w:tcPr>
          <w:p>
            <w:pPr>
              <w:spacing w:after="0"/>
              <w:rPr>
                <w:sz w:val="5"/>
                <w:szCs w:val="5"/>
                <w:color w:val="auto"/>
              </w:rPr>
            </w:pPr>
          </w:p>
        </w:tc>
        <w:tc>
          <w:tcPr>
            <w:tcW w:w="200" w:type="dxa"/>
            <w:vAlign w:val="bottom"/>
            <w:vMerge w:val="restart"/>
          </w:tcPr>
          <w:p>
            <w:pPr>
              <w:spacing w:after="0"/>
              <w:rPr>
                <w:sz w:val="5"/>
                <w:szCs w:val="5"/>
                <w:color w:val="auto"/>
              </w:rPr>
            </w:pPr>
          </w:p>
        </w:tc>
        <w:tc>
          <w:tcPr>
            <w:tcW w:w="940" w:type="dxa"/>
            <w:vAlign w:val="bottom"/>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420" w:type="dxa"/>
            <w:vAlign w:val="bottom"/>
            <w:gridSpan w:val="2"/>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1/26/2023</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8"/>
                <w:szCs w:val="18"/>
                <w:color w:val="auto"/>
              </w:rPr>
            </w:pPr>
          </w:p>
        </w:tc>
        <w:tc>
          <w:tcPr>
            <w:tcW w:w="820" w:type="dxa"/>
            <w:vAlign w:val="bottom"/>
          </w:tcPr>
          <w:p>
            <w:pPr>
              <w:jc w:val="center"/>
              <w:spacing w:after="0" w:line="214" w:lineRule="exact"/>
              <w:rPr>
                <w:sz w:val="20"/>
                <w:szCs w:val="20"/>
                <w:color w:val="auto"/>
              </w:rPr>
            </w:pPr>
            <w:r>
              <w:rPr>
                <w:rFonts w:ascii="Arial" w:cs="Arial" w:eastAsia="Arial" w:hAnsi="Arial"/>
                <w:sz w:val="14"/>
                <w:szCs w:val="14"/>
                <w:color w:val="auto"/>
                <w:w w:val="93"/>
              </w:rPr>
              <w:t>11,645</w:t>
            </w:r>
            <w:r>
              <w:rPr>
                <w:rFonts w:ascii="Arial" w:cs="Arial" w:eastAsia="Arial" w:hAnsi="Arial"/>
                <w:sz w:val="21"/>
                <w:szCs w:val="21"/>
                <w:color w:val="auto"/>
                <w:w w:val="93"/>
                <w:vertAlign w:val="superscript"/>
              </w:rPr>
              <w:t>(5)</w:t>
            </w:r>
          </w:p>
        </w:tc>
        <w:tc>
          <w:tcPr>
            <w:tcW w:w="200" w:type="dxa"/>
            <w:vAlign w:val="bottom"/>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$2,822,282</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2/1/2024</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1"/>
              </w:rPr>
              <w:t>8,336</w:t>
            </w:r>
            <w:r>
              <w:rPr>
                <w:rFonts w:ascii="Arial" w:cs="Arial" w:eastAsia="Arial" w:hAnsi="Arial"/>
                <w:sz w:val="21"/>
                <w:szCs w:val="21"/>
                <w:color w:val="auto"/>
                <w:w w:val="91"/>
                <w:vertAlign w:val="superscript"/>
              </w:rPr>
              <w:t>(9)</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$2,020,313</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2/1/2024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center"/>
              <w:spacing w:after="0" w:line="214" w:lineRule="exact"/>
              <w:rPr>
                <w:sz w:val="20"/>
                <w:szCs w:val="20"/>
                <w:color w:val="auto"/>
              </w:rPr>
            </w:pPr>
            <w:r>
              <w:rPr>
                <w:rFonts w:ascii="Arial" w:cs="Arial" w:eastAsia="Arial" w:hAnsi="Arial"/>
                <w:sz w:val="14"/>
                <w:szCs w:val="14"/>
                <w:color w:val="auto"/>
                <w:w w:val="93"/>
              </w:rPr>
              <w:t>22,505</w:t>
            </w:r>
            <w:r>
              <w:rPr>
                <w:rFonts w:ascii="Arial" w:cs="Arial" w:eastAsia="Arial" w:hAnsi="Arial"/>
                <w:sz w:val="21"/>
                <w:szCs w:val="21"/>
                <w:color w:val="auto"/>
                <w:w w:val="93"/>
                <w:vertAlign w:val="superscript"/>
              </w:rPr>
              <w:t>(6)</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$5,454,312</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2/4/2025</w:t>
            </w:r>
          </w:p>
        </w:tc>
        <w:tc>
          <w:tcPr>
            <w:tcW w:w="180" w:type="dxa"/>
            <w:vAlign w:val="bottom"/>
          </w:tcPr>
          <w:p>
            <w:pPr>
              <w:spacing w:after="0"/>
              <w:rPr>
                <w:sz w:val="18"/>
                <w:szCs w:val="18"/>
                <w:color w:val="auto"/>
              </w:rPr>
            </w:pPr>
          </w:p>
        </w:tc>
        <w:tc>
          <w:tcPr>
            <w:tcW w:w="100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right w:val="single" w:sz="8" w:color="E5EBEE"/>
            </w:tcBorders>
            <w:shd w:val="clear" w:color="auto" w:fill="E5EBEE"/>
          </w:tcPr>
          <w:p>
            <w:pPr>
              <w:spacing w:after="0"/>
              <w:rPr>
                <w:sz w:val="18"/>
                <w:szCs w:val="18"/>
                <w:color w:val="auto"/>
              </w:rPr>
            </w:pPr>
          </w:p>
        </w:tc>
        <w:tc>
          <w:tcPr>
            <w:tcW w:w="1040" w:type="dxa"/>
            <w:vAlign w:val="bottom"/>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shd w:val="clear" w:color="auto" w:fill="E5EBEE"/>
          </w:tcPr>
          <w:p>
            <w:pPr>
              <w:jc w:val="center"/>
              <w:spacing w:after="0" w:line="214" w:lineRule="exact"/>
              <w:rPr>
                <w:sz w:val="20"/>
                <w:szCs w:val="20"/>
                <w:color w:val="auto"/>
              </w:rPr>
            </w:pPr>
            <w:r>
              <w:rPr>
                <w:rFonts w:ascii="Arial" w:cs="Arial" w:eastAsia="Arial" w:hAnsi="Arial"/>
                <w:sz w:val="14"/>
                <w:szCs w:val="14"/>
                <w:color w:val="auto"/>
                <w:w w:val="91"/>
              </w:rPr>
              <w:t>8,670</w:t>
            </w:r>
            <w:r>
              <w:rPr>
                <w:rFonts w:ascii="Arial" w:cs="Arial" w:eastAsia="Arial" w:hAnsi="Arial"/>
                <w:sz w:val="21"/>
                <w:szCs w:val="21"/>
                <w:color w:val="auto"/>
                <w:w w:val="91"/>
                <w:vertAlign w:val="superscript"/>
              </w:rPr>
              <w:t>(9)</w:t>
            </w:r>
          </w:p>
        </w:tc>
        <w:tc>
          <w:tcPr>
            <w:tcW w:w="18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$2,101,261</w:t>
            </w:r>
          </w:p>
        </w:tc>
        <w:tc>
          <w:tcPr>
            <w:tcW w:w="200" w:type="dxa"/>
            <w:vAlign w:val="bottom"/>
          </w:tcPr>
          <w:p>
            <w:pPr>
              <w:spacing w:after="0"/>
              <w:rPr>
                <w:sz w:val="18"/>
                <w:szCs w:val="18"/>
                <w:color w:val="auto"/>
              </w:rPr>
            </w:pPr>
          </w:p>
        </w:tc>
        <w:tc>
          <w:tcPr>
            <w:tcW w:w="820" w:type="dxa"/>
            <w:vAlign w:val="bottom"/>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2/4/2025</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tcPr>
          <w:p>
            <w:pPr>
              <w:jc w:val="center"/>
              <w:spacing w:after="0" w:line="214" w:lineRule="exact"/>
              <w:rPr>
                <w:sz w:val="20"/>
                <w:szCs w:val="20"/>
                <w:color w:val="auto"/>
              </w:rPr>
            </w:pPr>
            <w:r>
              <w:rPr>
                <w:rFonts w:ascii="Arial" w:cs="Arial" w:eastAsia="Arial" w:hAnsi="Arial"/>
                <w:sz w:val="14"/>
                <w:szCs w:val="14"/>
                <w:color w:val="auto"/>
                <w:w w:val="93"/>
              </w:rPr>
              <w:t>15,606</w:t>
            </w:r>
            <w:r>
              <w:rPr>
                <w:rFonts w:ascii="Arial" w:cs="Arial" w:eastAsia="Arial" w:hAnsi="Arial"/>
                <w:sz w:val="21"/>
                <w:szCs w:val="21"/>
                <w:color w:val="auto"/>
                <w:w w:val="93"/>
                <w:vertAlign w:val="superscript"/>
              </w:rPr>
              <w:t>(6)</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$3,782,270</w:t>
            </w:r>
          </w:p>
        </w:tc>
        <w:tc>
          <w:tcPr>
            <w:tcW w:w="0" w:type="dxa"/>
            <w:vAlign w:val="bottom"/>
          </w:tcPr>
          <w:p>
            <w:pPr>
              <w:spacing w:after="0"/>
              <w:rPr>
                <w:sz w:val="1"/>
                <w:szCs w:val="1"/>
                <w:color w:val="auto"/>
              </w:rPr>
            </w:pPr>
          </w:p>
        </w:tc>
      </w:tr>
      <w:tr>
        <w:trPr>
          <w:trHeight w:val="214"/>
        </w:trPr>
        <w:tc>
          <w:tcPr>
            <w:tcW w:w="1240" w:type="dxa"/>
            <w:vAlign w:val="bottom"/>
            <w:tcBorders>
              <w:bottom w:val="single" w:sz="8" w:color="023C5B"/>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6/3/2025</w:t>
            </w:r>
          </w:p>
        </w:tc>
        <w:tc>
          <w:tcPr>
            <w:tcW w:w="180" w:type="dxa"/>
            <w:vAlign w:val="bottom"/>
          </w:tcPr>
          <w:p>
            <w:pPr>
              <w:spacing w:after="0"/>
              <w:rPr>
                <w:sz w:val="18"/>
                <w:szCs w:val="18"/>
                <w:color w:val="auto"/>
              </w:rPr>
            </w:pPr>
          </w:p>
        </w:tc>
        <w:tc>
          <w:tcPr>
            <w:tcW w:w="100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80" w:type="dxa"/>
            <w:vAlign w:val="bottom"/>
            <w:tcBorders>
              <w:bottom w:val="single" w:sz="8" w:color="023C5B"/>
              <w:right w:val="single" w:sz="8" w:color="E5EBEE"/>
            </w:tcBorders>
            <w:shd w:val="clear" w:color="auto" w:fill="E5EBEE"/>
          </w:tcPr>
          <w:p>
            <w:pPr>
              <w:spacing w:after="0"/>
              <w:rPr>
                <w:sz w:val="18"/>
                <w:szCs w:val="18"/>
                <w:color w:val="auto"/>
              </w:rPr>
            </w:pPr>
          </w:p>
        </w:tc>
        <w:tc>
          <w:tcPr>
            <w:tcW w:w="1040" w:type="dxa"/>
            <w:vAlign w:val="bottom"/>
            <w:tcBorders>
              <w:bottom w:val="single" w:sz="8" w:color="023C5B"/>
            </w:tcBorders>
            <w:shd w:val="clear" w:color="auto" w:fill="E5EBEE"/>
          </w:tcPr>
          <w:p>
            <w:pPr>
              <w:ind w:left="5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4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Borders>
              <w:bottom w:val="single" w:sz="8" w:color="023C5B"/>
            </w:tcBorders>
            <w:shd w:val="clear" w:color="auto" w:fill="E5EBEE"/>
          </w:tcPr>
          <w:p>
            <w:pPr>
              <w:jc w:val="center"/>
              <w:spacing w:after="0" w:line="214" w:lineRule="exact"/>
              <w:rPr>
                <w:sz w:val="20"/>
                <w:szCs w:val="20"/>
                <w:color w:val="auto"/>
              </w:rPr>
            </w:pPr>
            <w:r>
              <w:rPr>
                <w:rFonts w:ascii="Arial" w:cs="Arial" w:eastAsia="Arial" w:hAnsi="Arial"/>
                <w:sz w:val="14"/>
                <w:szCs w:val="14"/>
                <w:color w:val="auto"/>
                <w:w w:val="94"/>
              </w:rPr>
              <w:t>12,780</w:t>
            </w:r>
            <w:r>
              <w:rPr>
                <w:rFonts w:ascii="Arial" w:cs="Arial" w:eastAsia="Arial" w:hAnsi="Arial"/>
                <w:sz w:val="21"/>
                <w:szCs w:val="21"/>
                <w:color w:val="auto"/>
                <w:w w:val="94"/>
                <w:vertAlign w:val="superscript"/>
              </w:rPr>
              <w:t>(10)</w:t>
            </w:r>
          </w:p>
        </w:tc>
        <w:tc>
          <w:tcPr>
            <w:tcW w:w="180" w:type="dxa"/>
            <w:vAlign w:val="bottom"/>
          </w:tcPr>
          <w:p>
            <w:pPr>
              <w:spacing w:after="0"/>
              <w:rPr>
                <w:sz w:val="18"/>
                <w:szCs w:val="18"/>
                <w:color w:val="auto"/>
              </w:rPr>
            </w:pPr>
          </w:p>
        </w:tc>
        <w:tc>
          <w:tcPr>
            <w:tcW w:w="94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$3,097,361</w:t>
            </w:r>
          </w:p>
        </w:tc>
        <w:tc>
          <w:tcPr>
            <w:tcW w:w="200" w:type="dxa"/>
            <w:vAlign w:val="bottom"/>
          </w:tcPr>
          <w:p>
            <w:pPr>
              <w:spacing w:after="0"/>
              <w:rPr>
                <w:sz w:val="18"/>
                <w:szCs w:val="18"/>
                <w:color w:val="auto"/>
              </w:rPr>
            </w:pPr>
          </w:p>
        </w:tc>
        <w:tc>
          <w:tcPr>
            <w:tcW w:w="82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94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35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5"/>
                <w:szCs w:val="15"/>
                <w:color w:val="023C5B"/>
              </w:rPr>
              <w:t>CAPITAL ONE FINANCIAL CORPORATION</w:t>
            </w:r>
          </w:p>
        </w:tc>
        <w:tc>
          <w:tcPr>
            <w:tcW w:w="80" w:type="dxa"/>
            <w:vAlign w:val="bottom"/>
          </w:tcPr>
          <w:p>
            <w:pPr>
              <w:spacing w:after="0"/>
              <w:rPr>
                <w:sz w:val="13"/>
                <w:szCs w:val="13"/>
                <w:color w:val="auto"/>
              </w:rPr>
            </w:pPr>
          </w:p>
        </w:tc>
        <w:tc>
          <w:tcPr>
            <w:tcW w:w="2140" w:type="dxa"/>
            <w:vAlign w:val="bottom"/>
            <w:gridSpan w:val="4"/>
            <w:vMerge w:val="restart"/>
          </w:tcPr>
          <w:p>
            <w:pPr>
              <w:ind w:left="60"/>
              <w:spacing w:after="0"/>
              <w:rPr>
                <w:sz w:val="20"/>
                <w:szCs w:val="20"/>
                <w:color w:val="auto"/>
              </w:rPr>
            </w:pPr>
            <w:r>
              <w:rPr>
                <w:rFonts w:ascii="Arial" w:cs="Arial" w:eastAsia="Arial" w:hAnsi="Arial"/>
                <w:sz w:val="15"/>
                <w:szCs w:val="15"/>
                <w:b w:val="1"/>
                <w:bCs w:val="1"/>
                <w:color w:val="023C5B"/>
              </w:rPr>
              <w:t>  2026 PROXY STATEMENT</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gridSpan w:val="6"/>
            <w:vMerge w:val="continue"/>
          </w:tcPr>
          <w:p>
            <w:pPr>
              <w:spacing w:after="0"/>
              <w:rPr>
                <w:sz w:val="19"/>
                <w:szCs w:val="19"/>
                <w:color w:val="auto"/>
              </w:rPr>
            </w:pPr>
          </w:p>
        </w:tc>
        <w:tc>
          <w:tcPr>
            <w:tcW w:w="80" w:type="dxa"/>
            <w:vAlign w:val="bottom"/>
            <w:tcBorders>
              <w:right w:val="single" w:sz="8" w:color="023C5B"/>
            </w:tcBorders>
          </w:tcPr>
          <w:p>
            <w:pPr>
              <w:spacing w:after="0"/>
              <w:rPr>
                <w:sz w:val="19"/>
                <w:szCs w:val="19"/>
                <w:color w:val="auto"/>
              </w:rPr>
            </w:pPr>
          </w:p>
        </w:tc>
        <w:tc>
          <w:tcPr>
            <w:tcW w:w="2140" w:type="dxa"/>
            <w:vAlign w:val="bottom"/>
            <w:gridSpan w:val="4"/>
            <w:vMerge w:val="continue"/>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right w:val="single" w:sz="8" w:color="023C5B"/>
            </w:tcBorders>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78"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189230</wp:posOffset>
            </wp:positionV>
            <wp:extent cx="76454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322" w:lineRule="exact"/>
        <w:rPr>
          <w:sz w:val="20"/>
          <w:szCs w:val="20"/>
          <w:color w:val="auto"/>
        </w:rPr>
      </w:pPr>
    </w:p>
    <w:p>
      <w:pPr>
        <w:jc w:val="both"/>
        <w:ind w:left="600" w:hanging="433"/>
        <w:spacing w:after="0" w:line="260" w:lineRule="auto"/>
        <w:tabs>
          <w:tab w:leader="none" w:pos="6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Stock options granted generally have time-based vesting schedules, are exercisable upon vesting and vest earlier upon the optionee’s termination of employment for death, disability, or termination by Capital One without cause or by the individual for “good reason” within two years following (or in anticipation of) a change of control of Capital One. For the treatment of stock options after the optionee’s retirement, see “Payments Upon Retirement” beginning on page 110 for details.</w:t>
      </w:r>
    </w:p>
    <w:p>
      <w:pPr>
        <w:spacing w:after="0" w:line="38" w:lineRule="exact"/>
        <w:rPr>
          <w:rFonts w:ascii="Arial" w:cs="Arial" w:eastAsia="Arial" w:hAnsi="Arial"/>
          <w:sz w:val="14"/>
          <w:szCs w:val="14"/>
          <w:color w:val="auto"/>
        </w:rPr>
      </w:pPr>
    </w:p>
    <w:p>
      <w:pPr>
        <w:ind w:left="600" w:hanging="433"/>
        <w:spacing w:after="0"/>
        <w:tabs>
          <w:tab w:leader="none" w:pos="6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For stock options, the exercise price is equal to the closing price of common stock on the date of grant as reported by the NYSE Composite Transaction Tape.</w:t>
      </w:r>
    </w:p>
    <w:p>
      <w:pPr>
        <w:spacing w:after="0" w:line="79"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Market value is based on the closing price of a share of Capital One common stock on the last trading day of 2025 as reported by the NYSE Composite Transaction Tape.</w:t>
      </w:r>
    </w:p>
    <w:p>
      <w:pPr>
        <w:spacing w:after="0" w:line="24" w:lineRule="exact"/>
        <w:rPr>
          <w:rFonts w:ascii="Arial" w:cs="Arial" w:eastAsia="Arial" w:hAnsi="Arial"/>
          <w:sz w:val="14"/>
          <w:szCs w:val="14"/>
          <w:color w:val="auto"/>
        </w:rPr>
      </w:pPr>
    </w:p>
    <w:p>
      <w:pPr>
        <w:jc w:val="both"/>
        <w:ind w:left="600" w:hanging="433"/>
        <w:spacing w:after="0" w:line="260" w:lineRule="auto"/>
        <w:tabs>
          <w:tab w:leader="none" w:pos="6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Awards settle in cash. A portion of the award is subject to vesting following the first and second anniversary of the grant date in connection with required tax-related withholdings made by the Company on behalf of the executive; the remaining shares vest in full on February 15 after the third anniversary of the date of grant. The awards are subject to performance-based vesting provisions (see “Performance-Based Vesting Provisions” on page 89 for details).</w:t>
      </w:r>
    </w:p>
    <w:p>
      <w:pPr>
        <w:spacing w:after="0" w:line="38" w:lineRule="exact"/>
        <w:rPr>
          <w:rFonts w:ascii="Arial" w:cs="Arial" w:eastAsia="Arial" w:hAnsi="Arial"/>
          <w:sz w:val="14"/>
          <w:szCs w:val="14"/>
          <w:color w:val="auto"/>
        </w:rPr>
      </w:pPr>
    </w:p>
    <w:p>
      <w:pPr>
        <w:jc w:val="both"/>
        <w:ind w:left="600" w:hanging="433"/>
        <w:spacing w:after="0" w:line="249" w:lineRule="auto"/>
        <w:tabs>
          <w:tab w:leader="none" w:pos="6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Represents the number of shares expected to be issued, excluding accrued dividend equivalents, for the performance share awards granted on January 26, 2023 as of December 31, 2025. Shares were issued on March 9, 2026 with the following issuance date values (including accrued dividends paid out as additional shares): $12,425,523 and $10,333,646, respectively for Mr. Fairbank; $1,421,949 for Mr. Young; $1,503,299 for Mr. Cooper; $955,024 for Mr. Mouadeb; and $2,257,362 for Mr. LaPrade. The number of shares an executive receives under a performance share award is dependent on the Company’s performance over the applicable three-year performance period.</w:t>
      </w:r>
    </w:p>
    <w:p>
      <w:pPr>
        <w:spacing w:after="0" w:line="47" w:lineRule="exact"/>
        <w:rPr>
          <w:rFonts w:ascii="Arial" w:cs="Arial" w:eastAsia="Arial" w:hAnsi="Arial"/>
          <w:sz w:val="14"/>
          <w:szCs w:val="14"/>
          <w:color w:val="auto"/>
        </w:rPr>
      </w:pPr>
    </w:p>
    <w:p>
      <w:pPr>
        <w:jc w:val="both"/>
        <w:ind w:left="600" w:hanging="433"/>
        <w:spacing w:after="0" w:line="249" w:lineRule="auto"/>
        <w:tabs>
          <w:tab w:leader="none" w:pos="6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Represents the maximum number of shares the executive may receive under the performance share awards granted. The actual number of shares an executive receives under a performance share award is dependent on the Company’s performance over the applicable three-year performance period and may range from 0% to 150% of target. The value reported excludes dividend equivalents accrued with respect to performance shares which are paid in shares at the time the underlying performance shares are issued, and only with respect to the number of shares that actually vest. The Committee will certify the performance of the Company over the applicable performance period by March 15 after the third anniversary of the grant.</w:t>
      </w:r>
    </w:p>
    <w:p>
      <w:pPr>
        <w:spacing w:after="0" w:line="47" w:lineRule="exact"/>
        <w:rPr>
          <w:rFonts w:ascii="Arial" w:cs="Arial" w:eastAsia="Arial" w:hAnsi="Arial"/>
          <w:sz w:val="14"/>
          <w:szCs w:val="14"/>
          <w:color w:val="auto"/>
        </w:rPr>
      </w:pPr>
    </w:p>
    <w:p>
      <w:pPr>
        <w:ind w:left="600" w:hanging="433"/>
        <w:spacing w:after="0"/>
        <w:tabs>
          <w:tab w:leader="none" w:pos="6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Award settles in stock and vests in full on the fifth anniversary of the date of grant. See “Discover-Related Special Awards” beginning on page 86 for more information.</w:t>
      </w:r>
    </w:p>
    <w:p>
      <w:pPr>
        <w:spacing w:after="0" w:line="79" w:lineRule="exact"/>
        <w:rPr>
          <w:rFonts w:ascii="Arial" w:cs="Arial" w:eastAsia="Arial" w:hAnsi="Arial"/>
          <w:sz w:val="14"/>
          <w:szCs w:val="14"/>
          <w:color w:val="auto"/>
        </w:rPr>
      </w:pPr>
    </w:p>
    <w:p>
      <w:pPr>
        <w:ind w:left="600" w:hanging="433"/>
        <w:spacing w:after="0"/>
        <w:tabs>
          <w:tab w:leader="none" w:pos="6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Award settles in cash and vests in full on the fifth anniversary of the date of grant. See “Discover-Related Special Awards” beginning on page 86 for more information.</w:t>
      </w:r>
    </w:p>
    <w:p>
      <w:pPr>
        <w:spacing w:after="0" w:line="79"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Awards vest one-third annually beginning on February 15 after the first anniversary of the date of grant. Awards are subject to performance-based vesting provisions (see “Performance-Based Vesting Provisions” on page 89 for details).</w:t>
      </w:r>
    </w:p>
    <w:p>
      <w:pPr>
        <w:spacing w:after="0" w:line="24" w:lineRule="exact"/>
        <w:rPr>
          <w:rFonts w:ascii="Arial" w:cs="Arial" w:eastAsia="Arial" w:hAnsi="Arial"/>
          <w:sz w:val="14"/>
          <w:szCs w:val="14"/>
          <w:color w:val="auto"/>
        </w:rPr>
      </w:pPr>
    </w:p>
    <w:p>
      <w:pPr>
        <w:ind w:left="600" w:hanging="433"/>
        <w:spacing w:after="0" w:line="260" w:lineRule="auto"/>
        <w:tabs>
          <w:tab w:leader="none" w:pos="6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Awards settle in stock and vests in full on the third anniversary of the date of grant. See “Discover-Related Special Awards” beginning on page 86 for more information.</w:t>
      </w:r>
    </w:p>
    <w:p>
      <w:pPr>
        <w:spacing w:after="0" w:line="284" w:lineRule="exact"/>
        <w:rPr>
          <w:sz w:val="20"/>
          <w:szCs w:val="20"/>
          <w:color w:val="auto"/>
        </w:rPr>
      </w:pPr>
    </w:p>
    <w:p>
      <w:pPr>
        <w:ind w:left="5520"/>
        <w:spacing w:after="0"/>
        <w:tabs>
          <w:tab w:leader="none" w:pos="862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-111760</wp:posOffset>
            </wp:positionV>
            <wp:extent cx="8255" cy="1784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Pension Benefits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Capital One Pension Benefit Programs</w:t>
      </w:r>
    </w:p>
    <w:p>
      <w:pPr>
        <w:spacing w:after="0" w:line="221" w:lineRule="exact"/>
        <w:rPr>
          <w:sz w:val="20"/>
          <w:szCs w:val="20"/>
          <w:color w:val="auto"/>
        </w:rPr>
      </w:pPr>
    </w:p>
    <w:p>
      <w:pPr>
        <w:jc w:val="both"/>
        <w:ind w:left="160"/>
        <w:spacing w:after="0" w:line="256" w:lineRule="auto"/>
        <w:rPr>
          <w:sz w:val="20"/>
          <w:szCs w:val="20"/>
          <w:color w:val="auto"/>
        </w:rPr>
      </w:pPr>
      <w:r>
        <w:rPr>
          <w:rFonts w:ascii="Arial" w:cs="Arial" w:eastAsia="Arial" w:hAnsi="Arial"/>
          <w:sz w:val="17"/>
          <w:szCs w:val="17"/>
          <w:color w:val="auto"/>
        </w:rPr>
        <w:t>Capital One does not currently maintain a pension benefit program. Prior to November 1995, Capital One offered a Cash Balance Pension Plan (“CBPP”) and an Excess Cash Balance Pension Plan (“Excess CBPP”) to all full-time salaried associates and certain executive officers. Both of these programs were frozen in December 1995; however, interest continues to accrue on plan balances on a quarterly basis for the CBPP and on a monthly basis for the Excess CBPP. We are currently in the process of terminating the CBPP. A notice of intent to terminate the CBPP was distributed to plan participants on January 21, 2025 and a request for qualified status determination was filed with the IRS on February 13, 2025. Termination activities are expected to continue through the third quarter of 2026.</w:t>
      </w:r>
    </w:p>
    <w:p>
      <w:pPr>
        <w:spacing w:after="0" w:line="167"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CBPP interest rate historically has changed annually, based on the average yield of five-year U.S. Treasury Securities for the month of October of the prior plan year and is compounded quarterly. The annual interest crediting rate used for the period of January 1, 2025 to March 31, 2025 was 3.91% (0.98% for the quarter). Due to the plan termination effective March 31, 2025, the annual rate, compounded quarterly, was updated to 2.46% and will remain unchanged. The effective annual interest crediting rate for 2025 was 2.85%. The Excess CBPP interest rate changes monthly based on the Wall Street Journal Prime Rate and is compounded monthly (7.65% effective annual interest crediting rate for 2025).</w:t>
      </w:r>
    </w:p>
    <w:p>
      <w:pPr>
        <w:spacing w:after="0" w:line="181" w:lineRule="exact"/>
        <w:rPr>
          <w:sz w:val="20"/>
          <w:szCs w:val="20"/>
          <w:color w:val="auto"/>
        </w:rPr>
      </w:pPr>
    </w:p>
    <w:p>
      <w:pPr>
        <w:jc w:val="both"/>
        <w:ind w:left="160"/>
        <w:spacing w:after="0" w:line="254" w:lineRule="auto"/>
        <w:rPr>
          <w:sz w:val="20"/>
          <w:szCs w:val="20"/>
          <w:color w:val="auto"/>
        </w:rPr>
      </w:pPr>
      <w:r>
        <w:rPr>
          <w:rFonts w:ascii="Arial" w:cs="Arial" w:eastAsia="Arial" w:hAnsi="Arial"/>
          <w:sz w:val="17"/>
          <w:szCs w:val="17"/>
          <w:color w:val="auto"/>
        </w:rPr>
        <w:t>Mr. Fairbank participated in these programs. Mr. Fairbank received his CBPP benefit in 2025 in the form of a lump sum, as a result of the plan termination, which he elected to rollover to the Associate Savings Plan. The estimated annual payouts upon retirement in the Excess CBPP as of December 31, 2025, is $17,418 for Mr. Fairbank. As of December 31, 2025, the “Present Value of Accumulated Benefit” of the Excess CBPP for Mr. Fairbank is equal to his account balance because Mr. Fairbank has attained the normal retirement age of 65 and so is assumed to retire immediately under the actuarial valuation assumptions, and the future interest rate does not apply. The Excess CBPP account is distributed after any separation from service and will be distributed in the same form as the CBPP, as a lump sum (not eligible for rollover). Since the CBPP and Excess CBPP are account-based defined benefit plans, years of service are not tracked.</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2025 Pension Benefits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3035935</wp:posOffset>
            </wp:positionH>
            <wp:positionV relativeFrom="paragraph">
              <wp:posOffset>173990</wp:posOffset>
            </wp:positionV>
            <wp:extent cx="3999865" cy="16389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999865" cy="1638935"/>
                    </a:xfrm>
                    <a:prstGeom prst="rect">
                      <a:avLst/>
                    </a:prstGeom>
                    <a:noFill/>
                  </pic:spPr>
                </pic:pic>
              </a:graphicData>
            </a:graphic>
          </wp:anchor>
        </w:drawing>
      </w: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20" w:type="dxa"/>
            <w:vAlign w:val="bottom"/>
            <w:shd w:val="clear" w:color="auto" w:fill="023C5B"/>
          </w:tcPr>
          <w:p>
            <w:pPr>
              <w:spacing w:after="0"/>
              <w:rPr>
                <w:sz w:val="19"/>
                <w:szCs w:val="19"/>
                <w:color w:val="auto"/>
              </w:rPr>
            </w:pPr>
          </w:p>
        </w:tc>
        <w:tc>
          <w:tcPr>
            <w:tcW w:w="3400" w:type="dxa"/>
            <w:vAlign w:val="bottom"/>
            <w:shd w:val="clear" w:color="auto" w:fill="023C5B"/>
          </w:tcPr>
          <w:p>
            <w:pPr>
              <w:spacing w:after="0"/>
              <w:rPr>
                <w:sz w:val="19"/>
                <w:szCs w:val="19"/>
                <w:color w:val="auto"/>
              </w:rPr>
            </w:pPr>
          </w:p>
        </w:tc>
        <w:tc>
          <w:tcPr>
            <w:tcW w:w="60" w:type="dxa"/>
            <w:vAlign w:val="bottom"/>
            <w:tcBorders>
              <w:right w:val="single" w:sz="8" w:color="023C5B"/>
            </w:tcBorders>
            <w:shd w:val="clear" w:color="auto" w:fill="023C5B"/>
          </w:tcPr>
          <w:p>
            <w:pPr>
              <w:spacing w:after="0"/>
              <w:rPr>
                <w:sz w:val="19"/>
                <w:szCs w:val="19"/>
                <w:color w:val="auto"/>
              </w:rPr>
            </w:pPr>
          </w:p>
        </w:tc>
        <w:tc>
          <w:tcPr>
            <w:tcW w:w="140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178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8"/>
              </w:rPr>
              <w:t>Years of</w:t>
            </w:r>
          </w:p>
        </w:tc>
        <w:tc>
          <w:tcPr>
            <w:tcW w:w="168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8"/>
              </w:rPr>
              <w:t>Present Value</w:t>
            </w:r>
          </w:p>
        </w:tc>
        <w:tc>
          <w:tcPr>
            <w:tcW w:w="1320" w:type="dxa"/>
            <w:vAlign w:val="bottom"/>
            <w:shd w:val="clear" w:color="auto" w:fill="023C5B"/>
          </w:tcPr>
          <w:p>
            <w:pPr>
              <w:jc w:val="center"/>
              <w:ind w:left="34"/>
              <w:spacing w:after="0"/>
              <w:rPr>
                <w:sz w:val="20"/>
                <w:szCs w:val="20"/>
                <w:color w:val="auto"/>
              </w:rPr>
            </w:pPr>
            <w:r>
              <w:rPr>
                <w:rFonts w:ascii="Arial" w:cs="Arial" w:eastAsia="Arial" w:hAnsi="Arial"/>
                <w:sz w:val="16"/>
                <w:szCs w:val="16"/>
                <w:b w:val="1"/>
                <w:bCs w:val="1"/>
                <w:color w:val="FFFFFF"/>
              </w:rPr>
              <w:t>Payments</w:t>
            </w:r>
          </w:p>
        </w:tc>
      </w:tr>
      <w:tr>
        <w:trPr>
          <w:trHeight w:val="187"/>
        </w:trPr>
        <w:tc>
          <w:tcPr>
            <w:tcW w:w="1220" w:type="dxa"/>
            <w:vAlign w:val="bottom"/>
            <w:shd w:val="clear" w:color="auto" w:fill="023C5B"/>
          </w:tcPr>
          <w:p>
            <w:pPr>
              <w:spacing w:after="0"/>
              <w:rPr>
                <w:sz w:val="16"/>
                <w:szCs w:val="16"/>
                <w:color w:val="auto"/>
              </w:rPr>
            </w:pPr>
          </w:p>
        </w:tc>
        <w:tc>
          <w:tcPr>
            <w:tcW w:w="3400" w:type="dxa"/>
            <w:vAlign w:val="bottom"/>
            <w:shd w:val="clear" w:color="auto" w:fill="023C5B"/>
          </w:tcPr>
          <w:p>
            <w:pPr>
              <w:spacing w:after="0"/>
              <w:rPr>
                <w:sz w:val="16"/>
                <w:szCs w:val="16"/>
                <w:color w:val="auto"/>
              </w:rPr>
            </w:pPr>
          </w:p>
        </w:tc>
        <w:tc>
          <w:tcPr>
            <w:tcW w:w="60" w:type="dxa"/>
            <w:vAlign w:val="bottom"/>
            <w:tcBorders>
              <w:right w:val="single" w:sz="8" w:color="023C5B"/>
            </w:tcBorders>
            <w:shd w:val="clear" w:color="auto" w:fill="023C5B"/>
          </w:tcPr>
          <w:p>
            <w:pPr>
              <w:spacing w:after="0"/>
              <w:rPr>
                <w:sz w:val="16"/>
                <w:szCs w:val="16"/>
                <w:color w:val="auto"/>
              </w:rPr>
            </w:pPr>
          </w:p>
        </w:tc>
        <w:tc>
          <w:tcPr>
            <w:tcW w:w="140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780" w:type="dxa"/>
            <w:vAlign w:val="bottom"/>
            <w:gridSpan w:val="2"/>
            <w:shd w:val="clear" w:color="auto" w:fill="023C5B"/>
          </w:tcPr>
          <w:p>
            <w:pPr>
              <w:ind w:left="100"/>
              <w:spacing w:after="0"/>
              <w:rPr>
                <w:sz w:val="20"/>
                <w:szCs w:val="20"/>
                <w:color w:val="auto"/>
              </w:rPr>
            </w:pPr>
            <w:r>
              <w:rPr>
                <w:rFonts w:ascii="Arial" w:cs="Arial" w:eastAsia="Arial" w:hAnsi="Arial"/>
                <w:sz w:val="16"/>
                <w:szCs w:val="16"/>
                <w:b w:val="1"/>
                <w:bCs w:val="1"/>
                <w:color w:val="FFFFFF"/>
              </w:rPr>
              <w:t xml:space="preserve">         Credited       </w:t>
            </w:r>
          </w:p>
        </w:tc>
        <w:tc>
          <w:tcPr>
            <w:tcW w:w="1680" w:type="dxa"/>
            <w:vAlign w:val="bottom"/>
            <w:gridSpan w:val="2"/>
            <w:shd w:val="clear" w:color="auto" w:fill="023C5B"/>
          </w:tcPr>
          <w:p>
            <w:pPr>
              <w:ind w:left="100"/>
              <w:spacing w:after="0"/>
              <w:rPr>
                <w:sz w:val="20"/>
                <w:szCs w:val="20"/>
                <w:color w:val="auto"/>
              </w:rPr>
            </w:pPr>
            <w:r>
              <w:rPr>
                <w:rFonts w:ascii="Arial" w:cs="Arial" w:eastAsia="Arial" w:hAnsi="Arial"/>
                <w:sz w:val="16"/>
                <w:szCs w:val="16"/>
                <w:b w:val="1"/>
                <w:bCs w:val="1"/>
                <w:color w:val="FFFFFF"/>
              </w:rPr>
              <w:t>   of Accumulated</w:t>
            </w:r>
          </w:p>
        </w:tc>
        <w:tc>
          <w:tcPr>
            <w:tcW w:w="1320" w:type="dxa"/>
            <w:vAlign w:val="bottom"/>
            <w:shd w:val="clear" w:color="auto" w:fill="023C5B"/>
          </w:tcPr>
          <w:p>
            <w:pPr>
              <w:ind w:left="100"/>
              <w:spacing w:after="0"/>
              <w:rPr>
                <w:sz w:val="20"/>
                <w:szCs w:val="20"/>
                <w:color w:val="auto"/>
              </w:rPr>
            </w:pPr>
            <w:r>
              <w:rPr>
                <w:rFonts w:ascii="Arial" w:cs="Arial" w:eastAsia="Arial" w:hAnsi="Arial"/>
                <w:sz w:val="16"/>
                <w:szCs w:val="16"/>
                <w:b w:val="1"/>
                <w:bCs w:val="1"/>
                <w:color w:val="FFFFFF"/>
              </w:rPr>
              <w:t>   During Last</w:t>
            </w:r>
          </w:p>
        </w:tc>
      </w:tr>
      <w:tr>
        <w:trPr>
          <w:trHeight w:val="268"/>
        </w:trPr>
        <w:tc>
          <w:tcPr>
            <w:tcW w:w="4680" w:type="dxa"/>
            <w:vAlign w:val="bottom"/>
            <w:tcBorders>
              <w:right w:val="single" w:sz="8" w:color="023C5B"/>
            </w:tcBorders>
            <w:gridSpan w:val="3"/>
            <w:shd w:val="clear" w:color="auto" w:fill="023C5B"/>
          </w:tcPr>
          <w:p>
            <w:pPr>
              <w:spacing w:after="0"/>
              <w:rPr>
                <w:sz w:val="20"/>
                <w:szCs w:val="20"/>
                <w:color w:val="auto"/>
              </w:rPr>
            </w:pPr>
            <w:r>
              <w:rPr>
                <w:rFonts w:ascii="Arial" w:cs="Arial" w:eastAsia="Arial" w:hAnsi="Arial"/>
                <w:sz w:val="16"/>
                <w:szCs w:val="16"/>
                <w:b w:val="1"/>
                <w:bCs w:val="1"/>
                <w:color w:val="FFFFFF"/>
              </w:rPr>
              <w:t> Name</w:t>
            </w:r>
          </w:p>
        </w:tc>
        <w:tc>
          <w:tcPr>
            <w:tcW w:w="1460" w:type="dxa"/>
            <w:vAlign w:val="bottom"/>
            <w:gridSpan w:val="2"/>
            <w:shd w:val="clear" w:color="auto" w:fill="023C5B"/>
          </w:tcPr>
          <w:p>
            <w:pPr>
              <w:ind w:left="100"/>
              <w:spacing w:after="0" w:line="268" w:lineRule="exact"/>
              <w:rPr>
                <w:sz w:val="20"/>
                <w:szCs w:val="20"/>
                <w:color w:val="auto"/>
              </w:rPr>
            </w:pPr>
            <w:r>
              <w:rPr>
                <w:rFonts w:ascii="Arial" w:cs="Arial" w:eastAsia="Arial" w:hAnsi="Arial"/>
                <w:sz w:val="16"/>
                <w:szCs w:val="16"/>
                <w:b w:val="1"/>
                <w:bCs w:val="1"/>
                <w:color w:val="FFFFFF"/>
              </w:rPr>
              <w:t>   Plan Name</w:t>
            </w:r>
            <w:r>
              <w:rPr>
                <w:rFonts w:ascii="Arial" w:cs="Arial" w:eastAsia="Arial" w:hAnsi="Arial"/>
                <w:sz w:val="24"/>
                <w:szCs w:val="24"/>
                <w:b w:val="1"/>
                <w:bCs w:val="1"/>
                <w:color w:val="FFFFFF"/>
                <w:vertAlign w:val="superscript"/>
              </w:rPr>
              <w:t>(1)</w:t>
            </w:r>
            <w:r>
              <w:rPr>
                <w:rFonts w:ascii="Arial" w:cs="Arial" w:eastAsia="Arial" w:hAnsi="Arial"/>
                <w:sz w:val="16"/>
                <w:szCs w:val="16"/>
                <w:b w:val="1"/>
                <w:bCs w:val="1"/>
                <w:color w:val="FFFFFF"/>
              </w:rPr>
              <w:t xml:space="preserve"> </w:t>
            </w:r>
          </w:p>
        </w:tc>
        <w:tc>
          <w:tcPr>
            <w:tcW w:w="1780" w:type="dxa"/>
            <w:vAlign w:val="bottom"/>
            <w:gridSpan w:val="2"/>
            <w:shd w:val="clear" w:color="auto" w:fill="023C5B"/>
          </w:tcPr>
          <w:p>
            <w:pPr>
              <w:jc w:val="center"/>
              <w:spacing w:after="0" w:line="268" w:lineRule="exact"/>
              <w:rPr>
                <w:sz w:val="20"/>
                <w:szCs w:val="20"/>
                <w:color w:val="auto"/>
              </w:rPr>
            </w:pPr>
            <w:r>
              <w:rPr>
                <w:rFonts w:ascii="Arial" w:cs="Arial" w:eastAsia="Arial" w:hAnsi="Arial"/>
                <w:sz w:val="16"/>
                <w:szCs w:val="16"/>
                <w:b w:val="1"/>
                <w:bCs w:val="1"/>
                <w:color w:val="FFFFFF"/>
                <w:w w:val="94"/>
              </w:rPr>
              <w:t>Service</w:t>
            </w:r>
            <w:r>
              <w:rPr>
                <w:rFonts w:ascii="Arial" w:cs="Arial" w:eastAsia="Arial" w:hAnsi="Arial"/>
                <w:sz w:val="24"/>
                <w:szCs w:val="24"/>
                <w:b w:val="1"/>
                <w:bCs w:val="1"/>
                <w:color w:val="FFFFFF"/>
                <w:w w:val="94"/>
                <w:vertAlign w:val="superscript"/>
              </w:rPr>
              <w:t>(1)</w:t>
            </w:r>
          </w:p>
        </w:tc>
        <w:tc>
          <w:tcPr>
            <w:tcW w:w="1680" w:type="dxa"/>
            <w:vAlign w:val="bottom"/>
            <w:gridSpan w:val="2"/>
            <w:shd w:val="clear" w:color="auto" w:fill="023C5B"/>
          </w:tcPr>
          <w:p>
            <w:pPr>
              <w:jc w:val="center"/>
              <w:spacing w:after="0" w:line="268" w:lineRule="exact"/>
              <w:rPr>
                <w:sz w:val="20"/>
                <w:szCs w:val="20"/>
                <w:color w:val="auto"/>
              </w:rPr>
            </w:pPr>
            <w:r>
              <w:rPr>
                <w:rFonts w:ascii="Arial" w:cs="Arial" w:eastAsia="Arial" w:hAnsi="Arial"/>
                <w:sz w:val="16"/>
                <w:szCs w:val="16"/>
                <w:b w:val="1"/>
                <w:bCs w:val="1"/>
                <w:color w:val="FFFFFF"/>
                <w:w w:val="89"/>
              </w:rPr>
              <w:t>Benefit</w:t>
            </w:r>
            <w:r>
              <w:rPr>
                <w:rFonts w:ascii="Arial" w:cs="Arial" w:eastAsia="Arial" w:hAnsi="Arial"/>
                <w:sz w:val="24"/>
                <w:szCs w:val="24"/>
                <w:b w:val="1"/>
                <w:bCs w:val="1"/>
                <w:color w:val="FFFFFF"/>
                <w:w w:val="89"/>
                <w:vertAlign w:val="superscript"/>
              </w:rPr>
              <w:t>(2)(3)</w:t>
            </w:r>
          </w:p>
        </w:tc>
        <w:tc>
          <w:tcPr>
            <w:tcW w:w="1320" w:type="dxa"/>
            <w:vAlign w:val="bottom"/>
            <w:shd w:val="clear" w:color="auto" w:fill="023C5B"/>
          </w:tcPr>
          <w:p>
            <w:pPr>
              <w:jc w:val="center"/>
              <w:ind w:left="14"/>
              <w:spacing w:after="0"/>
              <w:rPr>
                <w:sz w:val="20"/>
                <w:szCs w:val="20"/>
                <w:color w:val="auto"/>
              </w:rPr>
            </w:pPr>
            <w:r>
              <w:rPr>
                <w:rFonts w:ascii="Arial" w:cs="Arial" w:eastAsia="Arial" w:hAnsi="Arial"/>
                <w:sz w:val="16"/>
                <w:szCs w:val="16"/>
                <w:b w:val="1"/>
                <w:bCs w:val="1"/>
                <w:color w:val="FFFFFF"/>
                <w:w w:val="96"/>
              </w:rPr>
              <w:t>Fiscal Year</w:t>
            </w:r>
          </w:p>
        </w:tc>
      </w:tr>
      <w:tr>
        <w:trPr>
          <w:trHeight w:val="328"/>
        </w:trPr>
        <w:tc>
          <w:tcPr>
            <w:tcW w:w="4680" w:type="dxa"/>
            <w:vAlign w:val="bottom"/>
            <w:tcBorders>
              <w:right w:val="single" w:sz="8" w:color="E5EBEE"/>
            </w:tcBorders>
            <w:gridSpan w:val="3"/>
          </w:tcPr>
          <w:p>
            <w:pPr>
              <w:spacing w:after="0"/>
              <w:rPr>
                <w:sz w:val="20"/>
                <w:szCs w:val="20"/>
                <w:color w:val="auto"/>
              </w:rPr>
            </w:pPr>
            <w:r>
              <w:rPr>
                <w:rFonts w:ascii="Arial" w:cs="Arial" w:eastAsia="Arial" w:hAnsi="Arial"/>
                <w:sz w:val="18"/>
                <w:szCs w:val="18"/>
                <w:color w:val="auto"/>
              </w:rPr>
              <w:t> Richard D. Fairbank</w:t>
            </w:r>
          </w:p>
        </w:tc>
        <w:tc>
          <w:tcPr>
            <w:tcW w:w="14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rPr>
              <w:t>CBPP</w:t>
            </w:r>
          </w:p>
        </w:tc>
        <w:tc>
          <w:tcPr>
            <w:tcW w:w="17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5EBEE"/>
            </w:tcBorders>
            <w:shd w:val="clear" w:color="auto" w:fill="E5EBEE"/>
          </w:tcPr>
          <w:p>
            <w:pPr>
              <w:jc w:val="center"/>
              <w:ind w:left="14"/>
              <w:spacing w:after="0"/>
              <w:rPr>
                <w:sz w:val="20"/>
                <w:szCs w:val="20"/>
                <w:color w:val="auto"/>
              </w:rPr>
            </w:pPr>
            <w:r>
              <w:rPr>
                <w:rFonts w:ascii="Arial" w:cs="Arial" w:eastAsia="Arial" w:hAnsi="Arial"/>
                <w:sz w:val="18"/>
                <w:szCs w:val="18"/>
                <w:color w:val="auto"/>
              </w:rPr>
              <w:t>$33,744</w:t>
            </w:r>
          </w:p>
        </w:tc>
      </w:tr>
      <w:tr>
        <w:trPr>
          <w:trHeight w:val="270"/>
        </w:trPr>
        <w:tc>
          <w:tcPr>
            <w:tcW w:w="12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8"/>
              </w:rPr>
              <w:t>Excess CBPP</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14"/>
              <w:spacing w:after="0"/>
              <w:rPr>
                <w:sz w:val="20"/>
                <w:szCs w:val="20"/>
                <w:color w:val="auto"/>
              </w:rPr>
            </w:pPr>
            <w:r>
              <w:rPr>
                <w:rFonts w:ascii="Arial" w:cs="Arial" w:eastAsia="Arial" w:hAnsi="Arial"/>
                <w:sz w:val="18"/>
                <w:szCs w:val="18"/>
                <w:color w:val="auto"/>
              </w:rPr>
              <w:t>$142,962</w:t>
            </w:r>
          </w:p>
        </w:tc>
        <w:tc>
          <w:tcPr>
            <w:tcW w:w="60" w:type="dxa"/>
            <w:vAlign w:val="bottom"/>
          </w:tcPr>
          <w:p>
            <w:pPr>
              <w:spacing w:after="0"/>
              <w:rPr>
                <w:sz w:val="23"/>
                <w:szCs w:val="23"/>
                <w:color w:val="auto"/>
              </w:rPr>
            </w:pPr>
          </w:p>
        </w:tc>
        <w:tc>
          <w:tcPr>
            <w:tcW w:w="1320" w:type="dxa"/>
            <w:vAlign w:val="bottom"/>
          </w:tcPr>
          <w:p>
            <w:pPr>
              <w:jc w:val="center"/>
              <w:ind w:left="34"/>
              <w:spacing w:after="0"/>
              <w:rPr>
                <w:sz w:val="20"/>
                <w:szCs w:val="20"/>
                <w:color w:val="auto"/>
              </w:rPr>
            </w:pPr>
            <w:r>
              <w:rPr>
                <w:rFonts w:ascii="Arial" w:cs="Arial" w:eastAsia="Arial" w:hAnsi="Arial"/>
                <w:sz w:val="18"/>
                <w:szCs w:val="18"/>
                <w:color w:val="auto"/>
                <w:w w:val="99"/>
              </w:rPr>
              <w:t>$—</w:t>
            </w:r>
          </w:p>
        </w:tc>
      </w:tr>
      <w:tr>
        <w:trPr>
          <w:trHeight w:val="38"/>
        </w:trPr>
        <w:tc>
          <w:tcPr>
            <w:tcW w:w="1220" w:type="dxa"/>
            <w:vAlign w:val="bottom"/>
            <w:tcBorders>
              <w:bottom w:val="single" w:sz="8" w:color="023C5B"/>
            </w:tcBorders>
          </w:tcPr>
          <w:p>
            <w:pPr>
              <w:spacing w:after="0"/>
              <w:rPr>
                <w:sz w:val="3"/>
                <w:szCs w:val="3"/>
                <w:color w:val="auto"/>
              </w:rPr>
            </w:pPr>
          </w:p>
        </w:tc>
        <w:tc>
          <w:tcPr>
            <w:tcW w:w="3400" w:type="dxa"/>
            <w:vAlign w:val="bottom"/>
            <w:tcBorders>
              <w:bottom w:val="single" w:sz="8" w:color="023C5B"/>
            </w:tcBorders>
          </w:tcPr>
          <w:p>
            <w:pPr>
              <w:spacing w:after="0"/>
              <w:rPr>
                <w:sz w:val="3"/>
                <w:szCs w:val="3"/>
                <w:color w:val="auto"/>
              </w:rPr>
            </w:pPr>
          </w:p>
        </w:tc>
        <w:tc>
          <w:tcPr>
            <w:tcW w:w="60" w:type="dxa"/>
            <w:vAlign w:val="bottom"/>
          </w:tcPr>
          <w:p>
            <w:pPr>
              <w:spacing w:after="0"/>
              <w:rPr>
                <w:sz w:val="3"/>
                <w:szCs w:val="3"/>
                <w:color w:val="auto"/>
              </w:rPr>
            </w:pPr>
          </w:p>
        </w:tc>
        <w:tc>
          <w:tcPr>
            <w:tcW w:w="140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7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6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20" w:type="dxa"/>
            <w:vAlign w:val="bottom"/>
            <w:tcBorders>
              <w:bottom w:val="single" w:sz="8" w:color="023C5B"/>
            </w:tcBorders>
          </w:tcPr>
          <w:p>
            <w:pPr>
              <w:spacing w:after="0"/>
              <w:rPr>
                <w:sz w:val="3"/>
                <w:szCs w:val="3"/>
                <w:color w:val="auto"/>
              </w:rPr>
            </w:pPr>
          </w:p>
        </w:tc>
      </w:tr>
      <w:tr>
        <w:trPr>
          <w:trHeight w:val="288"/>
        </w:trPr>
        <w:tc>
          <w:tcPr>
            <w:tcW w:w="4620" w:type="dxa"/>
            <w:vAlign w:val="bottom"/>
            <w:gridSpan w:val="2"/>
          </w:tcPr>
          <w:p>
            <w:pPr>
              <w:spacing w:after="0"/>
              <w:rPr>
                <w:sz w:val="20"/>
                <w:szCs w:val="20"/>
                <w:color w:val="auto"/>
              </w:rPr>
            </w:pPr>
            <w:r>
              <w:rPr>
                <w:rFonts w:ascii="Arial" w:cs="Arial" w:eastAsia="Arial" w:hAnsi="Arial"/>
                <w:sz w:val="18"/>
                <w:szCs w:val="18"/>
                <w:color w:val="auto"/>
              </w:rPr>
              <w:t> Andrew M. Young</w:t>
            </w:r>
          </w:p>
        </w:tc>
        <w:tc>
          <w:tcPr>
            <w:tcW w:w="60" w:type="dxa"/>
            <w:vAlign w:val="bottom"/>
            <w:tcBorders>
              <w:right w:val="single" w:sz="8" w:color="E5EBEE"/>
            </w:tcBorders>
          </w:tcPr>
          <w:p>
            <w:pPr>
              <w:spacing w:after="0"/>
              <w:rPr>
                <w:sz w:val="24"/>
                <w:szCs w:val="24"/>
                <w:color w:val="auto"/>
              </w:rPr>
            </w:pPr>
          </w:p>
        </w:tc>
        <w:tc>
          <w:tcPr>
            <w:tcW w:w="14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5EBEE"/>
            </w:tcBorders>
            <w:shd w:val="clear" w:color="auto" w:fill="E5EBEE"/>
          </w:tcPr>
          <w:p>
            <w:pPr>
              <w:jc w:val="center"/>
              <w:ind w:left="34"/>
              <w:spacing w:after="0"/>
              <w:rPr>
                <w:sz w:val="20"/>
                <w:szCs w:val="20"/>
                <w:color w:val="auto"/>
              </w:rPr>
            </w:pPr>
            <w:r>
              <w:rPr>
                <w:rFonts w:ascii="Arial" w:cs="Arial" w:eastAsia="Arial" w:hAnsi="Arial"/>
                <w:sz w:val="18"/>
                <w:szCs w:val="18"/>
                <w:color w:val="auto"/>
                <w:w w:val="99"/>
              </w:rPr>
              <w:t>$—</w:t>
            </w:r>
          </w:p>
        </w:tc>
      </w:tr>
      <w:tr>
        <w:trPr>
          <w:trHeight w:val="250"/>
        </w:trPr>
        <w:tc>
          <w:tcPr>
            <w:tcW w:w="4620" w:type="dxa"/>
            <w:vAlign w:val="bottom"/>
            <w:tcBorders>
              <w:top w:val="single" w:sz="8" w:color="023C5B"/>
            </w:tcBorders>
            <w:gridSpan w:val="2"/>
          </w:tcPr>
          <w:p>
            <w:pPr>
              <w:spacing w:after="0"/>
              <w:rPr>
                <w:sz w:val="20"/>
                <w:szCs w:val="20"/>
                <w:color w:val="auto"/>
              </w:rPr>
            </w:pPr>
            <w:r>
              <w:rPr>
                <w:rFonts w:ascii="Arial" w:cs="Arial" w:eastAsia="Arial" w:hAnsi="Arial"/>
                <w:sz w:val="18"/>
                <w:szCs w:val="18"/>
                <w:color w:val="auto"/>
              </w:rPr>
              <w:t> Matthew W. Cooper</w:t>
            </w:r>
          </w:p>
        </w:tc>
        <w:tc>
          <w:tcPr>
            <w:tcW w:w="60" w:type="dxa"/>
            <w:vAlign w:val="bottom"/>
          </w:tcPr>
          <w:p>
            <w:pPr>
              <w:spacing w:after="0"/>
              <w:rPr>
                <w:sz w:val="21"/>
                <w:szCs w:val="21"/>
                <w:color w:val="auto"/>
              </w:rPr>
            </w:pPr>
          </w:p>
        </w:tc>
        <w:tc>
          <w:tcPr>
            <w:tcW w:w="1400" w:type="dxa"/>
            <w:vAlign w:val="bottom"/>
            <w:tcBorders>
              <w:top w:val="single" w:sz="8" w:color="023C5B"/>
            </w:tcBorders>
          </w:tcPr>
          <w:p>
            <w:pPr>
              <w:jc w:val="center"/>
              <w:ind w:left="12"/>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720" w:type="dxa"/>
            <w:vAlign w:val="bottom"/>
            <w:tcBorders>
              <w:top w:val="single" w:sz="8" w:color="023C5B"/>
            </w:tcBorders>
          </w:tcPr>
          <w:p>
            <w:pPr>
              <w:jc w:val="center"/>
              <w:ind w:left="14"/>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620" w:type="dxa"/>
            <w:vAlign w:val="bottom"/>
            <w:tcBorders>
              <w:top w:val="single" w:sz="8" w:color="023C5B"/>
            </w:tcBorders>
          </w:tcPr>
          <w:p>
            <w:pPr>
              <w:jc w:val="center"/>
              <w:ind w:left="14"/>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320" w:type="dxa"/>
            <w:vAlign w:val="bottom"/>
            <w:tcBorders>
              <w:top w:val="single" w:sz="8" w:color="023C5B"/>
            </w:tcBorders>
          </w:tcPr>
          <w:p>
            <w:pPr>
              <w:jc w:val="center"/>
              <w:ind w:left="34"/>
              <w:spacing w:after="0"/>
              <w:rPr>
                <w:sz w:val="20"/>
                <w:szCs w:val="20"/>
                <w:color w:val="auto"/>
              </w:rPr>
            </w:pPr>
            <w:r>
              <w:rPr>
                <w:rFonts w:ascii="Arial" w:cs="Arial" w:eastAsia="Arial" w:hAnsi="Arial"/>
                <w:sz w:val="18"/>
                <w:szCs w:val="18"/>
                <w:color w:val="auto"/>
                <w:w w:val="99"/>
              </w:rPr>
              <w:t>$—</w:t>
            </w:r>
          </w:p>
        </w:tc>
      </w:tr>
      <w:tr>
        <w:trPr>
          <w:trHeight w:val="38"/>
        </w:trPr>
        <w:tc>
          <w:tcPr>
            <w:tcW w:w="1220" w:type="dxa"/>
            <w:vAlign w:val="bottom"/>
            <w:tcBorders>
              <w:bottom w:val="single" w:sz="8" w:color="023C5B"/>
            </w:tcBorders>
          </w:tcPr>
          <w:p>
            <w:pPr>
              <w:spacing w:after="0"/>
              <w:rPr>
                <w:sz w:val="3"/>
                <w:szCs w:val="3"/>
                <w:color w:val="auto"/>
              </w:rPr>
            </w:pPr>
          </w:p>
        </w:tc>
        <w:tc>
          <w:tcPr>
            <w:tcW w:w="3400" w:type="dxa"/>
            <w:vAlign w:val="bottom"/>
            <w:tcBorders>
              <w:bottom w:val="single" w:sz="8" w:color="023C5B"/>
            </w:tcBorders>
          </w:tcPr>
          <w:p>
            <w:pPr>
              <w:spacing w:after="0"/>
              <w:rPr>
                <w:sz w:val="3"/>
                <w:szCs w:val="3"/>
                <w:color w:val="auto"/>
              </w:rPr>
            </w:pPr>
          </w:p>
        </w:tc>
        <w:tc>
          <w:tcPr>
            <w:tcW w:w="60" w:type="dxa"/>
            <w:vAlign w:val="bottom"/>
          </w:tcPr>
          <w:p>
            <w:pPr>
              <w:spacing w:after="0"/>
              <w:rPr>
                <w:sz w:val="3"/>
                <w:szCs w:val="3"/>
                <w:color w:val="auto"/>
              </w:rPr>
            </w:pPr>
          </w:p>
        </w:tc>
        <w:tc>
          <w:tcPr>
            <w:tcW w:w="140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7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6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320" w:type="dxa"/>
            <w:vAlign w:val="bottom"/>
            <w:tcBorders>
              <w:bottom w:val="single" w:sz="8" w:color="023C5B"/>
            </w:tcBorders>
          </w:tcPr>
          <w:p>
            <w:pPr>
              <w:spacing w:after="0"/>
              <w:rPr>
                <w:sz w:val="3"/>
                <w:szCs w:val="3"/>
                <w:color w:val="auto"/>
              </w:rPr>
            </w:pPr>
          </w:p>
        </w:tc>
      </w:tr>
      <w:tr>
        <w:trPr>
          <w:trHeight w:val="288"/>
        </w:trPr>
        <w:tc>
          <w:tcPr>
            <w:tcW w:w="4620" w:type="dxa"/>
            <w:vAlign w:val="bottom"/>
            <w:gridSpan w:val="2"/>
          </w:tcPr>
          <w:p>
            <w:pPr>
              <w:spacing w:after="0"/>
              <w:rPr>
                <w:sz w:val="20"/>
                <w:szCs w:val="20"/>
                <w:color w:val="auto"/>
              </w:rPr>
            </w:pPr>
            <w:r>
              <w:rPr>
                <w:rFonts w:ascii="Arial" w:cs="Arial" w:eastAsia="Arial" w:hAnsi="Arial"/>
                <w:sz w:val="18"/>
                <w:szCs w:val="18"/>
                <w:color w:val="auto"/>
              </w:rPr>
              <w:t> Mark Daniel Mouadeb</w:t>
            </w:r>
          </w:p>
        </w:tc>
        <w:tc>
          <w:tcPr>
            <w:tcW w:w="60" w:type="dxa"/>
            <w:vAlign w:val="bottom"/>
            <w:tcBorders>
              <w:right w:val="single" w:sz="8" w:color="E5EBEE"/>
            </w:tcBorders>
          </w:tcPr>
          <w:p>
            <w:pPr>
              <w:spacing w:after="0"/>
              <w:rPr>
                <w:sz w:val="24"/>
                <w:szCs w:val="24"/>
                <w:color w:val="auto"/>
              </w:rPr>
            </w:pPr>
          </w:p>
        </w:tc>
        <w:tc>
          <w:tcPr>
            <w:tcW w:w="14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E5EBEE"/>
            </w:tcBorders>
            <w:shd w:val="clear" w:color="auto" w:fill="E5EBEE"/>
          </w:tcPr>
          <w:p>
            <w:pPr>
              <w:jc w:val="center"/>
              <w:ind w:left="34"/>
              <w:spacing w:after="0"/>
              <w:rPr>
                <w:sz w:val="20"/>
                <w:szCs w:val="20"/>
                <w:color w:val="auto"/>
              </w:rPr>
            </w:pPr>
            <w:r>
              <w:rPr>
                <w:rFonts w:ascii="Arial" w:cs="Arial" w:eastAsia="Arial" w:hAnsi="Arial"/>
                <w:sz w:val="18"/>
                <w:szCs w:val="18"/>
                <w:color w:val="auto"/>
                <w:w w:val="99"/>
              </w:rPr>
              <w:t>$—</w:t>
            </w:r>
          </w:p>
        </w:tc>
      </w:tr>
      <w:tr>
        <w:trPr>
          <w:trHeight w:val="250"/>
        </w:trPr>
        <w:tc>
          <w:tcPr>
            <w:tcW w:w="4620" w:type="dxa"/>
            <w:vAlign w:val="bottom"/>
            <w:tcBorders>
              <w:top w:val="single" w:sz="8" w:color="023C5B"/>
            </w:tcBorders>
            <w:gridSpan w:val="2"/>
          </w:tcPr>
          <w:p>
            <w:pPr>
              <w:spacing w:after="0"/>
              <w:rPr>
                <w:sz w:val="20"/>
                <w:szCs w:val="20"/>
                <w:color w:val="auto"/>
              </w:rPr>
            </w:pPr>
            <w:r>
              <w:rPr>
                <w:rFonts w:ascii="Arial" w:cs="Arial" w:eastAsia="Arial" w:hAnsi="Arial"/>
                <w:sz w:val="18"/>
                <w:szCs w:val="18"/>
                <w:color w:val="auto"/>
              </w:rPr>
              <w:t> Frank G. LaPrade, III</w:t>
            </w:r>
          </w:p>
        </w:tc>
        <w:tc>
          <w:tcPr>
            <w:tcW w:w="60" w:type="dxa"/>
            <w:vAlign w:val="bottom"/>
          </w:tcPr>
          <w:p>
            <w:pPr>
              <w:spacing w:after="0"/>
              <w:rPr>
                <w:sz w:val="21"/>
                <w:szCs w:val="21"/>
                <w:color w:val="auto"/>
              </w:rPr>
            </w:pPr>
          </w:p>
        </w:tc>
        <w:tc>
          <w:tcPr>
            <w:tcW w:w="1400" w:type="dxa"/>
            <w:vAlign w:val="bottom"/>
            <w:tcBorders>
              <w:top w:val="single" w:sz="8" w:color="023C5B"/>
            </w:tcBorders>
          </w:tcPr>
          <w:p>
            <w:pPr>
              <w:jc w:val="center"/>
              <w:ind w:left="12"/>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720" w:type="dxa"/>
            <w:vAlign w:val="bottom"/>
            <w:tcBorders>
              <w:top w:val="single" w:sz="8" w:color="023C5B"/>
            </w:tcBorders>
          </w:tcPr>
          <w:p>
            <w:pPr>
              <w:jc w:val="center"/>
              <w:ind w:left="14"/>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620" w:type="dxa"/>
            <w:vAlign w:val="bottom"/>
            <w:tcBorders>
              <w:top w:val="single" w:sz="8" w:color="023C5B"/>
            </w:tcBorders>
          </w:tcPr>
          <w:p>
            <w:pPr>
              <w:jc w:val="center"/>
              <w:ind w:left="14"/>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320" w:type="dxa"/>
            <w:vAlign w:val="bottom"/>
            <w:tcBorders>
              <w:top w:val="single" w:sz="8" w:color="023C5B"/>
            </w:tcBorders>
          </w:tcPr>
          <w:p>
            <w:pPr>
              <w:jc w:val="center"/>
              <w:ind w:left="34"/>
              <w:spacing w:after="0"/>
              <w:rPr>
                <w:sz w:val="20"/>
                <w:szCs w:val="20"/>
                <w:color w:val="auto"/>
              </w:rPr>
            </w:pPr>
            <w:r>
              <w:rPr>
                <w:rFonts w:ascii="Arial" w:cs="Arial" w:eastAsia="Arial" w:hAnsi="Arial"/>
                <w:sz w:val="18"/>
                <w:szCs w:val="18"/>
                <w:color w:val="auto"/>
                <w:w w:val="99"/>
              </w:rPr>
              <w:t>$—</w:t>
            </w:r>
          </w:p>
        </w:tc>
      </w:tr>
      <w:tr>
        <w:trPr>
          <w:trHeight w:val="38"/>
        </w:trPr>
        <w:tc>
          <w:tcPr>
            <w:tcW w:w="1220" w:type="dxa"/>
            <w:vAlign w:val="bottom"/>
            <w:tcBorders>
              <w:bottom w:val="single" w:sz="8" w:color="023C5B"/>
            </w:tcBorders>
          </w:tcPr>
          <w:p>
            <w:pPr>
              <w:spacing w:after="0"/>
              <w:rPr>
                <w:sz w:val="3"/>
                <w:szCs w:val="3"/>
                <w:color w:val="auto"/>
              </w:rPr>
            </w:pPr>
          </w:p>
        </w:tc>
        <w:tc>
          <w:tcPr>
            <w:tcW w:w="3400" w:type="dxa"/>
            <w:vAlign w:val="bottom"/>
            <w:tcBorders>
              <w:bottom w:val="single" w:sz="8" w:color="023C5B"/>
            </w:tcBorders>
          </w:tcPr>
          <w:p>
            <w:pPr>
              <w:spacing w:after="0"/>
              <w:rPr>
                <w:sz w:val="3"/>
                <w:szCs w:val="3"/>
                <w:color w:val="auto"/>
              </w:rPr>
            </w:pPr>
          </w:p>
        </w:tc>
        <w:tc>
          <w:tcPr>
            <w:tcW w:w="60" w:type="dxa"/>
            <w:vAlign w:val="bottom"/>
            <w:tcBorders>
              <w:bottom w:val="single" w:sz="8" w:color="023C5B"/>
            </w:tcBorders>
          </w:tcPr>
          <w:p>
            <w:pPr>
              <w:spacing w:after="0"/>
              <w:rPr>
                <w:sz w:val="3"/>
                <w:szCs w:val="3"/>
                <w:color w:val="auto"/>
              </w:rPr>
            </w:pPr>
          </w:p>
        </w:tc>
        <w:tc>
          <w:tcPr>
            <w:tcW w:w="1400" w:type="dxa"/>
            <w:vAlign w:val="bottom"/>
            <w:tcBorders>
              <w:bottom w:val="single" w:sz="8" w:color="023C5B"/>
            </w:tcBorders>
          </w:tcPr>
          <w:p>
            <w:pPr>
              <w:spacing w:after="0"/>
              <w:rPr>
                <w:sz w:val="3"/>
                <w:szCs w:val="3"/>
                <w:color w:val="auto"/>
              </w:rPr>
            </w:pPr>
          </w:p>
        </w:tc>
        <w:tc>
          <w:tcPr>
            <w:tcW w:w="60" w:type="dxa"/>
            <w:vAlign w:val="bottom"/>
            <w:tcBorders>
              <w:bottom w:val="single" w:sz="8" w:color="023C5B"/>
            </w:tcBorders>
          </w:tcPr>
          <w:p>
            <w:pPr>
              <w:spacing w:after="0"/>
              <w:rPr>
                <w:sz w:val="3"/>
                <w:szCs w:val="3"/>
                <w:color w:val="auto"/>
              </w:rPr>
            </w:pPr>
          </w:p>
        </w:tc>
        <w:tc>
          <w:tcPr>
            <w:tcW w:w="1720" w:type="dxa"/>
            <w:vAlign w:val="bottom"/>
            <w:tcBorders>
              <w:bottom w:val="single" w:sz="8" w:color="023C5B"/>
            </w:tcBorders>
          </w:tcPr>
          <w:p>
            <w:pPr>
              <w:spacing w:after="0"/>
              <w:rPr>
                <w:sz w:val="3"/>
                <w:szCs w:val="3"/>
                <w:color w:val="auto"/>
              </w:rPr>
            </w:pPr>
          </w:p>
        </w:tc>
        <w:tc>
          <w:tcPr>
            <w:tcW w:w="60" w:type="dxa"/>
            <w:vAlign w:val="bottom"/>
            <w:tcBorders>
              <w:bottom w:val="single" w:sz="8" w:color="023C5B"/>
            </w:tcBorders>
          </w:tcPr>
          <w:p>
            <w:pPr>
              <w:spacing w:after="0"/>
              <w:rPr>
                <w:sz w:val="3"/>
                <w:szCs w:val="3"/>
                <w:color w:val="auto"/>
              </w:rPr>
            </w:pPr>
          </w:p>
        </w:tc>
        <w:tc>
          <w:tcPr>
            <w:tcW w:w="1620" w:type="dxa"/>
            <w:vAlign w:val="bottom"/>
            <w:tcBorders>
              <w:bottom w:val="single" w:sz="8" w:color="023C5B"/>
            </w:tcBorders>
          </w:tcPr>
          <w:p>
            <w:pPr>
              <w:spacing w:after="0"/>
              <w:rPr>
                <w:sz w:val="3"/>
                <w:szCs w:val="3"/>
                <w:color w:val="auto"/>
              </w:rPr>
            </w:pPr>
          </w:p>
        </w:tc>
        <w:tc>
          <w:tcPr>
            <w:tcW w:w="60" w:type="dxa"/>
            <w:vAlign w:val="bottom"/>
            <w:tcBorders>
              <w:bottom w:val="single" w:sz="8" w:color="023C5B"/>
            </w:tcBorders>
          </w:tcPr>
          <w:p>
            <w:pPr>
              <w:spacing w:after="0"/>
              <w:rPr>
                <w:sz w:val="3"/>
                <w:szCs w:val="3"/>
                <w:color w:val="auto"/>
              </w:rPr>
            </w:pPr>
          </w:p>
        </w:tc>
        <w:tc>
          <w:tcPr>
            <w:tcW w:w="1320" w:type="dxa"/>
            <w:vAlign w:val="bottom"/>
            <w:tcBorders>
              <w:bottom w:val="single" w:sz="8" w:color="023C5B"/>
            </w:tcBorders>
          </w:tcPr>
          <w:p>
            <w:pPr>
              <w:spacing w:after="0"/>
              <w:rPr>
                <w:sz w:val="3"/>
                <w:szCs w:val="3"/>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r>
    </w:tbl>
    <w:p>
      <w:pPr>
        <w:spacing w:after="0" w:line="31" w:lineRule="exact"/>
        <w:rPr>
          <w:sz w:val="20"/>
          <w:szCs w:val="20"/>
          <w:color w:val="auto"/>
        </w:rPr>
      </w:pPr>
    </w:p>
    <w:p>
      <w:pPr>
        <w:jc w:val="both"/>
        <w:ind w:left="600" w:hanging="433"/>
        <w:spacing w:after="0" w:line="253" w:lineRule="auto"/>
        <w:tabs>
          <w:tab w:leader="none" w:pos="6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In November 1995, Capital One amended the CBPP and the Excess CBPP to eliminate further pay-based credits to participants as of December 31, 1995 and to provide that there would be no new participants in such plans on or after January 1, 1996. Interest continues to be credited on plan balances on a quarterly (CBPP) or monthly (Excess CBPP) basis. As described above, both of these programs were frozen in December 1995 and do not include any component related to the participant’s years of credited service with Capital One.</w:t>
      </w:r>
    </w:p>
    <w:p>
      <w:pPr>
        <w:spacing w:after="0" w:line="43" w:lineRule="exact"/>
        <w:rPr>
          <w:rFonts w:ascii="Arial" w:cs="Arial" w:eastAsia="Arial" w:hAnsi="Arial"/>
          <w:sz w:val="14"/>
          <w:szCs w:val="14"/>
          <w:color w:val="auto"/>
        </w:rPr>
      </w:pPr>
    </w:p>
    <w:p>
      <w:pPr>
        <w:ind w:left="600" w:right="20" w:hanging="433"/>
        <w:spacing w:after="0" w:line="281" w:lineRule="auto"/>
        <w:tabs>
          <w:tab w:leader="none" w:pos="6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amounts shown are the present value of the accrued benefit determined by our external benefits provider, using similar actuarial assumptions and the measurement date used for financial accounting purposes.</w:t>
      </w:r>
    </w:p>
    <w:p>
      <w:pPr>
        <w:spacing w:after="0" w:line="24" w:lineRule="exact"/>
        <w:rPr>
          <w:rFonts w:ascii="Arial" w:cs="Arial" w:eastAsia="Arial" w:hAnsi="Arial"/>
          <w:sz w:val="14"/>
          <w:szCs w:val="14"/>
          <w:color w:val="auto"/>
        </w:rPr>
      </w:pPr>
    </w:p>
    <w:p>
      <w:pPr>
        <w:ind w:left="600" w:right="20" w:hanging="433"/>
        <w:spacing w:after="0" w:line="281" w:lineRule="auto"/>
        <w:tabs>
          <w:tab w:leader="none" w:pos="60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Consistent with the measurement date used for financial disclosure for the pension plans, the amounts for each year are determined as of a December 31, 2025 measurement date.</w:t>
      </w:r>
    </w:p>
    <w:p>
      <w:pPr>
        <w:spacing w:after="0" w:line="74"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Capital One’s Voluntary Non-Qualified Deferred Compensation Programs</w:t>
      </w:r>
    </w:p>
    <w:p>
      <w:pPr>
        <w:spacing w:after="0" w:line="22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Capital One offers a VNQDCP to eligible associates. In 2025, our NEOs, excluding our CEO, could elect to contribute up to 50% of the cash portion of their respective base salaries and up to 90% of their cash incentive on a tax-deferred basis to the VNQDCP. Messrs. Young, Cooper, Mouadeb, and LaPrade participated in the program in 2025. In 2025, 100% of the CEO’s deferred cash bonus was mandatorily deferred for three years under the VNQDCP and will be paid in a lump sum in the first quarter of 2028. In addition to participant deferrals, Capital One makes contributions under the VNQDCP. Company contributions vest immediately when posted to the VNQDCP.</w:t>
      </w:r>
    </w:p>
    <w:p>
      <w:pPr>
        <w:spacing w:after="0" w:line="181"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Participants in the VNQDCP have the option to direct their individual investments daily among the following nine different investment offerings made available by the plans, which posted the corresponding returns for 2025: Mercer Core Fixed Income Fund Class Y3 (7.8%); Mercer US Small/Mid Cap Equity Fund Class Y3 (6.4%); Mercer Non-US Core Equity Fund Class Y3 (37.3%); Fidelity Investments Money Market Government Portfolio—Institutional Class (4.24%); Dodge and Cox Balanced Fund (14.4%); Fidelity 500 Index Fund— Institutional Premium Class (17.9%); Fidelity Extended Market Index Fund (11.4%); Fidelity Global ex U.S. Index Fund (33.0%); and Fidelity U.S. Bond Index Fund (7.1%). In 2025, the VNQDCP had total investment earnings of $102,410,984.</w:t>
      </w:r>
    </w:p>
    <w:p>
      <w:pPr>
        <w:spacing w:after="0" w:line="18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Distributions under the VNQDCP may be made to participants according to the schedule for distribution that they elect in accordance with plan terms. Distributions can occur based upon the following events: termination of employment (including for retirement), death, disability, in-service distribution election, or change of control. The distribution schedules available under the plan include lump sum and, in the case of retirement, five-, ten-, or fifteen-year annual installments.</w:t>
      </w:r>
    </w:p>
    <w:p>
      <w:pPr>
        <w:spacing w:after="0" w:line="17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Prior to December 31, 2005, Capital One offered its executives an Excess Savings Plan (“ESP”). The plan was frozen as of December 31, 2005: no additional participants have been permitted to enter the plan, and no compensation has since been taken into account after this date. Messrs. Fairbank, Young, and LaPrade participated in the ESP, and returns on these investments are reported for 2025. Effective January 1, 2008, the ESP was merged into the VNQDCP, and participants in the ESP have the option to direct their individual investments among the same offerings as the VNQDCP.</w:t>
      </w:r>
    </w:p>
    <w:p>
      <w:pPr>
        <w:spacing w:after="0" w:line="115" w:lineRule="exact"/>
        <w:rPr>
          <w:sz w:val="20"/>
          <w:szCs w:val="20"/>
          <w:color w:val="auto"/>
        </w:rPr>
      </w:pPr>
    </w:p>
    <w:p>
      <w:pPr>
        <w:ind w:left="5520"/>
        <w:spacing w:after="0"/>
        <w:tabs>
          <w:tab w:leader="none" w:pos="862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-111760</wp:posOffset>
            </wp:positionV>
            <wp:extent cx="8255" cy="1784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2025 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173990</wp:posOffset>
            </wp:positionV>
            <wp:extent cx="5078730" cy="2836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078730" cy="2836545"/>
                    </a:xfrm>
                    <a:prstGeom prst="rect">
                      <a:avLst/>
                    </a:prstGeom>
                    <a:noFill/>
                  </pic:spPr>
                </pic:pic>
              </a:graphicData>
            </a:graphic>
          </wp:anchor>
        </w:drawing>
      </w: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20" w:type="dxa"/>
            <w:vAlign w:val="bottom"/>
            <w:shd w:val="clear" w:color="auto" w:fill="023C5B"/>
          </w:tcPr>
          <w:p>
            <w:pPr>
              <w:spacing w:after="0"/>
              <w:rPr>
                <w:sz w:val="19"/>
                <w:szCs w:val="19"/>
                <w:color w:val="auto"/>
              </w:rPr>
            </w:pPr>
          </w:p>
        </w:tc>
        <w:tc>
          <w:tcPr>
            <w:tcW w:w="1700" w:type="dxa"/>
            <w:vAlign w:val="bottom"/>
            <w:shd w:val="clear" w:color="auto" w:fill="023C5B"/>
          </w:tcPr>
          <w:p>
            <w:pPr>
              <w:spacing w:after="0"/>
              <w:rPr>
                <w:sz w:val="19"/>
                <w:szCs w:val="19"/>
                <w:color w:val="auto"/>
              </w:rPr>
            </w:pPr>
          </w:p>
        </w:tc>
        <w:tc>
          <w:tcPr>
            <w:tcW w:w="60" w:type="dxa"/>
            <w:vAlign w:val="bottom"/>
            <w:tcBorders>
              <w:right w:val="single" w:sz="8" w:color="023C5B"/>
            </w:tcBorders>
            <w:shd w:val="clear" w:color="auto" w:fill="023C5B"/>
          </w:tcPr>
          <w:p>
            <w:pPr>
              <w:spacing w:after="0"/>
              <w:rPr>
                <w:sz w:val="19"/>
                <w:szCs w:val="19"/>
                <w:color w:val="auto"/>
              </w:rPr>
            </w:pPr>
          </w:p>
        </w:tc>
        <w:tc>
          <w:tcPr>
            <w:tcW w:w="168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122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122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124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8"/>
              </w:rPr>
              <w:t>Aggregate</w:t>
            </w:r>
          </w:p>
        </w:tc>
        <w:tc>
          <w:tcPr>
            <w:tcW w:w="1220" w:type="dxa"/>
            <w:vAlign w:val="bottom"/>
            <w:gridSpan w:val="2"/>
            <w:vMerge w:val="restart"/>
            <w:shd w:val="clear" w:color="auto" w:fill="023C5B"/>
          </w:tcPr>
          <w:p>
            <w:pPr>
              <w:jc w:val="center"/>
              <w:spacing w:after="0"/>
              <w:rPr>
                <w:sz w:val="20"/>
                <w:szCs w:val="20"/>
                <w:color w:val="auto"/>
              </w:rPr>
            </w:pPr>
            <w:r>
              <w:rPr>
                <w:rFonts w:ascii="Arial" w:cs="Arial" w:eastAsia="Arial" w:hAnsi="Arial"/>
                <w:sz w:val="16"/>
                <w:szCs w:val="16"/>
                <w:b w:val="1"/>
                <w:bCs w:val="1"/>
                <w:color w:val="FFFFFF"/>
              </w:rPr>
              <w:t>Aggregate</w:t>
            </w:r>
          </w:p>
        </w:tc>
        <w:tc>
          <w:tcPr>
            <w:tcW w:w="1180" w:type="dxa"/>
            <w:vAlign w:val="bottom"/>
            <w:shd w:val="clear" w:color="auto" w:fill="023C5B"/>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220" w:type="dxa"/>
            <w:vAlign w:val="bottom"/>
            <w:shd w:val="clear" w:color="auto" w:fill="023C5B"/>
          </w:tcPr>
          <w:p>
            <w:pPr>
              <w:spacing w:after="0"/>
              <w:rPr>
                <w:sz w:val="15"/>
                <w:szCs w:val="15"/>
                <w:color w:val="auto"/>
              </w:rPr>
            </w:pPr>
          </w:p>
        </w:tc>
        <w:tc>
          <w:tcPr>
            <w:tcW w:w="1700" w:type="dxa"/>
            <w:vAlign w:val="bottom"/>
            <w:shd w:val="clear" w:color="auto" w:fill="023C5B"/>
          </w:tcPr>
          <w:p>
            <w:pPr>
              <w:spacing w:after="0"/>
              <w:rPr>
                <w:sz w:val="15"/>
                <w:szCs w:val="15"/>
                <w:color w:val="auto"/>
              </w:rPr>
            </w:pPr>
          </w:p>
        </w:tc>
        <w:tc>
          <w:tcPr>
            <w:tcW w:w="60" w:type="dxa"/>
            <w:vAlign w:val="bottom"/>
            <w:tcBorders>
              <w:right w:val="single" w:sz="8" w:color="023C5B"/>
            </w:tcBorders>
            <w:shd w:val="clear" w:color="auto" w:fill="023C5B"/>
          </w:tcPr>
          <w:p>
            <w:pPr>
              <w:spacing w:after="0"/>
              <w:rPr>
                <w:sz w:val="15"/>
                <w:szCs w:val="15"/>
                <w:color w:val="auto"/>
              </w:rPr>
            </w:pPr>
          </w:p>
        </w:tc>
        <w:tc>
          <w:tcPr>
            <w:tcW w:w="1680" w:type="dxa"/>
            <w:vAlign w:val="bottom"/>
            <w:shd w:val="clear" w:color="auto" w:fill="023C5B"/>
          </w:tcPr>
          <w:p>
            <w:pPr>
              <w:spacing w:after="0"/>
              <w:rPr>
                <w:sz w:val="15"/>
                <w:szCs w:val="15"/>
                <w:color w:val="auto"/>
              </w:rPr>
            </w:pPr>
          </w:p>
        </w:tc>
        <w:tc>
          <w:tcPr>
            <w:tcW w:w="60" w:type="dxa"/>
            <w:vAlign w:val="bottom"/>
            <w:shd w:val="clear" w:color="auto" w:fill="023C5B"/>
          </w:tcPr>
          <w:p>
            <w:pPr>
              <w:spacing w:after="0"/>
              <w:rPr>
                <w:sz w:val="15"/>
                <w:szCs w:val="15"/>
                <w:color w:val="auto"/>
              </w:rPr>
            </w:pPr>
          </w:p>
        </w:tc>
        <w:tc>
          <w:tcPr>
            <w:tcW w:w="1280" w:type="dxa"/>
            <w:vAlign w:val="bottom"/>
            <w:gridSpan w:val="2"/>
            <w:shd w:val="clear" w:color="auto" w:fill="023C5B"/>
          </w:tcPr>
          <w:p>
            <w:pPr>
              <w:jc w:val="center"/>
              <w:spacing w:after="0" w:line="174" w:lineRule="exact"/>
              <w:rPr>
                <w:sz w:val="20"/>
                <w:szCs w:val="20"/>
                <w:color w:val="auto"/>
              </w:rPr>
            </w:pPr>
            <w:r>
              <w:rPr>
                <w:rFonts w:ascii="Arial" w:cs="Arial" w:eastAsia="Arial" w:hAnsi="Arial"/>
                <w:sz w:val="16"/>
                <w:szCs w:val="16"/>
                <w:b w:val="1"/>
                <w:bCs w:val="1"/>
                <w:color w:val="FFFFFF"/>
                <w:w w:val="98"/>
              </w:rPr>
              <w:t>Executive</w:t>
            </w:r>
          </w:p>
        </w:tc>
        <w:tc>
          <w:tcPr>
            <w:tcW w:w="1280" w:type="dxa"/>
            <w:vAlign w:val="bottom"/>
            <w:gridSpan w:val="2"/>
            <w:shd w:val="clear" w:color="auto" w:fill="023C5B"/>
          </w:tcPr>
          <w:p>
            <w:pPr>
              <w:jc w:val="center"/>
              <w:spacing w:after="0" w:line="174" w:lineRule="exact"/>
              <w:rPr>
                <w:sz w:val="20"/>
                <w:szCs w:val="20"/>
                <w:color w:val="auto"/>
              </w:rPr>
            </w:pPr>
            <w:r>
              <w:rPr>
                <w:rFonts w:ascii="Arial" w:cs="Arial" w:eastAsia="Arial" w:hAnsi="Arial"/>
                <w:sz w:val="16"/>
                <w:szCs w:val="16"/>
                <w:b w:val="1"/>
                <w:bCs w:val="1"/>
                <w:color w:val="FFFFFF"/>
              </w:rPr>
              <w:t>Registrant</w:t>
            </w:r>
          </w:p>
        </w:tc>
        <w:tc>
          <w:tcPr>
            <w:tcW w:w="1240" w:type="dxa"/>
            <w:vAlign w:val="bottom"/>
            <w:gridSpan w:val="2"/>
            <w:shd w:val="clear" w:color="auto" w:fill="023C5B"/>
          </w:tcPr>
          <w:p>
            <w:pPr>
              <w:jc w:val="center"/>
              <w:spacing w:after="0" w:line="174" w:lineRule="exact"/>
              <w:rPr>
                <w:sz w:val="20"/>
                <w:szCs w:val="20"/>
                <w:color w:val="auto"/>
              </w:rPr>
            </w:pPr>
            <w:r>
              <w:rPr>
                <w:rFonts w:ascii="Arial" w:cs="Arial" w:eastAsia="Arial" w:hAnsi="Arial"/>
                <w:sz w:val="16"/>
                <w:szCs w:val="16"/>
                <w:b w:val="1"/>
                <w:bCs w:val="1"/>
                <w:color w:val="FFFFFF"/>
              </w:rPr>
              <w:t>Earnings</w:t>
            </w:r>
          </w:p>
        </w:tc>
        <w:tc>
          <w:tcPr>
            <w:tcW w:w="1220" w:type="dxa"/>
            <w:vAlign w:val="bottom"/>
            <w:gridSpan w:val="2"/>
            <w:vMerge w:val="continue"/>
            <w:shd w:val="clear" w:color="auto" w:fill="023C5B"/>
          </w:tcPr>
          <w:p>
            <w:pPr>
              <w:spacing w:after="0"/>
              <w:rPr>
                <w:sz w:val="15"/>
                <w:szCs w:val="15"/>
                <w:color w:val="auto"/>
              </w:rPr>
            </w:pPr>
          </w:p>
        </w:tc>
        <w:tc>
          <w:tcPr>
            <w:tcW w:w="1180" w:type="dxa"/>
            <w:vAlign w:val="bottom"/>
            <w:shd w:val="clear" w:color="auto" w:fill="023C5B"/>
          </w:tcPr>
          <w:p>
            <w:pPr>
              <w:ind w:left="220"/>
              <w:spacing w:after="0" w:line="174" w:lineRule="exact"/>
              <w:rPr>
                <w:sz w:val="20"/>
                <w:szCs w:val="20"/>
                <w:color w:val="auto"/>
              </w:rPr>
            </w:pPr>
            <w:r>
              <w:rPr>
                <w:rFonts w:ascii="Arial" w:cs="Arial" w:eastAsia="Arial" w:hAnsi="Arial"/>
                <w:sz w:val="16"/>
                <w:szCs w:val="16"/>
                <w:b w:val="1"/>
                <w:bCs w:val="1"/>
                <w:color w:val="FFFFFF"/>
              </w:rPr>
              <w:t>Aggregate</w:t>
            </w:r>
          </w:p>
        </w:tc>
        <w:tc>
          <w:tcPr>
            <w:tcW w:w="0" w:type="dxa"/>
            <w:vAlign w:val="bottom"/>
          </w:tcPr>
          <w:p>
            <w:pPr>
              <w:spacing w:after="0"/>
              <w:rPr>
                <w:sz w:val="1"/>
                <w:szCs w:val="1"/>
                <w:color w:val="auto"/>
              </w:rPr>
            </w:pPr>
          </w:p>
        </w:tc>
      </w:tr>
      <w:tr>
        <w:trPr>
          <w:trHeight w:val="187"/>
        </w:trPr>
        <w:tc>
          <w:tcPr>
            <w:tcW w:w="1220" w:type="dxa"/>
            <w:vAlign w:val="bottom"/>
            <w:shd w:val="clear" w:color="auto" w:fill="023C5B"/>
          </w:tcPr>
          <w:p>
            <w:pPr>
              <w:spacing w:after="0"/>
              <w:rPr>
                <w:sz w:val="16"/>
                <w:szCs w:val="16"/>
                <w:color w:val="auto"/>
              </w:rPr>
            </w:pPr>
          </w:p>
        </w:tc>
        <w:tc>
          <w:tcPr>
            <w:tcW w:w="1700" w:type="dxa"/>
            <w:vAlign w:val="bottom"/>
            <w:shd w:val="clear" w:color="auto" w:fill="023C5B"/>
          </w:tcPr>
          <w:p>
            <w:pPr>
              <w:spacing w:after="0"/>
              <w:rPr>
                <w:sz w:val="16"/>
                <w:szCs w:val="16"/>
                <w:color w:val="auto"/>
              </w:rPr>
            </w:pPr>
          </w:p>
        </w:tc>
        <w:tc>
          <w:tcPr>
            <w:tcW w:w="60" w:type="dxa"/>
            <w:vAlign w:val="bottom"/>
            <w:tcBorders>
              <w:right w:val="single" w:sz="8" w:color="023C5B"/>
            </w:tcBorders>
            <w:shd w:val="clear" w:color="auto" w:fill="023C5B"/>
          </w:tcPr>
          <w:p>
            <w:pPr>
              <w:spacing w:after="0"/>
              <w:rPr>
                <w:sz w:val="16"/>
                <w:szCs w:val="16"/>
                <w:color w:val="auto"/>
              </w:rPr>
            </w:pPr>
          </w:p>
        </w:tc>
        <w:tc>
          <w:tcPr>
            <w:tcW w:w="168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28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Contributions</w:t>
            </w:r>
          </w:p>
        </w:tc>
        <w:tc>
          <w:tcPr>
            <w:tcW w:w="128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Contributions</w:t>
            </w:r>
          </w:p>
        </w:tc>
        <w:tc>
          <w:tcPr>
            <w:tcW w:w="124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in Last</w:t>
            </w: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Withdrawals/</w:t>
            </w:r>
          </w:p>
        </w:tc>
        <w:tc>
          <w:tcPr>
            <w:tcW w:w="1180" w:type="dxa"/>
            <w:vAlign w:val="bottom"/>
            <w:shd w:val="clear" w:color="auto" w:fill="023C5B"/>
          </w:tcPr>
          <w:p>
            <w:pPr>
              <w:ind w:left="220"/>
              <w:spacing w:after="0"/>
              <w:rPr>
                <w:sz w:val="20"/>
                <w:szCs w:val="20"/>
                <w:color w:val="auto"/>
              </w:rPr>
            </w:pPr>
            <w:r>
              <w:rPr>
                <w:rFonts w:ascii="Arial" w:cs="Arial" w:eastAsia="Arial" w:hAnsi="Arial"/>
                <w:sz w:val="16"/>
                <w:szCs w:val="16"/>
                <w:b w:val="1"/>
                <w:bCs w:val="1"/>
                <w:color w:val="FFFFFF"/>
              </w:rPr>
              <w:t>Balance at</w:t>
            </w:r>
          </w:p>
        </w:tc>
        <w:tc>
          <w:tcPr>
            <w:tcW w:w="0" w:type="dxa"/>
            <w:vAlign w:val="bottom"/>
          </w:tcPr>
          <w:p>
            <w:pPr>
              <w:spacing w:after="0"/>
              <w:rPr>
                <w:sz w:val="1"/>
                <w:szCs w:val="1"/>
                <w:color w:val="auto"/>
              </w:rPr>
            </w:pPr>
          </w:p>
        </w:tc>
      </w:tr>
      <w:tr>
        <w:trPr>
          <w:trHeight w:val="268"/>
        </w:trPr>
        <w:tc>
          <w:tcPr>
            <w:tcW w:w="2980" w:type="dxa"/>
            <w:vAlign w:val="bottom"/>
            <w:tcBorders>
              <w:right w:val="single" w:sz="8" w:color="023C5B"/>
            </w:tcBorders>
            <w:gridSpan w:val="3"/>
            <w:shd w:val="clear" w:color="auto" w:fill="023C5B"/>
          </w:tcPr>
          <w:p>
            <w:pPr>
              <w:spacing w:after="0"/>
              <w:rPr>
                <w:sz w:val="20"/>
                <w:szCs w:val="20"/>
                <w:color w:val="auto"/>
              </w:rPr>
            </w:pPr>
            <w:r>
              <w:rPr>
                <w:rFonts w:ascii="Arial" w:cs="Arial" w:eastAsia="Arial" w:hAnsi="Arial"/>
                <w:sz w:val="16"/>
                <w:szCs w:val="16"/>
                <w:b w:val="1"/>
                <w:bCs w:val="1"/>
                <w:color w:val="FFFFFF"/>
              </w:rPr>
              <w:t>  Name</w:t>
            </w:r>
          </w:p>
        </w:tc>
        <w:tc>
          <w:tcPr>
            <w:tcW w:w="1740" w:type="dxa"/>
            <w:vAlign w:val="bottom"/>
            <w:gridSpan w:val="2"/>
            <w:shd w:val="clear" w:color="auto" w:fill="023C5B"/>
          </w:tcPr>
          <w:p>
            <w:pPr>
              <w:ind w:left="460"/>
              <w:spacing w:after="0"/>
              <w:rPr>
                <w:sz w:val="20"/>
                <w:szCs w:val="20"/>
                <w:color w:val="auto"/>
              </w:rPr>
            </w:pPr>
            <w:r>
              <w:rPr>
                <w:rFonts w:ascii="Arial" w:cs="Arial" w:eastAsia="Arial" w:hAnsi="Arial"/>
                <w:sz w:val="16"/>
                <w:szCs w:val="16"/>
                <w:b w:val="1"/>
                <w:bCs w:val="1"/>
                <w:color w:val="FFFFFF"/>
              </w:rPr>
              <w:t>Plan Name</w:t>
            </w:r>
          </w:p>
        </w:tc>
        <w:tc>
          <w:tcPr>
            <w:tcW w:w="1280" w:type="dxa"/>
            <w:vAlign w:val="bottom"/>
            <w:gridSpan w:val="2"/>
            <w:shd w:val="clear" w:color="auto" w:fill="023C5B"/>
          </w:tcPr>
          <w:p>
            <w:pPr>
              <w:jc w:val="center"/>
              <w:spacing w:after="0" w:line="268" w:lineRule="exact"/>
              <w:rPr>
                <w:sz w:val="20"/>
                <w:szCs w:val="20"/>
                <w:color w:val="auto"/>
              </w:rPr>
            </w:pPr>
            <w:r>
              <w:rPr>
                <w:rFonts w:ascii="Arial" w:cs="Arial" w:eastAsia="Arial" w:hAnsi="Arial"/>
                <w:sz w:val="16"/>
                <w:szCs w:val="16"/>
                <w:b w:val="1"/>
                <w:bCs w:val="1"/>
                <w:color w:val="FFFFFF"/>
                <w:w w:val="93"/>
              </w:rPr>
              <w:t>in Last FY</w:t>
            </w:r>
            <w:r>
              <w:rPr>
                <w:rFonts w:ascii="Arial" w:cs="Arial" w:eastAsia="Arial" w:hAnsi="Arial"/>
                <w:sz w:val="24"/>
                <w:szCs w:val="24"/>
                <w:b w:val="1"/>
                <w:bCs w:val="1"/>
                <w:color w:val="FFFFFF"/>
                <w:w w:val="93"/>
                <w:vertAlign w:val="superscript"/>
              </w:rPr>
              <w:t>(1)</w:t>
            </w:r>
          </w:p>
        </w:tc>
        <w:tc>
          <w:tcPr>
            <w:tcW w:w="1280" w:type="dxa"/>
            <w:vAlign w:val="bottom"/>
            <w:gridSpan w:val="2"/>
            <w:shd w:val="clear" w:color="auto" w:fill="023C5B"/>
          </w:tcPr>
          <w:p>
            <w:pPr>
              <w:jc w:val="center"/>
              <w:spacing w:after="0" w:line="268" w:lineRule="exact"/>
              <w:rPr>
                <w:sz w:val="20"/>
                <w:szCs w:val="20"/>
                <w:color w:val="auto"/>
              </w:rPr>
            </w:pPr>
            <w:r>
              <w:rPr>
                <w:rFonts w:ascii="Arial" w:cs="Arial" w:eastAsia="Arial" w:hAnsi="Arial"/>
                <w:sz w:val="16"/>
                <w:szCs w:val="16"/>
                <w:b w:val="1"/>
                <w:bCs w:val="1"/>
                <w:color w:val="FFFFFF"/>
                <w:w w:val="95"/>
              </w:rPr>
              <w:t>in Last FY</w:t>
            </w:r>
            <w:r>
              <w:rPr>
                <w:rFonts w:ascii="Arial" w:cs="Arial" w:eastAsia="Arial" w:hAnsi="Arial"/>
                <w:sz w:val="24"/>
                <w:szCs w:val="24"/>
                <w:b w:val="1"/>
                <w:bCs w:val="1"/>
                <w:color w:val="FFFFFF"/>
                <w:w w:val="95"/>
                <w:vertAlign w:val="superscript"/>
              </w:rPr>
              <w:t>(2)</w:t>
            </w:r>
          </w:p>
        </w:tc>
        <w:tc>
          <w:tcPr>
            <w:tcW w:w="1240" w:type="dxa"/>
            <w:vAlign w:val="bottom"/>
            <w:gridSpan w:val="2"/>
            <w:shd w:val="clear" w:color="auto" w:fill="023C5B"/>
          </w:tcPr>
          <w:p>
            <w:pPr>
              <w:jc w:val="center"/>
              <w:spacing w:after="0" w:line="268" w:lineRule="exact"/>
              <w:rPr>
                <w:sz w:val="20"/>
                <w:szCs w:val="20"/>
                <w:color w:val="auto"/>
              </w:rPr>
            </w:pPr>
            <w:r>
              <w:rPr>
                <w:rFonts w:ascii="Arial" w:cs="Arial" w:eastAsia="Arial" w:hAnsi="Arial"/>
                <w:sz w:val="31"/>
                <w:szCs w:val="31"/>
                <w:b w:val="1"/>
                <w:bCs w:val="1"/>
                <w:color w:val="FFFFFF"/>
                <w:w w:val="82"/>
                <w:vertAlign w:val="subscript"/>
              </w:rPr>
              <w:t>FY</w:t>
            </w:r>
            <w:r>
              <w:rPr>
                <w:rFonts w:ascii="Arial" w:cs="Arial" w:eastAsia="Arial" w:hAnsi="Arial"/>
                <w:sz w:val="12"/>
                <w:szCs w:val="12"/>
                <w:b w:val="1"/>
                <w:bCs w:val="1"/>
                <w:color w:val="FFFFFF"/>
                <w:w w:val="82"/>
              </w:rPr>
              <w:t>(3)</w:t>
            </w: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Distributions</w:t>
            </w:r>
          </w:p>
        </w:tc>
        <w:tc>
          <w:tcPr>
            <w:tcW w:w="1180" w:type="dxa"/>
            <w:vAlign w:val="bottom"/>
            <w:shd w:val="clear" w:color="auto" w:fill="023C5B"/>
          </w:tcPr>
          <w:p>
            <w:pPr>
              <w:ind w:left="200"/>
              <w:spacing w:after="0" w:line="268" w:lineRule="exact"/>
              <w:rPr>
                <w:sz w:val="20"/>
                <w:szCs w:val="20"/>
                <w:color w:val="auto"/>
              </w:rPr>
            </w:pPr>
            <w:r>
              <w:rPr>
                <w:rFonts w:ascii="Arial" w:cs="Arial" w:eastAsia="Arial" w:hAnsi="Arial"/>
                <w:sz w:val="16"/>
                <w:szCs w:val="16"/>
                <w:b w:val="1"/>
                <w:bCs w:val="1"/>
                <w:color w:val="FFFFFF"/>
              </w:rPr>
              <w:t>Last FYE</w:t>
            </w:r>
            <w:r>
              <w:rPr>
                <w:rFonts w:ascii="Arial" w:cs="Arial" w:eastAsia="Arial" w:hAnsi="Arial"/>
                <w:sz w:val="24"/>
                <w:szCs w:val="24"/>
                <w:b w:val="1"/>
                <w:bCs w:val="1"/>
                <w:color w:val="FFFFFF"/>
                <w:vertAlign w:val="superscript"/>
              </w:rPr>
              <w:t>(4)</w:t>
            </w:r>
          </w:p>
        </w:tc>
        <w:tc>
          <w:tcPr>
            <w:tcW w:w="0" w:type="dxa"/>
            <w:vAlign w:val="bottom"/>
          </w:tcPr>
          <w:p>
            <w:pPr>
              <w:spacing w:after="0"/>
              <w:rPr>
                <w:sz w:val="1"/>
                <w:szCs w:val="1"/>
                <w:color w:val="auto"/>
              </w:rPr>
            </w:pPr>
          </w:p>
        </w:tc>
      </w:tr>
      <w:tr>
        <w:trPr>
          <w:trHeight w:val="288"/>
        </w:trPr>
        <w:tc>
          <w:tcPr>
            <w:tcW w:w="2980" w:type="dxa"/>
            <w:vAlign w:val="bottom"/>
            <w:tcBorders>
              <w:right w:val="single" w:sz="8" w:color="E5EBEE"/>
            </w:tcBorders>
            <w:gridSpan w:val="3"/>
          </w:tcPr>
          <w:p>
            <w:pPr>
              <w:spacing w:after="0"/>
              <w:rPr>
                <w:sz w:val="20"/>
                <w:szCs w:val="20"/>
                <w:color w:val="auto"/>
              </w:rPr>
            </w:pPr>
            <w:r>
              <w:rPr>
                <w:rFonts w:ascii="Arial" w:cs="Arial" w:eastAsia="Arial" w:hAnsi="Arial"/>
                <w:sz w:val="18"/>
                <w:szCs w:val="18"/>
                <w:color w:val="auto"/>
              </w:rPr>
              <w:t>  Richard D. Fairbank</w:t>
            </w:r>
          </w:p>
        </w:tc>
        <w:tc>
          <w:tcPr>
            <w:tcW w:w="174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8"/>
                <w:szCs w:val="18"/>
                <w:color w:val="auto"/>
              </w:rPr>
              <w:t>VNQDCP</w:t>
            </w:r>
          </w:p>
        </w:tc>
        <w:tc>
          <w:tcPr>
            <w:tcW w:w="12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$5,500,000</w:t>
            </w:r>
          </w:p>
        </w:tc>
        <w:tc>
          <w:tcPr>
            <w:tcW w:w="60" w:type="dxa"/>
            <w:vAlign w:val="bottom"/>
            <w:tcBorders>
              <w:bottom w:val="single" w:sz="8" w:color="E5EBEE"/>
            </w:tcBorders>
            <w:shd w:val="clear" w:color="auto" w:fill="E5EBEE"/>
          </w:tcPr>
          <w:p>
            <w:pPr>
              <w:spacing w:after="0"/>
              <w:rPr>
                <w:sz w:val="24"/>
                <w:szCs w:val="24"/>
                <w:color w:val="auto"/>
              </w:rPr>
            </w:pPr>
          </w:p>
        </w:tc>
        <w:tc>
          <w:tcPr>
            <w:tcW w:w="12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$657,374</w:t>
            </w:r>
          </w:p>
        </w:tc>
        <w:tc>
          <w:tcPr>
            <w:tcW w:w="60" w:type="dxa"/>
            <w:vAlign w:val="bottom"/>
            <w:tcBorders>
              <w:bottom w:val="single" w:sz="8" w:color="E5EBEE"/>
            </w:tcBorders>
            <w:shd w:val="clear" w:color="auto" w:fill="E5EBEE"/>
          </w:tcPr>
          <w:p>
            <w:pPr>
              <w:spacing w:after="0"/>
              <w:rPr>
                <w:sz w:val="24"/>
                <w:szCs w:val="24"/>
                <w:color w:val="auto"/>
              </w:rPr>
            </w:pPr>
          </w:p>
        </w:tc>
        <w:tc>
          <w:tcPr>
            <w:tcW w:w="116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$5,134,171</w:t>
            </w:r>
          </w:p>
        </w:tc>
        <w:tc>
          <w:tcPr>
            <w:tcW w:w="60" w:type="dxa"/>
            <w:vAlign w:val="bottom"/>
            <w:tcBorders>
              <w:bottom w:val="single" w:sz="8" w:color="E5EBEE"/>
            </w:tcBorders>
            <w:shd w:val="clear" w:color="auto" w:fill="E5EBEE"/>
          </w:tcPr>
          <w:p>
            <w:pPr>
              <w:spacing w:after="0"/>
              <w:rPr>
                <w:sz w:val="24"/>
                <w:szCs w:val="24"/>
                <w:color w:val="auto"/>
              </w:rPr>
            </w:pPr>
          </w:p>
        </w:tc>
        <w:tc>
          <w:tcPr>
            <w:tcW w:w="11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$16,035,644</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ESP</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2"/>
              </w:rPr>
              <w:t>$—</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$264,074</w:t>
            </w:r>
          </w:p>
        </w:tc>
        <w:tc>
          <w:tcPr>
            <w:tcW w:w="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$1,744,868</w:t>
            </w:r>
          </w:p>
        </w:tc>
        <w:tc>
          <w:tcPr>
            <w:tcW w:w="0" w:type="dxa"/>
            <w:vAlign w:val="bottom"/>
          </w:tcPr>
          <w:p>
            <w:pPr>
              <w:spacing w:after="0"/>
              <w:rPr>
                <w:sz w:val="1"/>
                <w:szCs w:val="1"/>
                <w:color w:val="auto"/>
              </w:rPr>
            </w:pPr>
          </w:p>
        </w:tc>
      </w:tr>
      <w:tr>
        <w:trPr>
          <w:trHeight w:val="38"/>
        </w:trPr>
        <w:tc>
          <w:tcPr>
            <w:tcW w:w="12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Borders>
              <w:right w:val="single" w:sz="8" w:color="E5EBEE"/>
            </w:tcBorders>
          </w:tcPr>
          <w:p>
            <w:pPr>
              <w:spacing w:after="0"/>
              <w:rPr>
                <w:sz w:val="20"/>
                <w:szCs w:val="20"/>
                <w:color w:val="auto"/>
              </w:rPr>
            </w:pPr>
          </w:p>
        </w:tc>
        <w:tc>
          <w:tcPr>
            <w:tcW w:w="1740" w:type="dxa"/>
            <w:vAlign w:val="bottom"/>
            <w:gridSpan w:val="2"/>
            <w:shd w:val="clear" w:color="auto" w:fill="E5EBEE"/>
          </w:tcPr>
          <w:p>
            <w:pPr>
              <w:ind w:left="80"/>
              <w:spacing w:after="0"/>
              <w:rPr>
                <w:sz w:val="20"/>
                <w:szCs w:val="20"/>
                <w:color w:val="auto"/>
              </w:rPr>
            </w:pPr>
            <w:r>
              <w:rPr>
                <w:rFonts w:ascii="Arial" w:cs="Arial" w:eastAsia="Arial" w:hAnsi="Arial"/>
                <w:sz w:val="18"/>
                <w:szCs w:val="18"/>
                <w:color w:val="auto"/>
              </w:rPr>
              <w:t>2003 Performance</w:t>
            </w:r>
          </w:p>
        </w:tc>
        <w:tc>
          <w:tcPr>
            <w:tcW w:w="1280" w:type="dxa"/>
            <w:vAlign w:val="bottom"/>
            <w:gridSpan w:val="2"/>
            <w:vMerge w:val="restart"/>
            <w:shd w:val="clear" w:color="auto" w:fill="E5EBEE"/>
          </w:tcPr>
          <w:p>
            <w:pPr>
              <w:jc w:val="center"/>
              <w:spacing w:after="0"/>
              <w:rPr>
                <w:sz w:val="20"/>
                <w:szCs w:val="20"/>
                <w:color w:val="auto"/>
              </w:rPr>
            </w:pPr>
            <w:r>
              <w:rPr>
                <w:rFonts w:ascii="Arial" w:cs="Arial" w:eastAsia="Arial" w:hAnsi="Arial"/>
                <w:sz w:val="18"/>
                <w:szCs w:val="18"/>
                <w:color w:val="auto"/>
                <w:w w:val="92"/>
              </w:rPr>
              <w:t>$—</w:t>
            </w:r>
          </w:p>
        </w:tc>
        <w:tc>
          <w:tcPr>
            <w:tcW w:w="1280" w:type="dxa"/>
            <w:vAlign w:val="bottom"/>
            <w:gridSpan w:val="2"/>
            <w:vMerge w:val="restart"/>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5EBEE"/>
          </w:tcPr>
          <w:p>
            <w:pPr>
              <w:jc w:val="center"/>
              <w:spacing w:after="0"/>
              <w:rPr>
                <w:sz w:val="20"/>
                <w:szCs w:val="20"/>
                <w:color w:val="auto"/>
              </w:rPr>
            </w:pPr>
            <w:r>
              <w:rPr>
                <w:rFonts w:ascii="Arial" w:cs="Arial" w:eastAsia="Arial" w:hAnsi="Arial"/>
                <w:sz w:val="18"/>
                <w:szCs w:val="18"/>
                <w:color w:val="auto"/>
                <w:w w:val="97"/>
              </w:rPr>
              <w:t>$15,477,187</w:t>
            </w:r>
          </w:p>
        </w:tc>
        <w:tc>
          <w:tcPr>
            <w:tcW w:w="60" w:type="dxa"/>
            <w:vAlign w:val="bottom"/>
            <w:shd w:val="clear" w:color="auto" w:fill="E5EBEE"/>
          </w:tcPr>
          <w:p>
            <w:pPr>
              <w:spacing w:after="0"/>
              <w:rPr>
                <w:sz w:val="20"/>
                <w:szCs w:val="20"/>
                <w:color w:val="auto"/>
              </w:rPr>
            </w:pPr>
          </w:p>
        </w:tc>
        <w:tc>
          <w:tcPr>
            <w:tcW w:w="1220" w:type="dxa"/>
            <w:vAlign w:val="bottom"/>
            <w:gridSpan w:val="2"/>
            <w:vMerge w:val="restart"/>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E5EBEE"/>
          </w:tcPr>
          <w:p>
            <w:pPr>
              <w:jc w:val="center"/>
              <w:spacing w:after="0"/>
              <w:rPr>
                <w:sz w:val="20"/>
                <w:szCs w:val="20"/>
                <w:color w:val="auto"/>
              </w:rPr>
            </w:pPr>
            <w:r>
              <w:rPr>
                <w:rFonts w:ascii="Arial" w:cs="Arial" w:eastAsia="Arial" w:hAnsi="Arial"/>
                <w:sz w:val="18"/>
                <w:szCs w:val="18"/>
                <w:color w:val="auto"/>
                <w:w w:val="99"/>
              </w:rPr>
              <w:t>$58,573,565</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Borders>
              <w:right w:val="single" w:sz="8" w:color="E5EBEE"/>
            </w:tcBorders>
          </w:tcPr>
          <w:p>
            <w:pPr>
              <w:spacing w:after="0"/>
              <w:rPr>
                <w:sz w:val="12"/>
                <w:szCs w:val="12"/>
                <w:color w:val="auto"/>
              </w:rPr>
            </w:pPr>
          </w:p>
        </w:tc>
        <w:tc>
          <w:tcPr>
            <w:tcW w:w="1680" w:type="dxa"/>
            <w:vAlign w:val="bottom"/>
            <w:vMerge w:val="restart"/>
            <w:shd w:val="clear" w:color="auto" w:fill="E5EBEE"/>
          </w:tcPr>
          <w:p>
            <w:pPr>
              <w:ind w:left="80"/>
              <w:spacing w:after="0" w:line="286" w:lineRule="exact"/>
              <w:rPr>
                <w:sz w:val="20"/>
                <w:szCs w:val="20"/>
                <w:color w:val="auto"/>
              </w:rPr>
            </w:pPr>
            <w:r>
              <w:rPr>
                <w:rFonts w:ascii="Arial" w:cs="Arial" w:eastAsia="Arial" w:hAnsi="Arial"/>
                <w:sz w:val="18"/>
                <w:szCs w:val="18"/>
                <w:color w:val="auto"/>
                <w:w w:val="99"/>
              </w:rPr>
              <w:t>   Share Award</w:t>
            </w:r>
            <w:r>
              <w:rPr>
                <w:rFonts w:ascii="Arial" w:cs="Arial" w:eastAsia="Arial" w:hAnsi="Arial"/>
                <w:sz w:val="26"/>
                <w:szCs w:val="26"/>
                <w:color w:val="auto"/>
                <w:w w:val="99"/>
                <w:vertAlign w:val="superscript"/>
              </w:rPr>
              <w:t>( 5)</w:t>
            </w:r>
          </w:p>
        </w:tc>
        <w:tc>
          <w:tcPr>
            <w:tcW w:w="60" w:type="dxa"/>
            <w:vAlign w:val="bottom"/>
            <w:vMerge w:val="restart"/>
            <w:shd w:val="clear" w:color="auto" w:fill="E5EBEE"/>
          </w:tcPr>
          <w:p>
            <w:pPr>
              <w:spacing w:after="0"/>
              <w:rPr>
                <w:sz w:val="12"/>
                <w:szCs w:val="12"/>
                <w:color w:val="auto"/>
              </w:rPr>
            </w:pPr>
          </w:p>
        </w:tc>
        <w:tc>
          <w:tcPr>
            <w:tcW w:w="1280" w:type="dxa"/>
            <w:vAlign w:val="bottom"/>
            <w:gridSpan w:val="2"/>
            <w:vMerge w:val="continue"/>
            <w:shd w:val="clear" w:color="auto" w:fill="E5EBEE"/>
          </w:tcPr>
          <w:p>
            <w:pPr>
              <w:spacing w:after="0"/>
              <w:rPr>
                <w:sz w:val="12"/>
                <w:szCs w:val="12"/>
                <w:color w:val="auto"/>
              </w:rPr>
            </w:pPr>
          </w:p>
        </w:tc>
        <w:tc>
          <w:tcPr>
            <w:tcW w:w="1280" w:type="dxa"/>
            <w:vAlign w:val="bottom"/>
            <w:gridSpan w:val="2"/>
            <w:vMerge w:val="continue"/>
            <w:shd w:val="clear" w:color="auto" w:fill="E5EBEE"/>
          </w:tcPr>
          <w:p>
            <w:pPr>
              <w:spacing w:after="0"/>
              <w:rPr>
                <w:sz w:val="12"/>
                <w:szCs w:val="12"/>
                <w:color w:val="auto"/>
              </w:rPr>
            </w:pPr>
          </w:p>
        </w:tc>
        <w:tc>
          <w:tcPr>
            <w:tcW w:w="1180" w:type="dxa"/>
            <w:vAlign w:val="bottom"/>
            <w:vMerge w:val="continue"/>
            <w:shd w:val="clear" w:color="auto" w:fill="E5EBEE"/>
          </w:tcPr>
          <w:p>
            <w:pPr>
              <w:spacing w:after="0"/>
              <w:rPr>
                <w:sz w:val="12"/>
                <w:szCs w:val="12"/>
                <w:color w:val="auto"/>
              </w:rPr>
            </w:pPr>
          </w:p>
        </w:tc>
        <w:tc>
          <w:tcPr>
            <w:tcW w:w="60" w:type="dxa"/>
            <w:vAlign w:val="bottom"/>
            <w:shd w:val="clear" w:color="auto" w:fill="E5EBEE"/>
          </w:tcPr>
          <w:p>
            <w:pPr>
              <w:spacing w:after="0"/>
              <w:rPr>
                <w:sz w:val="12"/>
                <w:szCs w:val="12"/>
                <w:color w:val="auto"/>
              </w:rPr>
            </w:pPr>
          </w:p>
        </w:tc>
        <w:tc>
          <w:tcPr>
            <w:tcW w:w="1220" w:type="dxa"/>
            <w:vAlign w:val="bottom"/>
            <w:gridSpan w:val="2"/>
            <w:vMerge w:val="continue"/>
            <w:shd w:val="clear" w:color="auto" w:fill="E5EBEE"/>
          </w:tcPr>
          <w:p>
            <w:pPr>
              <w:spacing w:after="0"/>
              <w:rPr>
                <w:sz w:val="12"/>
                <w:szCs w:val="12"/>
                <w:color w:val="auto"/>
              </w:rPr>
            </w:pPr>
          </w:p>
        </w:tc>
        <w:tc>
          <w:tcPr>
            <w:tcW w:w="1180" w:type="dxa"/>
            <w:vAlign w:val="bottom"/>
            <w:vMerge w:val="continue"/>
            <w:shd w:val="clear" w:color="auto" w:fill="E5EBE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20" w:type="dxa"/>
            <w:vAlign w:val="bottom"/>
            <w:tcBorders>
              <w:bottom w:val="single" w:sz="8" w:color="023C5B"/>
            </w:tcBorders>
          </w:tcPr>
          <w:p>
            <w:pPr>
              <w:spacing w:after="0"/>
              <w:rPr>
                <w:sz w:val="12"/>
                <w:szCs w:val="12"/>
                <w:color w:val="auto"/>
              </w:rPr>
            </w:pPr>
          </w:p>
        </w:tc>
        <w:tc>
          <w:tcPr>
            <w:tcW w:w="1700" w:type="dxa"/>
            <w:vAlign w:val="bottom"/>
            <w:tcBorders>
              <w:bottom w:val="single" w:sz="8" w:color="023C5B"/>
            </w:tcBorders>
          </w:tcPr>
          <w:p>
            <w:pPr>
              <w:spacing w:after="0"/>
              <w:rPr>
                <w:sz w:val="12"/>
                <w:szCs w:val="12"/>
                <w:color w:val="auto"/>
              </w:rPr>
            </w:pPr>
          </w:p>
        </w:tc>
        <w:tc>
          <w:tcPr>
            <w:tcW w:w="60" w:type="dxa"/>
            <w:vAlign w:val="bottom"/>
            <w:tcBorders>
              <w:right w:val="single" w:sz="8" w:color="E5EBEE"/>
            </w:tcBorders>
          </w:tcPr>
          <w:p>
            <w:pPr>
              <w:spacing w:after="0"/>
              <w:rPr>
                <w:sz w:val="12"/>
                <w:szCs w:val="12"/>
                <w:color w:val="auto"/>
              </w:rPr>
            </w:pPr>
          </w:p>
        </w:tc>
        <w:tc>
          <w:tcPr>
            <w:tcW w:w="1680" w:type="dxa"/>
            <w:vAlign w:val="bottom"/>
            <w:tcBorders>
              <w:bottom w:val="single" w:sz="8" w:color="023C5B"/>
            </w:tcBorders>
            <w:vMerge w:val="continue"/>
            <w:shd w:val="clear" w:color="auto" w:fill="E5EBEE"/>
          </w:tcPr>
          <w:p>
            <w:pPr>
              <w:spacing w:after="0"/>
              <w:rPr>
                <w:sz w:val="12"/>
                <w:szCs w:val="12"/>
                <w:color w:val="auto"/>
              </w:rPr>
            </w:pPr>
          </w:p>
        </w:tc>
        <w:tc>
          <w:tcPr>
            <w:tcW w:w="60" w:type="dxa"/>
            <w:vAlign w:val="bottom"/>
            <w:vMerge w:val="continue"/>
            <w:shd w:val="clear" w:color="auto" w:fill="E5EBEE"/>
          </w:tcPr>
          <w:p>
            <w:pPr>
              <w:spacing w:after="0"/>
              <w:rPr>
                <w:sz w:val="12"/>
                <w:szCs w:val="12"/>
                <w:color w:val="auto"/>
              </w:rPr>
            </w:pPr>
          </w:p>
        </w:tc>
        <w:tc>
          <w:tcPr>
            <w:tcW w:w="1220" w:type="dxa"/>
            <w:vAlign w:val="bottom"/>
            <w:tcBorders>
              <w:bottom w:val="single" w:sz="8" w:color="023C5B"/>
            </w:tcBorders>
            <w:shd w:val="clear" w:color="auto" w:fill="E5EBEE"/>
          </w:tcPr>
          <w:p>
            <w:pPr>
              <w:spacing w:after="0"/>
              <w:rPr>
                <w:sz w:val="12"/>
                <w:szCs w:val="12"/>
                <w:color w:val="auto"/>
              </w:rPr>
            </w:pPr>
          </w:p>
        </w:tc>
        <w:tc>
          <w:tcPr>
            <w:tcW w:w="60" w:type="dxa"/>
            <w:vAlign w:val="bottom"/>
            <w:shd w:val="clear" w:color="auto" w:fill="E5EBEE"/>
          </w:tcPr>
          <w:p>
            <w:pPr>
              <w:spacing w:after="0"/>
              <w:rPr>
                <w:sz w:val="12"/>
                <w:szCs w:val="12"/>
                <w:color w:val="auto"/>
              </w:rPr>
            </w:pPr>
          </w:p>
        </w:tc>
        <w:tc>
          <w:tcPr>
            <w:tcW w:w="1220" w:type="dxa"/>
            <w:vAlign w:val="bottom"/>
            <w:tcBorders>
              <w:bottom w:val="single" w:sz="8" w:color="023C5B"/>
            </w:tcBorders>
            <w:shd w:val="clear" w:color="auto" w:fill="E5EBEE"/>
          </w:tcPr>
          <w:p>
            <w:pPr>
              <w:spacing w:after="0"/>
              <w:rPr>
                <w:sz w:val="12"/>
                <w:szCs w:val="12"/>
                <w:color w:val="auto"/>
              </w:rPr>
            </w:pPr>
          </w:p>
        </w:tc>
        <w:tc>
          <w:tcPr>
            <w:tcW w:w="60" w:type="dxa"/>
            <w:vAlign w:val="bottom"/>
            <w:shd w:val="clear" w:color="auto" w:fill="E5EBEE"/>
          </w:tcPr>
          <w:p>
            <w:pPr>
              <w:spacing w:after="0"/>
              <w:rPr>
                <w:sz w:val="12"/>
                <w:szCs w:val="12"/>
                <w:color w:val="auto"/>
              </w:rPr>
            </w:pPr>
          </w:p>
        </w:tc>
        <w:tc>
          <w:tcPr>
            <w:tcW w:w="1180" w:type="dxa"/>
            <w:vAlign w:val="bottom"/>
            <w:tcBorders>
              <w:bottom w:val="single" w:sz="8" w:color="023C5B"/>
            </w:tcBorders>
            <w:shd w:val="clear" w:color="auto" w:fill="E5EBEE"/>
          </w:tcPr>
          <w:p>
            <w:pPr>
              <w:spacing w:after="0"/>
              <w:rPr>
                <w:sz w:val="12"/>
                <w:szCs w:val="12"/>
                <w:color w:val="auto"/>
              </w:rPr>
            </w:pPr>
          </w:p>
        </w:tc>
        <w:tc>
          <w:tcPr>
            <w:tcW w:w="60" w:type="dxa"/>
            <w:vAlign w:val="bottom"/>
            <w:shd w:val="clear" w:color="auto" w:fill="E5EBEE"/>
          </w:tcPr>
          <w:p>
            <w:pPr>
              <w:spacing w:after="0"/>
              <w:rPr>
                <w:sz w:val="12"/>
                <w:szCs w:val="12"/>
                <w:color w:val="auto"/>
              </w:rPr>
            </w:pPr>
          </w:p>
        </w:tc>
        <w:tc>
          <w:tcPr>
            <w:tcW w:w="1160" w:type="dxa"/>
            <w:vAlign w:val="bottom"/>
            <w:tcBorders>
              <w:bottom w:val="single" w:sz="8" w:color="023C5B"/>
            </w:tcBorders>
            <w:shd w:val="clear" w:color="auto" w:fill="E5EBEE"/>
          </w:tcPr>
          <w:p>
            <w:pPr>
              <w:spacing w:after="0"/>
              <w:rPr>
                <w:sz w:val="12"/>
                <w:szCs w:val="12"/>
                <w:color w:val="auto"/>
              </w:rPr>
            </w:pPr>
          </w:p>
        </w:tc>
        <w:tc>
          <w:tcPr>
            <w:tcW w:w="60" w:type="dxa"/>
            <w:vAlign w:val="bottom"/>
            <w:shd w:val="clear" w:color="auto" w:fill="E5EBEE"/>
          </w:tcPr>
          <w:p>
            <w:pPr>
              <w:spacing w:after="0"/>
              <w:rPr>
                <w:sz w:val="12"/>
                <w:szCs w:val="12"/>
                <w:color w:val="auto"/>
              </w:rPr>
            </w:pPr>
          </w:p>
        </w:tc>
        <w:tc>
          <w:tcPr>
            <w:tcW w:w="1180" w:type="dxa"/>
            <w:vAlign w:val="bottom"/>
            <w:tcBorders>
              <w:bottom w:val="single" w:sz="8" w:color="023C5B"/>
            </w:tcBorders>
            <w:shd w:val="clear" w:color="auto" w:fill="E5EBE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980" w:type="dxa"/>
            <w:vAlign w:val="bottom"/>
            <w:gridSpan w:val="3"/>
          </w:tcPr>
          <w:p>
            <w:pPr>
              <w:spacing w:after="0"/>
              <w:rPr>
                <w:sz w:val="20"/>
                <w:szCs w:val="20"/>
                <w:color w:val="auto"/>
              </w:rPr>
            </w:pPr>
            <w:r>
              <w:rPr>
                <w:rFonts w:ascii="Arial" w:cs="Arial" w:eastAsia="Arial" w:hAnsi="Arial"/>
                <w:sz w:val="18"/>
                <w:szCs w:val="18"/>
                <w:color w:val="auto"/>
              </w:rPr>
              <w:t>  Andrew M. Young</w:t>
            </w:r>
          </w:p>
        </w:tc>
        <w:tc>
          <w:tcPr>
            <w:tcW w:w="1740" w:type="dxa"/>
            <w:vAlign w:val="bottom"/>
            <w:gridSpan w:val="2"/>
          </w:tcPr>
          <w:p>
            <w:pPr>
              <w:ind w:left="80"/>
              <w:spacing w:after="0"/>
              <w:rPr>
                <w:sz w:val="20"/>
                <w:szCs w:val="20"/>
                <w:color w:val="auto"/>
              </w:rPr>
            </w:pPr>
            <w:r>
              <w:rPr>
                <w:rFonts w:ascii="Arial" w:cs="Arial" w:eastAsia="Arial" w:hAnsi="Arial"/>
                <w:sz w:val="18"/>
                <w:szCs w:val="18"/>
                <w:color w:val="auto"/>
              </w:rPr>
              <w:t>VNQDCP</w:t>
            </w:r>
          </w:p>
        </w:tc>
        <w:tc>
          <w:tcPr>
            <w:tcW w:w="1220" w:type="dxa"/>
            <w:vAlign w:val="bottom"/>
          </w:tcPr>
          <w:p>
            <w:pPr>
              <w:jc w:val="center"/>
              <w:spacing w:after="0"/>
              <w:rPr>
                <w:sz w:val="20"/>
                <w:szCs w:val="20"/>
                <w:color w:val="auto"/>
              </w:rPr>
            </w:pPr>
            <w:r>
              <w:rPr>
                <w:rFonts w:ascii="Arial" w:cs="Arial" w:eastAsia="Arial" w:hAnsi="Arial"/>
                <w:sz w:val="18"/>
                <w:szCs w:val="18"/>
                <w:color w:val="auto"/>
              </w:rPr>
              <w:t>$32,739</w:t>
            </w:r>
          </w:p>
        </w:tc>
        <w:tc>
          <w:tcPr>
            <w:tcW w:w="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8"/>
              </w:rPr>
              <w:t>$152,455</w:t>
            </w:r>
          </w:p>
        </w:tc>
        <w:tc>
          <w:tcPr>
            <w:tcW w:w="6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$305,115</w:t>
            </w:r>
          </w:p>
        </w:tc>
        <w:tc>
          <w:tcPr>
            <w:tcW w:w="60" w:type="dxa"/>
            <w:vAlign w:val="bottom"/>
          </w:tcPr>
          <w:p>
            <w:pPr>
              <w:spacing w:after="0"/>
              <w:rPr>
                <w:sz w:val="21"/>
                <w:szCs w:val="21"/>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$2,579,721</w:t>
            </w:r>
          </w:p>
        </w:tc>
        <w:tc>
          <w:tcPr>
            <w:tcW w:w="0" w:type="dxa"/>
            <w:vAlign w:val="bottom"/>
          </w:tcPr>
          <w:p>
            <w:pPr>
              <w:spacing w:after="0"/>
              <w:rPr>
                <w:sz w:val="1"/>
                <w:szCs w:val="1"/>
                <w:color w:val="auto"/>
              </w:rPr>
            </w:pPr>
          </w:p>
        </w:tc>
      </w:tr>
      <w:tr>
        <w:trPr>
          <w:trHeight w:val="38"/>
        </w:trPr>
        <w:tc>
          <w:tcPr>
            <w:tcW w:w="12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Borders>
              <w:right w:val="single" w:sz="8" w:color="E5EBEE"/>
            </w:tcBorders>
          </w:tcPr>
          <w:p>
            <w:pPr>
              <w:spacing w:after="0"/>
              <w:rPr>
                <w:sz w:val="24"/>
                <w:szCs w:val="24"/>
                <w:color w:val="auto"/>
              </w:rPr>
            </w:pPr>
          </w:p>
        </w:tc>
        <w:tc>
          <w:tcPr>
            <w:tcW w:w="174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8"/>
                <w:szCs w:val="18"/>
                <w:color w:val="auto"/>
              </w:rPr>
              <w:t>ESP</w:t>
            </w:r>
          </w:p>
        </w:tc>
        <w:tc>
          <w:tcPr>
            <w:tcW w:w="12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2"/>
              </w:rPr>
              <w:t>$—</w:t>
            </w:r>
          </w:p>
        </w:tc>
        <w:tc>
          <w:tcPr>
            <w:tcW w:w="12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4"/>
              </w:rPr>
              <w:t>$142</w:t>
            </w:r>
          </w:p>
        </w:tc>
        <w:tc>
          <w:tcPr>
            <w:tcW w:w="60" w:type="dxa"/>
            <w:vAlign w:val="bottom"/>
            <w:tcBorders>
              <w:bottom w:val="single" w:sz="8" w:color="E5EBEE"/>
            </w:tcBorders>
            <w:shd w:val="clear" w:color="auto" w:fill="E5EBEE"/>
          </w:tcPr>
          <w:p>
            <w:pPr>
              <w:spacing w:after="0"/>
              <w:rPr>
                <w:sz w:val="24"/>
                <w:szCs w:val="24"/>
                <w:color w:val="auto"/>
              </w:rPr>
            </w:pPr>
          </w:p>
        </w:tc>
        <w:tc>
          <w:tcPr>
            <w:tcW w:w="12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$1,966</w:t>
            </w:r>
          </w:p>
        </w:tc>
        <w:tc>
          <w:tcPr>
            <w:tcW w:w="0" w:type="dxa"/>
            <w:vAlign w:val="bottom"/>
          </w:tcPr>
          <w:p>
            <w:pPr>
              <w:spacing w:after="0"/>
              <w:rPr>
                <w:sz w:val="1"/>
                <w:szCs w:val="1"/>
                <w:color w:val="auto"/>
              </w:rPr>
            </w:pPr>
          </w:p>
        </w:tc>
      </w:tr>
      <w:tr>
        <w:trPr>
          <w:trHeight w:val="250"/>
        </w:trPr>
        <w:tc>
          <w:tcPr>
            <w:tcW w:w="2920" w:type="dxa"/>
            <w:vAlign w:val="bottom"/>
            <w:tcBorders>
              <w:top w:val="single" w:sz="8" w:color="023C5B"/>
            </w:tcBorders>
            <w:gridSpan w:val="2"/>
          </w:tcPr>
          <w:p>
            <w:pPr>
              <w:spacing w:after="0"/>
              <w:rPr>
                <w:sz w:val="20"/>
                <w:szCs w:val="20"/>
                <w:color w:val="auto"/>
              </w:rPr>
            </w:pPr>
            <w:r>
              <w:rPr>
                <w:rFonts w:ascii="Arial" w:cs="Arial" w:eastAsia="Arial" w:hAnsi="Arial"/>
                <w:sz w:val="18"/>
                <w:szCs w:val="18"/>
                <w:color w:val="auto"/>
              </w:rPr>
              <w:t>  Matthew W. Cooper</w:t>
            </w:r>
          </w:p>
        </w:tc>
        <w:tc>
          <w:tcPr>
            <w:tcW w:w="60" w:type="dxa"/>
            <w:vAlign w:val="bottom"/>
          </w:tcPr>
          <w:p>
            <w:pPr>
              <w:spacing w:after="0"/>
              <w:rPr>
                <w:sz w:val="21"/>
                <w:szCs w:val="21"/>
                <w:color w:val="auto"/>
              </w:rPr>
            </w:pPr>
          </w:p>
        </w:tc>
        <w:tc>
          <w:tcPr>
            <w:tcW w:w="1680" w:type="dxa"/>
            <w:vAlign w:val="bottom"/>
            <w:tcBorders>
              <w:top w:val="single" w:sz="8" w:color="023C5B"/>
            </w:tcBorders>
          </w:tcPr>
          <w:p>
            <w:pPr>
              <w:ind w:left="80"/>
              <w:spacing w:after="0"/>
              <w:rPr>
                <w:sz w:val="20"/>
                <w:szCs w:val="20"/>
                <w:color w:val="auto"/>
              </w:rPr>
            </w:pPr>
            <w:r>
              <w:rPr>
                <w:rFonts w:ascii="Arial" w:cs="Arial" w:eastAsia="Arial" w:hAnsi="Arial"/>
                <w:sz w:val="18"/>
                <w:szCs w:val="18"/>
                <w:color w:val="auto"/>
              </w:rPr>
              <w:t>VNQDCP</w:t>
            </w:r>
          </w:p>
        </w:tc>
        <w:tc>
          <w:tcPr>
            <w:tcW w:w="60" w:type="dxa"/>
            <w:vAlign w:val="bottom"/>
          </w:tcPr>
          <w:p>
            <w:pPr>
              <w:spacing w:after="0"/>
              <w:rPr>
                <w:sz w:val="21"/>
                <w:szCs w:val="21"/>
                <w:color w:val="auto"/>
              </w:rPr>
            </w:pPr>
          </w:p>
        </w:tc>
        <w:tc>
          <w:tcPr>
            <w:tcW w:w="12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$560,200</w:t>
            </w:r>
          </w:p>
        </w:tc>
        <w:tc>
          <w:tcPr>
            <w:tcW w:w="60" w:type="dxa"/>
            <w:vAlign w:val="bottom"/>
          </w:tcPr>
          <w:p>
            <w:pPr>
              <w:spacing w:after="0"/>
              <w:rPr>
                <w:sz w:val="21"/>
                <w:szCs w:val="21"/>
                <w:color w:val="auto"/>
              </w:rPr>
            </w:pPr>
          </w:p>
        </w:tc>
        <w:tc>
          <w:tcPr>
            <w:tcW w:w="12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$192,015</w:t>
            </w:r>
          </w:p>
        </w:tc>
        <w:tc>
          <w:tcPr>
            <w:tcW w:w="60" w:type="dxa"/>
            <w:vAlign w:val="bottom"/>
          </w:tcPr>
          <w:p>
            <w:pPr>
              <w:spacing w:after="0"/>
              <w:rPr>
                <w:sz w:val="21"/>
                <w:szCs w:val="21"/>
                <w:color w:val="auto"/>
              </w:rPr>
            </w:pPr>
          </w:p>
        </w:tc>
        <w:tc>
          <w:tcPr>
            <w:tcW w:w="11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$161,537</w:t>
            </w:r>
          </w:p>
        </w:tc>
        <w:tc>
          <w:tcPr>
            <w:tcW w:w="60" w:type="dxa"/>
            <w:vAlign w:val="bottom"/>
          </w:tcPr>
          <w:p>
            <w:pPr>
              <w:spacing w:after="0"/>
              <w:rPr>
                <w:sz w:val="21"/>
                <w:szCs w:val="21"/>
                <w:color w:val="auto"/>
              </w:rPr>
            </w:pPr>
          </w:p>
        </w:tc>
        <w:tc>
          <w:tcPr>
            <w:tcW w:w="116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$199,699</w:t>
            </w:r>
          </w:p>
        </w:tc>
        <w:tc>
          <w:tcPr>
            <w:tcW w:w="60" w:type="dxa"/>
            <w:vAlign w:val="bottom"/>
          </w:tcPr>
          <w:p>
            <w:pPr>
              <w:spacing w:after="0"/>
              <w:rPr>
                <w:sz w:val="21"/>
                <w:szCs w:val="21"/>
                <w:color w:val="auto"/>
              </w:rPr>
            </w:pPr>
          </w:p>
        </w:tc>
        <w:tc>
          <w:tcPr>
            <w:tcW w:w="11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$1,126,471</w:t>
            </w:r>
          </w:p>
        </w:tc>
        <w:tc>
          <w:tcPr>
            <w:tcW w:w="0" w:type="dxa"/>
            <w:vAlign w:val="bottom"/>
          </w:tcPr>
          <w:p>
            <w:pPr>
              <w:spacing w:after="0"/>
              <w:rPr>
                <w:sz w:val="1"/>
                <w:szCs w:val="1"/>
                <w:color w:val="auto"/>
              </w:rPr>
            </w:pPr>
          </w:p>
        </w:tc>
      </w:tr>
      <w:tr>
        <w:trPr>
          <w:trHeight w:val="38"/>
        </w:trPr>
        <w:tc>
          <w:tcPr>
            <w:tcW w:w="12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Borders>
              <w:right w:val="single" w:sz="8" w:color="E5EBEE"/>
            </w:tcBorders>
          </w:tcPr>
          <w:p>
            <w:pPr>
              <w:spacing w:after="0"/>
              <w:rPr>
                <w:sz w:val="24"/>
                <w:szCs w:val="24"/>
                <w:color w:val="auto"/>
              </w:rPr>
            </w:pPr>
          </w:p>
        </w:tc>
        <w:tc>
          <w:tcPr>
            <w:tcW w:w="174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8"/>
                <w:szCs w:val="18"/>
                <w:color w:val="auto"/>
              </w:rPr>
              <w:t>ESP</w:t>
            </w:r>
          </w:p>
        </w:tc>
        <w:tc>
          <w:tcPr>
            <w:tcW w:w="12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2"/>
              </w:rPr>
              <w:t>$—</w:t>
            </w:r>
          </w:p>
        </w:tc>
        <w:tc>
          <w:tcPr>
            <w:tcW w:w="12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2920" w:type="dxa"/>
            <w:vAlign w:val="bottom"/>
            <w:tcBorders>
              <w:top w:val="single" w:sz="8" w:color="023C5B"/>
            </w:tcBorders>
            <w:gridSpan w:val="2"/>
          </w:tcPr>
          <w:p>
            <w:pPr>
              <w:spacing w:after="0"/>
              <w:rPr>
                <w:sz w:val="20"/>
                <w:szCs w:val="20"/>
                <w:color w:val="auto"/>
              </w:rPr>
            </w:pPr>
            <w:r>
              <w:rPr>
                <w:rFonts w:ascii="Arial" w:cs="Arial" w:eastAsia="Arial" w:hAnsi="Arial"/>
                <w:sz w:val="18"/>
                <w:szCs w:val="18"/>
                <w:color w:val="auto"/>
              </w:rPr>
              <w:t>  Mark Daniel Mouadeb</w:t>
            </w:r>
          </w:p>
        </w:tc>
        <w:tc>
          <w:tcPr>
            <w:tcW w:w="60" w:type="dxa"/>
            <w:vAlign w:val="bottom"/>
          </w:tcPr>
          <w:p>
            <w:pPr>
              <w:spacing w:after="0"/>
              <w:rPr>
                <w:sz w:val="21"/>
                <w:szCs w:val="21"/>
                <w:color w:val="auto"/>
              </w:rPr>
            </w:pPr>
          </w:p>
        </w:tc>
        <w:tc>
          <w:tcPr>
            <w:tcW w:w="1680" w:type="dxa"/>
            <w:vAlign w:val="bottom"/>
            <w:tcBorders>
              <w:top w:val="single" w:sz="8" w:color="023C5B"/>
            </w:tcBorders>
          </w:tcPr>
          <w:p>
            <w:pPr>
              <w:ind w:left="80"/>
              <w:spacing w:after="0"/>
              <w:rPr>
                <w:sz w:val="20"/>
                <w:szCs w:val="20"/>
                <w:color w:val="auto"/>
              </w:rPr>
            </w:pPr>
            <w:r>
              <w:rPr>
                <w:rFonts w:ascii="Arial" w:cs="Arial" w:eastAsia="Arial" w:hAnsi="Arial"/>
                <w:sz w:val="18"/>
                <w:szCs w:val="18"/>
                <w:color w:val="auto"/>
              </w:rPr>
              <w:t>VNQDCP</w:t>
            </w:r>
          </w:p>
        </w:tc>
        <w:tc>
          <w:tcPr>
            <w:tcW w:w="60" w:type="dxa"/>
            <w:vAlign w:val="bottom"/>
          </w:tcPr>
          <w:p>
            <w:pPr>
              <w:spacing w:after="0"/>
              <w:rPr>
                <w:sz w:val="21"/>
                <w:szCs w:val="21"/>
                <w:color w:val="auto"/>
              </w:rPr>
            </w:pPr>
          </w:p>
        </w:tc>
        <w:tc>
          <w:tcPr>
            <w:tcW w:w="12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$74,907</w:t>
            </w:r>
          </w:p>
        </w:tc>
        <w:tc>
          <w:tcPr>
            <w:tcW w:w="60" w:type="dxa"/>
            <w:vAlign w:val="bottom"/>
          </w:tcPr>
          <w:p>
            <w:pPr>
              <w:spacing w:after="0"/>
              <w:rPr>
                <w:sz w:val="21"/>
                <w:szCs w:val="21"/>
                <w:color w:val="auto"/>
              </w:rPr>
            </w:pPr>
          </w:p>
        </w:tc>
        <w:tc>
          <w:tcPr>
            <w:tcW w:w="12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$155,618</w:t>
            </w:r>
          </w:p>
        </w:tc>
        <w:tc>
          <w:tcPr>
            <w:tcW w:w="60" w:type="dxa"/>
            <w:vAlign w:val="bottom"/>
          </w:tcPr>
          <w:p>
            <w:pPr>
              <w:spacing w:after="0"/>
              <w:rPr>
                <w:sz w:val="21"/>
                <w:szCs w:val="21"/>
                <w:color w:val="auto"/>
              </w:rPr>
            </w:pPr>
          </w:p>
        </w:tc>
        <w:tc>
          <w:tcPr>
            <w:tcW w:w="11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$114,621</w:t>
            </w:r>
          </w:p>
        </w:tc>
        <w:tc>
          <w:tcPr>
            <w:tcW w:w="60" w:type="dxa"/>
            <w:vAlign w:val="bottom"/>
          </w:tcPr>
          <w:p>
            <w:pPr>
              <w:spacing w:after="0"/>
              <w:rPr>
                <w:sz w:val="21"/>
                <w:szCs w:val="21"/>
                <w:color w:val="auto"/>
              </w:rPr>
            </w:pPr>
          </w:p>
        </w:tc>
        <w:tc>
          <w:tcPr>
            <w:tcW w:w="116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$206,266</w:t>
            </w:r>
          </w:p>
        </w:tc>
        <w:tc>
          <w:tcPr>
            <w:tcW w:w="60" w:type="dxa"/>
            <w:vAlign w:val="bottom"/>
          </w:tcPr>
          <w:p>
            <w:pPr>
              <w:spacing w:after="0"/>
              <w:rPr>
                <w:sz w:val="21"/>
                <w:szCs w:val="21"/>
                <w:color w:val="auto"/>
              </w:rPr>
            </w:pPr>
          </w:p>
        </w:tc>
        <w:tc>
          <w:tcPr>
            <w:tcW w:w="11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$758,066</w:t>
            </w:r>
          </w:p>
        </w:tc>
        <w:tc>
          <w:tcPr>
            <w:tcW w:w="0" w:type="dxa"/>
            <w:vAlign w:val="bottom"/>
          </w:tcPr>
          <w:p>
            <w:pPr>
              <w:spacing w:after="0"/>
              <w:rPr>
                <w:sz w:val="1"/>
                <w:szCs w:val="1"/>
                <w:color w:val="auto"/>
              </w:rPr>
            </w:pPr>
          </w:p>
        </w:tc>
      </w:tr>
      <w:tr>
        <w:trPr>
          <w:trHeight w:val="38"/>
        </w:trPr>
        <w:tc>
          <w:tcPr>
            <w:tcW w:w="12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Borders>
              <w:right w:val="single" w:sz="8" w:color="E5EBEE"/>
            </w:tcBorders>
          </w:tcPr>
          <w:p>
            <w:pPr>
              <w:spacing w:after="0"/>
              <w:rPr>
                <w:sz w:val="24"/>
                <w:szCs w:val="24"/>
                <w:color w:val="auto"/>
              </w:rPr>
            </w:pPr>
          </w:p>
        </w:tc>
        <w:tc>
          <w:tcPr>
            <w:tcW w:w="174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8"/>
                <w:szCs w:val="18"/>
                <w:color w:val="auto"/>
              </w:rPr>
              <w:t>ESP</w:t>
            </w:r>
          </w:p>
        </w:tc>
        <w:tc>
          <w:tcPr>
            <w:tcW w:w="12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2"/>
              </w:rPr>
              <w:t>$—</w:t>
            </w:r>
          </w:p>
        </w:tc>
        <w:tc>
          <w:tcPr>
            <w:tcW w:w="12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2920" w:type="dxa"/>
            <w:vAlign w:val="bottom"/>
            <w:tcBorders>
              <w:top w:val="single" w:sz="8" w:color="023C5B"/>
            </w:tcBorders>
            <w:gridSpan w:val="2"/>
          </w:tcPr>
          <w:p>
            <w:pPr>
              <w:spacing w:after="0"/>
              <w:rPr>
                <w:sz w:val="20"/>
                <w:szCs w:val="20"/>
                <w:color w:val="auto"/>
              </w:rPr>
            </w:pPr>
            <w:r>
              <w:rPr>
                <w:rFonts w:ascii="Arial" w:cs="Arial" w:eastAsia="Arial" w:hAnsi="Arial"/>
                <w:sz w:val="18"/>
                <w:szCs w:val="18"/>
                <w:color w:val="auto"/>
              </w:rPr>
              <w:t>  Frank G. LaPrade, III</w:t>
            </w:r>
          </w:p>
        </w:tc>
        <w:tc>
          <w:tcPr>
            <w:tcW w:w="60" w:type="dxa"/>
            <w:vAlign w:val="bottom"/>
          </w:tcPr>
          <w:p>
            <w:pPr>
              <w:spacing w:after="0"/>
              <w:rPr>
                <w:sz w:val="21"/>
                <w:szCs w:val="21"/>
                <w:color w:val="auto"/>
              </w:rPr>
            </w:pPr>
          </w:p>
        </w:tc>
        <w:tc>
          <w:tcPr>
            <w:tcW w:w="1680" w:type="dxa"/>
            <w:vAlign w:val="bottom"/>
            <w:tcBorders>
              <w:top w:val="single" w:sz="8" w:color="023C5B"/>
            </w:tcBorders>
          </w:tcPr>
          <w:p>
            <w:pPr>
              <w:ind w:left="80"/>
              <w:spacing w:after="0"/>
              <w:rPr>
                <w:sz w:val="20"/>
                <w:szCs w:val="20"/>
                <w:color w:val="auto"/>
              </w:rPr>
            </w:pPr>
            <w:r>
              <w:rPr>
                <w:rFonts w:ascii="Arial" w:cs="Arial" w:eastAsia="Arial" w:hAnsi="Arial"/>
                <w:sz w:val="18"/>
                <w:szCs w:val="18"/>
                <w:color w:val="auto"/>
              </w:rPr>
              <w:t>VNQDCP</w:t>
            </w:r>
          </w:p>
        </w:tc>
        <w:tc>
          <w:tcPr>
            <w:tcW w:w="60" w:type="dxa"/>
            <w:vAlign w:val="bottom"/>
          </w:tcPr>
          <w:p>
            <w:pPr>
              <w:spacing w:after="0"/>
              <w:rPr>
                <w:sz w:val="21"/>
                <w:szCs w:val="21"/>
                <w:color w:val="auto"/>
              </w:rPr>
            </w:pPr>
          </w:p>
        </w:tc>
        <w:tc>
          <w:tcPr>
            <w:tcW w:w="12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$43,445</w:t>
            </w:r>
          </w:p>
        </w:tc>
        <w:tc>
          <w:tcPr>
            <w:tcW w:w="60" w:type="dxa"/>
            <w:vAlign w:val="bottom"/>
          </w:tcPr>
          <w:p>
            <w:pPr>
              <w:spacing w:after="0"/>
              <w:rPr>
                <w:sz w:val="21"/>
                <w:szCs w:val="21"/>
                <w:color w:val="auto"/>
              </w:rPr>
            </w:pPr>
          </w:p>
        </w:tc>
        <w:tc>
          <w:tcPr>
            <w:tcW w:w="12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$153,258</w:t>
            </w:r>
          </w:p>
        </w:tc>
        <w:tc>
          <w:tcPr>
            <w:tcW w:w="60" w:type="dxa"/>
            <w:vAlign w:val="bottom"/>
          </w:tcPr>
          <w:p>
            <w:pPr>
              <w:spacing w:after="0"/>
              <w:rPr>
                <w:sz w:val="21"/>
                <w:szCs w:val="21"/>
                <w:color w:val="auto"/>
              </w:rPr>
            </w:pPr>
          </w:p>
        </w:tc>
        <w:tc>
          <w:tcPr>
            <w:tcW w:w="11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$1,523,723</w:t>
            </w:r>
          </w:p>
        </w:tc>
        <w:tc>
          <w:tcPr>
            <w:tcW w:w="60" w:type="dxa"/>
            <w:vAlign w:val="bottom"/>
          </w:tcPr>
          <w:p>
            <w:pPr>
              <w:spacing w:after="0"/>
              <w:rPr>
                <w:sz w:val="21"/>
                <w:szCs w:val="21"/>
                <w:color w:val="auto"/>
              </w:rPr>
            </w:pPr>
          </w:p>
        </w:tc>
        <w:tc>
          <w:tcPr>
            <w:tcW w:w="116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1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$10,213,382</w:t>
            </w:r>
          </w:p>
        </w:tc>
        <w:tc>
          <w:tcPr>
            <w:tcW w:w="0" w:type="dxa"/>
            <w:vAlign w:val="bottom"/>
          </w:tcPr>
          <w:p>
            <w:pPr>
              <w:spacing w:after="0"/>
              <w:rPr>
                <w:sz w:val="1"/>
                <w:szCs w:val="1"/>
                <w:color w:val="auto"/>
              </w:rPr>
            </w:pPr>
          </w:p>
        </w:tc>
      </w:tr>
      <w:tr>
        <w:trPr>
          <w:trHeight w:val="38"/>
        </w:trPr>
        <w:tc>
          <w:tcPr>
            <w:tcW w:w="12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Borders>
              <w:right w:val="single" w:sz="8" w:color="E5EBEE"/>
            </w:tcBorders>
          </w:tcPr>
          <w:p>
            <w:pPr>
              <w:spacing w:after="0"/>
              <w:rPr>
                <w:sz w:val="24"/>
                <w:szCs w:val="24"/>
                <w:color w:val="auto"/>
              </w:rPr>
            </w:pPr>
          </w:p>
        </w:tc>
        <w:tc>
          <w:tcPr>
            <w:tcW w:w="174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8"/>
                <w:szCs w:val="18"/>
                <w:color w:val="auto"/>
              </w:rPr>
              <w:t>ESP</w:t>
            </w:r>
          </w:p>
        </w:tc>
        <w:tc>
          <w:tcPr>
            <w:tcW w:w="12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2"/>
              </w:rPr>
              <w:t>$—</w:t>
            </w:r>
          </w:p>
        </w:tc>
        <w:tc>
          <w:tcPr>
            <w:tcW w:w="12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$201,420</w:t>
            </w:r>
          </w:p>
        </w:tc>
        <w:tc>
          <w:tcPr>
            <w:tcW w:w="60" w:type="dxa"/>
            <w:vAlign w:val="bottom"/>
            <w:tcBorders>
              <w:bottom w:val="single" w:sz="8" w:color="E5EBEE"/>
            </w:tcBorders>
            <w:shd w:val="clear" w:color="auto" w:fill="E5EBEE"/>
          </w:tcPr>
          <w:p>
            <w:pPr>
              <w:spacing w:after="0"/>
              <w:rPr>
                <w:sz w:val="24"/>
                <w:szCs w:val="24"/>
                <w:color w:val="auto"/>
              </w:rPr>
            </w:pPr>
          </w:p>
        </w:tc>
        <w:tc>
          <w:tcPr>
            <w:tcW w:w="12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$1,330,882</w:t>
            </w:r>
          </w:p>
        </w:tc>
        <w:tc>
          <w:tcPr>
            <w:tcW w:w="0" w:type="dxa"/>
            <w:vAlign w:val="bottom"/>
          </w:tcPr>
          <w:p>
            <w:pPr>
              <w:spacing w:after="0"/>
              <w:rPr>
                <w:sz w:val="1"/>
                <w:szCs w:val="1"/>
                <w:color w:val="auto"/>
              </w:rPr>
            </w:pPr>
          </w:p>
        </w:tc>
      </w:tr>
      <w:tr>
        <w:trPr>
          <w:trHeight w:val="127"/>
        </w:trPr>
        <w:tc>
          <w:tcPr>
            <w:tcW w:w="1220" w:type="dxa"/>
            <w:vAlign w:val="bottom"/>
            <w:tcBorders>
              <w:top w:val="single" w:sz="8" w:color="023C5B"/>
              <w:bottom w:val="single" w:sz="8" w:color="auto"/>
            </w:tcBorders>
          </w:tcPr>
          <w:p>
            <w:pPr>
              <w:spacing w:after="0"/>
              <w:rPr>
                <w:sz w:val="11"/>
                <w:szCs w:val="11"/>
                <w:color w:val="auto"/>
              </w:rPr>
            </w:pPr>
          </w:p>
        </w:tc>
        <w:tc>
          <w:tcPr>
            <w:tcW w:w="170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168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122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122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118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116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1180" w:type="dxa"/>
            <w:vAlign w:val="bottom"/>
            <w:tcBorders>
              <w:top w:val="single" w:sz="8" w:color="023C5B"/>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00" w:hanging="433"/>
        <w:spacing w:after="0" w:line="247" w:lineRule="auto"/>
        <w:tabs>
          <w:tab w:leader="none" w:pos="6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Reflects executive contributions made for 2025. Mr. Fairbank’s executive contribution under the VNQDCP was a mandatory deferral of the deferred cash bonus awarded in February 2025 for 2024 performance, which was reported in the 2024 Summary Compensation Table. For Messrs. Young and LaPrade, all executive contributions under the VNQDCP were made in the form of base salary deferrals and are reported in the “2025 Summary Compensation Table” beginning on page 98. For Messrs. Cooper and Mouadeb, executive contributions under the VNQDCP were made in the form of (i) base salary deferrals, which are reported in the “2025 Summary Compensation Table” beginning on page 98, and (ii) deferrals of cash bonuses awarded in February 2025 for 2024 performance, which were reported in the 2024 Summary Compensation Table.</w:t>
      </w:r>
    </w:p>
    <w:p>
      <w:pPr>
        <w:spacing w:after="0" w:line="49"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Company contributions are also included in the “2025 Summary Compensation Table” beginning on page 98 (see “Company Contributions to Defined Contribution Plans” in the footnote to that table identified with an asterisk).</w:t>
      </w:r>
    </w:p>
    <w:p>
      <w:pPr>
        <w:spacing w:after="0" w:line="24"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Includes earnings on total assets in the VNQDCP and the ESP. Earnings under the VNQDCP and ESP were not above market and therefore are not reported in the Summary Compensation Table.</w:t>
      </w:r>
    </w:p>
    <w:p>
      <w:pPr>
        <w:spacing w:after="0" w:line="24" w:lineRule="exact"/>
        <w:rPr>
          <w:rFonts w:ascii="Arial" w:cs="Arial" w:eastAsia="Arial" w:hAnsi="Arial"/>
          <w:sz w:val="14"/>
          <w:szCs w:val="14"/>
          <w:color w:val="auto"/>
        </w:rPr>
      </w:pPr>
    </w:p>
    <w:p>
      <w:pPr>
        <w:jc w:val="both"/>
        <w:ind w:left="600" w:hanging="433"/>
        <w:spacing w:after="0" w:line="253" w:lineRule="auto"/>
        <w:tabs>
          <w:tab w:leader="none" w:pos="6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All the amounts shown in this column, other than earnings on deferred compensation, were included in compensation amounts reported in the current or prior years for those executives that were NEOs in the applicable year and in the amounts required to be reported pursuant to the then applicable rules. Of these balances, the following amounts were reported in the Summary Compensation Tables in prior-year proxy statements (to the extent that the NEO was an NEO in the applicable year): Mr. Fairbank $42,513,750; Mr. Young $861,893; Mr. Cooper $185,800; Mr. Mouadeb $0; and Mr. LaPrade $1,570,417.</w:t>
      </w:r>
    </w:p>
    <w:p>
      <w:pPr>
        <w:spacing w:after="0" w:line="43" w:lineRule="exact"/>
        <w:rPr>
          <w:rFonts w:ascii="Arial" w:cs="Arial" w:eastAsia="Arial" w:hAnsi="Arial"/>
          <w:sz w:val="14"/>
          <w:szCs w:val="14"/>
          <w:color w:val="auto"/>
        </w:rPr>
      </w:pPr>
    </w:p>
    <w:p>
      <w:pPr>
        <w:jc w:val="both"/>
        <w:ind w:left="600" w:hanging="433"/>
        <w:spacing w:after="0" w:line="260" w:lineRule="auto"/>
        <w:tabs>
          <w:tab w:leader="none" w:pos="60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Includes the value of 241,680 shares of Capital One common stock earned on March 31, 2007 in connection with performance shares that were granted to Mr. Fairbank in December 2003. Delivery of these shares is deferred until the end of Mr. Fairbank’s employment with the Company. Mr. Fairbank neither acquired these shares nor realized any value from these shares in 2025.</w:t>
      </w:r>
    </w:p>
    <w:p>
      <w:pPr>
        <w:spacing w:after="0" w:line="149"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Potential Payments Upon Termination or Change of Control</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Overview</w:t>
      </w:r>
    </w:p>
    <w:p>
      <w:pPr>
        <w:spacing w:after="0" w:line="221"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disclosure in the “2025 Potential Payments and Benefits Upon Termination or Change of Control Table” found on page 113 illustrates payouts that the NEOs could receive under certain hypothetical termination scenarios. The potential payouts illustrated in this section are based on the change of control and severance arrangements in place as of December 31, 2025. Effective March 1, 2026, the Company adopted a new Executive Change of Control Severance Plan and amended its Executive Severance Plan. For additional information, see “Other Compensation Arrangements” beginning on page 93. The potential payout amounts under the new change of control and severance arrangements would be different from the amounts shown. In addition, actual circumstances resulting</w:t>
      </w:r>
    </w:p>
    <w:p>
      <w:pPr>
        <w:spacing w:after="0" w:line="106"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the departure of our NEOs cannot be predicted and may differ from the assumptions used in the information outlined below.</w:t>
      </w:r>
    </w:p>
    <w:p>
      <w:pPr>
        <w:spacing w:after="0" w:line="20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Committee reviews each executive officer’s separation on a case-by-case basis and exercises its business judgment, with the approval of the Independent Directors, to customize the terms of such separations in consideration of the relevant circumstances, including:</w:t>
      </w:r>
    </w:p>
    <w:p>
      <w:pPr>
        <w:spacing w:after="0" w:line="144" w:lineRule="exact"/>
        <w:rPr>
          <w:sz w:val="20"/>
          <w:szCs w:val="20"/>
          <w:color w:val="auto"/>
        </w:rPr>
      </w:pPr>
    </w:p>
    <w:p>
      <w:pPr>
        <w:ind w:left="1020" w:hanging="425"/>
        <w:spacing w:after="0"/>
        <w:tabs>
          <w:tab w:leader="none" w:pos="1020" w:val="left"/>
        </w:tabs>
        <w:numPr>
          <w:ilvl w:val="0"/>
          <w:numId w:val="11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reasons for the separation</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11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Market competitive practices for comparable separation scenarios</w:t>
      </w:r>
    </w:p>
    <w:p>
      <w:pPr>
        <w:spacing w:after="0" w:line="206"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11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Potential benefits to the Company, such as retaining its competitive advantage, maintaining a positive reputation internally and externally, and preserving its ability to recruit highly talented executives</w:t>
      </w:r>
    </w:p>
    <w:p>
      <w:pPr>
        <w:spacing w:after="0" w:line="152" w:lineRule="exact"/>
        <w:rPr>
          <w:rFonts w:ascii="MS PGothic" w:cs="MS PGothic" w:eastAsia="MS PGothic" w:hAnsi="MS PGothic"/>
          <w:sz w:val="29"/>
          <w:szCs w:val="29"/>
          <w:color w:val="023C5B"/>
          <w:vertAlign w:val="superscript"/>
        </w:rPr>
      </w:pPr>
    </w:p>
    <w:p>
      <w:pPr>
        <w:ind w:left="1020" w:hanging="425"/>
        <w:spacing w:after="0"/>
        <w:tabs>
          <w:tab w:leader="none" w:pos="1020" w:val="left"/>
        </w:tabs>
        <w:numPr>
          <w:ilvl w:val="0"/>
          <w:numId w:val="11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executive’s tenure and contributions to the Company’s success</w:t>
      </w:r>
    </w:p>
    <w:p>
      <w:pPr>
        <w:spacing w:after="0" w:line="205"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11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executive’s willingness to provide legal waivers and/or enter into agreements not to compete with the Company or to solicit the Company’s associates or customers</w:t>
      </w:r>
    </w:p>
    <w:p>
      <w:pPr>
        <w:spacing w:after="0" w:line="152" w:lineRule="exact"/>
        <w:rPr>
          <w:rFonts w:ascii="MS PGothic" w:cs="MS PGothic" w:eastAsia="MS PGothic" w:hAnsi="MS PGothic"/>
          <w:sz w:val="29"/>
          <w:szCs w:val="29"/>
          <w:color w:val="023C5B"/>
          <w:vertAlign w:val="superscript"/>
        </w:rPr>
      </w:pPr>
    </w:p>
    <w:p>
      <w:pPr>
        <w:ind w:left="1020" w:hanging="425"/>
        <w:spacing w:after="0"/>
        <w:tabs>
          <w:tab w:leader="none" w:pos="1020" w:val="left"/>
        </w:tabs>
        <w:numPr>
          <w:ilvl w:val="0"/>
          <w:numId w:val="116"/>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resulting impact of the separation terms on the Company and its stockholders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Restrictive Covenants</w:t>
      </w:r>
    </w:p>
    <w:p>
      <w:pPr>
        <w:spacing w:after="0" w:line="213"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Capital One maintains a competitive advantage in part through the intellectual property developed and utilized by our senior executives. Capital One has asked certain NEOs to enter into various agreements that contain restrictive covenants related to confidentiality, non-competition, non-solicitation, and ownership of work product, as described below.</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Non-Competition Agreements</w:t>
      </w:r>
    </w:p>
    <w:p>
      <w:pPr>
        <w:spacing w:after="0" w:line="20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Messrs. Young and Mouadeb have entered into non-competition agreements with the Company pursuant to which they may be restricted as to what competitive services they may provide to an entity following separation from Capital One.</w:t>
      </w:r>
    </w:p>
    <w:p>
      <w:pPr>
        <w:spacing w:after="0" w:line="158"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These non-competition agreements provide for the following in exchange for the NEO complying with non-competition restrictions for up to two years following an involuntary termination, other than for cause, death, or disability: payment equal to 15% of the NEO’s total target compensation for Mr. Young and payment equal to base salary for Mr. Mouadeb for each year of enforcement and subsidized health insurance premiums for a period of up to 18 months through COBRA if the NEO is eligible and elects such coverage, subject to certain terms and conditions. The payments are made in two lump sums: the first following termination and the second upon successful completion of the enforcement period. In the event of a voluntary termination, the previously described payments are typically made for the second year of enforcement for agreements with a two-year enforcement period.</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Confidentiality, Work Product, and No Hire/Non-Solicitation of Employee Agreement</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Messrs. Young, Cooper, and Mouadeb are parties to confidentiality, work product, and no hire/non-solicitation of employee agreements. The confidentiality provisions of these agreements generally provide that at all times during and following employment with the Company, these NEOs may not use for personal benefit or the benefit of others, or divulge to others, any of Capital One’s confidential information, except as expressly authorized by Capital One or required by legal process.</w:t>
      </w:r>
    </w:p>
    <w:p>
      <w:pPr>
        <w:spacing w:after="0" w:line="178"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color w:val="auto"/>
        </w:rPr>
        <w:t>Messrs. Cooper’s and Mouadeb’s agreements also provide that, for a period of two years following separation from Capital One, they shall not directly or indirectly solicit or induce any associate of Capital One to become</w:t>
      </w:r>
    </w:p>
    <w:p>
      <w:pPr>
        <w:spacing w:after="0" w:line="91" w:lineRule="exact"/>
        <w:rPr>
          <w:sz w:val="20"/>
          <w:szCs w:val="20"/>
          <w:color w:val="auto"/>
        </w:rPr>
      </w:pPr>
    </w:p>
    <w:p>
      <w:pPr>
        <w:ind w:left="5520"/>
        <w:spacing w:after="0"/>
        <w:tabs>
          <w:tab w:leader="none" w:pos="862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-111760</wp:posOffset>
            </wp:positionV>
            <wp:extent cx="8255" cy="1784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4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employed by any person or entity engaged in competition with Capital One, and shall not directly or indirectly solicit or induce any associate of Capital One to end their employment based on confidential information learned about the associate while they were employed by Capital One.</w:t>
      </w:r>
    </w:p>
    <w:p>
      <w:pPr>
        <w:spacing w:after="0" w:line="172"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Mr. Young’s agreement also provides that, for a period of two years following separation from Capital One, he shall not, directly or indirectly (i) solicit or induce any covered Capital One associate to become employed by any other person or entity; (ii) hire or otherwise engage any covered Capital One associate (or a person who was a covered associate and resigned in the prior three months) to work for or provide services to any other person or entity; or (iii) solicit or induce any Capital One employee to leave or cease their employment with Capital One, or to hire or otherwise engage any Capital One employee to work for or provide services to any other person or entity, if based on confidential information he learned about such employee while employed by Capital One.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Payments Under Certain Termination Scenarios</w:t>
      </w:r>
    </w:p>
    <w:p>
      <w:pPr>
        <w:spacing w:after="0" w:line="22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Upon separation from the Company, the NEOs, regardless of the reason for termination, receive certain earned, but previously unpaid, payments, such as accrued but unused vacation pay, and amounts vested under the Company’s qualified and non-qualified retirement programs.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Voluntary Termination</w:t>
      </w:r>
    </w:p>
    <w:p>
      <w:pPr>
        <w:spacing w:after="0" w:line="20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An NEO, other than the CEO, who voluntarily terminates employment with Capital One may receive payments related to non-competition covenants (described above, if applicable) and any contractual payments to which the NEO may otherwise be entitled. In addition, the NEO has the ability following separation to exercise vested but unexercised options for three months following voluntary termination.</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Involuntary Termination Without Cause</w:t>
      </w:r>
    </w:p>
    <w:p>
      <w:pPr>
        <w:spacing w:after="0" w:line="20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Under the arrangements in place as of December 31, 2025, an NEO, other than the CEO, whose employment with Capital One is terminated involuntarily, for performance or job elimination, was entitled to receive the amounts set forth in the Company’s executive severance plan (“Executive Severance Plan”) in exchange for executing a release of claims against the Company. For 2025, potential payments under that plan were 30% of total target compensation, plus a severance bonus based on such NEO’s target cash incentive in the event of termination due to restructuring. Additional benefits include healthcare continuation subsidy through COBRA, outplacement services, and any contractual payments to which the NEO may otherwise have been entitled. Further, an NEO, other than the CEO, whose employment is terminated involuntarily without cause and not due to death or disability may receive payments related to non-competition covenants (as described above, if applicable).</w:t>
      </w:r>
    </w:p>
    <w:p>
      <w:pPr>
        <w:spacing w:after="0" w:line="184" w:lineRule="exact"/>
        <w:rPr>
          <w:sz w:val="20"/>
          <w:szCs w:val="20"/>
          <w:color w:val="auto"/>
        </w:rPr>
      </w:pPr>
    </w:p>
    <w:p>
      <w:pPr>
        <w:jc w:val="both"/>
        <w:ind w:left="160"/>
        <w:spacing w:after="0" w:line="262" w:lineRule="auto"/>
        <w:rPr>
          <w:sz w:val="20"/>
          <w:szCs w:val="20"/>
          <w:color w:val="auto"/>
        </w:rPr>
      </w:pPr>
      <w:r>
        <w:rPr>
          <w:rFonts w:ascii="Arial" w:cs="Arial" w:eastAsia="Arial" w:hAnsi="Arial"/>
          <w:sz w:val="17"/>
          <w:szCs w:val="17"/>
          <w:color w:val="auto"/>
        </w:rPr>
        <w:t>Generally, performance shares granted to NEOs will vest in full, based on actual Company performance and stock-settled RSUs granted to NEOs will continue to vest, subject to the NEO’s execution of a release of claims against the Company. In addition, NEOs can exercise vested but unexercised options for two years following separation. If an NEO’s employment with Capital One is terminated because of death or disability, the NEO’s unvested RSUs and performance shares will vest in full based on target Company performance.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Payments Upon Retirement</w:t>
      </w:r>
    </w:p>
    <w:p>
      <w:pPr>
        <w:spacing w:after="0" w:line="20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As with all executives who are eligible for retirement, NEOs who retire from Capital One may receive the following amounts: payments related to non-competition covenants as if they had terminated voluntarily (as described above); up to 18 months of subsidized COBRA coverage; any contractual payments to which they may otherwise be entitled; and, for Mr. Fairbank, who became eligible to retire on or before December 31, 2012, a retiree medical subsidy and access to a variety of medical plans through a private exchange. Retirees eligible for subsidized retiree medical coverage receive funding through a HRA which can be used to pay for health care insurance premiums or eligible claims expenses.</w:t>
      </w:r>
    </w:p>
    <w:p>
      <w:pPr>
        <w:spacing w:after="0" w:line="106" w:lineRule="exact"/>
        <w:rPr>
          <w:sz w:val="20"/>
          <w:szCs w:val="20"/>
          <w:color w:val="auto"/>
        </w:rPr>
      </w:pPr>
    </w:p>
    <w:p>
      <w:pPr>
        <w:ind w:left="18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4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Upon retirement, except for Discover-Related Special Awards, all RSUs continue to vest according to their original terms based on actual performance, which, for stock-settled RSUs granted, also includes performance-based vesting provisions. For Discover-Related Special Awards, RSUs will vest on their original vesting date on a pro-rata basis for a termination due to retirement. In addition, performance shares granted to NEOs will continue to vest after retirement. For stock options, the executive has until the expiration of the option term to exercise vested but unexercised options.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Termination for Cause</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Generally, an NEO whose employment with Capital One is terminated for cause receives no additional benefits but is required to comply with any applicable restrictive covenants related to confidentiality, non-competition, non-solicitation of associates or customers, and ownership of work product, as described above. In addition, if terminated for cause, the NEOs have the ability following separation to exercise vested but unexercised options for three months.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Change of Control</w:t>
      </w:r>
    </w:p>
    <w:p>
      <w:pPr>
        <w:spacing w:after="0" w:line="20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As of December 31, 2025, each NEO was a party to an agreement (“Change of Control Agreement”) that provided for certain payments in the event their employment was terminated within two years following (or within one year prior to but in anticipation of) a change of control of Capital One, either involuntarily without cause or voluntarily for good reason. Amounts payable in each of these scenarios are outlined below. Effective March 1, 2026, the Company adopted the Executive Change of Control Severance Plan which replaced the standalone Change of Control Agreements.</w:t>
      </w:r>
    </w:p>
    <w:p>
      <w:pPr>
        <w:spacing w:after="0" w:line="18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In addition, all equity awards granted to the NEOs require a so-called “double trigger” for accelerated vesting in connection with a change of control. Upon a change of control, all equity awards continue to vest according to their original schedule. The vesting of such awards only accelerates if an NEO is involuntarily terminated without cause or voluntarily terminates for “good reason” (as defined in the agreements) within the two years following a change of control.</w:t>
      </w:r>
    </w:p>
    <w:p>
      <w:pPr>
        <w:spacing w:after="0" w:line="180"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023C5B"/>
        </w:rPr>
        <w:t>Termination for Cause in Connection with a Change of Control</w:t>
      </w:r>
    </w:p>
    <w:p>
      <w:pPr>
        <w:spacing w:after="0" w:line="206"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color w:val="auto"/>
        </w:rPr>
        <w:t>NEOs terminated involuntarily for cause following a change of control receive no additional benefits except regarding options, which allow NEOs to exercise vested but unexercised options for three months following a termination for cause.</w:t>
      </w:r>
    </w:p>
    <w:p>
      <w:pPr>
        <w:spacing w:after="0" w:line="160" w:lineRule="exact"/>
        <w:rPr>
          <w:sz w:val="20"/>
          <w:szCs w:val="20"/>
          <w:color w:val="auto"/>
        </w:rPr>
      </w:pPr>
    </w:p>
    <w:p>
      <w:pPr>
        <w:ind w:left="940" w:right="340"/>
        <w:spacing w:after="0" w:line="274" w:lineRule="auto"/>
        <w:rPr>
          <w:sz w:val="20"/>
          <w:szCs w:val="20"/>
          <w:color w:val="auto"/>
        </w:rPr>
      </w:pPr>
      <w:r>
        <w:rPr>
          <w:rFonts w:ascii="Arial" w:cs="Arial" w:eastAsia="Arial" w:hAnsi="Arial"/>
          <w:sz w:val="18"/>
          <w:szCs w:val="18"/>
          <w:b w:val="1"/>
          <w:bCs w:val="1"/>
          <w:i w:val="1"/>
          <w:iCs w:val="1"/>
          <w:color w:val="023C5B"/>
        </w:rPr>
        <w:t>Voluntary Termination with Good Reason or Involuntary Termination Without Cause in Connection with a Change of Control</w:t>
      </w:r>
    </w:p>
    <w:p>
      <w:pPr>
        <w:spacing w:after="0" w:line="14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In the event of a voluntary termination with good reason or an involuntary termination without cause, the potential payments that the NEOs could receive under certain termination scenarios are based on a percentage of total target compensation. For the CEO, the potential payments are based on a multiple of his notional salary and his year-end incentive opportunity. If a change of control of Capital One had occurred as of December 31, 2025, then following a voluntary termination with good reason or involuntary termination without cause, an NEO would have received certain benefits as outlined below:</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CEO would be entitled to receive:</w:t>
      </w:r>
    </w:p>
    <w:p>
      <w:pPr>
        <w:spacing w:after="0" w:line="234" w:lineRule="exact"/>
        <w:rPr>
          <w:sz w:val="20"/>
          <w:szCs w:val="20"/>
          <w:color w:val="auto"/>
        </w:rPr>
      </w:pPr>
    </w:p>
    <w:p>
      <w:pPr>
        <w:jc w:val="both"/>
        <w:ind w:left="1020" w:hanging="425"/>
        <w:spacing w:after="0" w:line="220" w:lineRule="auto"/>
        <w:tabs>
          <w:tab w:leader="none" w:pos="1020" w:val="left"/>
        </w:tabs>
        <w:numPr>
          <w:ilvl w:val="0"/>
          <w:numId w:val="11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 lump-sum payment of two and one half times the sum of his current notional salary and the “Highest Annual Bonus,” which is the highest of (i) the deferred cash bonus for the year in which the change of control occurs (or the mid-point if no target is established); (ii) the deferred cash bonus for the year immediately before the year the change of control occurs (or midpoint if no target is established); or (iii) the deferred cash bonus paid or payable for the most recently completed fiscal year; and</w:t>
      </w:r>
    </w:p>
    <w:p>
      <w:pPr>
        <w:spacing w:after="0" w:line="115" w:lineRule="exact"/>
        <w:rPr>
          <w:sz w:val="20"/>
          <w:szCs w:val="20"/>
          <w:color w:val="auto"/>
        </w:rPr>
      </w:pPr>
    </w:p>
    <w:p>
      <w:pPr>
        <w:ind w:left="5540"/>
        <w:spacing w:after="0"/>
        <w:tabs>
          <w:tab w:leader="none" w:pos="8620" w:val="left"/>
          <w:tab w:leader="none" w:pos="1068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-97155</wp:posOffset>
            </wp:positionV>
            <wp:extent cx="8255" cy="1784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46" w:lineRule="exact"/>
        <w:rPr>
          <w:sz w:val="20"/>
          <w:szCs w:val="20"/>
          <w:color w:val="auto"/>
        </w:rPr>
      </w:pPr>
    </w:p>
    <w:p>
      <w:pPr>
        <w:ind w:left="160" w:right="3140" w:firstLine="435"/>
        <w:spacing w:after="0" w:line="402" w:lineRule="auto"/>
        <w:tabs>
          <w:tab w:leader="none" w:pos="1016" w:val="left"/>
        </w:tabs>
        <w:numPr>
          <w:ilvl w:val="0"/>
          <w:numId w:val="11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cash value, pro-rated through the date of termination, of the Highest Annual Bonus. An NEO other than the CEO would be entitled to receive:</w:t>
      </w:r>
    </w:p>
    <w:p>
      <w:pPr>
        <w:spacing w:after="0" w:line="23"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11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 lump-sum payment of 112.5% of the highest of (i) the NEO’s current total target compensation; (ii) the NEO’s total target compensation for the prior year; or (iii) the NEO’s actual total compensation for the prior year; and</w:t>
      </w:r>
    </w:p>
    <w:p>
      <w:pPr>
        <w:spacing w:after="0" w:line="152" w:lineRule="exact"/>
        <w:rPr>
          <w:rFonts w:ascii="MS PGothic" w:cs="MS PGothic" w:eastAsia="MS PGothic" w:hAnsi="MS PGothic"/>
          <w:sz w:val="29"/>
          <w:szCs w:val="29"/>
          <w:color w:val="023C5B"/>
          <w:vertAlign w:val="superscript"/>
        </w:rPr>
      </w:pPr>
    </w:p>
    <w:p>
      <w:pPr>
        <w:ind w:left="1020" w:hanging="425"/>
        <w:spacing w:after="0"/>
        <w:tabs>
          <w:tab w:leader="none" w:pos="1020" w:val="left"/>
        </w:tabs>
        <w:numPr>
          <w:ilvl w:val="0"/>
          <w:numId w:val="11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cash value, pro-rated through the date of termination, of the current year’s target cash incentive.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CEO and each NEO would also be entitled to receive:</w:t>
      </w:r>
    </w:p>
    <w:p>
      <w:pPr>
        <w:spacing w:after="0" w:line="234" w:lineRule="exact"/>
        <w:rPr>
          <w:sz w:val="20"/>
          <w:szCs w:val="20"/>
          <w:color w:val="auto"/>
        </w:rPr>
      </w:pPr>
    </w:p>
    <w:p>
      <w:pPr>
        <w:jc w:val="both"/>
        <w:ind w:left="1020" w:hanging="425"/>
        <w:spacing w:after="0" w:line="217" w:lineRule="auto"/>
        <w:tabs>
          <w:tab w:leader="none" w:pos="1020" w:val="left"/>
        </w:tabs>
        <w:numPr>
          <w:ilvl w:val="0"/>
          <w:numId w:val="119"/>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An amount equal to the employer contributions under the Company’s qualified and non-qualified retirement, healthcare, and life insurance programs for two and a half years, as well as access to such healthcare and life insurance plans for the NEO (and dependents as applicable);</w:t>
      </w:r>
    </w:p>
    <w:p>
      <w:pPr>
        <w:spacing w:after="0" w:line="206" w:lineRule="exact"/>
        <w:rPr>
          <w:rFonts w:ascii="MS PGothic" w:cs="MS PGothic" w:eastAsia="MS PGothic" w:hAnsi="MS PGothic"/>
          <w:sz w:val="29"/>
          <w:szCs w:val="29"/>
          <w:color w:val="023C5B"/>
          <w:vertAlign w:val="superscript"/>
        </w:rPr>
      </w:pPr>
    </w:p>
    <w:p>
      <w:pPr>
        <w:ind w:left="1020" w:hanging="425"/>
        <w:spacing w:after="0" w:line="210" w:lineRule="auto"/>
        <w:tabs>
          <w:tab w:leader="none" w:pos="1020" w:val="left"/>
        </w:tabs>
        <w:numPr>
          <w:ilvl w:val="0"/>
          <w:numId w:val="119"/>
        </w:numPr>
        <w:rPr>
          <w:rFonts w:ascii="MS PGothic" w:cs="MS PGothic" w:eastAsia="MS PGothic" w:hAnsi="MS PGothic"/>
          <w:sz w:val="29"/>
          <w:szCs w:val="29"/>
          <w:color w:val="023C5B"/>
          <w:vertAlign w:val="superscript"/>
        </w:rPr>
      </w:pPr>
      <w:r>
        <w:rPr>
          <w:rFonts w:ascii="Arial" w:cs="Arial" w:eastAsia="Arial" w:hAnsi="Arial"/>
          <w:sz w:val="18"/>
          <w:szCs w:val="18"/>
          <w:color w:val="auto"/>
        </w:rPr>
        <w:t>Service credit of two and a half years for purposes of determining vesting under any supplemental or excess defined contribution plan and eligibility under any applicable retiree medical plan;</w:t>
      </w:r>
    </w:p>
    <w:p>
      <w:pPr>
        <w:spacing w:after="0" w:line="152" w:lineRule="exact"/>
        <w:rPr>
          <w:rFonts w:ascii="MS PGothic" w:cs="MS PGothic" w:eastAsia="MS PGothic" w:hAnsi="MS PGothic"/>
          <w:sz w:val="29"/>
          <w:szCs w:val="29"/>
          <w:color w:val="023C5B"/>
          <w:vertAlign w:val="superscript"/>
        </w:rPr>
      </w:pPr>
    </w:p>
    <w:p>
      <w:pPr>
        <w:ind w:left="1020" w:hanging="425"/>
        <w:spacing w:after="0"/>
        <w:tabs>
          <w:tab w:leader="none" w:pos="1020" w:val="left"/>
        </w:tabs>
        <w:numPr>
          <w:ilvl w:val="0"/>
          <w:numId w:val="119"/>
        </w:numPr>
        <w:rPr>
          <w:rFonts w:ascii="MS PGothic" w:cs="MS PGothic" w:eastAsia="MS PGothic" w:hAnsi="MS PGothic"/>
          <w:sz w:val="29"/>
          <w:szCs w:val="29"/>
          <w:color w:val="023C5B"/>
          <w:vertAlign w:val="superscript"/>
        </w:rPr>
      </w:pPr>
      <w:r>
        <w:rPr>
          <w:rFonts w:ascii="Arial" w:cs="Arial" w:eastAsia="Arial" w:hAnsi="Arial"/>
          <w:sz w:val="18"/>
          <w:szCs w:val="18"/>
          <w:color w:val="auto"/>
        </w:rPr>
        <w:t>Outplacement services of up to $30,000; and</w:t>
      </w:r>
    </w:p>
    <w:p>
      <w:pPr>
        <w:spacing w:after="0" w:line="179" w:lineRule="exact"/>
        <w:rPr>
          <w:rFonts w:ascii="MS PGothic" w:cs="MS PGothic" w:eastAsia="MS PGothic" w:hAnsi="MS PGothic"/>
          <w:sz w:val="29"/>
          <w:szCs w:val="29"/>
          <w:color w:val="023C5B"/>
          <w:vertAlign w:val="superscript"/>
        </w:rPr>
      </w:pPr>
    </w:p>
    <w:p>
      <w:pPr>
        <w:ind w:left="1020" w:hanging="425"/>
        <w:spacing w:after="0" w:line="216" w:lineRule="auto"/>
        <w:tabs>
          <w:tab w:leader="none" w:pos="1020" w:val="left"/>
        </w:tabs>
        <w:numPr>
          <w:ilvl w:val="0"/>
          <w:numId w:val="119"/>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Any contractual payments to which the NEO may otherwise have been entitled.</w:t>
      </w:r>
    </w:p>
    <w:p>
      <w:pPr>
        <w:spacing w:after="0" w:line="123" w:lineRule="exact"/>
        <w:rPr>
          <w:sz w:val="20"/>
          <w:szCs w:val="20"/>
          <w:color w:val="auto"/>
        </w:rPr>
      </w:pPr>
    </w:p>
    <w:p>
      <w:pPr>
        <w:ind w:left="18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-125095</wp:posOffset>
            </wp:positionV>
            <wp:extent cx="8255" cy="1784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32" w:lineRule="exact"/>
        <w:rPr>
          <w:sz w:val="20"/>
          <w:szCs w:val="20"/>
          <w:color w:val="auto"/>
        </w:rPr>
      </w:pPr>
    </w:p>
    <w:p>
      <w:pPr>
        <w:ind w:left="160" w:right="340"/>
        <w:spacing w:after="0" w:line="282" w:lineRule="auto"/>
        <w:rPr>
          <w:sz w:val="20"/>
          <w:szCs w:val="20"/>
          <w:color w:val="auto"/>
        </w:rPr>
      </w:pPr>
      <w:r>
        <w:rPr>
          <w:rFonts w:ascii="Arial" w:cs="Arial" w:eastAsia="Arial" w:hAnsi="Arial"/>
          <w:sz w:val="29"/>
          <w:szCs w:val="29"/>
          <w:b w:val="1"/>
          <w:bCs w:val="1"/>
          <w:color w:val="023C5B"/>
        </w:rPr>
        <w:t>2025 Potential Payments and Benefits Upon Termination or Change of Control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23495</wp:posOffset>
            </wp:positionV>
            <wp:extent cx="6259195" cy="41529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259195" cy="4152900"/>
                    </a:xfrm>
                    <a:prstGeom prst="rect">
                      <a:avLst/>
                    </a:prstGeom>
                    <a:noFill/>
                  </pic:spPr>
                </pic:pic>
              </a:graphicData>
            </a:graphic>
          </wp:anchor>
        </w:drawing>
      </w:r>
    </w:p>
    <w:p>
      <w:pPr>
        <w:spacing w:after="0" w:line="17"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1060" w:type="dxa"/>
            <w:vAlign w:val="bottom"/>
            <w:shd w:val="clear" w:color="auto" w:fill="023C5B"/>
          </w:tcPr>
          <w:p>
            <w:pPr>
              <w:spacing w:after="0"/>
              <w:rPr>
                <w:sz w:val="17"/>
                <w:szCs w:val="17"/>
                <w:color w:val="auto"/>
              </w:rPr>
            </w:pPr>
          </w:p>
        </w:tc>
        <w:tc>
          <w:tcPr>
            <w:tcW w:w="40" w:type="dxa"/>
            <w:vAlign w:val="bottom"/>
            <w:shd w:val="clear" w:color="auto" w:fill="023C5B"/>
          </w:tcPr>
          <w:p>
            <w:pPr>
              <w:spacing w:after="0"/>
              <w:rPr>
                <w:sz w:val="17"/>
                <w:szCs w:val="17"/>
                <w:color w:val="auto"/>
              </w:rPr>
            </w:pPr>
          </w:p>
        </w:tc>
        <w:tc>
          <w:tcPr>
            <w:tcW w:w="120" w:type="dxa"/>
            <w:vAlign w:val="bottom"/>
            <w:tcBorders>
              <w:left w:val="single" w:sz="8" w:color="023C5B"/>
            </w:tcBorders>
            <w:shd w:val="clear" w:color="auto" w:fill="023C5B"/>
          </w:tcPr>
          <w:p>
            <w:pPr>
              <w:spacing w:after="0"/>
              <w:rPr>
                <w:sz w:val="17"/>
                <w:szCs w:val="17"/>
                <w:color w:val="auto"/>
              </w:rPr>
            </w:pPr>
          </w:p>
        </w:tc>
        <w:tc>
          <w:tcPr>
            <w:tcW w:w="2900" w:type="dxa"/>
            <w:vAlign w:val="bottom"/>
            <w:shd w:val="clear" w:color="auto" w:fill="023C5B"/>
          </w:tcPr>
          <w:p>
            <w:pPr>
              <w:spacing w:after="0"/>
              <w:rPr>
                <w:sz w:val="17"/>
                <w:szCs w:val="17"/>
                <w:color w:val="auto"/>
              </w:rPr>
            </w:pPr>
          </w:p>
        </w:tc>
        <w:tc>
          <w:tcPr>
            <w:tcW w:w="40" w:type="dxa"/>
            <w:vAlign w:val="bottom"/>
            <w:shd w:val="clear" w:color="auto" w:fill="023C5B"/>
          </w:tcPr>
          <w:p>
            <w:pPr>
              <w:spacing w:after="0"/>
              <w:rPr>
                <w:sz w:val="17"/>
                <w:szCs w:val="17"/>
                <w:color w:val="auto"/>
              </w:rPr>
            </w:pPr>
          </w:p>
        </w:tc>
        <w:tc>
          <w:tcPr>
            <w:tcW w:w="940" w:type="dxa"/>
            <w:vAlign w:val="bottom"/>
            <w:shd w:val="clear" w:color="auto" w:fill="023C5B"/>
          </w:tcPr>
          <w:p>
            <w:pPr>
              <w:spacing w:after="0"/>
              <w:rPr>
                <w:sz w:val="17"/>
                <w:szCs w:val="17"/>
                <w:color w:val="auto"/>
              </w:rPr>
            </w:pPr>
          </w:p>
        </w:tc>
        <w:tc>
          <w:tcPr>
            <w:tcW w:w="60" w:type="dxa"/>
            <w:vAlign w:val="bottom"/>
            <w:shd w:val="clear" w:color="auto" w:fill="023C5B"/>
          </w:tcPr>
          <w:p>
            <w:pPr>
              <w:spacing w:after="0"/>
              <w:rPr>
                <w:sz w:val="17"/>
                <w:szCs w:val="17"/>
                <w:color w:val="auto"/>
              </w:rPr>
            </w:pPr>
          </w:p>
        </w:tc>
        <w:tc>
          <w:tcPr>
            <w:tcW w:w="1260" w:type="dxa"/>
            <w:vAlign w:val="bottom"/>
            <w:shd w:val="clear" w:color="auto" w:fill="023C5B"/>
          </w:tcPr>
          <w:p>
            <w:pPr>
              <w:spacing w:after="0"/>
              <w:rPr>
                <w:sz w:val="17"/>
                <w:szCs w:val="17"/>
                <w:color w:val="auto"/>
              </w:rPr>
            </w:pPr>
          </w:p>
        </w:tc>
        <w:tc>
          <w:tcPr>
            <w:tcW w:w="40" w:type="dxa"/>
            <w:vAlign w:val="bottom"/>
            <w:shd w:val="clear" w:color="auto" w:fill="023C5B"/>
          </w:tcPr>
          <w:p>
            <w:pPr>
              <w:spacing w:after="0"/>
              <w:rPr>
                <w:sz w:val="17"/>
                <w:szCs w:val="17"/>
                <w:color w:val="auto"/>
              </w:rPr>
            </w:pPr>
          </w:p>
        </w:tc>
        <w:tc>
          <w:tcPr>
            <w:tcW w:w="1360" w:type="dxa"/>
            <w:vAlign w:val="bottom"/>
            <w:gridSpan w:val="2"/>
            <w:shd w:val="clear" w:color="auto" w:fill="023C5B"/>
          </w:tcPr>
          <w:p>
            <w:pPr>
              <w:jc w:val="center"/>
              <w:ind w:right="100"/>
              <w:spacing w:after="0"/>
              <w:rPr>
                <w:sz w:val="20"/>
                <w:szCs w:val="20"/>
                <w:color w:val="auto"/>
              </w:rPr>
            </w:pPr>
            <w:r>
              <w:rPr>
                <w:rFonts w:ascii="Arial" w:cs="Arial" w:eastAsia="Arial" w:hAnsi="Arial"/>
                <w:sz w:val="14"/>
                <w:szCs w:val="14"/>
                <w:b w:val="1"/>
                <w:bCs w:val="1"/>
                <w:color w:val="FFFFFF"/>
              </w:rPr>
              <w:t>Acceleration</w:t>
            </w:r>
          </w:p>
        </w:tc>
        <w:tc>
          <w:tcPr>
            <w:tcW w:w="1080" w:type="dxa"/>
            <w:vAlign w:val="bottom"/>
            <w:shd w:val="clear" w:color="auto" w:fill="023C5B"/>
          </w:tcPr>
          <w:p>
            <w:pPr>
              <w:spacing w:after="0"/>
              <w:rPr>
                <w:sz w:val="17"/>
                <w:szCs w:val="17"/>
                <w:color w:val="auto"/>
              </w:rPr>
            </w:pPr>
          </w:p>
        </w:tc>
        <w:tc>
          <w:tcPr>
            <w:tcW w:w="60" w:type="dxa"/>
            <w:vAlign w:val="bottom"/>
            <w:shd w:val="clear" w:color="auto" w:fill="023C5B"/>
          </w:tcPr>
          <w:p>
            <w:pPr>
              <w:spacing w:after="0"/>
              <w:rPr>
                <w:sz w:val="17"/>
                <w:szCs w:val="17"/>
                <w:color w:val="auto"/>
              </w:rPr>
            </w:pPr>
          </w:p>
        </w:tc>
        <w:tc>
          <w:tcPr>
            <w:tcW w:w="880" w:type="dxa"/>
            <w:vAlign w:val="bottom"/>
            <w:shd w:val="clear" w:color="auto" w:fill="023C5B"/>
          </w:tcPr>
          <w:p>
            <w:pPr>
              <w:spacing w:after="0"/>
              <w:rPr>
                <w:sz w:val="17"/>
                <w:szCs w:val="17"/>
                <w:color w:val="auto"/>
              </w:rPr>
            </w:pPr>
          </w:p>
        </w:tc>
        <w:tc>
          <w:tcPr>
            <w:tcW w:w="60" w:type="dxa"/>
            <w:vAlign w:val="bottom"/>
            <w:shd w:val="clear" w:color="auto" w:fill="023C5B"/>
          </w:tcPr>
          <w:p>
            <w:pPr>
              <w:spacing w:after="0"/>
              <w:rPr>
                <w:sz w:val="17"/>
                <w:szCs w:val="17"/>
                <w:color w:val="auto"/>
              </w:rPr>
            </w:pPr>
          </w:p>
        </w:tc>
        <w:tc>
          <w:tcPr>
            <w:tcW w:w="1020" w:type="dxa"/>
            <w:vAlign w:val="bottom"/>
            <w:shd w:val="clear" w:color="auto" w:fill="023C5B"/>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6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120" w:type="dxa"/>
            <w:vAlign w:val="bottom"/>
            <w:tcBorders>
              <w:left w:val="single" w:sz="8" w:color="023C5B"/>
            </w:tcBorders>
            <w:shd w:val="clear" w:color="auto" w:fill="023C5B"/>
          </w:tcPr>
          <w:p>
            <w:pPr>
              <w:spacing w:after="0"/>
              <w:rPr>
                <w:sz w:val="13"/>
                <w:szCs w:val="13"/>
                <w:color w:val="auto"/>
              </w:rPr>
            </w:pPr>
          </w:p>
        </w:tc>
        <w:tc>
          <w:tcPr>
            <w:tcW w:w="290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9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26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1360" w:type="dxa"/>
            <w:vAlign w:val="bottom"/>
            <w:gridSpan w:val="2"/>
            <w:shd w:val="clear" w:color="auto" w:fill="023C5B"/>
          </w:tcPr>
          <w:p>
            <w:pPr>
              <w:jc w:val="center"/>
              <w:ind w:right="100"/>
              <w:spacing w:after="0"/>
              <w:rPr>
                <w:sz w:val="20"/>
                <w:szCs w:val="20"/>
                <w:color w:val="auto"/>
              </w:rPr>
            </w:pPr>
            <w:r>
              <w:rPr>
                <w:rFonts w:ascii="Arial" w:cs="Arial" w:eastAsia="Arial" w:hAnsi="Arial"/>
                <w:sz w:val="14"/>
                <w:szCs w:val="14"/>
                <w:b w:val="1"/>
                <w:bCs w:val="1"/>
                <w:color w:val="FFFFFF"/>
              </w:rPr>
              <w:t>and</w:t>
            </w:r>
          </w:p>
        </w:tc>
        <w:tc>
          <w:tcPr>
            <w:tcW w:w="1140" w:type="dxa"/>
            <w:vAlign w:val="bottom"/>
            <w:gridSpan w:val="2"/>
            <w:shd w:val="clear" w:color="auto" w:fill="023C5B"/>
          </w:tcPr>
          <w:p>
            <w:pPr>
              <w:jc w:val="center"/>
              <w:ind w:right="20"/>
              <w:spacing w:after="0"/>
              <w:rPr>
                <w:sz w:val="20"/>
                <w:szCs w:val="20"/>
                <w:color w:val="auto"/>
              </w:rPr>
            </w:pPr>
            <w:r>
              <w:rPr>
                <w:rFonts w:ascii="Arial" w:cs="Arial" w:eastAsia="Arial" w:hAnsi="Arial"/>
                <w:sz w:val="14"/>
                <w:szCs w:val="14"/>
                <w:b w:val="1"/>
                <w:bCs w:val="1"/>
                <w:color w:val="FFFFFF"/>
              </w:rPr>
              <w:t>Continuation</w:t>
            </w:r>
          </w:p>
        </w:tc>
        <w:tc>
          <w:tcPr>
            <w:tcW w:w="88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020" w:type="dxa"/>
            <w:vAlign w:val="bottom"/>
            <w:shd w:val="clear" w:color="auto" w:fill="023C5B"/>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120" w:type="dxa"/>
            <w:vAlign w:val="bottom"/>
            <w:tcBorders>
              <w:left w:val="single" w:sz="8" w:color="023C5B"/>
            </w:tcBorders>
            <w:shd w:val="clear" w:color="auto" w:fill="023C5B"/>
          </w:tcPr>
          <w:p>
            <w:pPr>
              <w:spacing w:after="0"/>
              <w:rPr>
                <w:sz w:val="13"/>
                <w:szCs w:val="13"/>
                <w:color w:val="auto"/>
              </w:rPr>
            </w:pPr>
          </w:p>
        </w:tc>
        <w:tc>
          <w:tcPr>
            <w:tcW w:w="290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9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30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Retirement</w:t>
            </w:r>
          </w:p>
        </w:tc>
        <w:tc>
          <w:tcPr>
            <w:tcW w:w="1360" w:type="dxa"/>
            <w:vAlign w:val="bottom"/>
            <w:gridSpan w:val="2"/>
            <w:shd w:val="clear" w:color="auto" w:fill="023C5B"/>
          </w:tcPr>
          <w:p>
            <w:pPr>
              <w:jc w:val="center"/>
              <w:ind w:right="120"/>
              <w:spacing w:after="0"/>
              <w:rPr>
                <w:sz w:val="20"/>
                <w:szCs w:val="20"/>
                <w:color w:val="auto"/>
              </w:rPr>
            </w:pPr>
            <w:r>
              <w:rPr>
                <w:rFonts w:ascii="Arial" w:cs="Arial" w:eastAsia="Arial" w:hAnsi="Arial"/>
                <w:sz w:val="14"/>
                <w:szCs w:val="14"/>
                <w:b w:val="1"/>
                <w:bCs w:val="1"/>
                <w:color w:val="FFFFFF"/>
              </w:rPr>
              <w:t>Continuation</w:t>
            </w:r>
          </w:p>
        </w:tc>
        <w:tc>
          <w:tcPr>
            <w:tcW w:w="1140" w:type="dxa"/>
            <w:vAlign w:val="bottom"/>
            <w:gridSpan w:val="2"/>
            <w:shd w:val="clear" w:color="auto" w:fill="023C5B"/>
          </w:tcPr>
          <w:p>
            <w:pPr>
              <w:ind w:left="180"/>
              <w:spacing w:after="0"/>
              <w:rPr>
                <w:sz w:val="20"/>
                <w:szCs w:val="20"/>
                <w:color w:val="auto"/>
              </w:rPr>
            </w:pPr>
            <w:r>
              <w:rPr>
                <w:rFonts w:ascii="Arial" w:cs="Arial" w:eastAsia="Arial" w:hAnsi="Arial"/>
                <w:sz w:val="14"/>
                <w:szCs w:val="14"/>
                <w:b w:val="1"/>
                <w:bCs w:val="1"/>
                <w:color w:val="FFFFFF"/>
              </w:rPr>
              <w:t> of Medical/</w:t>
            </w:r>
          </w:p>
        </w:tc>
        <w:tc>
          <w:tcPr>
            <w:tcW w:w="940" w:type="dxa"/>
            <w:vAlign w:val="bottom"/>
            <w:gridSpan w:val="2"/>
            <w:shd w:val="clear" w:color="auto" w:fill="023C5B"/>
          </w:tcPr>
          <w:p>
            <w:pPr>
              <w:ind w:left="100"/>
              <w:spacing w:after="0"/>
              <w:rPr>
                <w:sz w:val="20"/>
                <w:szCs w:val="20"/>
                <w:color w:val="auto"/>
              </w:rPr>
            </w:pPr>
            <w:r>
              <w:rPr>
                <w:rFonts w:ascii="Arial" w:cs="Arial" w:eastAsia="Arial" w:hAnsi="Arial"/>
                <w:sz w:val="14"/>
                <w:szCs w:val="14"/>
                <w:b w:val="1"/>
                <w:bCs w:val="1"/>
                <w:color w:val="FFFFFF"/>
              </w:rPr>
              <w:t>   Excise</w:t>
            </w:r>
          </w:p>
        </w:tc>
        <w:tc>
          <w:tcPr>
            <w:tcW w:w="1020" w:type="dxa"/>
            <w:vAlign w:val="bottom"/>
            <w:shd w:val="clear" w:color="auto" w:fill="023C5B"/>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6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120" w:type="dxa"/>
            <w:vAlign w:val="bottom"/>
            <w:tcBorders>
              <w:left w:val="single" w:sz="8" w:color="023C5B"/>
            </w:tcBorders>
            <w:shd w:val="clear" w:color="auto" w:fill="023C5B"/>
          </w:tcPr>
          <w:p>
            <w:pPr>
              <w:spacing w:after="0"/>
              <w:rPr>
                <w:sz w:val="13"/>
                <w:szCs w:val="13"/>
                <w:color w:val="auto"/>
              </w:rPr>
            </w:pPr>
          </w:p>
        </w:tc>
        <w:tc>
          <w:tcPr>
            <w:tcW w:w="290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9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300" w:type="dxa"/>
            <w:vAlign w:val="bottom"/>
            <w:gridSpan w:val="2"/>
            <w:shd w:val="clear" w:color="auto" w:fill="023C5B"/>
          </w:tcPr>
          <w:p>
            <w:pPr>
              <w:jc w:val="center"/>
              <w:spacing w:after="0" w:line="157" w:lineRule="exact"/>
              <w:rPr>
                <w:sz w:val="20"/>
                <w:szCs w:val="20"/>
                <w:color w:val="auto"/>
              </w:rPr>
            </w:pPr>
            <w:r>
              <w:rPr>
                <w:rFonts w:ascii="Arial" w:cs="Arial" w:eastAsia="Arial" w:hAnsi="Arial"/>
                <w:sz w:val="14"/>
                <w:szCs w:val="14"/>
                <w:b w:val="1"/>
                <w:bCs w:val="1"/>
                <w:color w:val="FFFFFF"/>
              </w:rPr>
              <w:t>Plan</w:t>
            </w:r>
          </w:p>
        </w:tc>
        <w:tc>
          <w:tcPr>
            <w:tcW w:w="1360" w:type="dxa"/>
            <w:vAlign w:val="bottom"/>
            <w:gridSpan w:val="2"/>
            <w:shd w:val="clear" w:color="auto" w:fill="023C5B"/>
          </w:tcPr>
          <w:p>
            <w:pPr>
              <w:jc w:val="center"/>
              <w:ind w:right="120"/>
              <w:spacing w:after="0" w:line="157" w:lineRule="exact"/>
              <w:rPr>
                <w:sz w:val="20"/>
                <w:szCs w:val="20"/>
                <w:color w:val="auto"/>
              </w:rPr>
            </w:pPr>
            <w:r>
              <w:rPr>
                <w:rFonts w:ascii="Arial" w:cs="Arial" w:eastAsia="Arial" w:hAnsi="Arial"/>
                <w:sz w:val="14"/>
                <w:szCs w:val="14"/>
                <w:b w:val="1"/>
                <w:bCs w:val="1"/>
                <w:color w:val="FFFFFF"/>
              </w:rPr>
              <w:t>of Equity</w:t>
            </w:r>
          </w:p>
        </w:tc>
        <w:tc>
          <w:tcPr>
            <w:tcW w:w="1140" w:type="dxa"/>
            <w:vAlign w:val="bottom"/>
            <w:gridSpan w:val="2"/>
            <w:shd w:val="clear" w:color="auto" w:fill="023C5B"/>
          </w:tcPr>
          <w:p>
            <w:pPr>
              <w:jc w:val="center"/>
              <w:ind w:right="60"/>
              <w:spacing w:after="0" w:line="157" w:lineRule="exact"/>
              <w:rPr>
                <w:sz w:val="20"/>
                <w:szCs w:val="20"/>
                <w:color w:val="auto"/>
              </w:rPr>
            </w:pPr>
            <w:r>
              <w:rPr>
                <w:rFonts w:ascii="Arial" w:cs="Arial" w:eastAsia="Arial" w:hAnsi="Arial"/>
                <w:sz w:val="14"/>
                <w:szCs w:val="14"/>
                <w:b w:val="1"/>
                <w:bCs w:val="1"/>
                <w:color w:val="FFFFFF"/>
              </w:rPr>
              <w:t>Welfare</w:t>
            </w:r>
          </w:p>
        </w:tc>
        <w:tc>
          <w:tcPr>
            <w:tcW w:w="940" w:type="dxa"/>
            <w:vAlign w:val="bottom"/>
            <w:gridSpan w:val="2"/>
            <w:shd w:val="clear" w:color="auto" w:fill="023C5B"/>
          </w:tcPr>
          <w:p>
            <w:pPr>
              <w:jc w:val="center"/>
              <w:spacing w:after="0" w:line="157" w:lineRule="exact"/>
              <w:rPr>
                <w:sz w:val="20"/>
                <w:szCs w:val="20"/>
                <w:color w:val="auto"/>
              </w:rPr>
            </w:pPr>
            <w:r>
              <w:rPr>
                <w:rFonts w:ascii="Arial" w:cs="Arial" w:eastAsia="Arial" w:hAnsi="Arial"/>
                <w:sz w:val="14"/>
                <w:szCs w:val="14"/>
                <w:b w:val="1"/>
                <w:bCs w:val="1"/>
                <w:color w:val="FFFFFF"/>
                <w:w w:val="99"/>
              </w:rPr>
              <w:t>Tax Gross</w:t>
            </w:r>
          </w:p>
        </w:tc>
        <w:tc>
          <w:tcPr>
            <w:tcW w:w="1020" w:type="dxa"/>
            <w:vAlign w:val="bottom"/>
            <w:shd w:val="clear" w:color="auto" w:fill="023C5B"/>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100" w:type="dxa"/>
            <w:vAlign w:val="bottom"/>
            <w:gridSpan w:val="2"/>
            <w:shd w:val="clear" w:color="auto" w:fill="023C5B"/>
          </w:tcPr>
          <w:p>
            <w:pPr>
              <w:spacing w:after="0"/>
              <w:rPr>
                <w:sz w:val="20"/>
                <w:szCs w:val="20"/>
                <w:color w:val="auto"/>
              </w:rPr>
            </w:pPr>
            <w:r>
              <w:rPr>
                <w:rFonts w:ascii="Arial" w:cs="Arial" w:eastAsia="Arial" w:hAnsi="Arial"/>
                <w:sz w:val="14"/>
                <w:szCs w:val="14"/>
                <w:b w:val="1"/>
                <w:bCs w:val="1"/>
                <w:color w:val="FFFFFF"/>
              </w:rPr>
              <w:t> Name</w:t>
            </w:r>
          </w:p>
        </w:tc>
        <w:tc>
          <w:tcPr>
            <w:tcW w:w="120" w:type="dxa"/>
            <w:vAlign w:val="bottom"/>
            <w:tcBorders>
              <w:left w:val="single" w:sz="8" w:color="023C5B"/>
            </w:tcBorders>
            <w:shd w:val="clear" w:color="auto" w:fill="023C5B"/>
          </w:tcPr>
          <w:p>
            <w:pPr>
              <w:spacing w:after="0"/>
              <w:rPr>
                <w:sz w:val="19"/>
                <w:szCs w:val="19"/>
                <w:color w:val="auto"/>
              </w:rPr>
            </w:pPr>
          </w:p>
        </w:tc>
        <w:tc>
          <w:tcPr>
            <w:tcW w:w="2940" w:type="dxa"/>
            <w:vAlign w:val="bottom"/>
            <w:gridSpan w:val="2"/>
            <w:shd w:val="clear" w:color="auto" w:fill="023C5B"/>
          </w:tcPr>
          <w:p>
            <w:pPr>
              <w:ind w:left="760"/>
              <w:spacing w:after="0"/>
              <w:rPr>
                <w:sz w:val="20"/>
                <w:szCs w:val="20"/>
                <w:color w:val="auto"/>
              </w:rPr>
            </w:pPr>
            <w:r>
              <w:rPr>
                <w:rFonts w:ascii="Arial" w:cs="Arial" w:eastAsia="Arial" w:hAnsi="Arial"/>
                <w:sz w:val="14"/>
                <w:szCs w:val="14"/>
                <w:b w:val="1"/>
                <w:bCs w:val="1"/>
                <w:color w:val="FFFFFF"/>
              </w:rPr>
              <w:t>Type of Termination</w:t>
            </w:r>
          </w:p>
        </w:tc>
        <w:tc>
          <w:tcPr>
            <w:tcW w:w="1000" w:type="dxa"/>
            <w:vAlign w:val="bottom"/>
            <w:gridSpan w:val="2"/>
            <w:shd w:val="clear" w:color="auto" w:fill="023C5B"/>
          </w:tcPr>
          <w:p>
            <w:pPr>
              <w:ind w:left="260"/>
              <w:spacing w:after="0" w:line="227" w:lineRule="exact"/>
              <w:rPr>
                <w:sz w:val="20"/>
                <w:szCs w:val="20"/>
                <w:color w:val="auto"/>
              </w:rPr>
            </w:pPr>
            <w:r>
              <w:rPr>
                <w:rFonts w:ascii="Arial" w:cs="Arial" w:eastAsia="Arial" w:hAnsi="Arial"/>
                <w:sz w:val="14"/>
                <w:szCs w:val="14"/>
                <w:b w:val="1"/>
                <w:bCs w:val="1"/>
                <w:color w:val="FFFFFF"/>
              </w:rPr>
              <w:t xml:space="preserve">Cash </w:t>
            </w:r>
            <w:r>
              <w:rPr>
                <w:rFonts w:ascii="Arial" w:cs="Arial" w:eastAsia="Arial" w:hAnsi="Arial"/>
                <w:sz w:val="21"/>
                <w:szCs w:val="21"/>
                <w:b w:val="1"/>
                <w:bCs w:val="1"/>
                <w:color w:val="FFFFFF"/>
                <w:vertAlign w:val="superscript"/>
              </w:rPr>
              <w:t>(1)</w:t>
            </w:r>
          </w:p>
        </w:tc>
        <w:tc>
          <w:tcPr>
            <w:tcW w:w="1300" w:type="dxa"/>
            <w:vAlign w:val="bottom"/>
            <w:gridSpan w:val="2"/>
            <w:shd w:val="clear" w:color="auto" w:fill="023C5B"/>
          </w:tcPr>
          <w:p>
            <w:pPr>
              <w:jc w:val="center"/>
              <w:spacing w:after="0" w:line="227" w:lineRule="exact"/>
              <w:rPr>
                <w:sz w:val="20"/>
                <w:szCs w:val="20"/>
                <w:color w:val="auto"/>
              </w:rPr>
            </w:pPr>
            <w:r>
              <w:rPr>
                <w:rFonts w:ascii="Arial" w:cs="Arial" w:eastAsia="Arial" w:hAnsi="Arial"/>
                <w:sz w:val="14"/>
                <w:szCs w:val="14"/>
                <w:b w:val="1"/>
                <w:bCs w:val="1"/>
                <w:color w:val="FFFFFF"/>
                <w:w w:val="97"/>
              </w:rPr>
              <w:t xml:space="preserve">Contributions </w:t>
            </w:r>
            <w:r>
              <w:rPr>
                <w:rFonts w:ascii="Arial" w:cs="Arial" w:eastAsia="Arial" w:hAnsi="Arial"/>
                <w:sz w:val="21"/>
                <w:szCs w:val="21"/>
                <w:b w:val="1"/>
                <w:bCs w:val="1"/>
                <w:color w:val="FFFFFF"/>
                <w:w w:val="97"/>
                <w:vertAlign w:val="superscript"/>
              </w:rPr>
              <w:t>(2)</w:t>
            </w:r>
          </w:p>
        </w:tc>
        <w:tc>
          <w:tcPr>
            <w:tcW w:w="1360" w:type="dxa"/>
            <w:vAlign w:val="bottom"/>
            <w:gridSpan w:val="2"/>
            <w:shd w:val="clear" w:color="auto" w:fill="023C5B"/>
          </w:tcPr>
          <w:p>
            <w:pPr>
              <w:jc w:val="center"/>
              <w:ind w:right="80"/>
              <w:spacing w:after="0" w:line="227"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1"/>
                <w:szCs w:val="21"/>
                <w:b w:val="1"/>
                <w:bCs w:val="1"/>
                <w:color w:val="FFFFFF"/>
                <w:vertAlign w:val="superscript"/>
              </w:rPr>
              <w:t>(3)</w:t>
            </w:r>
            <w:r>
              <w:rPr>
                <w:rFonts w:ascii="Arial" w:cs="Arial" w:eastAsia="Arial" w:hAnsi="Arial"/>
                <w:sz w:val="14"/>
                <w:szCs w:val="14"/>
                <w:b w:val="1"/>
                <w:bCs w:val="1"/>
                <w:color w:val="FFFFFF"/>
              </w:rPr>
              <w:t xml:space="preserve"> </w:t>
            </w:r>
          </w:p>
        </w:tc>
        <w:tc>
          <w:tcPr>
            <w:tcW w:w="1140" w:type="dxa"/>
            <w:vAlign w:val="bottom"/>
            <w:gridSpan w:val="2"/>
            <w:shd w:val="clear" w:color="auto" w:fill="023C5B"/>
          </w:tcPr>
          <w:p>
            <w:pPr>
              <w:jc w:val="center"/>
              <w:ind w:right="20"/>
              <w:spacing w:after="0" w:line="227" w:lineRule="exact"/>
              <w:rPr>
                <w:sz w:val="20"/>
                <w:szCs w:val="20"/>
                <w:color w:val="auto"/>
              </w:rPr>
            </w:pPr>
            <w:r>
              <w:rPr>
                <w:rFonts w:ascii="Arial" w:cs="Arial" w:eastAsia="Arial" w:hAnsi="Arial"/>
                <w:sz w:val="14"/>
                <w:szCs w:val="14"/>
                <w:b w:val="1"/>
                <w:bCs w:val="1"/>
                <w:color w:val="FFFFFF"/>
                <w:w w:val="99"/>
              </w:rPr>
              <w:t>Benefits</w:t>
            </w:r>
            <w:r>
              <w:rPr>
                <w:rFonts w:ascii="Arial" w:cs="Arial" w:eastAsia="Arial" w:hAnsi="Arial"/>
                <w:sz w:val="21"/>
                <w:szCs w:val="21"/>
                <w:b w:val="1"/>
                <w:bCs w:val="1"/>
                <w:color w:val="FFFFFF"/>
                <w:w w:val="99"/>
                <w:vertAlign w:val="superscript"/>
              </w:rPr>
              <w:t>(4)</w:t>
            </w:r>
            <w:r>
              <w:rPr>
                <w:rFonts w:ascii="Arial" w:cs="Arial" w:eastAsia="Arial" w:hAnsi="Arial"/>
                <w:sz w:val="14"/>
                <w:szCs w:val="14"/>
                <w:b w:val="1"/>
                <w:bCs w:val="1"/>
                <w:color w:val="FFFFFF"/>
                <w:w w:val="99"/>
              </w:rPr>
              <w:t xml:space="preserve"> </w:t>
            </w:r>
          </w:p>
        </w:tc>
        <w:tc>
          <w:tcPr>
            <w:tcW w:w="940" w:type="dxa"/>
            <w:vAlign w:val="bottom"/>
            <w:gridSpan w:val="2"/>
            <w:shd w:val="clear" w:color="auto" w:fill="023C5B"/>
          </w:tcPr>
          <w:p>
            <w:pPr>
              <w:jc w:val="center"/>
              <w:spacing w:after="0" w:line="227" w:lineRule="exact"/>
              <w:rPr>
                <w:sz w:val="20"/>
                <w:szCs w:val="20"/>
                <w:color w:val="auto"/>
              </w:rPr>
            </w:pPr>
            <w:r>
              <w:rPr>
                <w:rFonts w:ascii="Arial" w:cs="Arial" w:eastAsia="Arial" w:hAnsi="Arial"/>
                <w:sz w:val="26"/>
                <w:szCs w:val="26"/>
                <w:b w:val="1"/>
                <w:bCs w:val="1"/>
                <w:color w:val="FFFFFF"/>
                <w:w w:val="90"/>
                <w:vertAlign w:val="subscript"/>
              </w:rPr>
              <w:t>Up</w:t>
            </w:r>
            <w:r>
              <w:rPr>
                <w:rFonts w:ascii="Arial" w:cs="Arial" w:eastAsia="Arial" w:hAnsi="Arial"/>
                <w:sz w:val="10"/>
                <w:szCs w:val="10"/>
                <w:b w:val="1"/>
                <w:bCs w:val="1"/>
                <w:color w:val="FFFFFF"/>
                <w:w w:val="90"/>
              </w:rPr>
              <w:t>(5)</w:t>
            </w:r>
          </w:p>
        </w:tc>
        <w:tc>
          <w:tcPr>
            <w:tcW w:w="1020" w:type="dxa"/>
            <w:vAlign w:val="bottom"/>
            <w:shd w:val="clear" w:color="auto" w:fill="023C5B"/>
          </w:tcPr>
          <w:p>
            <w:pPr>
              <w:ind w:left="38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1"/>
        </w:trPr>
        <w:tc>
          <w:tcPr>
            <w:tcW w:w="1100" w:type="dxa"/>
            <w:vAlign w:val="bottom"/>
            <w:gridSpan w:val="2"/>
          </w:tcPr>
          <w:p>
            <w:pPr>
              <w:ind w:left="60"/>
              <w:spacing w:after="0"/>
              <w:rPr>
                <w:sz w:val="20"/>
                <w:szCs w:val="20"/>
                <w:color w:val="auto"/>
              </w:rPr>
            </w:pPr>
            <w:r>
              <w:rPr>
                <w:rFonts w:ascii="Arial" w:cs="Arial" w:eastAsia="Arial" w:hAnsi="Arial"/>
                <w:sz w:val="14"/>
                <w:szCs w:val="14"/>
                <w:color w:val="auto"/>
              </w:rPr>
              <w:t>Richard D.</w:t>
            </w:r>
          </w:p>
        </w:tc>
        <w:tc>
          <w:tcPr>
            <w:tcW w:w="3060" w:type="dxa"/>
            <w:vAlign w:val="bottom"/>
            <w:tcBorders>
              <w:left w:val="single" w:sz="8" w:color="E5EBEE"/>
            </w:tcBorders>
            <w:gridSpan w:val="3"/>
            <w:shd w:val="clear" w:color="auto" w:fill="E5EBEE"/>
          </w:tcPr>
          <w:p>
            <w:pPr>
              <w:ind w:left="100"/>
              <w:spacing w:after="0" w:line="201" w:lineRule="exact"/>
              <w:rPr>
                <w:sz w:val="20"/>
                <w:szCs w:val="20"/>
                <w:color w:val="auto"/>
              </w:rPr>
            </w:pPr>
            <w:r>
              <w:rPr>
                <w:rFonts w:ascii="Arial" w:cs="Arial" w:eastAsia="Arial" w:hAnsi="Arial"/>
                <w:sz w:val="14"/>
                <w:szCs w:val="14"/>
                <w:color w:val="auto"/>
              </w:rPr>
              <w:t>Voluntary Termination</w:t>
            </w:r>
            <w:r>
              <w:rPr>
                <w:rFonts w:ascii="Arial" w:cs="Arial" w:eastAsia="Arial" w:hAnsi="Arial"/>
                <w:sz w:val="21"/>
                <w:szCs w:val="21"/>
                <w:color w:val="auto"/>
                <w:vertAlign w:val="superscript"/>
              </w:rPr>
              <w:t>(7)</w:t>
            </w: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E5EBEE"/>
          </w:tcPr>
          <w:p>
            <w:pPr>
              <w:jc w:val="center"/>
              <w:ind w:right="80"/>
              <w:spacing w:after="0"/>
              <w:rPr>
                <w:sz w:val="20"/>
                <w:szCs w:val="20"/>
                <w:color w:val="auto"/>
              </w:rPr>
            </w:pPr>
            <w:r>
              <w:rPr>
                <w:rFonts w:ascii="Arial" w:cs="Arial" w:eastAsia="Arial" w:hAnsi="Arial"/>
                <w:sz w:val="14"/>
                <w:szCs w:val="14"/>
                <w:color w:val="auto"/>
                <w:w w:val="92"/>
              </w:rPr>
              <w:t>$126,718,521 </w:t>
            </w:r>
          </w:p>
        </w:tc>
        <w:tc>
          <w:tcPr>
            <w:tcW w:w="11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$92,000 </w:t>
            </w: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$126,810,521</w:t>
            </w:r>
          </w:p>
        </w:tc>
        <w:tc>
          <w:tcPr>
            <w:tcW w:w="0" w:type="dxa"/>
            <w:vAlign w:val="bottom"/>
          </w:tcPr>
          <w:p>
            <w:pPr>
              <w:spacing w:after="0"/>
              <w:rPr>
                <w:sz w:val="1"/>
                <w:szCs w:val="1"/>
                <w:color w:val="auto"/>
              </w:rPr>
            </w:pPr>
          </w:p>
        </w:tc>
      </w:tr>
      <w:tr>
        <w:trPr>
          <w:trHeight w:val="67"/>
        </w:trPr>
        <w:tc>
          <w:tcPr>
            <w:tcW w:w="1100" w:type="dxa"/>
            <w:vAlign w:val="bottom"/>
            <w:gridSpan w:val="2"/>
            <w:vMerge w:val="restart"/>
          </w:tcPr>
          <w:p>
            <w:pPr>
              <w:ind w:left="60"/>
              <w:spacing w:after="0" w:line="201" w:lineRule="exact"/>
              <w:rPr>
                <w:sz w:val="20"/>
                <w:szCs w:val="20"/>
                <w:color w:val="auto"/>
              </w:rPr>
            </w:pPr>
            <w:r>
              <w:rPr>
                <w:rFonts w:ascii="Arial" w:cs="Arial" w:eastAsia="Arial" w:hAnsi="Arial"/>
                <w:sz w:val="14"/>
                <w:szCs w:val="14"/>
                <w:color w:val="auto"/>
              </w:rPr>
              <w:t>Fairbank</w:t>
            </w:r>
            <w:r>
              <w:rPr>
                <w:rFonts w:ascii="Arial" w:cs="Arial" w:eastAsia="Arial" w:hAnsi="Arial"/>
                <w:sz w:val="21"/>
                <w:szCs w:val="21"/>
                <w:color w:val="auto"/>
                <w:vertAlign w:val="superscript"/>
              </w:rPr>
              <w:t>(6)</w:t>
            </w:r>
          </w:p>
        </w:tc>
        <w:tc>
          <w:tcPr>
            <w:tcW w:w="120" w:type="dxa"/>
            <w:vAlign w:val="bottom"/>
            <w:tcBorders>
              <w:left w:val="single" w:sz="8" w:color="E5EBEE"/>
            </w:tcBorders>
            <w:shd w:val="clear" w:color="auto" w:fill="E5EBEE"/>
          </w:tcPr>
          <w:p>
            <w:pPr>
              <w:spacing w:after="0"/>
              <w:rPr>
                <w:sz w:val="5"/>
                <w:szCs w:val="5"/>
                <w:color w:val="auto"/>
              </w:rPr>
            </w:pPr>
          </w:p>
        </w:tc>
        <w:tc>
          <w:tcPr>
            <w:tcW w:w="2900" w:type="dxa"/>
            <w:vAlign w:val="bottom"/>
            <w:shd w:val="clear" w:color="auto" w:fill="E5EBEE"/>
          </w:tcPr>
          <w:p>
            <w:pPr>
              <w:spacing w:after="0"/>
              <w:rPr>
                <w:sz w:val="5"/>
                <w:szCs w:val="5"/>
                <w:color w:val="auto"/>
              </w:rPr>
            </w:pPr>
          </w:p>
        </w:tc>
        <w:tc>
          <w:tcPr>
            <w:tcW w:w="40" w:type="dxa"/>
            <w:vAlign w:val="bottom"/>
            <w:shd w:val="clear" w:color="auto" w:fill="E5EBEE"/>
          </w:tcPr>
          <w:p>
            <w:pPr>
              <w:spacing w:after="0"/>
              <w:rPr>
                <w:sz w:val="5"/>
                <w:szCs w:val="5"/>
                <w:color w:val="auto"/>
              </w:rPr>
            </w:pPr>
          </w:p>
        </w:tc>
        <w:tc>
          <w:tcPr>
            <w:tcW w:w="94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1260" w:type="dxa"/>
            <w:vAlign w:val="bottom"/>
            <w:shd w:val="clear" w:color="auto" w:fill="E5EBEE"/>
          </w:tcPr>
          <w:p>
            <w:pPr>
              <w:spacing w:after="0"/>
              <w:rPr>
                <w:sz w:val="5"/>
                <w:szCs w:val="5"/>
                <w:color w:val="auto"/>
              </w:rPr>
            </w:pPr>
          </w:p>
        </w:tc>
        <w:tc>
          <w:tcPr>
            <w:tcW w:w="40" w:type="dxa"/>
            <w:vAlign w:val="bottom"/>
            <w:shd w:val="clear" w:color="auto" w:fill="E5EBEE"/>
          </w:tcPr>
          <w:p>
            <w:pPr>
              <w:spacing w:after="0"/>
              <w:rPr>
                <w:sz w:val="5"/>
                <w:szCs w:val="5"/>
                <w:color w:val="auto"/>
              </w:rPr>
            </w:pPr>
          </w:p>
        </w:tc>
        <w:tc>
          <w:tcPr>
            <w:tcW w:w="130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108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88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1020" w:type="dxa"/>
            <w:vAlign w:val="bottom"/>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100" w:type="dxa"/>
            <w:vAlign w:val="bottom"/>
            <w:gridSpan w:val="2"/>
            <w:vMerge w:val="continue"/>
          </w:tcPr>
          <w:p>
            <w:pPr>
              <w:spacing w:after="0"/>
              <w:rPr>
                <w:sz w:val="11"/>
                <w:szCs w:val="11"/>
                <w:color w:val="auto"/>
              </w:rPr>
            </w:pPr>
          </w:p>
        </w:tc>
        <w:tc>
          <w:tcPr>
            <w:tcW w:w="3060" w:type="dxa"/>
            <w:vAlign w:val="bottom"/>
            <w:gridSpan w:val="3"/>
            <w:vMerge w:val="restart"/>
          </w:tcPr>
          <w:p>
            <w:pPr>
              <w:ind w:left="100"/>
              <w:spacing w:after="0"/>
              <w:rPr>
                <w:sz w:val="20"/>
                <w:szCs w:val="20"/>
                <w:color w:val="auto"/>
              </w:rPr>
            </w:pPr>
            <w:r>
              <w:rPr>
                <w:rFonts w:ascii="Arial" w:cs="Arial" w:eastAsia="Arial" w:hAnsi="Arial"/>
                <w:sz w:val="14"/>
                <w:szCs w:val="14"/>
                <w:color w:val="auto"/>
              </w:rPr>
              <w:t>Involuntary Termination</w:t>
            </w: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72"/>
              </w:rPr>
              <w:t>$— </w:t>
            </w: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8"/>
              </w:rPr>
              <w:t>$— </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3060" w:type="dxa"/>
            <w:vAlign w:val="bottom"/>
            <w:gridSpan w:val="3"/>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tcBorders>
              <w:left w:val="single" w:sz="8" w:color="E5EBEE"/>
              <w:bottom w:val="single" w:sz="8" w:color="E5EBEE"/>
            </w:tcBorders>
            <w:gridSpan w:val="3"/>
            <w:shd w:val="clear" w:color="auto" w:fill="E5EBEE"/>
          </w:tcPr>
          <w:p>
            <w:pPr>
              <w:ind w:left="100"/>
              <w:spacing w:after="0"/>
              <w:rPr>
                <w:sz w:val="20"/>
                <w:szCs w:val="20"/>
                <w:color w:val="auto"/>
              </w:rPr>
            </w:pPr>
            <w:r>
              <w:rPr>
                <w:rFonts w:ascii="Arial" w:cs="Arial" w:eastAsia="Arial" w:hAnsi="Arial"/>
                <w:sz w:val="14"/>
                <w:szCs w:val="14"/>
                <w:color w:val="auto"/>
              </w:rPr>
              <w:t>Retirement</w:t>
            </w:r>
          </w:p>
        </w:tc>
        <w:tc>
          <w:tcPr>
            <w:tcW w:w="10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E5EBEE"/>
            </w:tcBorders>
            <w:gridSpan w:val="2"/>
            <w:shd w:val="clear" w:color="auto" w:fill="E5EBEE"/>
          </w:tcPr>
          <w:p>
            <w:pPr>
              <w:jc w:val="center"/>
              <w:ind w:right="80"/>
              <w:spacing w:after="0"/>
              <w:rPr>
                <w:sz w:val="20"/>
                <w:szCs w:val="20"/>
                <w:color w:val="auto"/>
              </w:rPr>
            </w:pPr>
            <w:r>
              <w:rPr>
                <w:rFonts w:ascii="Arial" w:cs="Arial" w:eastAsia="Arial" w:hAnsi="Arial"/>
                <w:sz w:val="14"/>
                <w:szCs w:val="14"/>
                <w:color w:val="auto"/>
                <w:w w:val="92"/>
              </w:rPr>
              <w:t>$126,718,521 </w:t>
            </w:r>
          </w:p>
        </w:tc>
        <w:tc>
          <w:tcPr>
            <w:tcW w:w="11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$92,000 </w:t>
            </w:r>
          </w:p>
        </w:tc>
        <w:tc>
          <w:tcPr>
            <w:tcW w:w="9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$126,810,521</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gridSpan w:val="3"/>
          </w:tcPr>
          <w:p>
            <w:pPr>
              <w:ind w:left="100"/>
              <w:spacing w:after="0"/>
              <w:rPr>
                <w:sz w:val="20"/>
                <w:szCs w:val="20"/>
                <w:color w:val="auto"/>
              </w:rPr>
            </w:pPr>
            <w:r>
              <w:rPr>
                <w:rFonts w:ascii="Arial" w:cs="Arial" w:eastAsia="Arial" w:hAnsi="Arial"/>
                <w:sz w:val="14"/>
                <w:szCs w:val="14"/>
                <w:color w:val="auto"/>
              </w:rPr>
              <w:t>For Cause Termination</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72"/>
              </w:rPr>
              <w:t>$— </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8"/>
              </w:rPr>
              <w:t>$— </w:t>
            </w: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tcBorders>
              <w:bottom w:val="single" w:sz="8" w:color="023C5B"/>
            </w:tcBorders>
          </w:tcPr>
          <w:p>
            <w:pPr>
              <w:spacing w:after="0"/>
              <w:rPr>
                <w:sz w:val="18"/>
                <w:szCs w:val="18"/>
                <w:color w:val="auto"/>
              </w:rPr>
            </w:pPr>
          </w:p>
        </w:tc>
        <w:tc>
          <w:tcPr>
            <w:tcW w:w="40" w:type="dxa"/>
            <w:vAlign w:val="bottom"/>
          </w:tcPr>
          <w:p>
            <w:pPr>
              <w:spacing w:after="0"/>
              <w:rPr>
                <w:sz w:val="18"/>
                <w:szCs w:val="18"/>
                <w:color w:val="auto"/>
              </w:rPr>
            </w:pPr>
          </w:p>
        </w:tc>
        <w:tc>
          <w:tcPr>
            <w:tcW w:w="3020" w:type="dxa"/>
            <w:vAlign w:val="bottom"/>
            <w:tcBorders>
              <w:left w:val="single" w:sz="8" w:color="E5EBEE"/>
              <w:bottom w:val="single" w:sz="8" w:color="023C5B"/>
            </w:tcBorders>
            <w:gridSpan w:val="2"/>
            <w:shd w:val="clear" w:color="auto" w:fill="E5EBEE"/>
          </w:tcPr>
          <w:p>
            <w:pPr>
              <w:ind w:left="100"/>
              <w:spacing w:after="0" w:line="214" w:lineRule="exact"/>
              <w:rPr>
                <w:sz w:val="20"/>
                <w:szCs w:val="20"/>
                <w:color w:val="auto"/>
              </w:rPr>
            </w:pPr>
            <w:r>
              <w:rPr>
                <w:rFonts w:ascii="Arial" w:cs="Arial" w:eastAsia="Arial" w:hAnsi="Arial"/>
                <w:sz w:val="14"/>
                <w:szCs w:val="14"/>
                <w:color w:val="auto"/>
              </w:rPr>
              <w:t>Change of Control</w:t>
            </w:r>
            <w:r>
              <w:rPr>
                <w:rFonts w:ascii="Arial" w:cs="Arial" w:eastAsia="Arial" w:hAnsi="Arial"/>
                <w:sz w:val="21"/>
                <w:szCs w:val="21"/>
                <w:color w:val="auto"/>
                <w:vertAlign w:val="superscript"/>
              </w:rPr>
              <w:t>(8)</w:t>
            </w:r>
          </w:p>
        </w:tc>
        <w:tc>
          <w:tcPr>
            <w:tcW w:w="40" w:type="dxa"/>
            <w:vAlign w:val="bottom"/>
            <w:shd w:val="clear" w:color="auto" w:fill="E5EBEE"/>
          </w:tcPr>
          <w:p>
            <w:pPr>
              <w:spacing w:after="0"/>
              <w:rPr>
                <w:sz w:val="18"/>
                <w:szCs w:val="18"/>
                <w:color w:val="auto"/>
              </w:rPr>
            </w:pPr>
          </w:p>
        </w:tc>
        <w:tc>
          <w:tcPr>
            <w:tcW w:w="940" w:type="dxa"/>
            <w:vAlign w:val="bottom"/>
            <w:tcBorders>
              <w:bottom w:val="single" w:sz="8" w:color="023C5B"/>
            </w:tcBorders>
            <w:shd w:val="clear" w:color="auto" w:fill="E5EBEE"/>
          </w:tcPr>
          <w:p>
            <w:pPr>
              <w:jc w:val="center"/>
              <w:ind w:left="29"/>
              <w:spacing w:after="0"/>
              <w:rPr>
                <w:sz w:val="20"/>
                <w:szCs w:val="20"/>
                <w:color w:val="auto"/>
              </w:rPr>
            </w:pPr>
            <w:r>
              <w:rPr>
                <w:rFonts w:ascii="Arial" w:cs="Arial" w:eastAsia="Arial" w:hAnsi="Arial"/>
                <w:sz w:val="14"/>
                <w:szCs w:val="14"/>
                <w:color w:val="auto"/>
              </w:rPr>
              <w:t>$22,145,854</w:t>
            </w:r>
          </w:p>
        </w:tc>
        <w:tc>
          <w:tcPr>
            <w:tcW w:w="60" w:type="dxa"/>
            <w:vAlign w:val="bottom"/>
            <w:shd w:val="clear" w:color="auto" w:fill="E5EBEE"/>
          </w:tcPr>
          <w:p>
            <w:pPr>
              <w:spacing w:after="0"/>
              <w:rPr>
                <w:sz w:val="18"/>
                <w:szCs w:val="18"/>
                <w:color w:val="auto"/>
              </w:rPr>
            </w:pPr>
          </w:p>
        </w:tc>
        <w:tc>
          <w:tcPr>
            <w:tcW w:w="1260" w:type="dxa"/>
            <w:vAlign w:val="bottom"/>
            <w:tcBorders>
              <w:bottom w:val="single" w:sz="8" w:color="023C5B"/>
            </w:tcBorders>
            <w:shd w:val="clear" w:color="auto" w:fill="E5EBEE"/>
          </w:tcPr>
          <w:p>
            <w:pPr>
              <w:jc w:val="center"/>
              <w:ind w:left="9"/>
              <w:spacing w:after="0"/>
              <w:rPr>
                <w:sz w:val="20"/>
                <w:szCs w:val="20"/>
                <w:color w:val="auto"/>
              </w:rPr>
            </w:pPr>
            <w:r>
              <w:rPr>
                <w:rFonts w:ascii="Arial" w:cs="Arial" w:eastAsia="Arial" w:hAnsi="Arial"/>
                <w:sz w:val="14"/>
                <w:szCs w:val="14"/>
                <w:color w:val="auto"/>
              </w:rPr>
              <w:t>$—</w:t>
            </w:r>
          </w:p>
        </w:tc>
        <w:tc>
          <w:tcPr>
            <w:tcW w:w="40" w:type="dxa"/>
            <w:vAlign w:val="bottom"/>
            <w:shd w:val="clear" w:color="auto" w:fill="E5EBEE"/>
          </w:tcPr>
          <w:p>
            <w:pPr>
              <w:spacing w:after="0"/>
              <w:rPr>
                <w:sz w:val="18"/>
                <w:szCs w:val="18"/>
                <w:color w:val="auto"/>
              </w:rPr>
            </w:pPr>
          </w:p>
        </w:tc>
        <w:tc>
          <w:tcPr>
            <w:tcW w:w="1300" w:type="dxa"/>
            <w:vAlign w:val="bottom"/>
            <w:tcBorders>
              <w:bottom w:val="single" w:sz="8" w:color="023C5B"/>
            </w:tcBorders>
            <w:shd w:val="clear" w:color="auto" w:fill="E5EBEE"/>
          </w:tcPr>
          <w:p>
            <w:pPr>
              <w:jc w:val="center"/>
              <w:spacing w:after="0" w:line="214" w:lineRule="exact"/>
              <w:rPr>
                <w:sz w:val="20"/>
                <w:szCs w:val="20"/>
                <w:color w:val="auto"/>
              </w:rPr>
            </w:pPr>
            <w:r>
              <w:rPr>
                <w:rFonts w:ascii="Arial" w:cs="Arial" w:eastAsia="Arial" w:hAnsi="Arial"/>
                <w:sz w:val="14"/>
                <w:szCs w:val="14"/>
                <w:color w:val="auto"/>
              </w:rPr>
              <w:t>$159,582,184</w:t>
            </w:r>
            <w:r>
              <w:rPr>
                <w:rFonts w:ascii="Arial" w:cs="Arial" w:eastAsia="Arial" w:hAnsi="Arial"/>
                <w:sz w:val="21"/>
                <w:szCs w:val="21"/>
                <w:color w:val="auto"/>
                <w:vertAlign w:val="superscript"/>
              </w:rPr>
              <w:t>(9)</w:t>
            </w:r>
            <w:r>
              <w:rPr>
                <w:rFonts w:ascii="Arial" w:cs="Arial" w:eastAsia="Arial" w:hAnsi="Arial"/>
                <w:sz w:val="14"/>
                <w:szCs w:val="14"/>
                <w:color w:val="auto"/>
              </w:rPr>
              <w:t xml:space="preserve"> </w:t>
            </w:r>
          </w:p>
        </w:tc>
        <w:tc>
          <w:tcPr>
            <w:tcW w:w="60" w:type="dxa"/>
            <w:vAlign w:val="bottom"/>
            <w:shd w:val="clear" w:color="auto" w:fill="E5EBEE"/>
          </w:tcPr>
          <w:p>
            <w:pPr>
              <w:spacing w:after="0"/>
              <w:rPr>
                <w:sz w:val="18"/>
                <w:szCs w:val="18"/>
                <w:color w:val="auto"/>
              </w:rPr>
            </w:pPr>
          </w:p>
        </w:tc>
        <w:tc>
          <w:tcPr>
            <w:tcW w:w="108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w w:val="98"/>
              </w:rPr>
              <w:t>$299,411 </w:t>
            </w:r>
          </w:p>
        </w:tc>
        <w:tc>
          <w:tcPr>
            <w:tcW w:w="60" w:type="dxa"/>
            <w:vAlign w:val="bottom"/>
            <w:shd w:val="clear" w:color="auto" w:fill="E5EBEE"/>
          </w:tcPr>
          <w:p>
            <w:pPr>
              <w:spacing w:after="0"/>
              <w:rPr>
                <w:sz w:val="18"/>
                <w:szCs w:val="18"/>
                <w:color w:val="auto"/>
              </w:rPr>
            </w:pPr>
          </w:p>
        </w:tc>
        <w:tc>
          <w:tcPr>
            <w:tcW w:w="88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18"/>
                <w:szCs w:val="18"/>
                <w:color w:val="auto"/>
              </w:rPr>
            </w:pPr>
          </w:p>
        </w:tc>
        <w:tc>
          <w:tcPr>
            <w:tcW w:w="102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$182,027,449</w:t>
            </w:r>
          </w:p>
        </w:tc>
        <w:tc>
          <w:tcPr>
            <w:tcW w:w="0" w:type="dxa"/>
            <w:vAlign w:val="bottom"/>
          </w:tcPr>
          <w:p>
            <w:pPr>
              <w:spacing w:after="0"/>
              <w:rPr>
                <w:sz w:val="1"/>
                <w:szCs w:val="1"/>
                <w:color w:val="auto"/>
              </w:rPr>
            </w:pPr>
          </w:p>
        </w:tc>
      </w:tr>
      <w:tr>
        <w:trPr>
          <w:trHeight w:val="185"/>
        </w:trPr>
        <w:tc>
          <w:tcPr>
            <w:tcW w:w="1100" w:type="dxa"/>
            <w:vAlign w:val="bottom"/>
            <w:gridSpan w:val="2"/>
          </w:tcPr>
          <w:p>
            <w:pPr>
              <w:ind w:left="60"/>
              <w:spacing w:after="0"/>
              <w:rPr>
                <w:sz w:val="20"/>
                <w:szCs w:val="20"/>
                <w:color w:val="auto"/>
              </w:rPr>
            </w:pPr>
            <w:r>
              <w:rPr>
                <w:rFonts w:ascii="Arial" w:cs="Arial" w:eastAsia="Arial" w:hAnsi="Arial"/>
                <w:sz w:val="14"/>
                <w:szCs w:val="14"/>
                <w:color w:val="auto"/>
              </w:rPr>
              <w:t>Andrew M.</w:t>
            </w:r>
          </w:p>
        </w:tc>
        <w:tc>
          <w:tcPr>
            <w:tcW w:w="3060" w:type="dxa"/>
            <w:vAlign w:val="bottom"/>
            <w:gridSpan w:val="3"/>
          </w:tcPr>
          <w:p>
            <w:pPr>
              <w:ind w:left="100"/>
              <w:spacing w:after="0"/>
              <w:rPr>
                <w:sz w:val="20"/>
                <w:szCs w:val="20"/>
                <w:color w:val="auto"/>
              </w:rPr>
            </w:pPr>
            <w:r>
              <w:rPr>
                <w:rFonts w:ascii="Arial" w:cs="Arial" w:eastAsia="Arial" w:hAnsi="Arial"/>
                <w:sz w:val="14"/>
                <w:szCs w:val="14"/>
                <w:color w:val="auto"/>
              </w:rPr>
              <w:t>Voluntary Termination</w:t>
            </w:r>
          </w:p>
        </w:tc>
        <w:tc>
          <w:tcPr>
            <w:tcW w:w="940" w:type="dxa"/>
            <w:vAlign w:val="bottom"/>
          </w:tcPr>
          <w:p>
            <w:pPr>
              <w:jc w:val="center"/>
              <w:ind w:left="29"/>
              <w:spacing w:after="0"/>
              <w:rPr>
                <w:sz w:val="20"/>
                <w:szCs w:val="20"/>
                <w:color w:val="auto"/>
              </w:rPr>
            </w:pPr>
            <w:r>
              <w:rPr>
                <w:rFonts w:ascii="Arial" w:cs="Arial" w:eastAsia="Arial" w:hAnsi="Arial"/>
                <w:sz w:val="14"/>
                <w:szCs w:val="14"/>
                <w:color w:val="auto"/>
              </w:rPr>
              <w:t>$823,500</w:t>
            </w:r>
          </w:p>
        </w:tc>
        <w:tc>
          <w:tcPr>
            <w:tcW w:w="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72"/>
              </w:rPr>
              <w:t>$— </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8"/>
              </w:rPr>
              <w:t>$— </w:t>
            </w: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$823,500</w:t>
            </w:r>
          </w:p>
        </w:tc>
        <w:tc>
          <w:tcPr>
            <w:tcW w:w="0" w:type="dxa"/>
            <w:vAlign w:val="bottom"/>
          </w:tcPr>
          <w:p>
            <w:pPr>
              <w:spacing w:after="0"/>
              <w:rPr>
                <w:sz w:val="1"/>
                <w:szCs w:val="1"/>
                <w:color w:val="auto"/>
              </w:rPr>
            </w:pPr>
          </w:p>
        </w:tc>
      </w:tr>
      <w:tr>
        <w:trPr>
          <w:trHeight w:val="63"/>
        </w:trPr>
        <w:tc>
          <w:tcPr>
            <w:tcW w:w="1100" w:type="dxa"/>
            <w:vAlign w:val="bottom"/>
            <w:gridSpan w:val="2"/>
            <w:vMerge w:val="restart"/>
          </w:tcPr>
          <w:p>
            <w:pPr>
              <w:ind w:left="60"/>
              <w:spacing w:after="0"/>
              <w:rPr>
                <w:sz w:val="20"/>
                <w:szCs w:val="20"/>
                <w:color w:val="auto"/>
              </w:rPr>
            </w:pPr>
            <w:r>
              <w:rPr>
                <w:rFonts w:ascii="Arial" w:cs="Arial" w:eastAsia="Arial" w:hAnsi="Arial"/>
                <w:sz w:val="14"/>
                <w:szCs w:val="14"/>
                <w:color w:val="auto"/>
              </w:rPr>
              <w:t>Young</w:t>
            </w:r>
          </w:p>
        </w:tc>
        <w:tc>
          <w:tcPr>
            <w:tcW w:w="1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100" w:type="dxa"/>
            <w:vAlign w:val="bottom"/>
            <w:gridSpan w:val="2"/>
            <w:vMerge w:val="continue"/>
          </w:tcPr>
          <w:p>
            <w:pPr>
              <w:spacing w:after="0"/>
              <w:rPr>
                <w:sz w:val="10"/>
                <w:szCs w:val="10"/>
                <w:color w:val="auto"/>
              </w:rPr>
            </w:pPr>
          </w:p>
        </w:tc>
        <w:tc>
          <w:tcPr>
            <w:tcW w:w="3060" w:type="dxa"/>
            <w:vAlign w:val="bottom"/>
            <w:tcBorders>
              <w:left w:val="single" w:sz="8" w:color="E5EBEE"/>
            </w:tcBorders>
            <w:gridSpan w:val="3"/>
            <w:vMerge w:val="restart"/>
            <w:shd w:val="clear" w:color="auto" w:fill="E5EBEE"/>
          </w:tcPr>
          <w:p>
            <w:pPr>
              <w:ind w:left="100"/>
              <w:spacing w:after="0"/>
              <w:rPr>
                <w:sz w:val="20"/>
                <w:szCs w:val="20"/>
                <w:color w:val="auto"/>
              </w:rPr>
            </w:pPr>
            <w:r>
              <w:rPr>
                <w:rFonts w:ascii="Arial" w:cs="Arial" w:eastAsia="Arial" w:hAnsi="Arial"/>
                <w:sz w:val="14"/>
                <w:szCs w:val="14"/>
                <w:color w:val="auto"/>
              </w:rPr>
              <w:t>Involuntary Termination</w:t>
            </w:r>
          </w:p>
        </w:tc>
        <w:tc>
          <w:tcPr>
            <w:tcW w:w="940" w:type="dxa"/>
            <w:vAlign w:val="bottom"/>
            <w:vMerge w:val="restart"/>
            <w:shd w:val="clear" w:color="auto" w:fill="E5EBEE"/>
          </w:tcPr>
          <w:p>
            <w:pPr>
              <w:jc w:val="center"/>
              <w:ind w:left="29"/>
              <w:spacing w:after="0"/>
              <w:rPr>
                <w:sz w:val="20"/>
                <w:szCs w:val="20"/>
                <w:color w:val="auto"/>
              </w:rPr>
            </w:pPr>
            <w:r>
              <w:rPr>
                <w:rFonts w:ascii="Arial" w:cs="Arial" w:eastAsia="Arial" w:hAnsi="Arial"/>
                <w:sz w:val="14"/>
                <w:szCs w:val="14"/>
                <w:color w:val="auto"/>
              </w:rPr>
              <w:t>$4,667,000</w:t>
            </w:r>
          </w:p>
        </w:tc>
        <w:tc>
          <w:tcPr>
            <w:tcW w:w="60" w:type="dxa"/>
            <w:vAlign w:val="bottom"/>
            <w:shd w:val="clear" w:color="auto" w:fill="E5EBEE"/>
          </w:tcPr>
          <w:p>
            <w:pPr>
              <w:spacing w:after="0"/>
              <w:rPr>
                <w:sz w:val="10"/>
                <w:szCs w:val="10"/>
                <w:color w:val="auto"/>
              </w:rPr>
            </w:pPr>
          </w:p>
        </w:tc>
        <w:tc>
          <w:tcPr>
            <w:tcW w:w="1300" w:type="dxa"/>
            <w:vAlign w:val="bottom"/>
            <w:gridSpan w:val="2"/>
            <w:vMerge w:val="restart"/>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shd w:val="clear" w:color="auto" w:fill="E5EBEE"/>
          </w:tcPr>
          <w:p>
            <w:pPr>
              <w:jc w:val="center"/>
              <w:ind w:right="80"/>
              <w:spacing w:after="0"/>
              <w:rPr>
                <w:sz w:val="20"/>
                <w:szCs w:val="20"/>
                <w:color w:val="auto"/>
              </w:rPr>
            </w:pPr>
            <w:r>
              <w:rPr>
                <w:rFonts w:ascii="Arial" w:cs="Arial" w:eastAsia="Arial" w:hAnsi="Arial"/>
                <w:sz w:val="14"/>
                <w:szCs w:val="14"/>
                <w:color w:val="auto"/>
                <w:w w:val="91"/>
              </w:rPr>
              <w:t>$12,146,538 </w:t>
            </w:r>
          </w:p>
        </w:tc>
        <w:tc>
          <w:tcPr>
            <w:tcW w:w="1140" w:type="dxa"/>
            <w:vAlign w:val="bottom"/>
            <w:gridSpan w:val="2"/>
            <w:vMerge w:val="restart"/>
            <w:shd w:val="clear" w:color="auto" w:fill="E5EBEE"/>
          </w:tcPr>
          <w:p>
            <w:pPr>
              <w:jc w:val="center"/>
              <w:spacing w:after="0"/>
              <w:rPr>
                <w:sz w:val="20"/>
                <w:szCs w:val="20"/>
                <w:color w:val="auto"/>
              </w:rPr>
            </w:pPr>
            <w:r>
              <w:rPr>
                <w:rFonts w:ascii="Arial" w:cs="Arial" w:eastAsia="Arial" w:hAnsi="Arial"/>
                <w:sz w:val="14"/>
                <w:szCs w:val="14"/>
                <w:color w:val="auto"/>
              </w:rPr>
              <w:t>$30,000 </w:t>
            </w:r>
          </w:p>
        </w:tc>
        <w:tc>
          <w:tcPr>
            <w:tcW w:w="940" w:type="dxa"/>
            <w:vAlign w:val="bottom"/>
            <w:gridSpan w:val="2"/>
            <w:vMerge w:val="restart"/>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E5EBEE"/>
          </w:tcPr>
          <w:p>
            <w:pPr>
              <w:jc w:val="center"/>
              <w:spacing w:after="0"/>
              <w:rPr>
                <w:sz w:val="20"/>
                <w:szCs w:val="20"/>
                <w:color w:val="auto"/>
              </w:rPr>
            </w:pPr>
            <w:r>
              <w:rPr>
                <w:rFonts w:ascii="Arial" w:cs="Arial" w:eastAsia="Arial" w:hAnsi="Arial"/>
                <w:sz w:val="14"/>
                <w:szCs w:val="14"/>
                <w:color w:val="auto"/>
              </w:rPr>
              <w:t>$16,843,538</w:t>
            </w: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60" w:type="dxa"/>
            <w:vAlign w:val="bottom"/>
            <w:tcBorders>
              <w:left w:val="single" w:sz="8" w:color="E5EBEE"/>
              <w:bottom w:val="single" w:sz="8" w:color="E5EBEE"/>
            </w:tcBorders>
            <w:gridSpan w:val="3"/>
            <w:vMerge w:val="continue"/>
            <w:shd w:val="clear" w:color="auto" w:fill="E5EBEE"/>
          </w:tcPr>
          <w:p>
            <w:pPr>
              <w:spacing w:after="0"/>
              <w:rPr>
                <w:sz w:val="5"/>
                <w:szCs w:val="5"/>
                <w:color w:val="auto"/>
              </w:rPr>
            </w:pPr>
          </w:p>
        </w:tc>
        <w:tc>
          <w:tcPr>
            <w:tcW w:w="940" w:type="dxa"/>
            <w:vAlign w:val="bottom"/>
            <w:tcBorders>
              <w:bottom w:val="single" w:sz="8" w:color="E5EBEE"/>
            </w:tcBorders>
            <w:vMerge w:val="continue"/>
            <w:shd w:val="clear" w:color="auto" w:fill="E5EBEE"/>
          </w:tcPr>
          <w:p>
            <w:pPr>
              <w:spacing w:after="0"/>
              <w:rPr>
                <w:sz w:val="5"/>
                <w:szCs w:val="5"/>
                <w:color w:val="auto"/>
              </w:rPr>
            </w:pPr>
          </w:p>
        </w:tc>
        <w:tc>
          <w:tcPr>
            <w:tcW w:w="60" w:type="dxa"/>
            <w:vAlign w:val="bottom"/>
            <w:tcBorders>
              <w:bottom w:val="single" w:sz="8" w:color="E5EBEE"/>
            </w:tcBorders>
            <w:shd w:val="clear" w:color="auto" w:fill="E5EBEE"/>
          </w:tcPr>
          <w:p>
            <w:pPr>
              <w:spacing w:after="0"/>
              <w:rPr>
                <w:sz w:val="5"/>
                <w:szCs w:val="5"/>
                <w:color w:val="auto"/>
              </w:rPr>
            </w:pPr>
          </w:p>
        </w:tc>
        <w:tc>
          <w:tcPr>
            <w:tcW w:w="1300" w:type="dxa"/>
            <w:vAlign w:val="bottom"/>
            <w:tcBorders>
              <w:bottom w:val="single" w:sz="8" w:color="E5EBEE"/>
            </w:tcBorders>
            <w:gridSpan w:val="2"/>
            <w:vMerge w:val="continue"/>
            <w:shd w:val="clear" w:color="auto" w:fill="E5EBEE"/>
          </w:tcPr>
          <w:p>
            <w:pPr>
              <w:spacing w:after="0"/>
              <w:rPr>
                <w:sz w:val="5"/>
                <w:szCs w:val="5"/>
                <w:color w:val="auto"/>
              </w:rPr>
            </w:pPr>
          </w:p>
        </w:tc>
        <w:tc>
          <w:tcPr>
            <w:tcW w:w="1360" w:type="dxa"/>
            <w:vAlign w:val="bottom"/>
            <w:tcBorders>
              <w:bottom w:val="single" w:sz="8" w:color="E5EBEE"/>
            </w:tcBorders>
            <w:gridSpan w:val="2"/>
            <w:vMerge w:val="continue"/>
            <w:shd w:val="clear" w:color="auto" w:fill="E5EBEE"/>
          </w:tcPr>
          <w:p>
            <w:pPr>
              <w:spacing w:after="0"/>
              <w:rPr>
                <w:sz w:val="5"/>
                <w:szCs w:val="5"/>
                <w:color w:val="auto"/>
              </w:rPr>
            </w:pPr>
          </w:p>
        </w:tc>
        <w:tc>
          <w:tcPr>
            <w:tcW w:w="1140" w:type="dxa"/>
            <w:vAlign w:val="bottom"/>
            <w:tcBorders>
              <w:bottom w:val="single" w:sz="8" w:color="E5EBEE"/>
            </w:tcBorders>
            <w:gridSpan w:val="2"/>
            <w:vMerge w:val="continue"/>
            <w:shd w:val="clear" w:color="auto" w:fill="E5EBEE"/>
          </w:tcPr>
          <w:p>
            <w:pPr>
              <w:spacing w:after="0"/>
              <w:rPr>
                <w:sz w:val="5"/>
                <w:szCs w:val="5"/>
                <w:color w:val="auto"/>
              </w:rPr>
            </w:pPr>
          </w:p>
        </w:tc>
        <w:tc>
          <w:tcPr>
            <w:tcW w:w="940" w:type="dxa"/>
            <w:vAlign w:val="bottom"/>
            <w:tcBorders>
              <w:bottom w:val="single" w:sz="8" w:color="E5EBEE"/>
            </w:tcBorders>
            <w:gridSpan w:val="2"/>
            <w:vMerge w:val="continue"/>
            <w:shd w:val="clear" w:color="auto" w:fill="E5EBEE"/>
          </w:tcPr>
          <w:p>
            <w:pPr>
              <w:spacing w:after="0"/>
              <w:rPr>
                <w:sz w:val="5"/>
                <w:szCs w:val="5"/>
                <w:color w:val="auto"/>
              </w:rPr>
            </w:pPr>
          </w:p>
        </w:tc>
        <w:tc>
          <w:tcPr>
            <w:tcW w:w="1020" w:type="dxa"/>
            <w:vAlign w:val="bottom"/>
            <w:tcBorders>
              <w:bottom w:val="single" w:sz="8" w:color="E5EBEE"/>
            </w:tcBorders>
            <w:vMerge w:val="continue"/>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gridSpan w:val="3"/>
          </w:tcPr>
          <w:p>
            <w:pPr>
              <w:ind w:left="100"/>
              <w:spacing w:after="0"/>
              <w:rPr>
                <w:sz w:val="20"/>
                <w:szCs w:val="20"/>
                <w:color w:val="auto"/>
              </w:rPr>
            </w:pPr>
            <w:r>
              <w:rPr>
                <w:rFonts w:ascii="Arial" w:cs="Arial" w:eastAsia="Arial" w:hAnsi="Arial"/>
                <w:sz w:val="14"/>
                <w:szCs w:val="14"/>
                <w:color w:val="auto"/>
              </w:rPr>
              <w:t>Retirement</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72"/>
              </w:rPr>
              <w:t>$— </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8"/>
              </w:rPr>
              <w:t>$— </w:t>
            </w: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tcBorders>
              <w:left w:val="single" w:sz="8" w:color="E5EBEE"/>
              <w:bottom w:val="single" w:sz="8" w:color="E5EBEE"/>
            </w:tcBorders>
            <w:gridSpan w:val="3"/>
            <w:shd w:val="clear" w:color="auto" w:fill="E5EBEE"/>
          </w:tcPr>
          <w:p>
            <w:pPr>
              <w:ind w:left="100"/>
              <w:spacing w:after="0"/>
              <w:rPr>
                <w:sz w:val="20"/>
                <w:szCs w:val="20"/>
                <w:color w:val="auto"/>
              </w:rPr>
            </w:pPr>
            <w:r>
              <w:rPr>
                <w:rFonts w:ascii="Arial" w:cs="Arial" w:eastAsia="Arial" w:hAnsi="Arial"/>
                <w:sz w:val="14"/>
                <w:szCs w:val="14"/>
                <w:color w:val="auto"/>
              </w:rPr>
              <w:t>For Cause Termination</w:t>
            </w:r>
          </w:p>
        </w:tc>
        <w:tc>
          <w:tcPr>
            <w:tcW w:w="10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E5EBEE"/>
            </w:tcBorders>
            <w:gridSpan w:val="2"/>
            <w:shd w:val="clear" w:color="auto" w:fill="E5EBEE"/>
          </w:tcPr>
          <w:p>
            <w:pPr>
              <w:jc w:val="center"/>
              <w:ind w:right="60"/>
              <w:spacing w:after="0"/>
              <w:rPr>
                <w:sz w:val="20"/>
                <w:szCs w:val="20"/>
                <w:color w:val="auto"/>
              </w:rPr>
            </w:pPr>
            <w:r>
              <w:rPr>
                <w:rFonts w:ascii="Arial" w:cs="Arial" w:eastAsia="Arial" w:hAnsi="Arial"/>
                <w:sz w:val="14"/>
                <w:szCs w:val="14"/>
                <w:color w:val="auto"/>
                <w:w w:val="72"/>
              </w:rPr>
              <w:t>$— </w:t>
            </w:r>
          </w:p>
        </w:tc>
        <w:tc>
          <w:tcPr>
            <w:tcW w:w="11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w w:val="98"/>
              </w:rPr>
              <w:t>$— </w:t>
            </w:r>
          </w:p>
        </w:tc>
        <w:tc>
          <w:tcPr>
            <w:tcW w:w="9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060" w:type="dxa"/>
            <w:vAlign w:val="bottom"/>
            <w:tcBorders>
              <w:bottom w:val="single" w:sz="8" w:color="023C5B"/>
            </w:tcBorders>
          </w:tcPr>
          <w:p>
            <w:pPr>
              <w:spacing w:after="0"/>
              <w:rPr>
                <w:sz w:val="18"/>
                <w:szCs w:val="18"/>
                <w:color w:val="auto"/>
              </w:rPr>
            </w:pPr>
          </w:p>
        </w:tc>
        <w:tc>
          <w:tcPr>
            <w:tcW w:w="40" w:type="dxa"/>
            <w:vAlign w:val="bottom"/>
          </w:tcPr>
          <w:p>
            <w:pPr>
              <w:spacing w:after="0"/>
              <w:rPr>
                <w:sz w:val="18"/>
                <w:szCs w:val="18"/>
                <w:color w:val="auto"/>
              </w:rPr>
            </w:pPr>
          </w:p>
        </w:tc>
        <w:tc>
          <w:tcPr>
            <w:tcW w:w="3020" w:type="dxa"/>
            <w:vAlign w:val="bottom"/>
            <w:tcBorders>
              <w:bottom w:val="single" w:sz="8" w:color="023C5B"/>
            </w:tcBorders>
            <w:gridSpan w:val="2"/>
          </w:tcPr>
          <w:p>
            <w:pPr>
              <w:ind w:left="100"/>
              <w:spacing w:after="0" w:line="214" w:lineRule="exact"/>
              <w:rPr>
                <w:sz w:val="20"/>
                <w:szCs w:val="20"/>
                <w:color w:val="auto"/>
              </w:rPr>
            </w:pPr>
            <w:r>
              <w:rPr>
                <w:rFonts w:ascii="Arial" w:cs="Arial" w:eastAsia="Arial" w:hAnsi="Arial"/>
                <w:sz w:val="14"/>
                <w:szCs w:val="14"/>
                <w:color w:val="auto"/>
              </w:rPr>
              <w:t>Change of Control</w:t>
            </w:r>
            <w:r>
              <w:rPr>
                <w:rFonts w:ascii="Arial" w:cs="Arial" w:eastAsia="Arial" w:hAnsi="Arial"/>
                <w:sz w:val="21"/>
                <w:szCs w:val="21"/>
                <w:color w:val="auto"/>
                <w:vertAlign w:val="superscript"/>
              </w:rPr>
              <w:t>(8)</w:t>
            </w:r>
          </w:p>
        </w:tc>
        <w:tc>
          <w:tcPr>
            <w:tcW w:w="40" w:type="dxa"/>
            <w:vAlign w:val="bottom"/>
            <w:tcBorders>
              <w:bottom w:val="single" w:sz="8" w:color="E5EBEE"/>
            </w:tcBorders>
          </w:tcPr>
          <w:p>
            <w:pPr>
              <w:spacing w:after="0"/>
              <w:rPr>
                <w:sz w:val="18"/>
                <w:szCs w:val="18"/>
                <w:color w:val="auto"/>
              </w:rPr>
            </w:pPr>
          </w:p>
        </w:tc>
        <w:tc>
          <w:tcPr>
            <w:tcW w:w="940" w:type="dxa"/>
            <w:vAlign w:val="bottom"/>
            <w:tcBorders>
              <w:bottom w:val="single" w:sz="8" w:color="023C5B"/>
            </w:tcBorders>
          </w:tcPr>
          <w:p>
            <w:pPr>
              <w:jc w:val="center"/>
              <w:ind w:left="29"/>
              <w:spacing w:after="0"/>
              <w:rPr>
                <w:sz w:val="20"/>
                <w:szCs w:val="20"/>
                <w:color w:val="auto"/>
              </w:rPr>
            </w:pPr>
            <w:r>
              <w:rPr>
                <w:rFonts w:ascii="Arial" w:cs="Arial" w:eastAsia="Arial" w:hAnsi="Arial"/>
                <w:sz w:val="14"/>
                <w:szCs w:val="14"/>
                <w:color w:val="auto"/>
              </w:rPr>
              <w:t>$8,093,169</w:t>
            </w:r>
          </w:p>
        </w:tc>
        <w:tc>
          <w:tcPr>
            <w:tcW w:w="60" w:type="dxa"/>
            <w:vAlign w:val="bottom"/>
            <w:tcBorders>
              <w:bottom w:val="single" w:sz="8" w:color="E5EBEE"/>
            </w:tcBorders>
          </w:tcPr>
          <w:p>
            <w:pPr>
              <w:spacing w:after="0"/>
              <w:rPr>
                <w:sz w:val="18"/>
                <w:szCs w:val="18"/>
                <w:color w:val="auto"/>
              </w:rPr>
            </w:pPr>
          </w:p>
        </w:tc>
        <w:tc>
          <w:tcPr>
            <w:tcW w:w="126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$454,894</w:t>
            </w:r>
          </w:p>
        </w:tc>
        <w:tc>
          <w:tcPr>
            <w:tcW w:w="40" w:type="dxa"/>
            <w:vAlign w:val="bottom"/>
            <w:tcBorders>
              <w:bottom w:val="single" w:sz="8" w:color="E5EBEE"/>
            </w:tcBorders>
          </w:tcPr>
          <w:p>
            <w:pPr>
              <w:spacing w:after="0"/>
              <w:rPr>
                <w:sz w:val="18"/>
                <w:szCs w:val="18"/>
                <w:color w:val="auto"/>
              </w:rPr>
            </w:pPr>
          </w:p>
        </w:tc>
        <w:tc>
          <w:tcPr>
            <w:tcW w:w="1300" w:type="dxa"/>
            <w:vAlign w:val="bottom"/>
            <w:tcBorders>
              <w:bottom w:val="single" w:sz="8" w:color="023C5B"/>
            </w:tcBorders>
          </w:tcPr>
          <w:p>
            <w:pPr>
              <w:jc w:val="center"/>
              <w:spacing w:after="0" w:line="214" w:lineRule="exact"/>
              <w:rPr>
                <w:sz w:val="20"/>
                <w:szCs w:val="20"/>
                <w:color w:val="auto"/>
              </w:rPr>
            </w:pPr>
            <w:r>
              <w:rPr>
                <w:rFonts w:ascii="Arial" w:cs="Arial" w:eastAsia="Arial" w:hAnsi="Arial"/>
                <w:sz w:val="14"/>
                <w:szCs w:val="14"/>
                <w:color w:val="auto"/>
              </w:rPr>
              <w:t>$15,145,076</w:t>
            </w:r>
            <w:r>
              <w:rPr>
                <w:rFonts w:ascii="Arial" w:cs="Arial" w:eastAsia="Arial" w:hAnsi="Arial"/>
                <w:sz w:val="21"/>
                <w:szCs w:val="21"/>
                <w:color w:val="auto"/>
                <w:vertAlign w:val="superscript"/>
              </w:rPr>
              <w:t>(9)</w:t>
            </w:r>
            <w:r>
              <w:rPr>
                <w:rFonts w:ascii="Arial" w:cs="Arial" w:eastAsia="Arial" w:hAnsi="Arial"/>
                <w:sz w:val="14"/>
                <w:szCs w:val="14"/>
                <w:color w:val="auto"/>
              </w:rPr>
              <w:t xml:space="preserve"> </w:t>
            </w:r>
          </w:p>
        </w:tc>
        <w:tc>
          <w:tcPr>
            <w:tcW w:w="60" w:type="dxa"/>
            <w:vAlign w:val="bottom"/>
            <w:tcBorders>
              <w:bottom w:val="single" w:sz="8" w:color="E5EBEE"/>
            </w:tcBorders>
          </w:tcPr>
          <w:p>
            <w:pPr>
              <w:spacing w:after="0"/>
              <w:rPr>
                <w:sz w:val="18"/>
                <w:szCs w:val="18"/>
                <w:color w:val="auto"/>
              </w:rPr>
            </w:pPr>
          </w:p>
        </w:tc>
        <w:tc>
          <w:tcPr>
            <w:tcW w:w="1080" w:type="dxa"/>
            <w:vAlign w:val="bottom"/>
            <w:tcBorders>
              <w:bottom w:val="single" w:sz="8" w:color="023C5B"/>
            </w:tcBorders>
          </w:tcPr>
          <w:p>
            <w:pPr>
              <w:jc w:val="center"/>
              <w:ind w:left="9"/>
              <w:spacing w:after="0"/>
              <w:rPr>
                <w:sz w:val="20"/>
                <w:szCs w:val="20"/>
                <w:color w:val="auto"/>
              </w:rPr>
            </w:pPr>
            <w:r>
              <w:rPr>
                <w:rFonts w:ascii="Arial" w:cs="Arial" w:eastAsia="Arial" w:hAnsi="Arial"/>
                <w:sz w:val="14"/>
                <w:szCs w:val="14"/>
                <w:color w:val="auto"/>
              </w:rPr>
              <w:t>$178,854 </w:t>
            </w:r>
          </w:p>
        </w:tc>
        <w:tc>
          <w:tcPr>
            <w:tcW w:w="60" w:type="dxa"/>
            <w:vAlign w:val="bottom"/>
            <w:tcBorders>
              <w:bottom w:val="single" w:sz="8" w:color="E5EBEE"/>
            </w:tcBorders>
          </w:tcPr>
          <w:p>
            <w:pPr>
              <w:spacing w:after="0"/>
              <w:rPr>
                <w:sz w:val="18"/>
                <w:szCs w:val="18"/>
                <w:color w:val="auto"/>
              </w:rPr>
            </w:pPr>
          </w:p>
        </w:tc>
        <w:tc>
          <w:tcPr>
            <w:tcW w:w="88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102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$23,871,993</w:t>
            </w:r>
          </w:p>
        </w:tc>
        <w:tc>
          <w:tcPr>
            <w:tcW w:w="0" w:type="dxa"/>
            <w:vAlign w:val="bottom"/>
          </w:tcPr>
          <w:p>
            <w:pPr>
              <w:spacing w:after="0"/>
              <w:rPr>
                <w:sz w:val="1"/>
                <w:szCs w:val="1"/>
                <w:color w:val="auto"/>
              </w:rPr>
            </w:pPr>
          </w:p>
        </w:tc>
      </w:tr>
      <w:tr>
        <w:trPr>
          <w:trHeight w:val="185"/>
        </w:trPr>
        <w:tc>
          <w:tcPr>
            <w:tcW w:w="1100" w:type="dxa"/>
            <w:vAlign w:val="bottom"/>
            <w:gridSpan w:val="2"/>
          </w:tcPr>
          <w:p>
            <w:pPr>
              <w:ind w:left="60"/>
              <w:spacing w:after="0"/>
              <w:rPr>
                <w:sz w:val="20"/>
                <w:szCs w:val="20"/>
                <w:color w:val="auto"/>
              </w:rPr>
            </w:pPr>
            <w:r>
              <w:rPr>
                <w:rFonts w:ascii="Arial" w:cs="Arial" w:eastAsia="Arial" w:hAnsi="Arial"/>
                <w:sz w:val="14"/>
                <w:szCs w:val="14"/>
                <w:color w:val="auto"/>
              </w:rPr>
              <w:t>Matthew W.</w:t>
            </w:r>
          </w:p>
        </w:tc>
        <w:tc>
          <w:tcPr>
            <w:tcW w:w="3060" w:type="dxa"/>
            <w:vAlign w:val="bottom"/>
            <w:tcBorders>
              <w:left w:val="single" w:sz="8" w:color="E5EBEE"/>
            </w:tcBorders>
            <w:gridSpan w:val="3"/>
            <w:shd w:val="clear" w:color="auto" w:fill="E5EBEE"/>
          </w:tcPr>
          <w:p>
            <w:pPr>
              <w:ind w:left="100"/>
              <w:spacing w:after="0"/>
              <w:rPr>
                <w:sz w:val="20"/>
                <w:szCs w:val="20"/>
                <w:color w:val="auto"/>
              </w:rPr>
            </w:pPr>
            <w:r>
              <w:rPr>
                <w:rFonts w:ascii="Arial" w:cs="Arial" w:eastAsia="Arial" w:hAnsi="Arial"/>
                <w:sz w:val="14"/>
                <w:szCs w:val="14"/>
                <w:color w:val="auto"/>
              </w:rPr>
              <w:t>Voluntary Termination</w:t>
            </w: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E5EBEE"/>
          </w:tcPr>
          <w:p>
            <w:pPr>
              <w:jc w:val="center"/>
              <w:ind w:right="60"/>
              <w:spacing w:after="0"/>
              <w:rPr>
                <w:sz w:val="20"/>
                <w:szCs w:val="20"/>
                <w:color w:val="auto"/>
              </w:rPr>
            </w:pPr>
            <w:r>
              <w:rPr>
                <w:rFonts w:ascii="Arial" w:cs="Arial" w:eastAsia="Arial" w:hAnsi="Arial"/>
                <w:sz w:val="14"/>
                <w:szCs w:val="14"/>
                <w:color w:val="auto"/>
                <w:w w:val="72"/>
              </w:rPr>
              <w:t>$— </w:t>
            </w:r>
          </w:p>
        </w:tc>
        <w:tc>
          <w:tcPr>
            <w:tcW w:w="11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w w:val="98"/>
              </w:rPr>
              <w:t>$— </w:t>
            </w: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BEE"/>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3"/>
        </w:trPr>
        <w:tc>
          <w:tcPr>
            <w:tcW w:w="1100" w:type="dxa"/>
            <w:vAlign w:val="bottom"/>
            <w:gridSpan w:val="2"/>
            <w:vMerge w:val="restart"/>
          </w:tcPr>
          <w:p>
            <w:pPr>
              <w:ind w:left="60"/>
              <w:spacing w:after="0"/>
              <w:rPr>
                <w:sz w:val="20"/>
                <w:szCs w:val="20"/>
                <w:color w:val="auto"/>
              </w:rPr>
            </w:pPr>
            <w:r>
              <w:rPr>
                <w:rFonts w:ascii="Arial" w:cs="Arial" w:eastAsia="Arial" w:hAnsi="Arial"/>
                <w:sz w:val="14"/>
                <w:szCs w:val="14"/>
                <w:color w:val="auto"/>
              </w:rPr>
              <w:t>Cooper</w:t>
            </w:r>
          </w:p>
        </w:tc>
        <w:tc>
          <w:tcPr>
            <w:tcW w:w="120" w:type="dxa"/>
            <w:vAlign w:val="bottom"/>
            <w:tcBorders>
              <w:left w:val="single" w:sz="8" w:color="E5EBEE"/>
            </w:tcBorders>
            <w:shd w:val="clear" w:color="auto" w:fill="E5EBEE"/>
          </w:tcPr>
          <w:p>
            <w:pPr>
              <w:spacing w:after="0"/>
              <w:rPr>
                <w:sz w:val="5"/>
                <w:szCs w:val="5"/>
                <w:color w:val="auto"/>
              </w:rPr>
            </w:pPr>
          </w:p>
        </w:tc>
        <w:tc>
          <w:tcPr>
            <w:tcW w:w="2900" w:type="dxa"/>
            <w:vAlign w:val="bottom"/>
            <w:shd w:val="clear" w:color="auto" w:fill="E5EBEE"/>
          </w:tcPr>
          <w:p>
            <w:pPr>
              <w:spacing w:after="0"/>
              <w:rPr>
                <w:sz w:val="5"/>
                <w:szCs w:val="5"/>
                <w:color w:val="auto"/>
              </w:rPr>
            </w:pPr>
          </w:p>
        </w:tc>
        <w:tc>
          <w:tcPr>
            <w:tcW w:w="40" w:type="dxa"/>
            <w:vAlign w:val="bottom"/>
            <w:shd w:val="clear" w:color="auto" w:fill="E5EBEE"/>
          </w:tcPr>
          <w:p>
            <w:pPr>
              <w:spacing w:after="0"/>
              <w:rPr>
                <w:sz w:val="5"/>
                <w:szCs w:val="5"/>
                <w:color w:val="auto"/>
              </w:rPr>
            </w:pPr>
          </w:p>
        </w:tc>
        <w:tc>
          <w:tcPr>
            <w:tcW w:w="94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1260" w:type="dxa"/>
            <w:vAlign w:val="bottom"/>
            <w:shd w:val="clear" w:color="auto" w:fill="E5EBEE"/>
          </w:tcPr>
          <w:p>
            <w:pPr>
              <w:spacing w:after="0"/>
              <w:rPr>
                <w:sz w:val="5"/>
                <w:szCs w:val="5"/>
                <w:color w:val="auto"/>
              </w:rPr>
            </w:pPr>
          </w:p>
        </w:tc>
        <w:tc>
          <w:tcPr>
            <w:tcW w:w="40" w:type="dxa"/>
            <w:vAlign w:val="bottom"/>
            <w:shd w:val="clear" w:color="auto" w:fill="E5EBEE"/>
          </w:tcPr>
          <w:p>
            <w:pPr>
              <w:spacing w:after="0"/>
              <w:rPr>
                <w:sz w:val="5"/>
                <w:szCs w:val="5"/>
                <w:color w:val="auto"/>
              </w:rPr>
            </w:pPr>
          </w:p>
        </w:tc>
        <w:tc>
          <w:tcPr>
            <w:tcW w:w="130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108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88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1020" w:type="dxa"/>
            <w:vAlign w:val="bottom"/>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100" w:type="dxa"/>
            <w:vAlign w:val="bottom"/>
            <w:gridSpan w:val="2"/>
            <w:vMerge w:val="continue"/>
          </w:tcPr>
          <w:p>
            <w:pPr>
              <w:spacing w:after="0"/>
              <w:rPr>
                <w:sz w:val="10"/>
                <w:szCs w:val="10"/>
                <w:color w:val="auto"/>
              </w:rPr>
            </w:pPr>
          </w:p>
        </w:tc>
        <w:tc>
          <w:tcPr>
            <w:tcW w:w="3060" w:type="dxa"/>
            <w:vAlign w:val="bottom"/>
            <w:gridSpan w:val="3"/>
            <w:vMerge w:val="restart"/>
          </w:tcPr>
          <w:p>
            <w:pPr>
              <w:ind w:left="100"/>
              <w:spacing w:after="0"/>
              <w:rPr>
                <w:sz w:val="20"/>
                <w:szCs w:val="20"/>
                <w:color w:val="auto"/>
              </w:rPr>
            </w:pPr>
            <w:r>
              <w:rPr>
                <w:rFonts w:ascii="Arial" w:cs="Arial" w:eastAsia="Arial" w:hAnsi="Arial"/>
                <w:sz w:val="14"/>
                <w:szCs w:val="14"/>
                <w:color w:val="auto"/>
              </w:rPr>
              <w:t>Involuntary Termination</w:t>
            </w:r>
          </w:p>
        </w:tc>
        <w:tc>
          <w:tcPr>
            <w:tcW w:w="940" w:type="dxa"/>
            <w:vAlign w:val="bottom"/>
            <w:vMerge w:val="restart"/>
          </w:tcPr>
          <w:p>
            <w:pPr>
              <w:jc w:val="center"/>
              <w:ind w:left="29"/>
              <w:spacing w:after="0"/>
              <w:rPr>
                <w:sz w:val="20"/>
                <w:szCs w:val="20"/>
                <w:color w:val="auto"/>
              </w:rPr>
            </w:pPr>
            <w:r>
              <w:rPr>
                <w:rFonts w:ascii="Arial" w:cs="Arial" w:eastAsia="Arial" w:hAnsi="Arial"/>
                <w:sz w:val="14"/>
                <w:szCs w:val="14"/>
                <w:color w:val="auto"/>
              </w:rPr>
              <w:t>$3,520,000</w:t>
            </w:r>
          </w:p>
        </w:tc>
        <w:tc>
          <w:tcPr>
            <w:tcW w:w="60" w:type="dxa"/>
            <w:vAlign w:val="bottom"/>
          </w:tcPr>
          <w:p>
            <w:pPr>
              <w:spacing w:after="0"/>
              <w:rPr>
                <w:sz w:val="10"/>
                <w:szCs w:val="10"/>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69"/>
              <w:spacing w:after="0"/>
              <w:rPr>
                <w:sz w:val="20"/>
                <w:szCs w:val="20"/>
                <w:color w:val="auto"/>
              </w:rPr>
            </w:pPr>
            <w:r>
              <w:rPr>
                <w:rFonts w:ascii="Arial" w:cs="Arial" w:eastAsia="Arial" w:hAnsi="Arial"/>
                <w:sz w:val="14"/>
                <w:szCs w:val="14"/>
                <w:color w:val="auto"/>
              </w:rPr>
              <w:t>14,805,129</w:t>
            </w:r>
          </w:p>
        </w:tc>
        <w:tc>
          <w:tcPr>
            <w:tcW w:w="6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color w:val="auto"/>
              </w:rPr>
              <w:t>$30,000 </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18,355,129</w:t>
            </w:r>
          </w:p>
        </w:tc>
        <w:tc>
          <w:tcPr>
            <w:tcW w:w="0" w:type="dxa"/>
            <w:vAlign w:val="bottom"/>
          </w:tcPr>
          <w:p>
            <w:pPr>
              <w:spacing w:after="0"/>
              <w:rPr>
                <w:sz w:val="1"/>
                <w:szCs w:val="1"/>
                <w:color w:val="auto"/>
              </w:rPr>
            </w:pPr>
          </w:p>
        </w:tc>
      </w:tr>
      <w:tr>
        <w:trPr>
          <w:trHeight w:val="63"/>
        </w:trPr>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60" w:type="dxa"/>
            <w:vAlign w:val="bottom"/>
            <w:gridSpan w:val="3"/>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tcBorders>
              <w:left w:val="single" w:sz="8" w:color="E5EBEE"/>
              <w:bottom w:val="single" w:sz="8" w:color="E5EBEE"/>
            </w:tcBorders>
            <w:gridSpan w:val="3"/>
            <w:shd w:val="clear" w:color="auto" w:fill="E5EBEE"/>
          </w:tcPr>
          <w:p>
            <w:pPr>
              <w:ind w:left="100"/>
              <w:spacing w:after="0"/>
              <w:rPr>
                <w:sz w:val="20"/>
                <w:szCs w:val="20"/>
                <w:color w:val="auto"/>
              </w:rPr>
            </w:pPr>
            <w:r>
              <w:rPr>
                <w:rFonts w:ascii="Arial" w:cs="Arial" w:eastAsia="Arial" w:hAnsi="Arial"/>
                <w:sz w:val="14"/>
                <w:szCs w:val="14"/>
                <w:color w:val="auto"/>
              </w:rPr>
              <w:t>Retirement</w:t>
            </w:r>
          </w:p>
        </w:tc>
        <w:tc>
          <w:tcPr>
            <w:tcW w:w="10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E5EBEE"/>
            </w:tcBorders>
            <w:gridSpan w:val="2"/>
            <w:shd w:val="clear" w:color="auto" w:fill="E5EBEE"/>
          </w:tcPr>
          <w:p>
            <w:pPr>
              <w:jc w:val="center"/>
              <w:ind w:right="60"/>
              <w:spacing w:after="0"/>
              <w:rPr>
                <w:sz w:val="20"/>
                <w:szCs w:val="20"/>
                <w:color w:val="auto"/>
              </w:rPr>
            </w:pPr>
            <w:r>
              <w:rPr>
                <w:rFonts w:ascii="Arial" w:cs="Arial" w:eastAsia="Arial" w:hAnsi="Arial"/>
                <w:sz w:val="14"/>
                <w:szCs w:val="14"/>
                <w:color w:val="auto"/>
                <w:w w:val="72"/>
              </w:rPr>
              <w:t>$— </w:t>
            </w:r>
          </w:p>
        </w:tc>
        <w:tc>
          <w:tcPr>
            <w:tcW w:w="11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w w:val="98"/>
              </w:rPr>
              <w:t>$— </w:t>
            </w:r>
          </w:p>
        </w:tc>
        <w:tc>
          <w:tcPr>
            <w:tcW w:w="9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gridSpan w:val="3"/>
          </w:tcPr>
          <w:p>
            <w:pPr>
              <w:ind w:left="100"/>
              <w:spacing w:after="0"/>
              <w:rPr>
                <w:sz w:val="20"/>
                <w:szCs w:val="20"/>
                <w:color w:val="auto"/>
              </w:rPr>
            </w:pPr>
            <w:r>
              <w:rPr>
                <w:rFonts w:ascii="Arial" w:cs="Arial" w:eastAsia="Arial" w:hAnsi="Arial"/>
                <w:sz w:val="14"/>
                <w:szCs w:val="14"/>
                <w:color w:val="auto"/>
              </w:rPr>
              <w:t>For Cause Termination</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72"/>
              </w:rPr>
              <w:t>$— </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8"/>
              </w:rPr>
              <w:t>$— </w:t>
            </w: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tcBorders>
              <w:bottom w:val="single" w:sz="8" w:color="023C5B"/>
            </w:tcBorders>
          </w:tcPr>
          <w:p>
            <w:pPr>
              <w:spacing w:after="0"/>
              <w:rPr>
                <w:sz w:val="18"/>
                <w:szCs w:val="18"/>
                <w:color w:val="auto"/>
              </w:rPr>
            </w:pPr>
          </w:p>
        </w:tc>
        <w:tc>
          <w:tcPr>
            <w:tcW w:w="40" w:type="dxa"/>
            <w:vAlign w:val="bottom"/>
          </w:tcPr>
          <w:p>
            <w:pPr>
              <w:spacing w:after="0"/>
              <w:rPr>
                <w:sz w:val="18"/>
                <w:szCs w:val="18"/>
                <w:color w:val="auto"/>
              </w:rPr>
            </w:pPr>
          </w:p>
        </w:tc>
        <w:tc>
          <w:tcPr>
            <w:tcW w:w="3020" w:type="dxa"/>
            <w:vAlign w:val="bottom"/>
            <w:tcBorders>
              <w:left w:val="single" w:sz="8" w:color="E5EBEE"/>
              <w:bottom w:val="single" w:sz="8" w:color="023C5B"/>
            </w:tcBorders>
            <w:gridSpan w:val="2"/>
            <w:shd w:val="clear" w:color="auto" w:fill="E5EBEE"/>
          </w:tcPr>
          <w:p>
            <w:pPr>
              <w:ind w:left="100"/>
              <w:spacing w:after="0" w:line="214" w:lineRule="exact"/>
              <w:rPr>
                <w:sz w:val="20"/>
                <w:szCs w:val="20"/>
                <w:color w:val="auto"/>
              </w:rPr>
            </w:pPr>
            <w:r>
              <w:rPr>
                <w:rFonts w:ascii="Arial" w:cs="Arial" w:eastAsia="Arial" w:hAnsi="Arial"/>
                <w:sz w:val="14"/>
                <w:szCs w:val="14"/>
                <w:color w:val="auto"/>
              </w:rPr>
              <w:t>Change of Control</w:t>
            </w:r>
            <w:r>
              <w:rPr>
                <w:rFonts w:ascii="Arial" w:cs="Arial" w:eastAsia="Arial" w:hAnsi="Arial"/>
                <w:sz w:val="21"/>
                <w:szCs w:val="21"/>
                <w:color w:val="auto"/>
                <w:vertAlign w:val="superscript"/>
              </w:rPr>
              <w:t>(8)</w:t>
            </w:r>
          </w:p>
        </w:tc>
        <w:tc>
          <w:tcPr>
            <w:tcW w:w="40" w:type="dxa"/>
            <w:vAlign w:val="bottom"/>
            <w:shd w:val="clear" w:color="auto" w:fill="E5EBEE"/>
          </w:tcPr>
          <w:p>
            <w:pPr>
              <w:spacing w:after="0"/>
              <w:rPr>
                <w:sz w:val="18"/>
                <w:szCs w:val="18"/>
                <w:color w:val="auto"/>
              </w:rPr>
            </w:pPr>
          </w:p>
        </w:tc>
        <w:tc>
          <w:tcPr>
            <w:tcW w:w="940" w:type="dxa"/>
            <w:vAlign w:val="bottom"/>
            <w:tcBorders>
              <w:bottom w:val="single" w:sz="8" w:color="023C5B"/>
            </w:tcBorders>
            <w:shd w:val="clear" w:color="auto" w:fill="E5EBEE"/>
          </w:tcPr>
          <w:p>
            <w:pPr>
              <w:jc w:val="center"/>
              <w:ind w:left="29"/>
              <w:spacing w:after="0"/>
              <w:rPr>
                <w:sz w:val="20"/>
                <w:szCs w:val="20"/>
                <w:color w:val="auto"/>
              </w:rPr>
            </w:pPr>
            <w:r>
              <w:rPr>
                <w:rFonts w:ascii="Arial" w:cs="Arial" w:eastAsia="Arial" w:hAnsi="Arial"/>
                <w:sz w:val="14"/>
                <w:szCs w:val="14"/>
                <w:color w:val="auto"/>
              </w:rPr>
              <w:t>$9,329,106</w:t>
            </w:r>
          </w:p>
        </w:tc>
        <w:tc>
          <w:tcPr>
            <w:tcW w:w="60" w:type="dxa"/>
            <w:vAlign w:val="bottom"/>
            <w:shd w:val="clear" w:color="auto" w:fill="E5EBEE"/>
          </w:tcPr>
          <w:p>
            <w:pPr>
              <w:spacing w:after="0"/>
              <w:rPr>
                <w:sz w:val="18"/>
                <w:szCs w:val="18"/>
                <w:color w:val="auto"/>
              </w:rPr>
            </w:pPr>
          </w:p>
        </w:tc>
        <w:tc>
          <w:tcPr>
            <w:tcW w:w="126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$555,594</w:t>
            </w:r>
          </w:p>
        </w:tc>
        <w:tc>
          <w:tcPr>
            <w:tcW w:w="40" w:type="dxa"/>
            <w:vAlign w:val="bottom"/>
            <w:shd w:val="clear" w:color="auto" w:fill="E5EBEE"/>
          </w:tcPr>
          <w:p>
            <w:pPr>
              <w:spacing w:after="0"/>
              <w:rPr>
                <w:sz w:val="18"/>
                <w:szCs w:val="18"/>
                <w:color w:val="auto"/>
              </w:rPr>
            </w:pPr>
          </w:p>
        </w:tc>
        <w:tc>
          <w:tcPr>
            <w:tcW w:w="1300" w:type="dxa"/>
            <w:vAlign w:val="bottom"/>
            <w:tcBorders>
              <w:bottom w:val="single" w:sz="8" w:color="023C5B"/>
            </w:tcBorders>
            <w:shd w:val="clear" w:color="auto" w:fill="E5EBEE"/>
          </w:tcPr>
          <w:p>
            <w:pPr>
              <w:jc w:val="center"/>
              <w:spacing w:after="0" w:line="214" w:lineRule="exact"/>
              <w:rPr>
                <w:sz w:val="20"/>
                <w:szCs w:val="20"/>
                <w:color w:val="auto"/>
              </w:rPr>
            </w:pPr>
            <w:r>
              <w:rPr>
                <w:rFonts w:ascii="Arial" w:cs="Arial" w:eastAsia="Arial" w:hAnsi="Arial"/>
                <w:sz w:val="14"/>
                <w:szCs w:val="14"/>
                <w:color w:val="auto"/>
              </w:rPr>
              <w:t>$20,302,255</w:t>
            </w:r>
            <w:r>
              <w:rPr>
                <w:rFonts w:ascii="Arial" w:cs="Arial" w:eastAsia="Arial" w:hAnsi="Arial"/>
                <w:sz w:val="21"/>
                <w:szCs w:val="21"/>
                <w:color w:val="auto"/>
                <w:vertAlign w:val="superscript"/>
              </w:rPr>
              <w:t>(9)</w:t>
            </w:r>
            <w:r>
              <w:rPr>
                <w:rFonts w:ascii="Arial" w:cs="Arial" w:eastAsia="Arial" w:hAnsi="Arial"/>
                <w:sz w:val="14"/>
                <w:szCs w:val="14"/>
                <w:color w:val="auto"/>
              </w:rPr>
              <w:t xml:space="preserve"> </w:t>
            </w:r>
          </w:p>
        </w:tc>
        <w:tc>
          <w:tcPr>
            <w:tcW w:w="60" w:type="dxa"/>
            <w:vAlign w:val="bottom"/>
            <w:shd w:val="clear" w:color="auto" w:fill="E5EBEE"/>
          </w:tcPr>
          <w:p>
            <w:pPr>
              <w:spacing w:after="0"/>
              <w:rPr>
                <w:sz w:val="18"/>
                <w:szCs w:val="18"/>
                <w:color w:val="auto"/>
              </w:rPr>
            </w:pPr>
          </w:p>
        </w:tc>
        <w:tc>
          <w:tcPr>
            <w:tcW w:w="1080" w:type="dxa"/>
            <w:vAlign w:val="bottom"/>
            <w:tcBorders>
              <w:bottom w:val="single" w:sz="8" w:color="023C5B"/>
            </w:tcBorders>
            <w:shd w:val="clear" w:color="auto" w:fill="E5EBEE"/>
          </w:tcPr>
          <w:p>
            <w:pPr>
              <w:jc w:val="center"/>
              <w:ind w:left="9"/>
              <w:spacing w:after="0"/>
              <w:rPr>
                <w:sz w:val="20"/>
                <w:szCs w:val="20"/>
                <w:color w:val="auto"/>
              </w:rPr>
            </w:pPr>
            <w:r>
              <w:rPr>
                <w:rFonts w:ascii="Arial" w:cs="Arial" w:eastAsia="Arial" w:hAnsi="Arial"/>
                <w:sz w:val="14"/>
                <w:szCs w:val="14"/>
                <w:color w:val="auto"/>
              </w:rPr>
              <w:t>$179,249 </w:t>
            </w:r>
          </w:p>
        </w:tc>
        <w:tc>
          <w:tcPr>
            <w:tcW w:w="60" w:type="dxa"/>
            <w:vAlign w:val="bottom"/>
            <w:shd w:val="clear" w:color="auto" w:fill="E5EBEE"/>
          </w:tcPr>
          <w:p>
            <w:pPr>
              <w:spacing w:after="0"/>
              <w:rPr>
                <w:sz w:val="18"/>
                <w:szCs w:val="18"/>
                <w:color w:val="auto"/>
              </w:rPr>
            </w:pPr>
          </w:p>
        </w:tc>
        <w:tc>
          <w:tcPr>
            <w:tcW w:w="88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E5EBEE"/>
          </w:tcPr>
          <w:p>
            <w:pPr>
              <w:spacing w:after="0"/>
              <w:rPr>
                <w:sz w:val="18"/>
                <w:szCs w:val="18"/>
                <w:color w:val="auto"/>
              </w:rPr>
            </w:pPr>
          </w:p>
        </w:tc>
        <w:tc>
          <w:tcPr>
            <w:tcW w:w="102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$30,366,204</w:t>
            </w:r>
          </w:p>
        </w:tc>
        <w:tc>
          <w:tcPr>
            <w:tcW w:w="0" w:type="dxa"/>
            <w:vAlign w:val="bottom"/>
          </w:tcPr>
          <w:p>
            <w:pPr>
              <w:spacing w:after="0"/>
              <w:rPr>
                <w:sz w:val="1"/>
                <w:szCs w:val="1"/>
                <w:color w:val="auto"/>
              </w:rPr>
            </w:pPr>
          </w:p>
        </w:tc>
      </w:tr>
      <w:tr>
        <w:trPr>
          <w:trHeight w:val="185"/>
        </w:trPr>
        <w:tc>
          <w:tcPr>
            <w:tcW w:w="1100" w:type="dxa"/>
            <w:vAlign w:val="bottom"/>
            <w:gridSpan w:val="2"/>
          </w:tcPr>
          <w:p>
            <w:pPr>
              <w:ind w:left="60"/>
              <w:spacing w:after="0"/>
              <w:rPr>
                <w:sz w:val="20"/>
                <w:szCs w:val="20"/>
                <w:color w:val="auto"/>
              </w:rPr>
            </w:pPr>
            <w:r>
              <w:rPr>
                <w:rFonts w:ascii="Arial" w:cs="Arial" w:eastAsia="Arial" w:hAnsi="Arial"/>
                <w:sz w:val="14"/>
                <w:szCs w:val="14"/>
                <w:color w:val="auto"/>
              </w:rPr>
              <w:t>Mark Daniel</w:t>
            </w:r>
          </w:p>
        </w:tc>
        <w:tc>
          <w:tcPr>
            <w:tcW w:w="3060" w:type="dxa"/>
            <w:vAlign w:val="bottom"/>
            <w:gridSpan w:val="3"/>
          </w:tcPr>
          <w:p>
            <w:pPr>
              <w:ind w:left="100"/>
              <w:spacing w:after="0"/>
              <w:rPr>
                <w:sz w:val="20"/>
                <w:szCs w:val="20"/>
                <w:color w:val="auto"/>
              </w:rPr>
            </w:pPr>
            <w:r>
              <w:rPr>
                <w:rFonts w:ascii="Arial" w:cs="Arial" w:eastAsia="Arial" w:hAnsi="Arial"/>
                <w:sz w:val="14"/>
                <w:szCs w:val="14"/>
                <w:color w:val="auto"/>
              </w:rPr>
              <w:t>Voluntary Termination</w:t>
            </w:r>
          </w:p>
        </w:tc>
        <w:tc>
          <w:tcPr>
            <w:tcW w:w="940" w:type="dxa"/>
            <w:vAlign w:val="bottom"/>
          </w:tcPr>
          <w:p>
            <w:pPr>
              <w:jc w:val="center"/>
              <w:ind w:left="29"/>
              <w:spacing w:after="0"/>
              <w:rPr>
                <w:sz w:val="20"/>
                <w:szCs w:val="20"/>
                <w:color w:val="auto"/>
              </w:rPr>
            </w:pPr>
            <w:r>
              <w:rPr>
                <w:rFonts w:ascii="Arial" w:cs="Arial" w:eastAsia="Arial" w:hAnsi="Arial"/>
                <w:sz w:val="14"/>
                <w:szCs w:val="14"/>
                <w:color w:val="auto"/>
              </w:rPr>
              <w:t>$1,310,000</w:t>
            </w:r>
          </w:p>
        </w:tc>
        <w:tc>
          <w:tcPr>
            <w:tcW w:w="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72"/>
              </w:rPr>
              <w:t>$— </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8"/>
              </w:rPr>
              <w:t>$— </w:t>
            </w: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$1,310,000</w:t>
            </w:r>
          </w:p>
        </w:tc>
        <w:tc>
          <w:tcPr>
            <w:tcW w:w="0" w:type="dxa"/>
            <w:vAlign w:val="bottom"/>
          </w:tcPr>
          <w:p>
            <w:pPr>
              <w:spacing w:after="0"/>
              <w:rPr>
                <w:sz w:val="1"/>
                <w:szCs w:val="1"/>
                <w:color w:val="auto"/>
              </w:rPr>
            </w:pPr>
          </w:p>
        </w:tc>
      </w:tr>
      <w:tr>
        <w:trPr>
          <w:trHeight w:val="63"/>
        </w:trPr>
        <w:tc>
          <w:tcPr>
            <w:tcW w:w="1100" w:type="dxa"/>
            <w:vAlign w:val="bottom"/>
            <w:gridSpan w:val="2"/>
            <w:vMerge w:val="restart"/>
          </w:tcPr>
          <w:p>
            <w:pPr>
              <w:ind w:left="60"/>
              <w:spacing w:after="0"/>
              <w:rPr>
                <w:sz w:val="20"/>
                <w:szCs w:val="20"/>
                <w:color w:val="auto"/>
              </w:rPr>
            </w:pPr>
            <w:r>
              <w:rPr>
                <w:rFonts w:ascii="Arial" w:cs="Arial" w:eastAsia="Arial" w:hAnsi="Arial"/>
                <w:sz w:val="14"/>
                <w:szCs w:val="14"/>
                <w:color w:val="auto"/>
              </w:rPr>
              <w:t>Mouadeb</w:t>
            </w:r>
          </w:p>
        </w:tc>
        <w:tc>
          <w:tcPr>
            <w:tcW w:w="1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100" w:type="dxa"/>
            <w:vAlign w:val="bottom"/>
            <w:gridSpan w:val="2"/>
            <w:vMerge w:val="continue"/>
          </w:tcPr>
          <w:p>
            <w:pPr>
              <w:spacing w:after="0"/>
              <w:rPr>
                <w:sz w:val="10"/>
                <w:szCs w:val="10"/>
                <w:color w:val="auto"/>
              </w:rPr>
            </w:pPr>
          </w:p>
        </w:tc>
        <w:tc>
          <w:tcPr>
            <w:tcW w:w="3060" w:type="dxa"/>
            <w:vAlign w:val="bottom"/>
            <w:tcBorders>
              <w:left w:val="single" w:sz="8" w:color="E5EBEE"/>
            </w:tcBorders>
            <w:gridSpan w:val="3"/>
            <w:vMerge w:val="restart"/>
            <w:shd w:val="clear" w:color="auto" w:fill="E5EBEE"/>
          </w:tcPr>
          <w:p>
            <w:pPr>
              <w:ind w:left="100"/>
              <w:spacing w:after="0"/>
              <w:rPr>
                <w:sz w:val="20"/>
                <w:szCs w:val="20"/>
                <w:color w:val="auto"/>
              </w:rPr>
            </w:pPr>
            <w:r>
              <w:rPr>
                <w:rFonts w:ascii="Arial" w:cs="Arial" w:eastAsia="Arial" w:hAnsi="Arial"/>
                <w:sz w:val="14"/>
                <w:szCs w:val="14"/>
                <w:color w:val="auto"/>
              </w:rPr>
              <w:t>Involuntary Termination</w:t>
            </w:r>
          </w:p>
        </w:tc>
        <w:tc>
          <w:tcPr>
            <w:tcW w:w="940" w:type="dxa"/>
            <w:vAlign w:val="bottom"/>
            <w:vMerge w:val="restart"/>
            <w:shd w:val="clear" w:color="auto" w:fill="E5EBEE"/>
          </w:tcPr>
          <w:p>
            <w:pPr>
              <w:jc w:val="center"/>
              <w:ind w:left="29"/>
              <w:spacing w:after="0"/>
              <w:rPr>
                <w:sz w:val="20"/>
                <w:szCs w:val="20"/>
                <w:color w:val="auto"/>
              </w:rPr>
            </w:pPr>
            <w:r>
              <w:rPr>
                <w:rFonts w:ascii="Arial" w:cs="Arial" w:eastAsia="Arial" w:hAnsi="Arial"/>
                <w:sz w:val="14"/>
                <w:szCs w:val="14"/>
                <w:color w:val="auto"/>
              </w:rPr>
              <w:t>$5,568,000</w:t>
            </w:r>
          </w:p>
        </w:tc>
        <w:tc>
          <w:tcPr>
            <w:tcW w:w="60" w:type="dxa"/>
            <w:vAlign w:val="bottom"/>
            <w:shd w:val="clear" w:color="auto" w:fill="E5EBEE"/>
          </w:tcPr>
          <w:p>
            <w:pPr>
              <w:spacing w:after="0"/>
              <w:rPr>
                <w:sz w:val="10"/>
                <w:szCs w:val="10"/>
                <w:color w:val="auto"/>
              </w:rPr>
            </w:pPr>
          </w:p>
        </w:tc>
        <w:tc>
          <w:tcPr>
            <w:tcW w:w="1300" w:type="dxa"/>
            <w:vAlign w:val="bottom"/>
            <w:gridSpan w:val="2"/>
            <w:vMerge w:val="restart"/>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shd w:val="clear" w:color="auto" w:fill="E5EBEE"/>
          </w:tcPr>
          <w:p>
            <w:pPr>
              <w:jc w:val="center"/>
              <w:ind w:right="80"/>
              <w:spacing w:after="0"/>
              <w:rPr>
                <w:sz w:val="20"/>
                <w:szCs w:val="20"/>
                <w:color w:val="auto"/>
              </w:rPr>
            </w:pPr>
            <w:r>
              <w:rPr>
                <w:rFonts w:ascii="Arial" w:cs="Arial" w:eastAsia="Arial" w:hAnsi="Arial"/>
                <w:sz w:val="14"/>
                <w:szCs w:val="14"/>
                <w:color w:val="auto"/>
                <w:w w:val="91"/>
              </w:rPr>
              <w:t>$10,925,693 </w:t>
            </w:r>
          </w:p>
        </w:tc>
        <w:tc>
          <w:tcPr>
            <w:tcW w:w="1140" w:type="dxa"/>
            <w:vAlign w:val="bottom"/>
            <w:gridSpan w:val="2"/>
            <w:vMerge w:val="restart"/>
            <w:shd w:val="clear" w:color="auto" w:fill="E5EBEE"/>
          </w:tcPr>
          <w:p>
            <w:pPr>
              <w:jc w:val="center"/>
              <w:spacing w:after="0"/>
              <w:rPr>
                <w:sz w:val="20"/>
                <w:szCs w:val="20"/>
                <w:color w:val="auto"/>
              </w:rPr>
            </w:pPr>
            <w:r>
              <w:rPr>
                <w:rFonts w:ascii="Arial" w:cs="Arial" w:eastAsia="Arial" w:hAnsi="Arial"/>
                <w:sz w:val="14"/>
                <w:szCs w:val="14"/>
                <w:color w:val="auto"/>
              </w:rPr>
              <w:t>$30,000 </w:t>
            </w:r>
          </w:p>
        </w:tc>
        <w:tc>
          <w:tcPr>
            <w:tcW w:w="940" w:type="dxa"/>
            <w:vAlign w:val="bottom"/>
            <w:gridSpan w:val="2"/>
            <w:vMerge w:val="restart"/>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E5EBEE"/>
          </w:tcPr>
          <w:p>
            <w:pPr>
              <w:jc w:val="center"/>
              <w:spacing w:after="0"/>
              <w:rPr>
                <w:sz w:val="20"/>
                <w:szCs w:val="20"/>
                <w:color w:val="auto"/>
              </w:rPr>
            </w:pPr>
            <w:r>
              <w:rPr>
                <w:rFonts w:ascii="Arial" w:cs="Arial" w:eastAsia="Arial" w:hAnsi="Arial"/>
                <w:sz w:val="14"/>
                <w:szCs w:val="14"/>
                <w:color w:val="auto"/>
              </w:rPr>
              <w:t>$16,523,693</w:t>
            </w:r>
          </w:p>
        </w:tc>
        <w:tc>
          <w:tcPr>
            <w:tcW w:w="0" w:type="dxa"/>
            <w:vAlign w:val="bottom"/>
          </w:tcPr>
          <w:p>
            <w:pPr>
              <w:spacing w:after="0"/>
              <w:rPr>
                <w:sz w:val="1"/>
                <w:szCs w:val="1"/>
                <w:color w:val="auto"/>
              </w:rPr>
            </w:pPr>
          </w:p>
        </w:tc>
      </w:tr>
      <w:tr>
        <w:trPr>
          <w:trHeight w:val="68"/>
        </w:trPr>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60" w:type="dxa"/>
            <w:vAlign w:val="bottom"/>
            <w:tcBorders>
              <w:left w:val="single" w:sz="8" w:color="E5EBEE"/>
              <w:bottom w:val="single" w:sz="8" w:color="E5EBEE"/>
            </w:tcBorders>
            <w:gridSpan w:val="3"/>
            <w:vMerge w:val="continue"/>
            <w:shd w:val="clear" w:color="auto" w:fill="E5EBEE"/>
          </w:tcPr>
          <w:p>
            <w:pPr>
              <w:spacing w:after="0"/>
              <w:rPr>
                <w:sz w:val="5"/>
                <w:szCs w:val="5"/>
                <w:color w:val="auto"/>
              </w:rPr>
            </w:pPr>
          </w:p>
        </w:tc>
        <w:tc>
          <w:tcPr>
            <w:tcW w:w="940" w:type="dxa"/>
            <w:vAlign w:val="bottom"/>
            <w:tcBorders>
              <w:bottom w:val="single" w:sz="8" w:color="E5EBEE"/>
            </w:tcBorders>
            <w:vMerge w:val="continue"/>
            <w:shd w:val="clear" w:color="auto" w:fill="E5EBEE"/>
          </w:tcPr>
          <w:p>
            <w:pPr>
              <w:spacing w:after="0"/>
              <w:rPr>
                <w:sz w:val="5"/>
                <w:szCs w:val="5"/>
                <w:color w:val="auto"/>
              </w:rPr>
            </w:pPr>
          </w:p>
        </w:tc>
        <w:tc>
          <w:tcPr>
            <w:tcW w:w="60" w:type="dxa"/>
            <w:vAlign w:val="bottom"/>
            <w:tcBorders>
              <w:bottom w:val="single" w:sz="8" w:color="E5EBEE"/>
            </w:tcBorders>
            <w:shd w:val="clear" w:color="auto" w:fill="E5EBEE"/>
          </w:tcPr>
          <w:p>
            <w:pPr>
              <w:spacing w:after="0"/>
              <w:rPr>
                <w:sz w:val="5"/>
                <w:szCs w:val="5"/>
                <w:color w:val="auto"/>
              </w:rPr>
            </w:pPr>
          </w:p>
        </w:tc>
        <w:tc>
          <w:tcPr>
            <w:tcW w:w="1300" w:type="dxa"/>
            <w:vAlign w:val="bottom"/>
            <w:tcBorders>
              <w:bottom w:val="single" w:sz="8" w:color="E5EBEE"/>
            </w:tcBorders>
            <w:gridSpan w:val="2"/>
            <w:vMerge w:val="continue"/>
            <w:shd w:val="clear" w:color="auto" w:fill="E5EBEE"/>
          </w:tcPr>
          <w:p>
            <w:pPr>
              <w:spacing w:after="0"/>
              <w:rPr>
                <w:sz w:val="5"/>
                <w:szCs w:val="5"/>
                <w:color w:val="auto"/>
              </w:rPr>
            </w:pPr>
          </w:p>
        </w:tc>
        <w:tc>
          <w:tcPr>
            <w:tcW w:w="1360" w:type="dxa"/>
            <w:vAlign w:val="bottom"/>
            <w:tcBorders>
              <w:bottom w:val="single" w:sz="8" w:color="E5EBEE"/>
            </w:tcBorders>
            <w:gridSpan w:val="2"/>
            <w:vMerge w:val="continue"/>
            <w:shd w:val="clear" w:color="auto" w:fill="E5EBEE"/>
          </w:tcPr>
          <w:p>
            <w:pPr>
              <w:spacing w:after="0"/>
              <w:rPr>
                <w:sz w:val="5"/>
                <w:szCs w:val="5"/>
                <w:color w:val="auto"/>
              </w:rPr>
            </w:pPr>
          </w:p>
        </w:tc>
        <w:tc>
          <w:tcPr>
            <w:tcW w:w="1140" w:type="dxa"/>
            <w:vAlign w:val="bottom"/>
            <w:tcBorders>
              <w:bottom w:val="single" w:sz="8" w:color="E5EBEE"/>
            </w:tcBorders>
            <w:gridSpan w:val="2"/>
            <w:vMerge w:val="continue"/>
            <w:shd w:val="clear" w:color="auto" w:fill="E5EBEE"/>
          </w:tcPr>
          <w:p>
            <w:pPr>
              <w:spacing w:after="0"/>
              <w:rPr>
                <w:sz w:val="5"/>
                <w:szCs w:val="5"/>
                <w:color w:val="auto"/>
              </w:rPr>
            </w:pPr>
          </w:p>
        </w:tc>
        <w:tc>
          <w:tcPr>
            <w:tcW w:w="940" w:type="dxa"/>
            <w:vAlign w:val="bottom"/>
            <w:tcBorders>
              <w:bottom w:val="single" w:sz="8" w:color="E5EBEE"/>
            </w:tcBorders>
            <w:gridSpan w:val="2"/>
            <w:vMerge w:val="continue"/>
            <w:shd w:val="clear" w:color="auto" w:fill="E5EBEE"/>
          </w:tcPr>
          <w:p>
            <w:pPr>
              <w:spacing w:after="0"/>
              <w:rPr>
                <w:sz w:val="5"/>
                <w:szCs w:val="5"/>
                <w:color w:val="auto"/>
              </w:rPr>
            </w:pPr>
          </w:p>
        </w:tc>
        <w:tc>
          <w:tcPr>
            <w:tcW w:w="1020" w:type="dxa"/>
            <w:vAlign w:val="bottom"/>
            <w:tcBorders>
              <w:bottom w:val="single" w:sz="8" w:color="E5EBEE"/>
            </w:tcBorders>
            <w:vMerge w:val="continue"/>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gridSpan w:val="3"/>
          </w:tcPr>
          <w:p>
            <w:pPr>
              <w:ind w:left="100"/>
              <w:spacing w:after="0"/>
              <w:rPr>
                <w:sz w:val="20"/>
                <w:szCs w:val="20"/>
                <w:color w:val="auto"/>
              </w:rPr>
            </w:pPr>
            <w:r>
              <w:rPr>
                <w:rFonts w:ascii="Arial" w:cs="Arial" w:eastAsia="Arial" w:hAnsi="Arial"/>
                <w:sz w:val="14"/>
                <w:szCs w:val="14"/>
                <w:color w:val="auto"/>
              </w:rPr>
              <w:t>Retirement</w:t>
            </w:r>
          </w:p>
        </w:tc>
        <w:tc>
          <w:tcPr>
            <w:tcW w:w="940" w:type="dxa"/>
            <w:vAlign w:val="bottom"/>
          </w:tcPr>
          <w:p>
            <w:pPr>
              <w:jc w:val="center"/>
              <w:ind w:left="29"/>
              <w:spacing w:after="0"/>
              <w:rPr>
                <w:sz w:val="20"/>
                <w:szCs w:val="20"/>
                <w:color w:val="auto"/>
              </w:rPr>
            </w:pPr>
            <w:r>
              <w:rPr>
                <w:rFonts w:ascii="Arial" w:cs="Arial" w:eastAsia="Arial" w:hAnsi="Arial"/>
                <w:sz w:val="14"/>
                <w:szCs w:val="14"/>
                <w:color w:val="auto"/>
              </w:rPr>
              <w:t>$1,310,000</w:t>
            </w:r>
          </w:p>
        </w:tc>
        <w:tc>
          <w:tcPr>
            <w:tcW w:w="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72"/>
              </w:rPr>
              <w:t>$— </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8"/>
              </w:rPr>
              <w:t>$— </w:t>
            </w: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$1,310,000</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tcBorders>
              <w:left w:val="single" w:sz="8" w:color="E5EBEE"/>
              <w:bottom w:val="single" w:sz="8" w:color="E5EBEE"/>
            </w:tcBorders>
            <w:gridSpan w:val="3"/>
            <w:shd w:val="clear" w:color="auto" w:fill="E5EBEE"/>
          </w:tcPr>
          <w:p>
            <w:pPr>
              <w:ind w:left="100"/>
              <w:spacing w:after="0"/>
              <w:rPr>
                <w:sz w:val="20"/>
                <w:szCs w:val="20"/>
                <w:color w:val="auto"/>
              </w:rPr>
            </w:pPr>
            <w:r>
              <w:rPr>
                <w:rFonts w:ascii="Arial" w:cs="Arial" w:eastAsia="Arial" w:hAnsi="Arial"/>
                <w:sz w:val="14"/>
                <w:szCs w:val="14"/>
                <w:color w:val="auto"/>
              </w:rPr>
              <w:t>For Cause Termination</w:t>
            </w:r>
          </w:p>
        </w:tc>
        <w:tc>
          <w:tcPr>
            <w:tcW w:w="10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E5EBEE"/>
            </w:tcBorders>
            <w:gridSpan w:val="2"/>
            <w:shd w:val="clear" w:color="auto" w:fill="E5EBEE"/>
          </w:tcPr>
          <w:p>
            <w:pPr>
              <w:jc w:val="center"/>
              <w:ind w:right="60"/>
              <w:spacing w:after="0"/>
              <w:rPr>
                <w:sz w:val="20"/>
                <w:szCs w:val="20"/>
                <w:color w:val="auto"/>
              </w:rPr>
            </w:pPr>
            <w:r>
              <w:rPr>
                <w:rFonts w:ascii="Arial" w:cs="Arial" w:eastAsia="Arial" w:hAnsi="Arial"/>
                <w:sz w:val="14"/>
                <w:szCs w:val="14"/>
                <w:color w:val="auto"/>
                <w:w w:val="72"/>
              </w:rPr>
              <w:t>$— </w:t>
            </w:r>
          </w:p>
        </w:tc>
        <w:tc>
          <w:tcPr>
            <w:tcW w:w="11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w w:val="98"/>
              </w:rPr>
              <w:t>$— </w:t>
            </w:r>
          </w:p>
        </w:tc>
        <w:tc>
          <w:tcPr>
            <w:tcW w:w="9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5EBEE"/>
            </w:tcBorders>
            <w:shd w:val="clear" w:color="auto" w:fill="E5EBEE"/>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060" w:type="dxa"/>
            <w:vAlign w:val="bottom"/>
            <w:tcBorders>
              <w:bottom w:val="single" w:sz="8" w:color="023C5B"/>
            </w:tcBorders>
          </w:tcPr>
          <w:p>
            <w:pPr>
              <w:spacing w:after="0"/>
              <w:rPr>
                <w:sz w:val="18"/>
                <w:szCs w:val="18"/>
                <w:color w:val="auto"/>
              </w:rPr>
            </w:pPr>
          </w:p>
        </w:tc>
        <w:tc>
          <w:tcPr>
            <w:tcW w:w="40" w:type="dxa"/>
            <w:vAlign w:val="bottom"/>
          </w:tcPr>
          <w:p>
            <w:pPr>
              <w:spacing w:after="0"/>
              <w:rPr>
                <w:sz w:val="18"/>
                <w:szCs w:val="18"/>
                <w:color w:val="auto"/>
              </w:rPr>
            </w:pPr>
          </w:p>
        </w:tc>
        <w:tc>
          <w:tcPr>
            <w:tcW w:w="3020" w:type="dxa"/>
            <w:vAlign w:val="bottom"/>
            <w:tcBorders>
              <w:bottom w:val="single" w:sz="8" w:color="023C5B"/>
            </w:tcBorders>
            <w:gridSpan w:val="2"/>
          </w:tcPr>
          <w:p>
            <w:pPr>
              <w:ind w:left="100"/>
              <w:spacing w:after="0" w:line="214" w:lineRule="exact"/>
              <w:rPr>
                <w:sz w:val="20"/>
                <w:szCs w:val="20"/>
                <w:color w:val="auto"/>
              </w:rPr>
            </w:pPr>
            <w:r>
              <w:rPr>
                <w:rFonts w:ascii="Arial" w:cs="Arial" w:eastAsia="Arial" w:hAnsi="Arial"/>
                <w:sz w:val="14"/>
                <w:szCs w:val="14"/>
                <w:color w:val="auto"/>
              </w:rPr>
              <w:t>Change of Control</w:t>
            </w:r>
            <w:r>
              <w:rPr>
                <w:rFonts w:ascii="Arial" w:cs="Arial" w:eastAsia="Arial" w:hAnsi="Arial"/>
                <w:sz w:val="21"/>
                <w:szCs w:val="21"/>
                <w:color w:val="auto"/>
                <w:vertAlign w:val="superscript"/>
              </w:rPr>
              <w:t>(8)</w:t>
            </w:r>
          </w:p>
        </w:tc>
        <w:tc>
          <w:tcPr>
            <w:tcW w:w="40" w:type="dxa"/>
            <w:vAlign w:val="bottom"/>
            <w:tcBorders>
              <w:bottom w:val="single" w:sz="8" w:color="E5EBEE"/>
            </w:tcBorders>
          </w:tcPr>
          <w:p>
            <w:pPr>
              <w:spacing w:after="0"/>
              <w:rPr>
                <w:sz w:val="18"/>
                <w:szCs w:val="18"/>
                <w:color w:val="auto"/>
              </w:rPr>
            </w:pPr>
          </w:p>
        </w:tc>
        <w:tc>
          <w:tcPr>
            <w:tcW w:w="940" w:type="dxa"/>
            <w:vAlign w:val="bottom"/>
            <w:tcBorders>
              <w:bottom w:val="single" w:sz="8" w:color="023C5B"/>
            </w:tcBorders>
          </w:tcPr>
          <w:p>
            <w:pPr>
              <w:jc w:val="center"/>
              <w:ind w:left="29"/>
              <w:spacing w:after="0"/>
              <w:rPr>
                <w:sz w:val="20"/>
                <w:szCs w:val="20"/>
                <w:color w:val="auto"/>
              </w:rPr>
            </w:pPr>
            <w:r>
              <w:rPr>
                <w:rFonts w:ascii="Arial" w:cs="Arial" w:eastAsia="Arial" w:hAnsi="Arial"/>
                <w:sz w:val="14"/>
                <w:szCs w:val="14"/>
                <w:color w:val="auto"/>
              </w:rPr>
              <w:t>$9,170,675</w:t>
            </w:r>
          </w:p>
        </w:tc>
        <w:tc>
          <w:tcPr>
            <w:tcW w:w="60" w:type="dxa"/>
            <w:vAlign w:val="bottom"/>
            <w:tcBorders>
              <w:bottom w:val="single" w:sz="8" w:color="E5EBEE"/>
            </w:tcBorders>
          </w:tcPr>
          <w:p>
            <w:pPr>
              <w:spacing w:after="0"/>
              <w:rPr>
                <w:sz w:val="18"/>
                <w:szCs w:val="18"/>
                <w:color w:val="auto"/>
              </w:rPr>
            </w:pPr>
          </w:p>
        </w:tc>
        <w:tc>
          <w:tcPr>
            <w:tcW w:w="126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$462,945</w:t>
            </w:r>
          </w:p>
        </w:tc>
        <w:tc>
          <w:tcPr>
            <w:tcW w:w="40" w:type="dxa"/>
            <w:vAlign w:val="bottom"/>
            <w:tcBorders>
              <w:bottom w:val="single" w:sz="8" w:color="E5EBEE"/>
            </w:tcBorders>
          </w:tcPr>
          <w:p>
            <w:pPr>
              <w:spacing w:after="0"/>
              <w:rPr>
                <w:sz w:val="18"/>
                <w:szCs w:val="18"/>
                <w:color w:val="auto"/>
              </w:rPr>
            </w:pPr>
          </w:p>
        </w:tc>
        <w:tc>
          <w:tcPr>
            <w:tcW w:w="1300" w:type="dxa"/>
            <w:vAlign w:val="bottom"/>
            <w:tcBorders>
              <w:bottom w:val="single" w:sz="8" w:color="023C5B"/>
            </w:tcBorders>
          </w:tcPr>
          <w:p>
            <w:pPr>
              <w:jc w:val="center"/>
              <w:spacing w:after="0" w:line="214" w:lineRule="exact"/>
              <w:rPr>
                <w:sz w:val="20"/>
                <w:szCs w:val="20"/>
                <w:color w:val="auto"/>
              </w:rPr>
            </w:pPr>
            <w:r>
              <w:rPr>
                <w:rFonts w:ascii="Arial" w:cs="Arial" w:eastAsia="Arial" w:hAnsi="Arial"/>
                <w:sz w:val="14"/>
                <w:szCs w:val="14"/>
                <w:color w:val="auto"/>
              </w:rPr>
              <w:t>$15,423,306</w:t>
            </w:r>
            <w:r>
              <w:rPr>
                <w:rFonts w:ascii="Arial" w:cs="Arial" w:eastAsia="Arial" w:hAnsi="Arial"/>
                <w:sz w:val="21"/>
                <w:szCs w:val="21"/>
                <w:color w:val="auto"/>
                <w:vertAlign w:val="superscript"/>
              </w:rPr>
              <w:t>(9)</w:t>
            </w:r>
            <w:r>
              <w:rPr>
                <w:rFonts w:ascii="Arial" w:cs="Arial" w:eastAsia="Arial" w:hAnsi="Arial"/>
                <w:sz w:val="14"/>
                <w:szCs w:val="14"/>
                <w:color w:val="auto"/>
              </w:rPr>
              <w:t xml:space="preserve"> </w:t>
            </w:r>
          </w:p>
        </w:tc>
        <w:tc>
          <w:tcPr>
            <w:tcW w:w="60" w:type="dxa"/>
            <w:vAlign w:val="bottom"/>
            <w:tcBorders>
              <w:bottom w:val="single" w:sz="8" w:color="E5EBEE"/>
            </w:tcBorders>
          </w:tcPr>
          <w:p>
            <w:pPr>
              <w:spacing w:after="0"/>
              <w:rPr>
                <w:sz w:val="18"/>
                <w:szCs w:val="18"/>
                <w:color w:val="auto"/>
              </w:rPr>
            </w:pPr>
          </w:p>
        </w:tc>
        <w:tc>
          <w:tcPr>
            <w:tcW w:w="1080" w:type="dxa"/>
            <w:vAlign w:val="bottom"/>
            <w:tcBorders>
              <w:bottom w:val="single" w:sz="8" w:color="023C5B"/>
            </w:tcBorders>
          </w:tcPr>
          <w:p>
            <w:pPr>
              <w:jc w:val="center"/>
              <w:ind w:left="9"/>
              <w:spacing w:after="0"/>
              <w:rPr>
                <w:sz w:val="20"/>
                <w:szCs w:val="20"/>
                <w:color w:val="auto"/>
              </w:rPr>
            </w:pPr>
            <w:r>
              <w:rPr>
                <w:rFonts w:ascii="Arial" w:cs="Arial" w:eastAsia="Arial" w:hAnsi="Arial"/>
                <w:sz w:val="14"/>
                <w:szCs w:val="14"/>
                <w:color w:val="auto"/>
              </w:rPr>
              <w:t>$168,289 </w:t>
            </w:r>
          </w:p>
        </w:tc>
        <w:tc>
          <w:tcPr>
            <w:tcW w:w="60" w:type="dxa"/>
            <w:vAlign w:val="bottom"/>
            <w:tcBorders>
              <w:bottom w:val="single" w:sz="8" w:color="E5EBEE"/>
            </w:tcBorders>
          </w:tcPr>
          <w:p>
            <w:pPr>
              <w:spacing w:after="0"/>
              <w:rPr>
                <w:sz w:val="18"/>
                <w:szCs w:val="18"/>
                <w:color w:val="auto"/>
              </w:rPr>
            </w:pPr>
          </w:p>
        </w:tc>
        <w:tc>
          <w:tcPr>
            <w:tcW w:w="88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5EBEE"/>
            </w:tcBorders>
          </w:tcPr>
          <w:p>
            <w:pPr>
              <w:spacing w:after="0"/>
              <w:rPr>
                <w:sz w:val="18"/>
                <w:szCs w:val="18"/>
                <w:color w:val="auto"/>
              </w:rPr>
            </w:pPr>
          </w:p>
        </w:tc>
        <w:tc>
          <w:tcPr>
            <w:tcW w:w="1020" w:type="dxa"/>
            <w:vAlign w:val="bottom"/>
            <w:tcBorders>
              <w:bottom w:val="single" w:sz="8" w:color="023C5B"/>
            </w:tcBorders>
          </w:tcPr>
          <w:p>
            <w:pPr>
              <w:jc w:val="center"/>
              <w:spacing w:after="0"/>
              <w:rPr>
                <w:sz w:val="20"/>
                <w:szCs w:val="20"/>
                <w:color w:val="auto"/>
              </w:rPr>
            </w:pPr>
            <w:r>
              <w:rPr>
                <w:rFonts w:ascii="Arial" w:cs="Arial" w:eastAsia="Arial" w:hAnsi="Arial"/>
                <w:sz w:val="14"/>
                <w:szCs w:val="14"/>
                <w:color w:val="auto"/>
              </w:rPr>
              <w:t>$25,225,215</w:t>
            </w:r>
          </w:p>
        </w:tc>
        <w:tc>
          <w:tcPr>
            <w:tcW w:w="0" w:type="dxa"/>
            <w:vAlign w:val="bottom"/>
          </w:tcPr>
          <w:p>
            <w:pPr>
              <w:spacing w:after="0"/>
              <w:rPr>
                <w:sz w:val="1"/>
                <w:szCs w:val="1"/>
                <w:color w:val="auto"/>
              </w:rPr>
            </w:pPr>
          </w:p>
        </w:tc>
      </w:tr>
      <w:tr>
        <w:trPr>
          <w:trHeight w:val="185"/>
        </w:trPr>
        <w:tc>
          <w:tcPr>
            <w:tcW w:w="1100" w:type="dxa"/>
            <w:vAlign w:val="bottom"/>
            <w:gridSpan w:val="2"/>
          </w:tcPr>
          <w:p>
            <w:pPr>
              <w:ind w:left="60"/>
              <w:spacing w:after="0"/>
              <w:rPr>
                <w:sz w:val="20"/>
                <w:szCs w:val="20"/>
                <w:color w:val="auto"/>
              </w:rPr>
            </w:pPr>
            <w:r>
              <w:rPr>
                <w:rFonts w:ascii="Arial" w:cs="Arial" w:eastAsia="Arial" w:hAnsi="Arial"/>
                <w:sz w:val="14"/>
                <w:szCs w:val="14"/>
                <w:color w:val="auto"/>
              </w:rPr>
              <w:t>Frank G.</w:t>
            </w:r>
          </w:p>
        </w:tc>
        <w:tc>
          <w:tcPr>
            <w:tcW w:w="3060" w:type="dxa"/>
            <w:vAlign w:val="bottom"/>
            <w:tcBorders>
              <w:left w:val="single" w:sz="8" w:color="E5EBEE"/>
            </w:tcBorders>
            <w:gridSpan w:val="3"/>
            <w:shd w:val="clear" w:color="auto" w:fill="E5EBEE"/>
          </w:tcPr>
          <w:p>
            <w:pPr>
              <w:ind w:left="100"/>
              <w:spacing w:after="0"/>
              <w:rPr>
                <w:sz w:val="20"/>
                <w:szCs w:val="20"/>
                <w:color w:val="auto"/>
              </w:rPr>
            </w:pPr>
            <w:r>
              <w:rPr>
                <w:rFonts w:ascii="Arial" w:cs="Arial" w:eastAsia="Arial" w:hAnsi="Arial"/>
                <w:sz w:val="14"/>
                <w:szCs w:val="14"/>
                <w:color w:val="auto"/>
              </w:rPr>
              <w:t>Voluntary Termination</w:t>
            </w:r>
          </w:p>
        </w:tc>
        <w:tc>
          <w:tcPr>
            <w:tcW w:w="10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E5EBEE"/>
          </w:tcPr>
          <w:p>
            <w:pPr>
              <w:jc w:val="center"/>
              <w:ind w:right="80"/>
              <w:spacing w:after="0"/>
              <w:rPr>
                <w:sz w:val="20"/>
                <w:szCs w:val="20"/>
                <w:color w:val="auto"/>
              </w:rPr>
            </w:pPr>
            <w:r>
              <w:rPr>
                <w:rFonts w:ascii="Arial" w:cs="Arial" w:eastAsia="Arial" w:hAnsi="Arial"/>
                <w:sz w:val="14"/>
                <w:szCs w:val="14"/>
                <w:color w:val="auto"/>
                <w:w w:val="91"/>
              </w:rPr>
              <w:t>$16,887,836 </w:t>
            </w:r>
          </w:p>
        </w:tc>
        <w:tc>
          <w:tcPr>
            <w:tcW w:w="11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$66,000 </w:t>
            </w:r>
          </w:p>
        </w:tc>
        <w:tc>
          <w:tcPr>
            <w:tcW w:w="940" w:type="dxa"/>
            <w:vAlign w:val="bottom"/>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BEE"/>
          </w:tcPr>
          <w:p>
            <w:pPr>
              <w:jc w:val="center"/>
              <w:spacing w:after="0"/>
              <w:rPr>
                <w:sz w:val="20"/>
                <w:szCs w:val="20"/>
                <w:color w:val="auto"/>
              </w:rPr>
            </w:pPr>
            <w:r>
              <w:rPr>
                <w:rFonts w:ascii="Arial" w:cs="Arial" w:eastAsia="Arial" w:hAnsi="Arial"/>
                <w:sz w:val="14"/>
                <w:szCs w:val="14"/>
                <w:color w:val="auto"/>
              </w:rPr>
              <w:t>$16,953,836</w:t>
            </w:r>
          </w:p>
        </w:tc>
        <w:tc>
          <w:tcPr>
            <w:tcW w:w="0" w:type="dxa"/>
            <w:vAlign w:val="bottom"/>
          </w:tcPr>
          <w:p>
            <w:pPr>
              <w:spacing w:after="0"/>
              <w:rPr>
                <w:sz w:val="1"/>
                <w:szCs w:val="1"/>
                <w:color w:val="auto"/>
              </w:rPr>
            </w:pPr>
          </w:p>
        </w:tc>
      </w:tr>
      <w:tr>
        <w:trPr>
          <w:trHeight w:val="63"/>
        </w:trPr>
        <w:tc>
          <w:tcPr>
            <w:tcW w:w="1100" w:type="dxa"/>
            <w:vAlign w:val="bottom"/>
            <w:gridSpan w:val="2"/>
            <w:vMerge w:val="restart"/>
          </w:tcPr>
          <w:p>
            <w:pPr>
              <w:ind w:left="60"/>
              <w:spacing w:after="0"/>
              <w:rPr>
                <w:sz w:val="20"/>
                <w:szCs w:val="20"/>
                <w:color w:val="auto"/>
              </w:rPr>
            </w:pPr>
            <w:r>
              <w:rPr>
                <w:rFonts w:ascii="Arial" w:cs="Arial" w:eastAsia="Arial" w:hAnsi="Arial"/>
                <w:sz w:val="14"/>
                <w:szCs w:val="14"/>
                <w:color w:val="auto"/>
              </w:rPr>
              <w:t>LaPrade, III</w:t>
            </w:r>
          </w:p>
        </w:tc>
        <w:tc>
          <w:tcPr>
            <w:tcW w:w="120" w:type="dxa"/>
            <w:vAlign w:val="bottom"/>
            <w:tcBorders>
              <w:left w:val="single" w:sz="8" w:color="E5EBEE"/>
            </w:tcBorders>
            <w:shd w:val="clear" w:color="auto" w:fill="E5EBEE"/>
          </w:tcPr>
          <w:p>
            <w:pPr>
              <w:spacing w:after="0"/>
              <w:rPr>
                <w:sz w:val="5"/>
                <w:szCs w:val="5"/>
                <w:color w:val="auto"/>
              </w:rPr>
            </w:pPr>
          </w:p>
        </w:tc>
        <w:tc>
          <w:tcPr>
            <w:tcW w:w="2900" w:type="dxa"/>
            <w:vAlign w:val="bottom"/>
            <w:shd w:val="clear" w:color="auto" w:fill="E5EBEE"/>
          </w:tcPr>
          <w:p>
            <w:pPr>
              <w:spacing w:after="0"/>
              <w:rPr>
                <w:sz w:val="5"/>
                <w:szCs w:val="5"/>
                <w:color w:val="auto"/>
              </w:rPr>
            </w:pPr>
          </w:p>
        </w:tc>
        <w:tc>
          <w:tcPr>
            <w:tcW w:w="40" w:type="dxa"/>
            <w:vAlign w:val="bottom"/>
            <w:shd w:val="clear" w:color="auto" w:fill="E5EBEE"/>
          </w:tcPr>
          <w:p>
            <w:pPr>
              <w:spacing w:after="0"/>
              <w:rPr>
                <w:sz w:val="5"/>
                <w:szCs w:val="5"/>
                <w:color w:val="auto"/>
              </w:rPr>
            </w:pPr>
          </w:p>
        </w:tc>
        <w:tc>
          <w:tcPr>
            <w:tcW w:w="94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1260" w:type="dxa"/>
            <w:vAlign w:val="bottom"/>
            <w:shd w:val="clear" w:color="auto" w:fill="E5EBEE"/>
          </w:tcPr>
          <w:p>
            <w:pPr>
              <w:spacing w:after="0"/>
              <w:rPr>
                <w:sz w:val="5"/>
                <w:szCs w:val="5"/>
                <w:color w:val="auto"/>
              </w:rPr>
            </w:pPr>
          </w:p>
        </w:tc>
        <w:tc>
          <w:tcPr>
            <w:tcW w:w="40" w:type="dxa"/>
            <w:vAlign w:val="bottom"/>
            <w:shd w:val="clear" w:color="auto" w:fill="E5EBEE"/>
          </w:tcPr>
          <w:p>
            <w:pPr>
              <w:spacing w:after="0"/>
              <w:rPr>
                <w:sz w:val="5"/>
                <w:szCs w:val="5"/>
                <w:color w:val="auto"/>
              </w:rPr>
            </w:pPr>
          </w:p>
        </w:tc>
        <w:tc>
          <w:tcPr>
            <w:tcW w:w="130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108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88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1020" w:type="dxa"/>
            <w:vAlign w:val="bottom"/>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100" w:type="dxa"/>
            <w:vAlign w:val="bottom"/>
            <w:gridSpan w:val="2"/>
            <w:vMerge w:val="continue"/>
          </w:tcPr>
          <w:p>
            <w:pPr>
              <w:spacing w:after="0"/>
              <w:rPr>
                <w:sz w:val="10"/>
                <w:szCs w:val="10"/>
                <w:color w:val="auto"/>
              </w:rPr>
            </w:pPr>
          </w:p>
        </w:tc>
        <w:tc>
          <w:tcPr>
            <w:tcW w:w="3060" w:type="dxa"/>
            <w:vAlign w:val="bottom"/>
            <w:gridSpan w:val="3"/>
            <w:vMerge w:val="restart"/>
          </w:tcPr>
          <w:p>
            <w:pPr>
              <w:ind w:left="100"/>
              <w:spacing w:after="0"/>
              <w:rPr>
                <w:sz w:val="20"/>
                <w:szCs w:val="20"/>
                <w:color w:val="auto"/>
              </w:rPr>
            </w:pPr>
            <w:r>
              <w:rPr>
                <w:rFonts w:ascii="Arial" w:cs="Arial" w:eastAsia="Arial" w:hAnsi="Arial"/>
                <w:sz w:val="14"/>
                <w:szCs w:val="14"/>
                <w:color w:val="auto"/>
              </w:rPr>
              <w:t>Involuntary Termination</w:t>
            </w:r>
          </w:p>
        </w:tc>
        <w:tc>
          <w:tcPr>
            <w:tcW w:w="940" w:type="dxa"/>
            <w:vAlign w:val="bottom"/>
            <w:vMerge w:val="restart"/>
          </w:tcPr>
          <w:p>
            <w:pPr>
              <w:jc w:val="center"/>
              <w:ind w:left="29"/>
              <w:spacing w:after="0"/>
              <w:rPr>
                <w:sz w:val="20"/>
                <w:szCs w:val="20"/>
                <w:color w:val="auto"/>
              </w:rPr>
            </w:pPr>
            <w:r>
              <w:rPr>
                <w:rFonts w:ascii="Arial" w:cs="Arial" w:eastAsia="Arial" w:hAnsi="Arial"/>
                <w:sz w:val="14"/>
                <w:szCs w:val="14"/>
                <w:color w:val="auto"/>
              </w:rPr>
              <w:t>$4,004,000</w:t>
            </w:r>
          </w:p>
        </w:tc>
        <w:tc>
          <w:tcPr>
            <w:tcW w:w="60" w:type="dxa"/>
            <w:vAlign w:val="bottom"/>
          </w:tcPr>
          <w:p>
            <w:pPr>
              <w:spacing w:after="0"/>
              <w:rPr>
                <w:sz w:val="10"/>
                <w:szCs w:val="10"/>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$16,887,836 </w:t>
            </w: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color w:val="auto"/>
              </w:rPr>
              <w:t>$30,000 </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$20,921,836</w:t>
            </w:r>
          </w:p>
        </w:tc>
        <w:tc>
          <w:tcPr>
            <w:tcW w:w="0" w:type="dxa"/>
            <w:vAlign w:val="bottom"/>
          </w:tcPr>
          <w:p>
            <w:pPr>
              <w:spacing w:after="0"/>
              <w:rPr>
                <w:sz w:val="1"/>
                <w:szCs w:val="1"/>
                <w:color w:val="auto"/>
              </w:rPr>
            </w:pPr>
          </w:p>
        </w:tc>
      </w:tr>
      <w:tr>
        <w:trPr>
          <w:trHeight w:val="63"/>
        </w:trPr>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60" w:type="dxa"/>
            <w:vAlign w:val="bottom"/>
            <w:gridSpan w:val="3"/>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tcBorders>
              <w:left w:val="single" w:sz="8" w:color="E5EBEE"/>
              <w:bottom w:val="single" w:sz="8" w:color="E5EBEE"/>
            </w:tcBorders>
            <w:gridSpan w:val="3"/>
            <w:shd w:val="clear" w:color="auto" w:fill="E5EBEE"/>
          </w:tcPr>
          <w:p>
            <w:pPr>
              <w:ind w:left="100"/>
              <w:spacing w:after="0"/>
              <w:rPr>
                <w:sz w:val="20"/>
                <w:szCs w:val="20"/>
                <w:color w:val="auto"/>
              </w:rPr>
            </w:pPr>
            <w:r>
              <w:rPr>
                <w:rFonts w:ascii="Arial" w:cs="Arial" w:eastAsia="Arial" w:hAnsi="Arial"/>
                <w:sz w:val="14"/>
                <w:szCs w:val="14"/>
                <w:color w:val="auto"/>
              </w:rPr>
              <w:t>Retirement</w:t>
            </w:r>
          </w:p>
        </w:tc>
        <w:tc>
          <w:tcPr>
            <w:tcW w:w="10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E5EBEE"/>
            </w:tcBorders>
            <w:gridSpan w:val="2"/>
            <w:shd w:val="clear" w:color="auto" w:fill="E5EBEE"/>
          </w:tcPr>
          <w:p>
            <w:pPr>
              <w:jc w:val="center"/>
              <w:ind w:right="80"/>
              <w:spacing w:after="0"/>
              <w:rPr>
                <w:sz w:val="20"/>
                <w:szCs w:val="20"/>
                <w:color w:val="auto"/>
              </w:rPr>
            </w:pPr>
            <w:r>
              <w:rPr>
                <w:rFonts w:ascii="Arial" w:cs="Arial" w:eastAsia="Arial" w:hAnsi="Arial"/>
                <w:sz w:val="14"/>
                <w:szCs w:val="14"/>
                <w:color w:val="auto"/>
                <w:w w:val="91"/>
              </w:rPr>
              <w:t>$16,887,836 </w:t>
            </w:r>
          </w:p>
        </w:tc>
        <w:tc>
          <w:tcPr>
            <w:tcW w:w="11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$66,000 </w:t>
            </w:r>
          </w:p>
        </w:tc>
        <w:tc>
          <w:tcPr>
            <w:tcW w:w="9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$16,953,836</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gridSpan w:val="3"/>
          </w:tcPr>
          <w:p>
            <w:pPr>
              <w:ind w:left="100"/>
              <w:spacing w:after="0"/>
              <w:rPr>
                <w:sz w:val="20"/>
                <w:szCs w:val="20"/>
                <w:color w:val="auto"/>
              </w:rPr>
            </w:pPr>
            <w:r>
              <w:rPr>
                <w:rFonts w:ascii="Arial" w:cs="Arial" w:eastAsia="Arial" w:hAnsi="Arial"/>
                <w:sz w:val="14"/>
                <w:szCs w:val="14"/>
                <w:color w:val="auto"/>
              </w:rPr>
              <w:t>For Cause Termination</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72"/>
              </w:rPr>
              <w:t>$— </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8"/>
              </w:rPr>
              <w:t>$— </w:t>
            </w: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lef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tcBorders>
              <w:bottom w:val="single" w:sz="8" w:color="023C5B"/>
            </w:tcBorders>
          </w:tcPr>
          <w:p>
            <w:pPr>
              <w:spacing w:after="0"/>
              <w:rPr>
                <w:sz w:val="18"/>
                <w:szCs w:val="18"/>
                <w:color w:val="auto"/>
              </w:rPr>
            </w:pPr>
          </w:p>
        </w:tc>
        <w:tc>
          <w:tcPr>
            <w:tcW w:w="40" w:type="dxa"/>
            <w:vAlign w:val="bottom"/>
          </w:tcPr>
          <w:p>
            <w:pPr>
              <w:spacing w:after="0"/>
              <w:rPr>
                <w:sz w:val="18"/>
                <w:szCs w:val="18"/>
                <w:color w:val="auto"/>
              </w:rPr>
            </w:pPr>
          </w:p>
        </w:tc>
        <w:tc>
          <w:tcPr>
            <w:tcW w:w="3060" w:type="dxa"/>
            <w:vAlign w:val="bottom"/>
            <w:tcBorders>
              <w:left w:val="single" w:sz="8" w:color="E5EBEE"/>
              <w:bottom w:val="single" w:sz="8" w:color="023C5B"/>
            </w:tcBorders>
            <w:gridSpan w:val="3"/>
            <w:shd w:val="clear" w:color="auto" w:fill="E5EBEE"/>
          </w:tcPr>
          <w:p>
            <w:pPr>
              <w:ind w:left="100"/>
              <w:spacing w:after="0" w:line="214" w:lineRule="exact"/>
              <w:rPr>
                <w:sz w:val="20"/>
                <w:szCs w:val="20"/>
                <w:color w:val="auto"/>
              </w:rPr>
            </w:pPr>
            <w:r>
              <w:rPr>
                <w:rFonts w:ascii="Arial" w:cs="Arial" w:eastAsia="Arial" w:hAnsi="Arial"/>
                <w:sz w:val="14"/>
                <w:szCs w:val="14"/>
                <w:color w:val="auto"/>
              </w:rPr>
              <w:t>Change of Control</w:t>
            </w:r>
            <w:r>
              <w:rPr>
                <w:rFonts w:ascii="Arial" w:cs="Arial" w:eastAsia="Arial" w:hAnsi="Arial"/>
                <w:sz w:val="21"/>
                <w:szCs w:val="21"/>
                <w:color w:val="auto"/>
                <w:vertAlign w:val="superscript"/>
              </w:rPr>
              <w:t>(8)</w:t>
            </w:r>
          </w:p>
        </w:tc>
        <w:tc>
          <w:tcPr>
            <w:tcW w:w="940" w:type="dxa"/>
            <w:vAlign w:val="bottom"/>
            <w:tcBorders>
              <w:bottom w:val="single" w:sz="8" w:color="023C5B"/>
            </w:tcBorders>
            <w:shd w:val="clear" w:color="auto" w:fill="E5EBEE"/>
          </w:tcPr>
          <w:p>
            <w:pPr>
              <w:jc w:val="center"/>
              <w:ind w:left="29"/>
              <w:spacing w:after="0"/>
              <w:rPr>
                <w:sz w:val="20"/>
                <w:szCs w:val="20"/>
                <w:color w:val="auto"/>
              </w:rPr>
            </w:pPr>
            <w:r>
              <w:rPr>
                <w:rFonts w:ascii="Arial" w:cs="Arial" w:eastAsia="Arial" w:hAnsi="Arial"/>
                <w:sz w:val="14"/>
                <w:szCs w:val="14"/>
                <w:color w:val="auto"/>
              </w:rPr>
              <w:t>$10,790,971</w:t>
            </w:r>
          </w:p>
        </w:tc>
        <w:tc>
          <w:tcPr>
            <w:tcW w:w="60" w:type="dxa"/>
            <w:vAlign w:val="bottom"/>
            <w:tcBorders>
              <w:bottom w:val="single" w:sz="8" w:color="023C5B"/>
            </w:tcBorders>
            <w:shd w:val="clear" w:color="auto" w:fill="E5EBEE"/>
          </w:tcPr>
          <w:p>
            <w:pPr>
              <w:spacing w:after="0"/>
              <w:rPr>
                <w:sz w:val="18"/>
                <w:szCs w:val="18"/>
                <w:color w:val="auto"/>
              </w:rPr>
            </w:pPr>
          </w:p>
        </w:tc>
        <w:tc>
          <w:tcPr>
            <w:tcW w:w="126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$456,938</w:t>
            </w:r>
          </w:p>
        </w:tc>
        <w:tc>
          <w:tcPr>
            <w:tcW w:w="40" w:type="dxa"/>
            <w:vAlign w:val="bottom"/>
            <w:tcBorders>
              <w:bottom w:val="single" w:sz="8" w:color="023C5B"/>
            </w:tcBorders>
            <w:shd w:val="clear" w:color="auto" w:fill="E5EBEE"/>
          </w:tcPr>
          <w:p>
            <w:pPr>
              <w:spacing w:after="0"/>
              <w:rPr>
                <w:sz w:val="18"/>
                <w:szCs w:val="18"/>
                <w:color w:val="auto"/>
              </w:rPr>
            </w:pPr>
          </w:p>
        </w:tc>
        <w:tc>
          <w:tcPr>
            <w:tcW w:w="1360" w:type="dxa"/>
            <w:vAlign w:val="bottom"/>
            <w:tcBorders>
              <w:bottom w:val="single" w:sz="8" w:color="023C5B"/>
            </w:tcBorders>
            <w:gridSpan w:val="2"/>
            <w:shd w:val="clear" w:color="auto" w:fill="E5EBEE"/>
          </w:tcPr>
          <w:p>
            <w:pPr>
              <w:jc w:val="center"/>
              <w:ind w:right="80"/>
              <w:spacing w:after="0" w:line="214" w:lineRule="exact"/>
              <w:rPr>
                <w:sz w:val="20"/>
                <w:szCs w:val="20"/>
                <w:color w:val="auto"/>
              </w:rPr>
            </w:pPr>
            <w:r>
              <w:rPr>
                <w:rFonts w:ascii="Arial" w:cs="Arial" w:eastAsia="Arial" w:hAnsi="Arial"/>
                <w:sz w:val="14"/>
                <w:szCs w:val="14"/>
                <w:color w:val="auto"/>
              </w:rPr>
              <w:t>$19,386,619</w:t>
            </w:r>
            <w:r>
              <w:rPr>
                <w:rFonts w:ascii="Arial" w:cs="Arial" w:eastAsia="Arial" w:hAnsi="Arial"/>
                <w:sz w:val="21"/>
                <w:szCs w:val="21"/>
                <w:color w:val="auto"/>
                <w:vertAlign w:val="superscript"/>
              </w:rPr>
              <w:t>(9)</w:t>
            </w:r>
            <w:r>
              <w:rPr>
                <w:rFonts w:ascii="Arial" w:cs="Arial" w:eastAsia="Arial" w:hAnsi="Arial"/>
                <w:sz w:val="14"/>
                <w:szCs w:val="14"/>
                <w:color w:val="auto"/>
              </w:rPr>
              <w:t xml:space="preserve"> </w:t>
            </w:r>
          </w:p>
        </w:tc>
        <w:tc>
          <w:tcPr>
            <w:tcW w:w="1140" w:type="dxa"/>
            <w:vAlign w:val="bottom"/>
            <w:tcBorders>
              <w:bottom w:val="single" w:sz="8" w:color="023C5B"/>
            </w:tcBorders>
            <w:gridSpan w:val="2"/>
            <w:shd w:val="clear" w:color="auto" w:fill="E5EBEE"/>
          </w:tcPr>
          <w:p>
            <w:pPr>
              <w:jc w:val="center"/>
              <w:spacing w:after="0"/>
              <w:rPr>
                <w:sz w:val="20"/>
                <w:szCs w:val="20"/>
                <w:color w:val="auto"/>
              </w:rPr>
            </w:pPr>
            <w:r>
              <w:rPr>
                <w:rFonts w:ascii="Arial" w:cs="Arial" w:eastAsia="Arial" w:hAnsi="Arial"/>
                <w:sz w:val="14"/>
                <w:szCs w:val="14"/>
                <w:color w:val="auto"/>
              </w:rPr>
              <w:t>$193,397 </w:t>
            </w:r>
          </w:p>
        </w:tc>
        <w:tc>
          <w:tcPr>
            <w:tcW w:w="940" w:type="dxa"/>
            <w:vAlign w:val="bottom"/>
            <w:tcBorders>
              <w:bottom w:val="single" w:sz="8" w:color="023C5B"/>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23C5B"/>
            </w:tcBorders>
            <w:shd w:val="clear" w:color="auto" w:fill="E5EBEE"/>
          </w:tcPr>
          <w:p>
            <w:pPr>
              <w:jc w:val="center"/>
              <w:spacing w:after="0"/>
              <w:rPr>
                <w:sz w:val="20"/>
                <w:szCs w:val="20"/>
                <w:color w:val="auto"/>
              </w:rPr>
            </w:pPr>
            <w:r>
              <w:rPr>
                <w:rFonts w:ascii="Arial" w:cs="Arial" w:eastAsia="Arial" w:hAnsi="Arial"/>
                <w:sz w:val="14"/>
                <w:szCs w:val="14"/>
                <w:color w:val="auto"/>
              </w:rPr>
              <w:t>$30,827,925</w:t>
            </w:r>
          </w:p>
        </w:tc>
        <w:tc>
          <w:tcPr>
            <w:tcW w:w="0" w:type="dxa"/>
            <w:vAlign w:val="bottom"/>
          </w:tcPr>
          <w:p>
            <w:pPr>
              <w:spacing w:after="0"/>
              <w:rPr>
                <w:sz w:val="1"/>
                <w:szCs w:val="1"/>
                <w:color w:val="auto"/>
              </w:rPr>
            </w:pPr>
          </w:p>
        </w:tc>
      </w:tr>
      <w:tr>
        <w:trPr>
          <w:trHeight w:val="127"/>
        </w:trPr>
        <w:tc>
          <w:tcPr>
            <w:tcW w:w="10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00" w:hanging="433"/>
        <w:spacing w:after="0" w:line="281" w:lineRule="auto"/>
        <w:tabs>
          <w:tab w:leader="none" w:pos="6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Represents cash amounts paid for severance or in relation to enforcement of non-competition covenants as described under “Restrictive Covenants” beginning on page 109. Cash-settled RSUs granted after the end of a performance year are included in the “Acceleration and Continuation of Equity Awards” column.</w:t>
      </w:r>
    </w:p>
    <w:p>
      <w:pPr>
        <w:spacing w:after="0" w:line="24" w:lineRule="exact"/>
        <w:rPr>
          <w:rFonts w:ascii="Arial" w:cs="Arial" w:eastAsia="Arial" w:hAnsi="Arial"/>
          <w:sz w:val="14"/>
          <w:szCs w:val="14"/>
          <w:color w:val="auto"/>
        </w:rPr>
      </w:pPr>
    </w:p>
    <w:p>
      <w:pPr>
        <w:ind w:left="600" w:hanging="433"/>
        <w:spacing w:after="0"/>
        <w:tabs>
          <w:tab w:leader="none" w:pos="6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Represents the value of projected contributions to retirement plans during the severance period.</w:t>
      </w:r>
    </w:p>
    <w:p>
      <w:pPr>
        <w:spacing w:after="0" w:line="79" w:lineRule="exact"/>
        <w:rPr>
          <w:rFonts w:ascii="Arial" w:cs="Arial" w:eastAsia="Arial" w:hAnsi="Arial"/>
          <w:sz w:val="14"/>
          <w:szCs w:val="14"/>
          <w:color w:val="auto"/>
        </w:rPr>
      </w:pPr>
    </w:p>
    <w:p>
      <w:pPr>
        <w:jc w:val="both"/>
        <w:ind w:left="600" w:hanging="433"/>
        <w:spacing w:after="0" w:line="249" w:lineRule="auto"/>
        <w:tabs>
          <w:tab w:leader="none" w:pos="6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Represents the value of equity where vesting is accelerated or continued by the triggering event. For stock options, this represents the in-the-money value on December 31, 2025. For stock awards, this represents the fair market value of the shares on December 31, 2025. Most currently unvested equity awards held by our retirement-eligible executives will continue to vest according to their original terms following retirement, which includes a voluntary or involuntary termination not for cause after an NEO becomes eligible for retirement. Discover-Related Special Awards vest on a pro-rata basis on their original vesting date. Messrs. Fairbank and LaPrade were the only NEOs eligible for retirement as of December 31, 2025.</w:t>
      </w:r>
    </w:p>
    <w:p>
      <w:pPr>
        <w:spacing w:after="0" w:line="47" w:lineRule="exact"/>
        <w:rPr>
          <w:rFonts w:ascii="Arial" w:cs="Arial" w:eastAsia="Arial" w:hAnsi="Arial"/>
          <w:sz w:val="14"/>
          <w:szCs w:val="14"/>
          <w:color w:val="auto"/>
        </w:rPr>
      </w:pPr>
    </w:p>
    <w:p>
      <w:pPr>
        <w:jc w:val="both"/>
        <w:ind w:left="600" w:hanging="433"/>
        <w:spacing w:after="0" w:line="260" w:lineRule="auto"/>
        <w:tabs>
          <w:tab w:leader="none" w:pos="6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Represents the value of potential payments made on the executive’s behalf for continuation of medical and welfare benefits during the non-competition or severance period, as applicable. Includes programs such as medical, dental, insurance, outplacement services, and related benefits. Only includes programs that are specific to the NEOs; does not include the value of programs generally available to all associates upon separation from the Company.</w:t>
      </w:r>
    </w:p>
    <w:p>
      <w:pPr>
        <w:spacing w:after="0" w:line="96" w:lineRule="exact"/>
        <w:rPr>
          <w:sz w:val="20"/>
          <w:szCs w:val="20"/>
          <w:color w:val="auto"/>
        </w:rPr>
      </w:pPr>
    </w:p>
    <w:p>
      <w:pPr>
        <w:ind w:left="5520"/>
        <w:spacing w:after="0"/>
        <w:tabs>
          <w:tab w:leader="none" w:pos="8620" w:val="left"/>
          <w:tab w:leader="none" w:pos="1068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-97155</wp:posOffset>
            </wp:positionV>
            <wp:extent cx="8255" cy="1784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55" w:lineRule="exact"/>
        <w:rPr>
          <w:sz w:val="20"/>
          <w:szCs w:val="20"/>
          <w:color w:val="auto"/>
        </w:rPr>
      </w:pPr>
    </w:p>
    <w:p>
      <w:pPr>
        <w:ind w:left="600" w:hanging="433"/>
        <w:spacing w:after="0"/>
        <w:tabs>
          <w:tab w:leader="none" w:pos="6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Executive officers, including our NEOs, are not eligible for excise tax gross ups.</w:t>
      </w:r>
    </w:p>
    <w:p>
      <w:pPr>
        <w:spacing w:after="0" w:line="79" w:lineRule="exact"/>
        <w:rPr>
          <w:rFonts w:ascii="Arial" w:cs="Arial" w:eastAsia="Arial" w:hAnsi="Arial"/>
          <w:sz w:val="14"/>
          <w:szCs w:val="14"/>
          <w:color w:val="auto"/>
        </w:rPr>
      </w:pPr>
    </w:p>
    <w:p>
      <w:pPr>
        <w:jc w:val="both"/>
        <w:ind w:left="600" w:hanging="433"/>
        <w:spacing w:after="0" w:line="253" w:lineRule="auto"/>
        <w:tabs>
          <w:tab w:leader="none" w:pos="6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Mr. Fairbank receives no regular base salary. For 2025, Mr. Fairbank’s payment in the event of a termination following a change of control was based on a notional salary of $1 million and his Highest Annual Bonus (as defined above). The Committee reviews and establishes the notional salary amount on an annual basis, based on market trends related to CEO compensation and recommendations provided by FW Cook. Mr. Fairbank was a party to a Change of Control Agreement as of December 31, 2025.</w:t>
      </w:r>
    </w:p>
    <w:p>
      <w:pPr>
        <w:spacing w:after="0" w:line="43"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 voluntary termination not for cause would constitute a retirement for each of Messrs. Fairbank and LaPrade, as each of these NEOs was eligible for retirement as of December 31, 2025.</w:t>
      </w:r>
    </w:p>
    <w:p>
      <w:pPr>
        <w:spacing w:after="0" w:line="24" w:lineRule="exact"/>
        <w:rPr>
          <w:rFonts w:ascii="Arial" w:cs="Arial" w:eastAsia="Arial" w:hAnsi="Arial"/>
          <w:sz w:val="14"/>
          <w:szCs w:val="14"/>
          <w:color w:val="auto"/>
        </w:rPr>
      </w:pPr>
    </w:p>
    <w:p>
      <w:pPr>
        <w:jc w:val="both"/>
        <w:ind w:left="600" w:hanging="433"/>
        <w:spacing w:after="0" w:line="249" w:lineRule="auto"/>
        <w:tabs>
          <w:tab w:leader="none" w:pos="6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Represents potential payments and benefits upon change of control for involuntary termination without cause or voluntary termination for good reason. “Acceleration and Continuation of Equity Awards” represents the value of equity where vesting is accelerated upon change of control, assuming, where applicable, that all performance metrics have been achieved at their target level. Amounts for Messrs. Fairbank and LaPrade do not reflect the applicable Section 280G cutback amount that would apply if their payment were subject to the Section 4999 excise tax and, under the terms of their agreement, a resulting cutback would yield a net better payment to the NEO than would payment of full benefits on which the NEO must pay the excise tax.</w:t>
      </w:r>
    </w:p>
    <w:p>
      <w:pPr>
        <w:spacing w:after="0" w:line="47" w:lineRule="exact"/>
        <w:rPr>
          <w:rFonts w:ascii="Arial" w:cs="Arial" w:eastAsia="Arial" w:hAnsi="Arial"/>
          <w:sz w:val="14"/>
          <w:szCs w:val="14"/>
          <w:color w:val="auto"/>
        </w:rPr>
      </w:pPr>
    </w:p>
    <w:p>
      <w:pPr>
        <w:ind w:left="600" w:hanging="433"/>
        <w:spacing w:after="0"/>
        <w:tabs>
          <w:tab w:leader="none" w:pos="6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Unvested equity awards will be treated in a similar manner to a termination of an NEO’s employment following a termination of employment due to death or disability.</w:t>
      </w:r>
    </w:p>
    <w:p>
      <w:pPr>
        <w:spacing w:after="0" w:line="204" w:lineRule="exact"/>
        <w:rPr>
          <w:sz w:val="20"/>
          <w:szCs w:val="20"/>
          <w:color w:val="auto"/>
        </w:rPr>
      </w:pPr>
    </w:p>
    <w:p>
      <w:pPr>
        <w:jc w:val="both"/>
        <w:ind w:left="160"/>
        <w:spacing w:after="0" w:line="256" w:lineRule="auto"/>
        <w:rPr>
          <w:sz w:val="20"/>
          <w:szCs w:val="20"/>
          <w:color w:val="auto"/>
        </w:rPr>
      </w:pPr>
      <w:r>
        <w:rPr>
          <w:rFonts w:ascii="Arial" w:cs="Arial" w:eastAsia="Arial" w:hAnsi="Arial"/>
          <w:sz w:val="17"/>
          <w:szCs w:val="17"/>
          <w:color w:val="auto"/>
        </w:rPr>
        <w:t>The table above is intended to reflect potential payments to NEOs across a range of potential separation scenarios, assuming the change of control or separation occurred on December 31, 2025. The amounts shown in the table do not include accrued salary and vacation pay as of the date of termination, and payments and benefits that are provided on a non-discriminatory basis to salaried associates generally upon termination of employment or retirement. The NEOs are also eligible to receive certain pension benefits and certain qualified and non-qualified deferred compensation amounts upon termination. These amounts are outlined in the “2025 Pension Benefits Table” on page 106 and the “2025 Non-Qualified Deferred Compensation Table” on page 108, respectively, and are not included in the table above.</w:t>
      </w:r>
    </w:p>
    <w:p>
      <w:pPr>
        <w:spacing w:after="0" w:line="92" w:lineRule="exact"/>
        <w:rPr>
          <w:sz w:val="20"/>
          <w:szCs w:val="20"/>
          <w:color w:val="auto"/>
        </w:rPr>
      </w:pPr>
    </w:p>
    <w:p>
      <w:pPr>
        <w:ind w:left="18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Estimated Ratio of CEO Compensation to Median Employee Compensation</w:t>
      </w:r>
    </w:p>
    <w:p>
      <w:pPr>
        <w:spacing w:after="0" w:line="22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As required by Section 953(b) of the Dodd-Frank Act, and Item 402(u) of Regulation S-K, we are providing the following information about the ratio of the annual total compensation, calculated in accordance with the requirements of Item 402(c)(2)(x) of Regulation S-K (“Annual Total Compensation”) of our median employee and the Annual Total Compensation of our CEO, Richard D. Fairbank.</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2025, our last completed fiscal year:</w:t>
      </w:r>
    </w:p>
    <w:p>
      <w:pPr>
        <w:spacing w:after="0" w:line="180" w:lineRule="exact"/>
        <w:rPr>
          <w:sz w:val="20"/>
          <w:szCs w:val="20"/>
          <w:color w:val="auto"/>
        </w:rPr>
      </w:pPr>
    </w:p>
    <w:p>
      <w:pPr>
        <w:ind w:left="1020" w:hanging="425"/>
        <w:spacing w:after="0"/>
        <w:tabs>
          <w:tab w:leader="none" w:pos="1020" w:val="left"/>
        </w:tabs>
        <w:numPr>
          <w:ilvl w:val="0"/>
          <w:numId w:val="12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Annual Total Compensation of our median employee was $123,454</w:t>
      </w:r>
    </w:p>
    <w:p>
      <w:pPr>
        <w:spacing w:after="0" w:line="205" w:lineRule="exact"/>
        <w:rPr>
          <w:rFonts w:ascii="MS PGothic" w:cs="MS PGothic" w:eastAsia="MS PGothic" w:hAnsi="MS PGothic"/>
          <w:sz w:val="29"/>
          <w:szCs w:val="29"/>
          <w:color w:val="023C5B"/>
          <w:vertAlign w:val="superscript"/>
        </w:rPr>
      </w:pPr>
    </w:p>
    <w:p>
      <w:pPr>
        <w:ind w:left="1020" w:right="20" w:hanging="425"/>
        <w:spacing w:after="0" w:line="210" w:lineRule="auto"/>
        <w:tabs>
          <w:tab w:leader="none" w:pos="1020" w:val="left"/>
        </w:tabs>
        <w:numPr>
          <w:ilvl w:val="0"/>
          <w:numId w:val="122"/>
        </w:numPr>
        <w:rPr>
          <w:rFonts w:ascii="MS PGothic" w:cs="MS PGothic" w:eastAsia="MS PGothic" w:hAnsi="MS PGothic"/>
          <w:sz w:val="29"/>
          <w:szCs w:val="29"/>
          <w:color w:val="023C5B"/>
          <w:vertAlign w:val="superscript"/>
        </w:rPr>
      </w:pPr>
      <w:r>
        <w:rPr>
          <w:rFonts w:ascii="Arial" w:cs="Arial" w:eastAsia="Arial" w:hAnsi="Arial"/>
          <w:sz w:val="18"/>
          <w:szCs w:val="18"/>
          <w:color w:val="auto"/>
        </w:rPr>
        <w:t>The Annual Total Compensation of Mr. Fairbank was $64,971,137, or $34,971,081 excluding the Discover-Related Special Award described on page 86</w:t>
      </w:r>
    </w:p>
    <w:p>
      <w:pPr>
        <w:spacing w:after="0" w:line="180"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Accordingly, the ratio of Mr. Fairbank’s Annual Total Compensation to the median employee’s Annual Total Compensation was 526 to 1, or 283 to 1 excluding the Discover-Related Special Award. This ratio is a reasonable estimate calculated in a manner consistent with Item 402(u) of Regulation S-K.</w:t>
      </w:r>
    </w:p>
    <w:p>
      <w:pPr>
        <w:spacing w:after="0" w:line="172"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To identify the median employee, we used the following methodology and consistently applied material assumptions, adjustments and estimates:</w:t>
      </w:r>
    </w:p>
    <w:p>
      <w:pPr>
        <w:spacing w:after="0" w:line="185" w:lineRule="exact"/>
        <w:rPr>
          <w:sz w:val="20"/>
          <w:szCs w:val="20"/>
          <w:color w:val="auto"/>
        </w:rPr>
      </w:pPr>
    </w:p>
    <w:p>
      <w:pPr>
        <w:jc w:val="both"/>
        <w:ind w:left="1020" w:hanging="425"/>
        <w:spacing w:after="0" w:line="239" w:lineRule="auto"/>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We identified the median compensated employee from our global employee population of 57,020 as of October 1, 2025 (the “Determination Date”). We excluded employees in India (371) and Mexico (345) because they represent less than 1.5% of the population. All Discover employees (20,032) were also excluded, as the Discover Transaction became effective during the fiscal year. Our determination was made by comparing a consistently applied compensation measure consisting of salary, wages (including overtime), bonuses and commissions paid to our employees over the twelve-month period preceding the Determination Date (the “Estimated Compensation”).</w:t>
      </w:r>
    </w:p>
    <w:p>
      <w:pPr>
        <w:spacing w:after="0" w:line="207" w:lineRule="exact"/>
        <w:rPr>
          <w:rFonts w:ascii="Arial" w:cs="Arial" w:eastAsia="Arial" w:hAnsi="Arial"/>
          <w:sz w:val="18"/>
          <w:szCs w:val="18"/>
          <w:color w:val="auto"/>
        </w:rPr>
      </w:pPr>
    </w:p>
    <w:p>
      <w:pPr>
        <w:jc w:val="both"/>
        <w:ind w:left="1020" w:hanging="425"/>
        <w:spacing w:after="0" w:line="239" w:lineRule="auto"/>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the Estimated Compensation of each employee, we identified a cohort of 61 employees, consisting of the employee with the median Estimated Compensation value and the 30 employees above and 30 employees below that employee (the “Median Cohort”). We then removed eleven employees from the Median Cohort who appeared to bear anomalous characteristics (such as participation in non-U.S. compensation programs, a hire date during the fiscal year, or separation prior to the end of the fiscal year) that could significantly distort the pay ratio calculation, and then identified the median employee from the remaining employees in the Median Cohort.</w:t>
      </w:r>
    </w:p>
    <w:p>
      <w:pPr>
        <w:spacing w:after="0" w:line="181"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15" w:lineRule="exact"/>
        <w:rPr>
          <w:sz w:val="20"/>
          <w:szCs w:val="20"/>
          <w:color w:val="auto"/>
        </w:rPr>
      </w:pPr>
    </w:p>
    <w:p>
      <w:pPr>
        <w:ind w:left="5520"/>
        <w:spacing w:after="0"/>
        <w:tabs>
          <w:tab w:leader="none" w:pos="8620" w:val="left"/>
          <w:tab w:leader="none" w:pos="1068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-97155</wp:posOffset>
            </wp:positionV>
            <wp:extent cx="8255" cy="1784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Pay versus Performance</w:t>
      </w:r>
    </w:p>
    <w:p>
      <w:pPr>
        <w:spacing w:after="0" w:line="22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As required by Section 953(a) of the Dodd-Frank Act, we are providing the information below to illustrate the relationship between the SEC-defined compensation actually paid (“CAP”) and various measures used to gauge the Company’s financial performance in conformance with Item 402(v) of Regulation S-K. CAP is calculated in accordance with Item 402(v) of Regulation S-K and differs from compensation shown in the Summary Compensation Table on page 98 and CEO and other NEO performance year compensation tables shown on pages 79 and 85, respectively. See below for a reconciliation of the total compensation shown in the Summary Compensation Table to CAP. The Committee does not utilize CAP as the basis for making compensation decisions. For further information concerning our compensation philosophy and how we align executive compensation with performance, see the Compensation Discussion and Analysis section beginning on page 54.</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97155</wp:posOffset>
            </wp:positionV>
            <wp:extent cx="6929755" cy="18599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29755" cy="1859915"/>
                    </a:xfrm>
                    <a:prstGeom prst="rect">
                      <a:avLst/>
                    </a:prstGeom>
                    <a:noFill/>
                  </pic:spPr>
                </pic:pic>
              </a:graphicData>
            </a:graphic>
          </wp:anchor>
        </w:drawing>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1220" w:type="dxa"/>
            <w:vAlign w:val="bottom"/>
            <w:shd w:val="clear" w:color="auto" w:fill="023C5B"/>
          </w:tcPr>
          <w:p>
            <w:pPr>
              <w:spacing w:after="0"/>
              <w:rPr>
                <w:sz w:val="17"/>
                <w:szCs w:val="17"/>
                <w:color w:val="auto"/>
              </w:rPr>
            </w:pPr>
          </w:p>
        </w:tc>
        <w:tc>
          <w:tcPr>
            <w:tcW w:w="1240" w:type="dxa"/>
            <w:vAlign w:val="bottom"/>
            <w:shd w:val="clear" w:color="auto" w:fill="023C5B"/>
          </w:tcPr>
          <w:p>
            <w:pPr>
              <w:spacing w:after="0"/>
              <w:rPr>
                <w:sz w:val="17"/>
                <w:szCs w:val="17"/>
                <w:color w:val="auto"/>
              </w:rPr>
            </w:pPr>
          </w:p>
        </w:tc>
        <w:tc>
          <w:tcPr>
            <w:tcW w:w="40" w:type="dxa"/>
            <w:vAlign w:val="bottom"/>
            <w:shd w:val="clear" w:color="auto" w:fill="023C5B"/>
          </w:tcPr>
          <w:p>
            <w:pPr>
              <w:spacing w:after="0"/>
              <w:rPr>
                <w:sz w:val="17"/>
                <w:szCs w:val="17"/>
                <w:color w:val="auto"/>
              </w:rPr>
            </w:pPr>
          </w:p>
        </w:tc>
        <w:tc>
          <w:tcPr>
            <w:tcW w:w="20" w:type="dxa"/>
            <w:vAlign w:val="bottom"/>
            <w:shd w:val="clear" w:color="auto" w:fill="023C5B"/>
          </w:tcPr>
          <w:p>
            <w:pPr>
              <w:spacing w:after="0"/>
              <w:rPr>
                <w:sz w:val="17"/>
                <w:szCs w:val="17"/>
                <w:color w:val="auto"/>
              </w:rPr>
            </w:pPr>
          </w:p>
        </w:tc>
        <w:tc>
          <w:tcPr>
            <w:tcW w:w="1160" w:type="dxa"/>
            <w:vAlign w:val="bottom"/>
            <w:shd w:val="clear" w:color="auto" w:fill="023C5B"/>
          </w:tcPr>
          <w:p>
            <w:pPr>
              <w:spacing w:after="0"/>
              <w:rPr>
                <w:sz w:val="17"/>
                <w:szCs w:val="17"/>
                <w:color w:val="auto"/>
              </w:rPr>
            </w:pPr>
          </w:p>
        </w:tc>
        <w:tc>
          <w:tcPr>
            <w:tcW w:w="60" w:type="dxa"/>
            <w:vAlign w:val="bottom"/>
            <w:shd w:val="clear" w:color="auto" w:fill="023C5B"/>
          </w:tcPr>
          <w:p>
            <w:pPr>
              <w:spacing w:after="0"/>
              <w:rPr>
                <w:sz w:val="17"/>
                <w:szCs w:val="17"/>
                <w:color w:val="auto"/>
              </w:rPr>
            </w:pPr>
          </w:p>
        </w:tc>
        <w:tc>
          <w:tcPr>
            <w:tcW w:w="1160" w:type="dxa"/>
            <w:vAlign w:val="bottom"/>
            <w:shd w:val="clear" w:color="auto" w:fill="023C5B"/>
          </w:tcPr>
          <w:p>
            <w:pPr>
              <w:spacing w:after="0"/>
              <w:rPr>
                <w:sz w:val="17"/>
                <w:szCs w:val="17"/>
                <w:color w:val="auto"/>
              </w:rPr>
            </w:pPr>
          </w:p>
        </w:tc>
        <w:tc>
          <w:tcPr>
            <w:tcW w:w="60" w:type="dxa"/>
            <w:vAlign w:val="bottom"/>
            <w:shd w:val="clear" w:color="auto" w:fill="023C5B"/>
          </w:tcPr>
          <w:p>
            <w:pPr>
              <w:spacing w:after="0"/>
              <w:rPr>
                <w:sz w:val="17"/>
                <w:szCs w:val="17"/>
                <w:color w:val="auto"/>
              </w:rPr>
            </w:pPr>
          </w:p>
        </w:tc>
        <w:tc>
          <w:tcPr>
            <w:tcW w:w="1140" w:type="dxa"/>
            <w:vAlign w:val="bottom"/>
            <w:shd w:val="clear" w:color="auto" w:fill="023C5B"/>
          </w:tcPr>
          <w:p>
            <w:pPr>
              <w:spacing w:after="0"/>
              <w:rPr>
                <w:sz w:val="17"/>
                <w:szCs w:val="17"/>
                <w:color w:val="auto"/>
              </w:rPr>
            </w:pPr>
          </w:p>
        </w:tc>
        <w:tc>
          <w:tcPr>
            <w:tcW w:w="40" w:type="dxa"/>
            <w:vAlign w:val="bottom"/>
            <w:shd w:val="clear" w:color="auto" w:fill="023C5B"/>
          </w:tcPr>
          <w:p>
            <w:pPr>
              <w:spacing w:after="0"/>
              <w:rPr>
                <w:sz w:val="17"/>
                <w:szCs w:val="17"/>
                <w:color w:val="auto"/>
              </w:rPr>
            </w:pPr>
          </w:p>
        </w:tc>
        <w:tc>
          <w:tcPr>
            <w:tcW w:w="1140" w:type="dxa"/>
            <w:vAlign w:val="bottom"/>
            <w:shd w:val="clear" w:color="auto" w:fill="023C5B"/>
          </w:tcPr>
          <w:p>
            <w:pPr>
              <w:spacing w:after="0"/>
              <w:rPr>
                <w:sz w:val="17"/>
                <w:szCs w:val="17"/>
                <w:color w:val="auto"/>
              </w:rPr>
            </w:pPr>
          </w:p>
        </w:tc>
        <w:tc>
          <w:tcPr>
            <w:tcW w:w="20" w:type="dxa"/>
            <w:vAlign w:val="bottom"/>
            <w:shd w:val="clear" w:color="auto" w:fill="023C5B"/>
          </w:tcPr>
          <w:p>
            <w:pPr>
              <w:spacing w:after="0"/>
              <w:rPr>
                <w:sz w:val="17"/>
                <w:szCs w:val="17"/>
                <w:color w:val="auto"/>
              </w:rPr>
            </w:pPr>
          </w:p>
        </w:tc>
        <w:tc>
          <w:tcPr>
            <w:tcW w:w="40" w:type="dxa"/>
            <w:vAlign w:val="bottom"/>
            <w:shd w:val="clear" w:color="auto" w:fill="023C5B"/>
          </w:tcPr>
          <w:p>
            <w:pPr>
              <w:spacing w:after="0"/>
              <w:rPr>
                <w:sz w:val="17"/>
                <w:szCs w:val="17"/>
                <w:color w:val="auto"/>
              </w:rPr>
            </w:pPr>
          </w:p>
        </w:tc>
        <w:tc>
          <w:tcPr>
            <w:tcW w:w="960" w:type="dxa"/>
            <w:vAlign w:val="bottom"/>
            <w:shd w:val="clear" w:color="auto" w:fill="023C5B"/>
          </w:tcPr>
          <w:p>
            <w:pPr>
              <w:spacing w:after="0"/>
              <w:rPr>
                <w:sz w:val="17"/>
                <w:szCs w:val="17"/>
                <w:color w:val="auto"/>
              </w:rPr>
            </w:pPr>
          </w:p>
        </w:tc>
        <w:tc>
          <w:tcPr>
            <w:tcW w:w="1060" w:type="dxa"/>
            <w:vAlign w:val="bottom"/>
            <w:gridSpan w:val="4"/>
            <w:shd w:val="clear" w:color="auto" w:fill="023C5B"/>
          </w:tcPr>
          <w:p>
            <w:pPr>
              <w:spacing w:after="0"/>
              <w:rPr>
                <w:sz w:val="20"/>
                <w:szCs w:val="20"/>
                <w:color w:val="auto"/>
              </w:rPr>
            </w:pPr>
            <w:r>
              <w:rPr>
                <w:rFonts w:ascii="Arial" w:cs="Arial" w:eastAsia="Arial" w:hAnsi="Arial"/>
                <w:sz w:val="14"/>
                <w:szCs w:val="14"/>
                <w:b w:val="1"/>
                <w:bCs w:val="1"/>
                <w:color w:val="FFFFFF"/>
              </w:rPr>
              <w:t> </w:t>
            </w:r>
          </w:p>
        </w:tc>
        <w:tc>
          <w:tcPr>
            <w:tcW w:w="40" w:type="dxa"/>
            <w:vAlign w:val="bottom"/>
            <w:shd w:val="clear" w:color="auto" w:fill="023C5B"/>
          </w:tcPr>
          <w:p>
            <w:pPr>
              <w:spacing w:after="0"/>
              <w:rPr>
                <w:sz w:val="17"/>
                <w:szCs w:val="17"/>
                <w:color w:val="auto"/>
              </w:rPr>
            </w:pPr>
          </w:p>
        </w:tc>
        <w:tc>
          <w:tcPr>
            <w:tcW w:w="640" w:type="dxa"/>
            <w:vAlign w:val="bottom"/>
            <w:shd w:val="clear" w:color="auto" w:fill="023C5B"/>
          </w:tcPr>
          <w:p>
            <w:pPr>
              <w:spacing w:after="0"/>
              <w:rPr>
                <w:sz w:val="17"/>
                <w:szCs w:val="17"/>
                <w:color w:val="auto"/>
              </w:rPr>
            </w:pPr>
          </w:p>
        </w:tc>
        <w:tc>
          <w:tcPr>
            <w:tcW w:w="60" w:type="dxa"/>
            <w:vAlign w:val="bottom"/>
            <w:shd w:val="clear" w:color="auto" w:fill="023C5B"/>
          </w:tcPr>
          <w:p>
            <w:pPr>
              <w:spacing w:after="0"/>
              <w:rPr>
                <w:sz w:val="17"/>
                <w:szCs w:val="17"/>
                <w:color w:val="auto"/>
              </w:rPr>
            </w:pPr>
          </w:p>
        </w:tc>
        <w:tc>
          <w:tcPr>
            <w:tcW w:w="820" w:type="dxa"/>
            <w:vAlign w:val="bottom"/>
            <w:shd w:val="clear" w:color="auto" w:fill="023C5B"/>
          </w:tcPr>
          <w:p>
            <w:pPr>
              <w:jc w:val="center"/>
              <w:ind w:left="9"/>
              <w:spacing w:after="0"/>
              <w:rPr>
                <w:sz w:val="20"/>
                <w:szCs w:val="20"/>
                <w:color w:val="auto"/>
              </w:rPr>
            </w:pPr>
            <w:r>
              <w:rPr>
                <w:rFonts w:ascii="Arial" w:cs="Arial" w:eastAsia="Arial" w:hAnsi="Arial"/>
                <w:sz w:val="14"/>
                <w:szCs w:val="14"/>
                <w:b w:val="1"/>
                <w:bCs w:val="1"/>
                <w:color w:val="FFFFFF"/>
              </w:rPr>
              <w:t>Common</w:t>
            </w:r>
          </w:p>
        </w:tc>
      </w:tr>
      <w:tr>
        <w:trPr>
          <w:trHeight w:val="160"/>
        </w:trPr>
        <w:tc>
          <w:tcPr>
            <w:tcW w:w="1220" w:type="dxa"/>
            <w:vAlign w:val="bottom"/>
            <w:shd w:val="clear" w:color="auto" w:fill="023C5B"/>
          </w:tcPr>
          <w:p>
            <w:pPr>
              <w:spacing w:after="0"/>
              <w:rPr>
                <w:sz w:val="13"/>
                <w:szCs w:val="13"/>
                <w:color w:val="auto"/>
              </w:rPr>
            </w:pPr>
          </w:p>
        </w:tc>
        <w:tc>
          <w:tcPr>
            <w:tcW w:w="124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116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16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18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Average</w:t>
            </w:r>
          </w:p>
        </w:tc>
        <w:tc>
          <w:tcPr>
            <w:tcW w:w="114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2020" w:type="dxa"/>
            <w:vAlign w:val="bottom"/>
            <w:gridSpan w:val="5"/>
            <w:shd w:val="clear" w:color="auto" w:fill="023C5B"/>
          </w:tcPr>
          <w:p>
            <w:pPr>
              <w:jc w:val="center"/>
              <w:spacing w:after="0"/>
              <w:rPr>
                <w:sz w:val="20"/>
                <w:szCs w:val="20"/>
                <w:color w:val="auto"/>
              </w:rPr>
            </w:pPr>
            <w:r>
              <w:rPr>
                <w:rFonts w:ascii="Arial" w:cs="Arial" w:eastAsia="Arial" w:hAnsi="Arial"/>
                <w:sz w:val="14"/>
                <w:szCs w:val="14"/>
                <w:b w:val="1"/>
                <w:bCs w:val="1"/>
                <w:color w:val="FFFFFF"/>
              </w:rPr>
              <w:t> Value of Initial Fixed $100</w:t>
            </w:r>
          </w:p>
        </w:tc>
        <w:tc>
          <w:tcPr>
            <w:tcW w:w="40" w:type="dxa"/>
            <w:vAlign w:val="bottom"/>
            <w:shd w:val="clear" w:color="auto" w:fill="023C5B"/>
          </w:tcPr>
          <w:p>
            <w:pPr>
              <w:spacing w:after="0"/>
              <w:rPr>
                <w:sz w:val="13"/>
                <w:szCs w:val="13"/>
                <w:color w:val="auto"/>
              </w:rPr>
            </w:pPr>
          </w:p>
        </w:tc>
        <w:tc>
          <w:tcPr>
            <w:tcW w:w="6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 Dividends</w:t>
            </w:r>
          </w:p>
        </w:tc>
      </w:tr>
      <w:tr>
        <w:trPr>
          <w:trHeight w:val="160"/>
        </w:trPr>
        <w:tc>
          <w:tcPr>
            <w:tcW w:w="1220" w:type="dxa"/>
            <w:vAlign w:val="bottom"/>
            <w:shd w:val="clear" w:color="auto" w:fill="023C5B"/>
          </w:tcPr>
          <w:p>
            <w:pPr>
              <w:spacing w:after="0"/>
              <w:rPr>
                <w:sz w:val="13"/>
                <w:szCs w:val="13"/>
                <w:color w:val="auto"/>
              </w:rPr>
            </w:pPr>
          </w:p>
        </w:tc>
        <w:tc>
          <w:tcPr>
            <w:tcW w:w="124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Summary</w:t>
            </w:r>
          </w:p>
        </w:tc>
        <w:tc>
          <w:tcPr>
            <w:tcW w:w="116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18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Summary</w:t>
            </w:r>
          </w:p>
        </w:tc>
        <w:tc>
          <w:tcPr>
            <w:tcW w:w="1160" w:type="dxa"/>
            <w:vAlign w:val="bottom"/>
            <w:gridSpan w:val="2"/>
            <w:shd w:val="clear" w:color="auto" w:fill="023C5B"/>
          </w:tcPr>
          <w:p>
            <w:pPr>
              <w:jc w:val="center"/>
              <w:ind w:left="9"/>
              <w:spacing w:after="0"/>
              <w:rPr>
                <w:sz w:val="20"/>
                <w:szCs w:val="20"/>
                <w:color w:val="auto"/>
              </w:rPr>
            </w:pPr>
            <w:r>
              <w:rPr>
                <w:rFonts w:ascii="Arial" w:cs="Arial" w:eastAsia="Arial" w:hAnsi="Arial"/>
                <w:sz w:val="14"/>
                <w:szCs w:val="14"/>
                <w:b w:val="1"/>
                <w:bCs w:val="1"/>
                <w:color w:val="FFFFFF"/>
              </w:rPr>
              <w:t>Average</w:t>
            </w:r>
          </w:p>
        </w:tc>
        <w:tc>
          <w:tcPr>
            <w:tcW w:w="40" w:type="dxa"/>
            <w:vAlign w:val="bottom"/>
            <w:shd w:val="clear" w:color="auto" w:fill="023C5B"/>
          </w:tcPr>
          <w:p>
            <w:pPr>
              <w:spacing w:after="0"/>
              <w:rPr>
                <w:sz w:val="13"/>
                <w:szCs w:val="13"/>
                <w:color w:val="auto"/>
              </w:rPr>
            </w:pPr>
          </w:p>
        </w:tc>
        <w:tc>
          <w:tcPr>
            <w:tcW w:w="2020" w:type="dxa"/>
            <w:vAlign w:val="bottom"/>
            <w:gridSpan w:val="5"/>
            <w:shd w:val="clear" w:color="auto" w:fill="023C5B"/>
          </w:tcPr>
          <w:p>
            <w:pPr>
              <w:jc w:val="center"/>
              <w:spacing w:after="0"/>
              <w:rPr>
                <w:sz w:val="20"/>
                <w:szCs w:val="20"/>
                <w:color w:val="auto"/>
              </w:rPr>
            </w:pPr>
            <w:r>
              <w:rPr>
                <w:rFonts w:ascii="Arial" w:cs="Arial" w:eastAsia="Arial" w:hAnsi="Arial"/>
                <w:sz w:val="14"/>
                <w:szCs w:val="14"/>
                <w:b w:val="1"/>
                <w:bCs w:val="1"/>
                <w:color w:val="FFFFFF"/>
              </w:rPr>
              <w:t>Invested Based on:</w:t>
            </w:r>
          </w:p>
        </w:tc>
        <w:tc>
          <w:tcPr>
            <w:tcW w:w="40" w:type="dxa"/>
            <w:vAlign w:val="bottom"/>
            <w:shd w:val="clear" w:color="auto" w:fill="023C5B"/>
          </w:tcPr>
          <w:p>
            <w:pPr>
              <w:spacing w:after="0"/>
              <w:rPr>
                <w:sz w:val="13"/>
                <w:szCs w:val="13"/>
                <w:color w:val="auto"/>
              </w:rPr>
            </w:pPr>
          </w:p>
        </w:tc>
        <w:tc>
          <w:tcPr>
            <w:tcW w:w="6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820" w:type="dxa"/>
            <w:vAlign w:val="bottom"/>
            <w:shd w:val="clear" w:color="auto" w:fill="023C5B"/>
          </w:tcPr>
          <w:p>
            <w:pPr>
              <w:jc w:val="center"/>
              <w:ind w:left="9"/>
              <w:spacing w:after="0"/>
              <w:rPr>
                <w:sz w:val="20"/>
                <w:szCs w:val="20"/>
                <w:color w:val="auto"/>
              </w:rPr>
            </w:pPr>
            <w:r>
              <w:rPr>
                <w:rFonts w:ascii="Arial" w:cs="Arial" w:eastAsia="Arial" w:hAnsi="Arial"/>
                <w:sz w:val="14"/>
                <w:szCs w:val="14"/>
                <w:b w:val="1"/>
                <w:bCs w:val="1"/>
                <w:color w:val="FFFFFF"/>
              </w:rPr>
              <w:t>+ Growth</w:t>
            </w:r>
          </w:p>
        </w:tc>
      </w:tr>
      <w:tr>
        <w:trPr>
          <w:trHeight w:val="160"/>
        </w:trPr>
        <w:tc>
          <w:tcPr>
            <w:tcW w:w="1220" w:type="dxa"/>
            <w:vAlign w:val="bottom"/>
            <w:shd w:val="clear" w:color="auto" w:fill="023C5B"/>
          </w:tcPr>
          <w:p>
            <w:pPr>
              <w:spacing w:after="0"/>
              <w:rPr>
                <w:sz w:val="13"/>
                <w:szCs w:val="13"/>
                <w:color w:val="auto"/>
              </w:rPr>
            </w:pPr>
          </w:p>
        </w:tc>
        <w:tc>
          <w:tcPr>
            <w:tcW w:w="124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Compensation</w:t>
            </w:r>
          </w:p>
        </w:tc>
        <w:tc>
          <w:tcPr>
            <w:tcW w:w="116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18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 Compensation</w:t>
            </w:r>
          </w:p>
        </w:tc>
        <w:tc>
          <w:tcPr>
            <w:tcW w:w="116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w w:val="99"/>
              </w:rPr>
              <w:t> Compensation</w:t>
            </w:r>
          </w:p>
        </w:tc>
        <w:tc>
          <w:tcPr>
            <w:tcW w:w="40" w:type="dxa"/>
            <w:vAlign w:val="bottom"/>
            <w:shd w:val="clear" w:color="auto" w:fill="023C5B"/>
          </w:tcPr>
          <w:p>
            <w:pPr>
              <w:spacing w:after="0"/>
              <w:rPr>
                <w:sz w:val="13"/>
                <w:szCs w:val="13"/>
                <w:color w:val="auto"/>
              </w:rPr>
            </w:pPr>
          </w:p>
        </w:tc>
        <w:tc>
          <w:tcPr>
            <w:tcW w:w="96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98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6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820" w:type="dxa"/>
            <w:vAlign w:val="bottom"/>
            <w:shd w:val="clear" w:color="auto" w:fill="023C5B"/>
          </w:tcPr>
          <w:p>
            <w:pPr>
              <w:jc w:val="center"/>
              <w:ind w:left="9"/>
              <w:spacing w:after="0"/>
              <w:rPr>
                <w:sz w:val="20"/>
                <w:szCs w:val="20"/>
                <w:color w:val="auto"/>
              </w:rPr>
            </w:pPr>
            <w:r>
              <w:rPr>
                <w:rFonts w:ascii="Arial" w:cs="Arial" w:eastAsia="Arial" w:hAnsi="Arial"/>
                <w:sz w:val="14"/>
                <w:szCs w:val="14"/>
                <w:b w:val="1"/>
                <w:bCs w:val="1"/>
                <w:color w:val="FFFFFF"/>
              </w:rPr>
              <w:t>of</w:t>
            </w:r>
          </w:p>
        </w:tc>
      </w:tr>
      <w:tr>
        <w:trPr>
          <w:trHeight w:val="160"/>
        </w:trPr>
        <w:tc>
          <w:tcPr>
            <w:tcW w:w="1220" w:type="dxa"/>
            <w:vAlign w:val="bottom"/>
            <w:shd w:val="clear" w:color="auto" w:fill="023C5B"/>
          </w:tcPr>
          <w:p>
            <w:pPr>
              <w:spacing w:after="0"/>
              <w:rPr>
                <w:sz w:val="13"/>
                <w:szCs w:val="13"/>
                <w:color w:val="auto"/>
              </w:rPr>
            </w:pPr>
          </w:p>
        </w:tc>
        <w:tc>
          <w:tcPr>
            <w:tcW w:w="124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  Table Total for  </w:t>
            </w:r>
          </w:p>
        </w:tc>
        <w:tc>
          <w:tcPr>
            <w:tcW w:w="116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18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Table Total</w:t>
            </w:r>
          </w:p>
        </w:tc>
        <w:tc>
          <w:tcPr>
            <w:tcW w:w="116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Actually Paid</w:t>
            </w:r>
          </w:p>
        </w:tc>
        <w:tc>
          <w:tcPr>
            <w:tcW w:w="40" w:type="dxa"/>
            <w:vAlign w:val="bottom"/>
            <w:shd w:val="clear" w:color="auto" w:fill="023C5B"/>
          </w:tcPr>
          <w:p>
            <w:pPr>
              <w:spacing w:after="0"/>
              <w:rPr>
                <w:sz w:val="13"/>
                <w:szCs w:val="13"/>
                <w:color w:val="auto"/>
              </w:rPr>
            </w:pPr>
          </w:p>
        </w:tc>
        <w:tc>
          <w:tcPr>
            <w:tcW w:w="96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98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6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820" w:type="dxa"/>
            <w:vAlign w:val="bottom"/>
            <w:shd w:val="clear" w:color="auto" w:fill="023C5B"/>
          </w:tcPr>
          <w:p>
            <w:pPr>
              <w:jc w:val="center"/>
              <w:ind w:left="9"/>
              <w:spacing w:after="0"/>
              <w:rPr>
                <w:sz w:val="20"/>
                <w:szCs w:val="20"/>
                <w:color w:val="auto"/>
              </w:rPr>
            </w:pPr>
            <w:r>
              <w:rPr>
                <w:rFonts w:ascii="Arial" w:cs="Arial" w:eastAsia="Arial" w:hAnsi="Arial"/>
                <w:sz w:val="14"/>
                <w:szCs w:val="14"/>
                <w:b w:val="1"/>
                <w:bCs w:val="1"/>
                <w:color w:val="FFFFFF"/>
              </w:rPr>
              <w:t>Tangible</w:t>
            </w:r>
          </w:p>
        </w:tc>
      </w:tr>
      <w:tr>
        <w:trPr>
          <w:trHeight w:val="160"/>
        </w:trPr>
        <w:tc>
          <w:tcPr>
            <w:tcW w:w="1220" w:type="dxa"/>
            <w:vAlign w:val="bottom"/>
            <w:shd w:val="clear" w:color="auto" w:fill="023C5B"/>
          </w:tcPr>
          <w:p>
            <w:pPr>
              <w:spacing w:after="0"/>
              <w:rPr>
                <w:sz w:val="13"/>
                <w:szCs w:val="13"/>
                <w:color w:val="auto"/>
              </w:rPr>
            </w:pPr>
          </w:p>
        </w:tc>
        <w:tc>
          <w:tcPr>
            <w:tcW w:w="124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Principal</w:t>
            </w:r>
          </w:p>
        </w:tc>
        <w:tc>
          <w:tcPr>
            <w:tcW w:w="116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118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for Non-PEO</w:t>
            </w:r>
          </w:p>
        </w:tc>
        <w:tc>
          <w:tcPr>
            <w:tcW w:w="1160" w:type="dxa"/>
            <w:vAlign w:val="bottom"/>
            <w:gridSpan w:val="2"/>
            <w:shd w:val="clear" w:color="auto" w:fill="023C5B"/>
          </w:tcPr>
          <w:p>
            <w:pPr>
              <w:jc w:val="center"/>
              <w:ind w:left="9"/>
              <w:spacing w:after="0"/>
              <w:rPr>
                <w:sz w:val="20"/>
                <w:szCs w:val="20"/>
                <w:color w:val="auto"/>
              </w:rPr>
            </w:pPr>
            <w:r>
              <w:rPr>
                <w:rFonts w:ascii="Arial" w:cs="Arial" w:eastAsia="Arial" w:hAnsi="Arial"/>
                <w:sz w:val="14"/>
                <w:szCs w:val="14"/>
                <w:b w:val="1"/>
                <w:bCs w:val="1"/>
                <w:color w:val="FFFFFF"/>
              </w:rPr>
              <w:t>to Non-PEO</w:t>
            </w:r>
          </w:p>
        </w:tc>
        <w:tc>
          <w:tcPr>
            <w:tcW w:w="40" w:type="dxa"/>
            <w:vAlign w:val="bottom"/>
            <w:shd w:val="clear" w:color="auto" w:fill="023C5B"/>
          </w:tcPr>
          <w:p>
            <w:pPr>
              <w:spacing w:after="0"/>
              <w:rPr>
                <w:sz w:val="13"/>
                <w:szCs w:val="13"/>
                <w:color w:val="auto"/>
              </w:rPr>
            </w:pPr>
          </w:p>
        </w:tc>
        <w:tc>
          <w:tcPr>
            <w:tcW w:w="96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100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Peer Group</w:t>
            </w:r>
          </w:p>
        </w:tc>
        <w:tc>
          <w:tcPr>
            <w:tcW w:w="40" w:type="dxa"/>
            <w:vAlign w:val="bottom"/>
            <w:shd w:val="clear" w:color="auto" w:fill="023C5B"/>
          </w:tcPr>
          <w:p>
            <w:pPr>
              <w:spacing w:after="0"/>
              <w:rPr>
                <w:sz w:val="13"/>
                <w:szCs w:val="13"/>
                <w:color w:val="auto"/>
              </w:rPr>
            </w:pPr>
          </w:p>
        </w:tc>
        <w:tc>
          <w:tcPr>
            <w:tcW w:w="640" w:type="dxa"/>
            <w:vAlign w:val="bottom"/>
            <w:shd w:val="clear" w:color="auto" w:fill="023C5B"/>
          </w:tcPr>
          <w:p>
            <w:pPr>
              <w:spacing w:after="0"/>
              <w:rPr>
                <w:sz w:val="13"/>
                <w:szCs w:val="13"/>
                <w:color w:val="auto"/>
              </w:rPr>
            </w:pPr>
          </w:p>
        </w:tc>
        <w:tc>
          <w:tcPr>
            <w:tcW w:w="60" w:type="dxa"/>
            <w:vAlign w:val="bottom"/>
            <w:shd w:val="clear" w:color="auto" w:fill="023C5B"/>
          </w:tcPr>
          <w:p>
            <w:pPr>
              <w:spacing w:after="0"/>
              <w:rPr>
                <w:sz w:val="13"/>
                <w:szCs w:val="13"/>
                <w:color w:val="auto"/>
              </w:rPr>
            </w:pP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Book</w:t>
            </w:r>
          </w:p>
        </w:tc>
      </w:tr>
      <w:tr>
        <w:trPr>
          <w:trHeight w:val="160"/>
        </w:trPr>
        <w:tc>
          <w:tcPr>
            <w:tcW w:w="1220" w:type="dxa"/>
            <w:vAlign w:val="bottom"/>
            <w:shd w:val="clear" w:color="auto" w:fill="023C5B"/>
          </w:tcPr>
          <w:p>
            <w:pPr>
              <w:spacing w:after="0"/>
              <w:rPr>
                <w:sz w:val="13"/>
                <w:szCs w:val="13"/>
                <w:color w:val="auto"/>
              </w:rPr>
            </w:pPr>
          </w:p>
        </w:tc>
        <w:tc>
          <w:tcPr>
            <w:tcW w:w="124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20" w:type="dxa"/>
            <w:vAlign w:val="bottom"/>
            <w:shd w:val="clear" w:color="auto" w:fill="023C5B"/>
          </w:tcPr>
          <w:p>
            <w:pPr>
              <w:spacing w:after="0"/>
              <w:rPr>
                <w:sz w:val="13"/>
                <w:szCs w:val="13"/>
                <w:color w:val="auto"/>
              </w:rPr>
            </w:pP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Executive</w:t>
            </w: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 Compensation  </w:t>
            </w:r>
          </w:p>
        </w:tc>
        <w:tc>
          <w:tcPr>
            <w:tcW w:w="118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Named</w:t>
            </w:r>
          </w:p>
        </w:tc>
        <w:tc>
          <w:tcPr>
            <w:tcW w:w="1160" w:type="dxa"/>
            <w:vAlign w:val="bottom"/>
            <w:gridSpan w:val="2"/>
            <w:shd w:val="clear" w:color="auto" w:fill="023C5B"/>
          </w:tcPr>
          <w:p>
            <w:pPr>
              <w:jc w:val="center"/>
              <w:ind w:left="9"/>
              <w:spacing w:after="0"/>
              <w:rPr>
                <w:sz w:val="20"/>
                <w:szCs w:val="20"/>
                <w:color w:val="auto"/>
              </w:rPr>
            </w:pPr>
            <w:r>
              <w:rPr>
                <w:rFonts w:ascii="Arial" w:cs="Arial" w:eastAsia="Arial" w:hAnsi="Arial"/>
                <w:sz w:val="14"/>
                <w:szCs w:val="14"/>
                <w:b w:val="1"/>
                <w:bCs w:val="1"/>
                <w:color w:val="FFFFFF"/>
              </w:rPr>
              <w:t>Named</w:t>
            </w:r>
          </w:p>
        </w:tc>
        <w:tc>
          <w:tcPr>
            <w:tcW w:w="40" w:type="dxa"/>
            <w:vAlign w:val="bottom"/>
            <w:shd w:val="clear" w:color="auto" w:fill="023C5B"/>
          </w:tcPr>
          <w:p>
            <w:pPr>
              <w:spacing w:after="0"/>
              <w:rPr>
                <w:sz w:val="13"/>
                <w:szCs w:val="13"/>
                <w:color w:val="auto"/>
              </w:rPr>
            </w:pPr>
          </w:p>
        </w:tc>
        <w:tc>
          <w:tcPr>
            <w:tcW w:w="960" w:type="dxa"/>
            <w:vAlign w:val="bottom"/>
            <w:shd w:val="clear" w:color="auto" w:fill="023C5B"/>
          </w:tcPr>
          <w:p>
            <w:pPr>
              <w:jc w:val="center"/>
              <w:ind w:left="9"/>
              <w:spacing w:after="0"/>
              <w:rPr>
                <w:sz w:val="20"/>
                <w:szCs w:val="20"/>
                <w:color w:val="auto"/>
              </w:rPr>
            </w:pPr>
            <w:r>
              <w:rPr>
                <w:rFonts w:ascii="Arial" w:cs="Arial" w:eastAsia="Arial" w:hAnsi="Arial"/>
                <w:sz w:val="14"/>
                <w:szCs w:val="14"/>
                <w:b w:val="1"/>
                <w:bCs w:val="1"/>
                <w:color w:val="FFFFFF"/>
                <w:w w:val="95"/>
              </w:rPr>
              <w:t>Total</w:t>
            </w:r>
          </w:p>
        </w:tc>
        <w:tc>
          <w:tcPr>
            <w:tcW w:w="2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100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Total</w:t>
            </w:r>
          </w:p>
        </w:tc>
        <w:tc>
          <w:tcPr>
            <w:tcW w:w="40" w:type="dxa"/>
            <w:vAlign w:val="bottom"/>
            <w:shd w:val="clear" w:color="auto" w:fill="023C5B"/>
          </w:tcPr>
          <w:p>
            <w:pPr>
              <w:spacing w:after="0"/>
              <w:rPr>
                <w:sz w:val="13"/>
                <w:szCs w:val="13"/>
                <w:color w:val="auto"/>
              </w:rPr>
            </w:pPr>
          </w:p>
        </w:tc>
        <w:tc>
          <w:tcPr>
            <w:tcW w:w="70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Net</w:t>
            </w:r>
          </w:p>
        </w:tc>
        <w:tc>
          <w:tcPr>
            <w:tcW w:w="82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Value Per</w:t>
            </w:r>
          </w:p>
        </w:tc>
      </w:tr>
      <w:tr>
        <w:trPr>
          <w:trHeight w:val="160"/>
        </w:trPr>
        <w:tc>
          <w:tcPr>
            <w:tcW w:w="2500" w:type="dxa"/>
            <w:vAlign w:val="bottom"/>
            <w:gridSpan w:val="3"/>
            <w:shd w:val="clear" w:color="auto" w:fill="023C5B"/>
          </w:tcPr>
          <w:p>
            <w:pPr>
              <w:spacing w:after="0"/>
              <w:rPr>
                <w:sz w:val="20"/>
                <w:szCs w:val="20"/>
                <w:color w:val="auto"/>
              </w:rPr>
            </w:pPr>
            <w:r>
              <w:rPr>
                <w:rFonts w:ascii="Arial" w:cs="Arial" w:eastAsia="Arial" w:hAnsi="Arial"/>
                <w:sz w:val="14"/>
                <w:szCs w:val="14"/>
                <w:b w:val="1"/>
                <w:bCs w:val="1"/>
                <w:color w:val="FFFFFF"/>
              </w:rPr>
              <w:t>  Performance</w:t>
            </w:r>
          </w:p>
        </w:tc>
        <w:tc>
          <w:tcPr>
            <w:tcW w:w="20" w:type="dxa"/>
            <w:vAlign w:val="bottom"/>
            <w:shd w:val="clear" w:color="auto" w:fill="023C5B"/>
          </w:tcPr>
          <w:p>
            <w:pPr>
              <w:spacing w:after="0"/>
              <w:rPr>
                <w:sz w:val="13"/>
                <w:szCs w:val="13"/>
                <w:color w:val="auto"/>
              </w:rPr>
            </w:pP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Officer</w:t>
            </w: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Actually Paid</w:t>
            </w:r>
          </w:p>
        </w:tc>
        <w:tc>
          <w:tcPr>
            <w:tcW w:w="118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Executive</w:t>
            </w:r>
          </w:p>
        </w:tc>
        <w:tc>
          <w:tcPr>
            <w:tcW w:w="116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Executive</w:t>
            </w:r>
          </w:p>
        </w:tc>
        <w:tc>
          <w:tcPr>
            <w:tcW w:w="40" w:type="dxa"/>
            <w:vAlign w:val="bottom"/>
            <w:shd w:val="clear" w:color="auto" w:fill="023C5B"/>
          </w:tcPr>
          <w:p>
            <w:pPr>
              <w:spacing w:after="0"/>
              <w:rPr>
                <w:sz w:val="13"/>
                <w:szCs w:val="13"/>
                <w:color w:val="auto"/>
              </w:rPr>
            </w:pPr>
          </w:p>
        </w:tc>
        <w:tc>
          <w:tcPr>
            <w:tcW w:w="960" w:type="dxa"/>
            <w:vAlign w:val="bottom"/>
            <w:shd w:val="clear" w:color="auto" w:fill="023C5B"/>
          </w:tcPr>
          <w:p>
            <w:pPr>
              <w:jc w:val="center"/>
              <w:spacing w:after="0"/>
              <w:rPr>
                <w:sz w:val="20"/>
                <w:szCs w:val="20"/>
                <w:color w:val="auto"/>
              </w:rPr>
            </w:pPr>
            <w:r>
              <w:rPr>
                <w:rFonts w:ascii="Arial" w:cs="Arial" w:eastAsia="Arial" w:hAnsi="Arial"/>
                <w:sz w:val="14"/>
                <w:szCs w:val="14"/>
                <w:b w:val="1"/>
                <w:bCs w:val="1"/>
                <w:color w:val="FFFFFF"/>
              </w:rPr>
              <w:t> Shareholder</w:t>
            </w:r>
          </w:p>
        </w:tc>
        <w:tc>
          <w:tcPr>
            <w:tcW w:w="20" w:type="dxa"/>
            <w:vAlign w:val="bottom"/>
            <w:shd w:val="clear" w:color="auto" w:fill="023C5B"/>
          </w:tcPr>
          <w:p>
            <w:pPr>
              <w:spacing w:after="0"/>
              <w:rPr>
                <w:sz w:val="13"/>
                <w:szCs w:val="13"/>
                <w:color w:val="auto"/>
              </w:rPr>
            </w:pPr>
          </w:p>
        </w:tc>
        <w:tc>
          <w:tcPr>
            <w:tcW w:w="40" w:type="dxa"/>
            <w:vAlign w:val="bottom"/>
            <w:shd w:val="clear" w:color="auto" w:fill="023C5B"/>
          </w:tcPr>
          <w:p>
            <w:pPr>
              <w:spacing w:after="0"/>
              <w:rPr>
                <w:sz w:val="13"/>
                <w:szCs w:val="13"/>
                <w:color w:val="auto"/>
              </w:rPr>
            </w:pPr>
          </w:p>
        </w:tc>
        <w:tc>
          <w:tcPr>
            <w:tcW w:w="100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rPr>
              <w:t> Shareholder</w:t>
            </w:r>
          </w:p>
        </w:tc>
        <w:tc>
          <w:tcPr>
            <w:tcW w:w="40" w:type="dxa"/>
            <w:vAlign w:val="bottom"/>
            <w:shd w:val="clear" w:color="auto" w:fill="023C5B"/>
          </w:tcPr>
          <w:p>
            <w:pPr>
              <w:spacing w:after="0"/>
              <w:rPr>
                <w:sz w:val="13"/>
                <w:szCs w:val="13"/>
                <w:color w:val="auto"/>
              </w:rPr>
            </w:pPr>
          </w:p>
        </w:tc>
        <w:tc>
          <w:tcPr>
            <w:tcW w:w="700" w:type="dxa"/>
            <w:vAlign w:val="bottom"/>
            <w:gridSpan w:val="2"/>
            <w:shd w:val="clear" w:color="auto" w:fill="023C5B"/>
          </w:tcPr>
          <w:p>
            <w:pPr>
              <w:jc w:val="center"/>
              <w:ind w:right="20"/>
              <w:spacing w:after="0"/>
              <w:rPr>
                <w:sz w:val="20"/>
                <w:szCs w:val="20"/>
                <w:color w:val="auto"/>
              </w:rPr>
            </w:pPr>
            <w:r>
              <w:rPr>
                <w:rFonts w:ascii="Arial" w:cs="Arial" w:eastAsia="Arial" w:hAnsi="Arial"/>
                <w:sz w:val="14"/>
                <w:szCs w:val="14"/>
                <w:b w:val="1"/>
                <w:bCs w:val="1"/>
                <w:color w:val="FFFFFF"/>
              </w:rPr>
              <w:t> Income</w:t>
            </w:r>
          </w:p>
        </w:tc>
        <w:tc>
          <w:tcPr>
            <w:tcW w:w="820" w:type="dxa"/>
            <w:vAlign w:val="bottom"/>
            <w:shd w:val="clear" w:color="auto" w:fill="023C5B"/>
          </w:tcPr>
          <w:p>
            <w:pPr>
              <w:jc w:val="center"/>
              <w:ind w:left="9"/>
              <w:spacing w:after="0"/>
              <w:rPr>
                <w:sz w:val="20"/>
                <w:szCs w:val="20"/>
                <w:color w:val="auto"/>
              </w:rPr>
            </w:pPr>
            <w:r>
              <w:rPr>
                <w:rFonts w:ascii="Arial" w:cs="Arial" w:eastAsia="Arial" w:hAnsi="Arial"/>
                <w:sz w:val="14"/>
                <w:szCs w:val="14"/>
                <w:b w:val="1"/>
                <w:bCs w:val="1"/>
                <w:color w:val="FFFFFF"/>
              </w:rPr>
              <w:t>Common</w:t>
            </w:r>
          </w:p>
        </w:tc>
      </w:tr>
      <w:tr>
        <w:trPr>
          <w:trHeight w:val="250"/>
        </w:trPr>
        <w:tc>
          <w:tcPr>
            <w:tcW w:w="2500" w:type="dxa"/>
            <w:vAlign w:val="bottom"/>
            <w:gridSpan w:val="3"/>
            <w:shd w:val="clear" w:color="auto" w:fill="023C5B"/>
          </w:tcPr>
          <w:p>
            <w:pPr>
              <w:jc w:val="right"/>
              <w:ind w:right="2140"/>
              <w:spacing w:after="0"/>
              <w:rPr>
                <w:sz w:val="20"/>
                <w:szCs w:val="20"/>
                <w:color w:val="auto"/>
              </w:rPr>
            </w:pPr>
            <w:r>
              <w:rPr>
                <w:rFonts w:ascii="Arial" w:cs="Arial" w:eastAsia="Arial" w:hAnsi="Arial"/>
                <w:sz w:val="14"/>
                <w:szCs w:val="14"/>
                <w:b w:val="1"/>
                <w:bCs w:val="1"/>
                <w:color w:val="FFFFFF"/>
                <w:w w:val="93"/>
              </w:rPr>
              <w:t>  Year</w:t>
            </w:r>
          </w:p>
        </w:tc>
        <w:tc>
          <w:tcPr>
            <w:tcW w:w="20" w:type="dxa"/>
            <w:vAlign w:val="bottom"/>
            <w:shd w:val="clear" w:color="auto" w:fill="023C5B"/>
          </w:tcPr>
          <w:p>
            <w:pPr>
              <w:spacing w:after="0"/>
              <w:rPr>
                <w:sz w:val="21"/>
                <w:szCs w:val="21"/>
                <w:color w:val="auto"/>
              </w:rPr>
            </w:pPr>
          </w:p>
        </w:tc>
        <w:tc>
          <w:tcPr>
            <w:tcW w:w="122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w w:val="94"/>
              </w:rPr>
              <w:t>(PEO)</w:t>
            </w:r>
            <w:r>
              <w:rPr>
                <w:rFonts w:ascii="Arial" w:cs="Arial" w:eastAsia="Arial" w:hAnsi="Arial"/>
                <w:sz w:val="17"/>
                <w:szCs w:val="17"/>
                <w:b w:val="1"/>
                <w:bCs w:val="1"/>
                <w:color w:val="FFFFFF"/>
                <w:w w:val="94"/>
                <w:vertAlign w:val="superscript"/>
              </w:rPr>
              <w:t>(1)</w:t>
            </w:r>
          </w:p>
        </w:tc>
        <w:tc>
          <w:tcPr>
            <w:tcW w:w="1220" w:type="dxa"/>
            <w:vAlign w:val="bottom"/>
            <w:gridSpan w:val="2"/>
            <w:shd w:val="clear" w:color="auto" w:fill="023C5B"/>
          </w:tcPr>
          <w:p>
            <w:pPr>
              <w:jc w:val="center"/>
              <w:spacing w:after="0" w:line="250" w:lineRule="exact"/>
              <w:rPr>
                <w:sz w:val="20"/>
                <w:szCs w:val="20"/>
                <w:color w:val="auto"/>
              </w:rPr>
            </w:pPr>
            <w:r>
              <w:rPr>
                <w:rFonts w:ascii="Arial" w:cs="Arial" w:eastAsia="Arial" w:hAnsi="Arial"/>
                <w:sz w:val="28"/>
                <w:szCs w:val="28"/>
                <w:b w:val="1"/>
                <w:bCs w:val="1"/>
                <w:color w:val="FFFFFF"/>
                <w:w w:val="80"/>
                <w:vertAlign w:val="subscript"/>
              </w:rPr>
              <w:t>to PEO</w:t>
            </w:r>
            <w:r>
              <w:rPr>
                <w:rFonts w:ascii="Arial" w:cs="Arial" w:eastAsia="Arial" w:hAnsi="Arial"/>
                <w:sz w:val="9"/>
                <w:szCs w:val="9"/>
                <w:b w:val="1"/>
                <w:bCs w:val="1"/>
                <w:color w:val="FFFFFF"/>
                <w:w w:val="80"/>
              </w:rPr>
              <w:t>(1)(2)</w:t>
            </w:r>
          </w:p>
        </w:tc>
        <w:tc>
          <w:tcPr>
            <w:tcW w:w="118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w w:val="95"/>
              </w:rPr>
              <w:t>Officers</w:t>
            </w:r>
            <w:r>
              <w:rPr>
                <w:rFonts w:ascii="Arial" w:cs="Arial" w:eastAsia="Arial" w:hAnsi="Arial"/>
                <w:sz w:val="17"/>
                <w:szCs w:val="17"/>
                <w:b w:val="1"/>
                <w:bCs w:val="1"/>
                <w:color w:val="FFFFFF"/>
                <w:w w:val="95"/>
                <w:vertAlign w:val="superscript"/>
              </w:rPr>
              <w:t>(1)</w:t>
            </w:r>
          </w:p>
        </w:tc>
        <w:tc>
          <w:tcPr>
            <w:tcW w:w="1160" w:type="dxa"/>
            <w:vAlign w:val="bottom"/>
            <w:gridSpan w:val="2"/>
            <w:shd w:val="clear" w:color="auto" w:fill="023C5B"/>
          </w:tcPr>
          <w:p>
            <w:pPr>
              <w:jc w:val="center"/>
              <w:ind w:left="9"/>
              <w:spacing w:after="0"/>
              <w:rPr>
                <w:sz w:val="20"/>
                <w:szCs w:val="20"/>
                <w:color w:val="auto"/>
              </w:rPr>
            </w:pPr>
            <w:r>
              <w:rPr>
                <w:rFonts w:ascii="Arial" w:cs="Arial" w:eastAsia="Arial" w:hAnsi="Arial"/>
                <w:sz w:val="14"/>
                <w:szCs w:val="14"/>
                <w:b w:val="1"/>
                <w:bCs w:val="1"/>
                <w:color w:val="FFFFFF"/>
                <w:w w:val="94"/>
              </w:rPr>
              <w:t>Officers</w:t>
            </w:r>
            <w:r>
              <w:rPr>
                <w:rFonts w:ascii="Arial" w:cs="Arial" w:eastAsia="Arial" w:hAnsi="Arial"/>
                <w:sz w:val="17"/>
                <w:szCs w:val="17"/>
                <w:b w:val="1"/>
                <w:bCs w:val="1"/>
                <w:color w:val="FFFFFF"/>
                <w:w w:val="94"/>
                <w:vertAlign w:val="superscript"/>
              </w:rPr>
              <w:t>(1)(2)</w:t>
            </w:r>
          </w:p>
        </w:tc>
        <w:tc>
          <w:tcPr>
            <w:tcW w:w="40" w:type="dxa"/>
            <w:vAlign w:val="bottom"/>
            <w:shd w:val="clear" w:color="auto" w:fill="023C5B"/>
          </w:tcPr>
          <w:p>
            <w:pPr>
              <w:spacing w:after="0"/>
              <w:rPr>
                <w:sz w:val="21"/>
                <w:szCs w:val="21"/>
                <w:color w:val="auto"/>
              </w:rPr>
            </w:pPr>
          </w:p>
        </w:tc>
        <w:tc>
          <w:tcPr>
            <w:tcW w:w="960" w:type="dxa"/>
            <w:vAlign w:val="bottom"/>
            <w:shd w:val="clear" w:color="auto" w:fill="023C5B"/>
          </w:tcPr>
          <w:p>
            <w:pPr>
              <w:jc w:val="center"/>
              <w:ind w:left="29"/>
              <w:spacing w:after="0"/>
              <w:rPr>
                <w:sz w:val="20"/>
                <w:szCs w:val="20"/>
                <w:color w:val="auto"/>
              </w:rPr>
            </w:pPr>
            <w:r>
              <w:rPr>
                <w:rFonts w:ascii="Arial" w:cs="Arial" w:eastAsia="Arial" w:hAnsi="Arial"/>
                <w:sz w:val="14"/>
                <w:szCs w:val="14"/>
                <w:b w:val="1"/>
                <w:bCs w:val="1"/>
                <w:color w:val="FFFFFF"/>
              </w:rPr>
              <w:t>Return</w:t>
            </w:r>
          </w:p>
        </w:tc>
        <w:tc>
          <w:tcPr>
            <w:tcW w:w="20" w:type="dxa"/>
            <w:vAlign w:val="bottom"/>
            <w:shd w:val="clear" w:color="auto" w:fill="023C5B"/>
          </w:tcPr>
          <w:p>
            <w:pPr>
              <w:spacing w:after="0"/>
              <w:rPr>
                <w:sz w:val="21"/>
                <w:szCs w:val="21"/>
                <w:color w:val="auto"/>
              </w:rPr>
            </w:pPr>
          </w:p>
        </w:tc>
        <w:tc>
          <w:tcPr>
            <w:tcW w:w="40" w:type="dxa"/>
            <w:vAlign w:val="bottom"/>
            <w:shd w:val="clear" w:color="auto" w:fill="023C5B"/>
          </w:tcPr>
          <w:p>
            <w:pPr>
              <w:spacing w:after="0"/>
              <w:rPr>
                <w:sz w:val="21"/>
                <w:szCs w:val="21"/>
                <w:color w:val="auto"/>
              </w:rPr>
            </w:pPr>
          </w:p>
        </w:tc>
        <w:tc>
          <w:tcPr>
            <w:tcW w:w="1000" w:type="dxa"/>
            <w:vAlign w:val="bottom"/>
            <w:gridSpan w:val="2"/>
            <w:shd w:val="clear" w:color="auto" w:fill="023C5B"/>
          </w:tcPr>
          <w:p>
            <w:pPr>
              <w:jc w:val="center"/>
              <w:ind w:left="9"/>
              <w:spacing w:after="0"/>
              <w:rPr>
                <w:sz w:val="20"/>
                <w:szCs w:val="20"/>
                <w:color w:val="auto"/>
              </w:rPr>
            </w:pPr>
            <w:r>
              <w:rPr>
                <w:rFonts w:ascii="Arial" w:cs="Arial" w:eastAsia="Arial" w:hAnsi="Arial"/>
                <w:sz w:val="14"/>
                <w:szCs w:val="14"/>
                <w:b w:val="1"/>
                <w:bCs w:val="1"/>
                <w:color w:val="FFFFFF"/>
                <w:w w:val="94"/>
              </w:rPr>
              <w:t>Return</w:t>
            </w:r>
            <w:r>
              <w:rPr>
                <w:rFonts w:ascii="Arial" w:cs="Arial" w:eastAsia="Arial" w:hAnsi="Arial"/>
                <w:sz w:val="17"/>
                <w:szCs w:val="17"/>
                <w:b w:val="1"/>
                <w:bCs w:val="1"/>
                <w:color w:val="FFFFFF"/>
                <w:w w:val="94"/>
                <w:vertAlign w:val="superscript"/>
              </w:rPr>
              <w:t>(3)</w:t>
            </w:r>
          </w:p>
        </w:tc>
        <w:tc>
          <w:tcPr>
            <w:tcW w:w="40" w:type="dxa"/>
            <w:vAlign w:val="bottom"/>
            <w:shd w:val="clear" w:color="auto" w:fill="023C5B"/>
          </w:tcPr>
          <w:p>
            <w:pPr>
              <w:spacing w:after="0"/>
              <w:rPr>
                <w:sz w:val="21"/>
                <w:szCs w:val="21"/>
                <w:color w:val="auto"/>
              </w:rPr>
            </w:pPr>
          </w:p>
        </w:tc>
        <w:tc>
          <w:tcPr>
            <w:tcW w:w="700" w:type="dxa"/>
            <w:vAlign w:val="bottom"/>
            <w:gridSpan w:val="2"/>
            <w:shd w:val="clear" w:color="auto" w:fill="023C5B"/>
          </w:tcPr>
          <w:p>
            <w:pPr>
              <w:jc w:val="center"/>
              <w:spacing w:after="0"/>
              <w:rPr>
                <w:sz w:val="20"/>
                <w:szCs w:val="20"/>
                <w:color w:val="auto"/>
              </w:rPr>
            </w:pPr>
            <w:r>
              <w:rPr>
                <w:rFonts w:ascii="Arial" w:cs="Arial" w:eastAsia="Arial" w:hAnsi="Arial"/>
                <w:sz w:val="14"/>
                <w:szCs w:val="14"/>
                <w:b w:val="1"/>
                <w:bCs w:val="1"/>
                <w:color w:val="FFFFFF"/>
                <w:w w:val="97"/>
              </w:rPr>
              <w:t>($M)</w:t>
            </w:r>
          </w:p>
        </w:tc>
        <w:tc>
          <w:tcPr>
            <w:tcW w:w="820" w:type="dxa"/>
            <w:vAlign w:val="bottom"/>
            <w:shd w:val="clear" w:color="auto" w:fill="023C5B"/>
          </w:tcPr>
          <w:p>
            <w:pPr>
              <w:jc w:val="center"/>
              <w:ind w:left="9"/>
              <w:spacing w:after="0"/>
              <w:rPr>
                <w:sz w:val="20"/>
                <w:szCs w:val="20"/>
                <w:color w:val="auto"/>
              </w:rPr>
            </w:pPr>
            <w:r>
              <w:rPr>
                <w:rFonts w:ascii="Arial" w:cs="Arial" w:eastAsia="Arial" w:hAnsi="Arial"/>
                <w:sz w:val="14"/>
                <w:szCs w:val="14"/>
                <w:b w:val="1"/>
                <w:bCs w:val="1"/>
                <w:color w:val="FFFFFF"/>
                <w:w w:val="94"/>
              </w:rPr>
              <w:t>Share</w:t>
            </w:r>
            <w:r>
              <w:rPr>
                <w:rFonts w:ascii="Arial" w:cs="Arial" w:eastAsia="Arial" w:hAnsi="Arial"/>
                <w:sz w:val="17"/>
                <w:szCs w:val="17"/>
                <w:b w:val="1"/>
                <w:bCs w:val="1"/>
                <w:color w:val="FFFFFF"/>
                <w:w w:val="94"/>
                <w:vertAlign w:val="superscript"/>
              </w:rPr>
              <w:t>(4)</w:t>
            </w:r>
          </w:p>
        </w:tc>
      </w:tr>
      <w:tr>
        <w:trPr>
          <w:trHeight w:val="267"/>
        </w:trPr>
        <w:tc>
          <w:tcPr>
            <w:tcW w:w="1220" w:type="dxa"/>
            <w:vAlign w:val="bottom"/>
            <w:tcBorders>
              <w:bottom w:val="single" w:sz="8" w:color="E5EBEE"/>
            </w:tcBorders>
            <w:shd w:val="clear" w:color="auto" w:fill="E5EBEE"/>
          </w:tcPr>
          <w:p>
            <w:pPr>
              <w:jc w:val="right"/>
              <w:ind w:right="789"/>
              <w:spacing w:after="0"/>
              <w:rPr>
                <w:sz w:val="20"/>
                <w:szCs w:val="20"/>
                <w:color w:val="auto"/>
              </w:rPr>
            </w:pPr>
            <w:r>
              <w:rPr>
                <w:rFonts w:ascii="Arial" w:cs="Arial" w:eastAsia="Arial" w:hAnsi="Arial"/>
                <w:sz w:val="14"/>
                <w:szCs w:val="14"/>
                <w:color w:val="auto"/>
              </w:rPr>
              <w:t>2025</w:t>
            </w:r>
          </w:p>
        </w:tc>
        <w:tc>
          <w:tcPr>
            <w:tcW w:w="1240" w:type="dxa"/>
            <w:vAlign w:val="bottom"/>
            <w:tcBorders>
              <w:bottom w:val="single" w:sz="8" w:color="E5EBEE"/>
            </w:tcBorders>
            <w:shd w:val="clear" w:color="auto" w:fill="E5EBEE"/>
          </w:tcPr>
          <w:p>
            <w:pPr>
              <w:spacing w:after="0"/>
              <w:rPr>
                <w:sz w:val="23"/>
                <w:szCs w:val="23"/>
                <w:color w:val="auto"/>
              </w:rPr>
            </w:pPr>
          </w:p>
        </w:tc>
        <w:tc>
          <w:tcPr>
            <w:tcW w:w="40" w:type="dxa"/>
            <w:vAlign w:val="bottom"/>
            <w:tcBorders>
              <w:bottom w:val="single" w:sz="8" w:color="E5EBEE"/>
            </w:tcBorders>
            <w:shd w:val="clear" w:color="auto" w:fill="E5EBEE"/>
          </w:tcPr>
          <w:p>
            <w:pPr>
              <w:spacing w:after="0"/>
              <w:rPr>
                <w:sz w:val="23"/>
                <w:szCs w:val="23"/>
                <w:color w:val="auto"/>
              </w:rPr>
            </w:pPr>
          </w:p>
        </w:tc>
        <w:tc>
          <w:tcPr>
            <w:tcW w:w="1180" w:type="dxa"/>
            <w:vAlign w:val="bottom"/>
            <w:tcBorders>
              <w:bottom w:val="single" w:sz="8" w:color="E5EBEE"/>
            </w:tcBorders>
            <w:gridSpan w:val="2"/>
            <w:shd w:val="clear" w:color="auto" w:fill="E5EBEE"/>
          </w:tcPr>
          <w:p>
            <w:pPr>
              <w:jc w:val="center"/>
              <w:ind w:left="29"/>
              <w:spacing w:after="0"/>
              <w:rPr>
                <w:sz w:val="20"/>
                <w:szCs w:val="20"/>
                <w:color w:val="auto"/>
              </w:rPr>
            </w:pPr>
            <w:r>
              <w:rPr>
                <w:rFonts w:ascii="Arial" w:cs="Arial" w:eastAsia="Arial" w:hAnsi="Arial"/>
                <w:sz w:val="14"/>
                <w:szCs w:val="14"/>
                <w:color w:val="auto"/>
              </w:rPr>
              <w:t>$64,971,137</w:t>
            </w:r>
          </w:p>
        </w:tc>
        <w:tc>
          <w:tcPr>
            <w:tcW w:w="60" w:type="dxa"/>
            <w:vAlign w:val="bottom"/>
            <w:tcBorders>
              <w:bottom w:val="single" w:sz="8" w:color="E5EBEE"/>
            </w:tcBorders>
            <w:shd w:val="clear" w:color="auto" w:fill="E5EBEE"/>
          </w:tcPr>
          <w:p>
            <w:pPr>
              <w:spacing w:after="0"/>
              <w:rPr>
                <w:sz w:val="23"/>
                <w:szCs w:val="23"/>
                <w:color w:val="auto"/>
              </w:rPr>
            </w:pPr>
          </w:p>
        </w:tc>
        <w:tc>
          <w:tcPr>
            <w:tcW w:w="1160" w:type="dxa"/>
            <w:vAlign w:val="bottom"/>
            <w:tcBorders>
              <w:bottom w:val="single" w:sz="8" w:color="E5EBEE"/>
            </w:tcBorders>
            <w:shd w:val="clear" w:color="auto" w:fill="E5EBEE"/>
          </w:tcPr>
          <w:p>
            <w:pPr>
              <w:jc w:val="center"/>
              <w:ind w:left="12"/>
              <w:spacing w:after="0"/>
              <w:rPr>
                <w:sz w:val="20"/>
                <w:szCs w:val="20"/>
                <w:color w:val="auto"/>
              </w:rPr>
            </w:pPr>
            <w:r>
              <w:rPr>
                <w:rFonts w:ascii="Arial" w:cs="Arial" w:eastAsia="Arial" w:hAnsi="Arial"/>
                <w:sz w:val="14"/>
                <w:szCs w:val="14"/>
                <w:color w:val="auto"/>
              </w:rPr>
              <w:t>$94,125,501</w:t>
            </w:r>
          </w:p>
        </w:tc>
        <w:tc>
          <w:tcPr>
            <w:tcW w:w="60" w:type="dxa"/>
            <w:vAlign w:val="bottom"/>
            <w:tcBorders>
              <w:bottom w:val="single" w:sz="8" w:color="E5EBEE"/>
            </w:tcBorders>
            <w:shd w:val="clear" w:color="auto" w:fill="E5EBEE"/>
          </w:tcPr>
          <w:p>
            <w:pPr>
              <w:spacing w:after="0"/>
              <w:rPr>
                <w:sz w:val="23"/>
                <w:szCs w:val="23"/>
                <w:color w:val="auto"/>
              </w:rPr>
            </w:pPr>
          </w:p>
        </w:tc>
        <w:tc>
          <w:tcPr>
            <w:tcW w:w="11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$12,057,413</w:t>
            </w:r>
          </w:p>
        </w:tc>
        <w:tc>
          <w:tcPr>
            <w:tcW w:w="40" w:type="dxa"/>
            <w:vAlign w:val="bottom"/>
            <w:tcBorders>
              <w:bottom w:val="single" w:sz="8" w:color="E5EBEE"/>
            </w:tcBorders>
            <w:shd w:val="clear" w:color="auto" w:fill="E5EBEE"/>
          </w:tcPr>
          <w:p>
            <w:pPr>
              <w:spacing w:after="0"/>
              <w:rPr>
                <w:sz w:val="23"/>
                <w:szCs w:val="23"/>
                <w:color w:val="auto"/>
              </w:rPr>
            </w:pPr>
          </w:p>
        </w:tc>
        <w:tc>
          <w:tcPr>
            <w:tcW w:w="1140" w:type="dxa"/>
            <w:vAlign w:val="bottom"/>
            <w:tcBorders>
              <w:bottom w:val="single" w:sz="8" w:color="E5EBEE"/>
            </w:tcBorders>
            <w:shd w:val="clear" w:color="auto" w:fill="E5EBEE"/>
          </w:tcPr>
          <w:p>
            <w:pPr>
              <w:jc w:val="center"/>
              <w:ind w:left="29"/>
              <w:spacing w:after="0"/>
              <w:rPr>
                <w:sz w:val="20"/>
                <w:szCs w:val="20"/>
                <w:color w:val="auto"/>
              </w:rPr>
            </w:pPr>
            <w:r>
              <w:rPr>
                <w:rFonts w:ascii="Arial" w:cs="Arial" w:eastAsia="Arial" w:hAnsi="Arial"/>
                <w:sz w:val="14"/>
                <w:szCs w:val="14"/>
                <w:color w:val="auto"/>
              </w:rPr>
              <w:t>$14,934,044</w:t>
            </w:r>
          </w:p>
        </w:tc>
        <w:tc>
          <w:tcPr>
            <w:tcW w:w="20" w:type="dxa"/>
            <w:vAlign w:val="bottom"/>
            <w:tcBorders>
              <w:bottom w:val="single" w:sz="8" w:color="E5EBEE"/>
            </w:tcBorders>
            <w:shd w:val="clear" w:color="auto" w:fill="E5EBEE"/>
          </w:tcPr>
          <w:p>
            <w:pPr>
              <w:spacing w:after="0"/>
              <w:rPr>
                <w:sz w:val="23"/>
                <w:szCs w:val="23"/>
                <w:color w:val="auto"/>
              </w:rPr>
            </w:pPr>
          </w:p>
        </w:tc>
        <w:tc>
          <w:tcPr>
            <w:tcW w:w="1000" w:type="dxa"/>
            <w:vAlign w:val="bottom"/>
            <w:tcBorders>
              <w:bottom w:val="single" w:sz="8" w:color="E5EBEE"/>
            </w:tcBorders>
            <w:gridSpan w:val="2"/>
            <w:shd w:val="clear" w:color="auto" w:fill="E5EBEE"/>
          </w:tcPr>
          <w:p>
            <w:pPr>
              <w:jc w:val="center"/>
              <w:ind w:left="49"/>
              <w:spacing w:after="0"/>
              <w:rPr>
                <w:sz w:val="20"/>
                <w:szCs w:val="20"/>
                <w:color w:val="auto"/>
              </w:rPr>
            </w:pPr>
            <w:r>
              <w:rPr>
                <w:rFonts w:ascii="Arial" w:cs="Arial" w:eastAsia="Arial" w:hAnsi="Arial"/>
                <w:sz w:val="14"/>
                <w:szCs w:val="14"/>
                <w:color w:val="auto"/>
              </w:rPr>
              <w:t>$268.21</w:t>
            </w:r>
          </w:p>
        </w:tc>
        <w:tc>
          <w:tcPr>
            <w:tcW w:w="1040" w:type="dxa"/>
            <w:vAlign w:val="bottom"/>
            <w:tcBorders>
              <w:bottom w:val="single" w:sz="8" w:color="E5EBEE"/>
            </w:tcBorders>
            <w:gridSpan w:val="3"/>
            <w:shd w:val="clear" w:color="auto" w:fill="E5EBEE"/>
          </w:tcPr>
          <w:p>
            <w:pPr>
              <w:jc w:val="center"/>
              <w:ind w:left="89"/>
              <w:spacing w:after="0"/>
              <w:rPr>
                <w:sz w:val="20"/>
                <w:szCs w:val="20"/>
                <w:color w:val="auto"/>
              </w:rPr>
            </w:pPr>
            <w:r>
              <w:rPr>
                <w:rFonts w:ascii="Arial" w:cs="Arial" w:eastAsia="Arial" w:hAnsi="Arial"/>
                <w:sz w:val="14"/>
                <w:szCs w:val="14"/>
                <w:color w:val="auto"/>
              </w:rPr>
              <w:t>$203.47</w:t>
            </w:r>
          </w:p>
        </w:tc>
        <w:tc>
          <w:tcPr>
            <w:tcW w:w="20" w:type="dxa"/>
            <w:vAlign w:val="bottom"/>
            <w:tcBorders>
              <w:bottom w:val="single" w:sz="8" w:color="E5EBEE"/>
            </w:tcBorders>
            <w:shd w:val="clear" w:color="auto" w:fill="E5EBEE"/>
          </w:tcPr>
          <w:p>
            <w:pPr>
              <w:spacing w:after="0"/>
              <w:rPr>
                <w:sz w:val="23"/>
                <w:szCs w:val="23"/>
                <w:color w:val="auto"/>
              </w:rPr>
            </w:pPr>
          </w:p>
        </w:tc>
        <w:tc>
          <w:tcPr>
            <w:tcW w:w="680" w:type="dxa"/>
            <w:vAlign w:val="bottom"/>
            <w:tcBorders>
              <w:bottom w:val="single" w:sz="8" w:color="E5EBEE"/>
            </w:tcBorders>
            <w:gridSpan w:val="2"/>
            <w:shd w:val="clear" w:color="auto" w:fill="E5EBEE"/>
          </w:tcPr>
          <w:p>
            <w:pPr>
              <w:jc w:val="center"/>
              <w:ind w:left="49"/>
              <w:spacing w:after="0"/>
              <w:rPr>
                <w:sz w:val="20"/>
                <w:szCs w:val="20"/>
                <w:color w:val="auto"/>
              </w:rPr>
            </w:pPr>
            <w:r>
              <w:rPr>
                <w:rFonts w:ascii="Arial" w:cs="Arial" w:eastAsia="Arial" w:hAnsi="Arial"/>
                <w:sz w:val="14"/>
                <w:szCs w:val="14"/>
                <w:color w:val="auto"/>
              </w:rPr>
              <w:t>$2,453</w:t>
            </w:r>
          </w:p>
        </w:tc>
        <w:tc>
          <w:tcPr>
            <w:tcW w:w="60" w:type="dxa"/>
            <w:vAlign w:val="bottom"/>
            <w:tcBorders>
              <w:bottom w:val="single" w:sz="8" w:color="E5EBEE"/>
            </w:tcBorders>
            <w:shd w:val="clear" w:color="auto" w:fill="E5EBEE"/>
          </w:tcPr>
          <w:p>
            <w:pPr>
              <w:spacing w:after="0"/>
              <w:rPr>
                <w:sz w:val="23"/>
                <w:szCs w:val="23"/>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3.1%</w:t>
            </w:r>
          </w:p>
        </w:tc>
      </w:tr>
      <w:tr>
        <w:trPr>
          <w:trHeight w:val="213"/>
        </w:trPr>
        <w:tc>
          <w:tcPr>
            <w:tcW w:w="1220" w:type="dxa"/>
            <w:vAlign w:val="bottom"/>
            <w:tcBorders>
              <w:top w:val="single" w:sz="8" w:color="023C5B"/>
            </w:tcBorders>
          </w:tcPr>
          <w:p>
            <w:pPr>
              <w:jc w:val="right"/>
              <w:ind w:right="789"/>
              <w:spacing w:after="0"/>
              <w:rPr>
                <w:sz w:val="20"/>
                <w:szCs w:val="20"/>
                <w:color w:val="auto"/>
              </w:rPr>
            </w:pPr>
            <w:r>
              <w:rPr>
                <w:rFonts w:ascii="Arial" w:cs="Arial" w:eastAsia="Arial" w:hAnsi="Arial"/>
                <w:sz w:val="14"/>
                <w:szCs w:val="14"/>
                <w:color w:val="auto"/>
              </w:rPr>
              <w:t>2024</w:t>
            </w:r>
          </w:p>
        </w:tc>
        <w:tc>
          <w:tcPr>
            <w:tcW w:w="1240" w:type="dxa"/>
            <w:vAlign w:val="bottom"/>
            <w:tcBorders>
              <w:top w:val="single" w:sz="8" w:color="023C5B"/>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top w:val="single" w:sz="8" w:color="023C5B"/>
            </w:tcBorders>
          </w:tcPr>
          <w:p>
            <w:pPr>
              <w:jc w:val="center"/>
              <w:ind w:left="9"/>
              <w:spacing w:after="0"/>
              <w:rPr>
                <w:sz w:val="20"/>
                <w:szCs w:val="20"/>
                <w:color w:val="auto"/>
              </w:rPr>
            </w:pPr>
            <w:r>
              <w:rPr>
                <w:rFonts w:ascii="Arial" w:cs="Arial" w:eastAsia="Arial" w:hAnsi="Arial"/>
                <w:sz w:val="14"/>
                <w:szCs w:val="14"/>
                <w:color w:val="auto"/>
              </w:rPr>
              <w:t>$30,829,070</w:t>
            </w:r>
          </w:p>
        </w:tc>
        <w:tc>
          <w:tcPr>
            <w:tcW w:w="60" w:type="dxa"/>
            <w:vAlign w:val="bottom"/>
          </w:tcPr>
          <w:p>
            <w:pPr>
              <w:spacing w:after="0"/>
              <w:rPr>
                <w:sz w:val="18"/>
                <w:szCs w:val="18"/>
                <w:color w:val="auto"/>
              </w:rPr>
            </w:pPr>
          </w:p>
        </w:tc>
        <w:tc>
          <w:tcPr>
            <w:tcW w:w="1160" w:type="dxa"/>
            <w:vAlign w:val="bottom"/>
            <w:tcBorders>
              <w:top w:val="single" w:sz="8" w:color="023C5B"/>
            </w:tcBorders>
          </w:tcPr>
          <w:p>
            <w:pPr>
              <w:jc w:val="center"/>
              <w:ind w:left="12"/>
              <w:spacing w:after="0"/>
              <w:rPr>
                <w:sz w:val="20"/>
                <w:szCs w:val="20"/>
                <w:color w:val="auto"/>
              </w:rPr>
            </w:pPr>
            <w:r>
              <w:rPr>
                <w:rFonts w:ascii="Arial" w:cs="Arial" w:eastAsia="Arial" w:hAnsi="Arial"/>
                <w:sz w:val="14"/>
                <w:szCs w:val="14"/>
                <w:color w:val="auto"/>
              </w:rPr>
              <w:t>$56,390,154</w:t>
            </w:r>
          </w:p>
        </w:tc>
        <w:tc>
          <w:tcPr>
            <w:tcW w:w="60" w:type="dxa"/>
            <w:vAlign w:val="bottom"/>
          </w:tcPr>
          <w:p>
            <w:pPr>
              <w:spacing w:after="0"/>
              <w:rPr>
                <w:sz w:val="18"/>
                <w:szCs w:val="18"/>
                <w:color w:val="auto"/>
              </w:rPr>
            </w:pPr>
          </w:p>
        </w:tc>
        <w:tc>
          <w:tcPr>
            <w:tcW w:w="1140" w:type="dxa"/>
            <w:vAlign w:val="bottom"/>
            <w:tcBorders>
              <w:top w:val="single" w:sz="8" w:color="023C5B"/>
            </w:tcBorders>
          </w:tcPr>
          <w:p>
            <w:pPr>
              <w:jc w:val="center"/>
              <w:spacing w:after="0"/>
              <w:rPr>
                <w:sz w:val="20"/>
                <w:szCs w:val="20"/>
                <w:color w:val="auto"/>
              </w:rPr>
            </w:pPr>
            <w:r>
              <w:rPr>
                <w:rFonts w:ascii="Arial" w:cs="Arial" w:eastAsia="Arial" w:hAnsi="Arial"/>
                <w:sz w:val="14"/>
                <w:szCs w:val="14"/>
                <w:color w:val="auto"/>
              </w:rPr>
              <w:t>$7,434,305</w:t>
            </w:r>
          </w:p>
        </w:tc>
        <w:tc>
          <w:tcPr>
            <w:tcW w:w="40" w:type="dxa"/>
            <w:vAlign w:val="bottom"/>
          </w:tcPr>
          <w:p>
            <w:pPr>
              <w:spacing w:after="0"/>
              <w:rPr>
                <w:sz w:val="18"/>
                <w:szCs w:val="18"/>
                <w:color w:val="auto"/>
              </w:rPr>
            </w:pPr>
          </w:p>
        </w:tc>
        <w:tc>
          <w:tcPr>
            <w:tcW w:w="1140" w:type="dxa"/>
            <w:vAlign w:val="bottom"/>
            <w:tcBorders>
              <w:top w:val="single" w:sz="8" w:color="023C5B"/>
            </w:tcBorders>
          </w:tcPr>
          <w:p>
            <w:pPr>
              <w:jc w:val="center"/>
              <w:ind w:left="29"/>
              <w:spacing w:after="0"/>
              <w:rPr>
                <w:sz w:val="20"/>
                <w:szCs w:val="20"/>
                <w:color w:val="auto"/>
              </w:rPr>
            </w:pPr>
            <w:r>
              <w:rPr>
                <w:rFonts w:ascii="Arial" w:cs="Arial" w:eastAsia="Arial" w:hAnsi="Arial"/>
                <w:sz w:val="14"/>
                <w:szCs w:val="14"/>
                <w:color w:val="auto"/>
              </w:rPr>
              <w:t>$10,043,898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023C5B"/>
            </w:tcBorders>
          </w:tcPr>
          <w:p>
            <w:pPr>
              <w:jc w:val="center"/>
              <w:ind w:left="9"/>
              <w:spacing w:after="0"/>
              <w:rPr>
                <w:sz w:val="20"/>
                <w:szCs w:val="20"/>
                <w:color w:val="auto"/>
              </w:rPr>
            </w:pPr>
            <w:r>
              <w:rPr>
                <w:rFonts w:ascii="Arial" w:cs="Arial" w:eastAsia="Arial" w:hAnsi="Arial"/>
                <w:sz w:val="14"/>
                <w:szCs w:val="14"/>
                <w:color w:val="auto"/>
              </w:rPr>
              <w:t>$189.44</w:t>
            </w:r>
          </w:p>
        </w:tc>
        <w:tc>
          <w:tcPr>
            <w:tcW w:w="20" w:type="dxa"/>
            <w:vAlign w:val="bottom"/>
            <w:tcBorders>
              <w:top w:val="single" w:sz="8" w:color="023C5B"/>
            </w:tcBorders>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top w:val="single" w:sz="8" w:color="023C5B"/>
            </w:tcBorders>
          </w:tcPr>
          <w:p>
            <w:pPr>
              <w:jc w:val="center"/>
              <w:ind w:left="29"/>
              <w:spacing w:after="0"/>
              <w:rPr>
                <w:sz w:val="20"/>
                <w:szCs w:val="20"/>
                <w:color w:val="auto"/>
              </w:rPr>
            </w:pPr>
            <w:r>
              <w:rPr>
                <w:rFonts w:ascii="Arial" w:cs="Arial" w:eastAsia="Arial" w:hAnsi="Arial"/>
                <w:sz w:val="14"/>
                <w:szCs w:val="14"/>
                <w:color w:val="auto"/>
              </w:rPr>
              <w:t>$173.90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top w:val="single" w:sz="8" w:color="023C5B"/>
            </w:tcBorders>
          </w:tcPr>
          <w:p>
            <w:pPr>
              <w:jc w:val="center"/>
              <w:ind w:left="9"/>
              <w:spacing w:after="0"/>
              <w:rPr>
                <w:sz w:val="20"/>
                <w:szCs w:val="20"/>
                <w:color w:val="auto"/>
              </w:rPr>
            </w:pPr>
            <w:r>
              <w:rPr>
                <w:rFonts w:ascii="Arial" w:cs="Arial" w:eastAsia="Arial" w:hAnsi="Arial"/>
                <w:sz w:val="14"/>
                <w:szCs w:val="14"/>
                <w:color w:val="auto"/>
              </w:rPr>
              <w:t>$4,750</w:t>
            </w:r>
          </w:p>
        </w:tc>
        <w:tc>
          <w:tcPr>
            <w:tcW w:w="60" w:type="dxa"/>
            <w:vAlign w:val="bottom"/>
          </w:tcPr>
          <w:p>
            <w:pPr>
              <w:spacing w:after="0"/>
              <w:rPr>
                <w:sz w:val="18"/>
                <w:szCs w:val="18"/>
                <w:color w:val="auto"/>
              </w:rPr>
            </w:pPr>
          </w:p>
        </w:tc>
        <w:tc>
          <w:tcPr>
            <w:tcW w:w="820" w:type="dxa"/>
            <w:vAlign w:val="bottom"/>
            <w:tcBorders>
              <w:top w:val="single" w:sz="8" w:color="023C5B"/>
            </w:tcBorders>
          </w:tcPr>
          <w:p>
            <w:pPr>
              <w:jc w:val="center"/>
              <w:spacing w:after="0"/>
              <w:rPr>
                <w:sz w:val="20"/>
                <w:szCs w:val="20"/>
                <w:color w:val="auto"/>
              </w:rPr>
            </w:pPr>
            <w:r>
              <w:rPr>
                <w:rFonts w:ascii="Arial" w:cs="Arial" w:eastAsia="Arial" w:hAnsi="Arial"/>
                <w:sz w:val="14"/>
                <w:szCs w:val="14"/>
                <w:color w:val="auto"/>
              </w:rPr>
              <w:t>9.6%</w:t>
            </w:r>
          </w:p>
        </w:tc>
      </w:tr>
      <w:tr>
        <w:trPr>
          <w:trHeight w:val="34"/>
        </w:trPr>
        <w:tc>
          <w:tcPr>
            <w:tcW w:w="1220" w:type="dxa"/>
            <w:vAlign w:val="bottom"/>
            <w:tcBorders>
              <w:bottom w:val="single" w:sz="8" w:color="023C5B"/>
            </w:tcBorders>
          </w:tcPr>
          <w:p>
            <w:pPr>
              <w:spacing w:after="0"/>
              <w:rPr>
                <w:sz w:val="2"/>
                <w:szCs w:val="2"/>
                <w:color w:val="auto"/>
              </w:rPr>
            </w:pPr>
          </w:p>
        </w:tc>
        <w:tc>
          <w:tcPr>
            <w:tcW w:w="1240" w:type="dxa"/>
            <w:vAlign w:val="bottom"/>
            <w:tcBorders>
              <w:bottom w:val="single" w:sz="8" w:color="023C5B"/>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116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116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1140" w:type="dxa"/>
            <w:vAlign w:val="bottom"/>
            <w:tcBorders>
              <w:bottom w:val="single" w:sz="8" w:color="023C5B"/>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1140" w:type="dxa"/>
            <w:vAlign w:val="bottom"/>
            <w:tcBorders>
              <w:bottom w:val="single" w:sz="8" w:color="023C5B"/>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960" w:type="dxa"/>
            <w:vAlign w:val="bottom"/>
            <w:tcBorders>
              <w:bottom w:val="single" w:sz="8" w:color="023C5B"/>
            </w:tcBorders>
          </w:tcPr>
          <w:p>
            <w:pPr>
              <w:spacing w:after="0"/>
              <w:rPr>
                <w:sz w:val="2"/>
                <w:szCs w:val="2"/>
                <w:color w:val="auto"/>
              </w:rPr>
            </w:pPr>
          </w:p>
        </w:tc>
        <w:tc>
          <w:tcPr>
            <w:tcW w:w="20" w:type="dxa"/>
            <w:vAlign w:val="bottom"/>
            <w:tcBorders>
              <w:bottom w:val="single" w:sz="8" w:color="023C5B"/>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980" w:type="dxa"/>
            <w:vAlign w:val="bottom"/>
            <w:tcBorders>
              <w:bottom w:val="single" w:sz="8" w:color="023C5B"/>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64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820" w:type="dxa"/>
            <w:vAlign w:val="bottom"/>
            <w:tcBorders>
              <w:bottom w:val="single" w:sz="8" w:color="023C5B"/>
            </w:tcBorders>
          </w:tcPr>
          <w:p>
            <w:pPr>
              <w:spacing w:after="0"/>
              <w:rPr>
                <w:sz w:val="2"/>
                <w:szCs w:val="2"/>
                <w:color w:val="auto"/>
              </w:rPr>
            </w:pPr>
          </w:p>
        </w:tc>
      </w:tr>
      <w:tr>
        <w:trPr>
          <w:trHeight w:val="247"/>
        </w:trPr>
        <w:tc>
          <w:tcPr>
            <w:tcW w:w="1220" w:type="dxa"/>
            <w:vAlign w:val="bottom"/>
            <w:tcBorders>
              <w:bottom w:val="single" w:sz="8" w:color="E5EBEE"/>
            </w:tcBorders>
            <w:shd w:val="clear" w:color="auto" w:fill="E5EBEE"/>
          </w:tcPr>
          <w:p>
            <w:pPr>
              <w:jc w:val="right"/>
              <w:ind w:right="789"/>
              <w:spacing w:after="0"/>
              <w:rPr>
                <w:sz w:val="20"/>
                <w:szCs w:val="20"/>
                <w:color w:val="auto"/>
              </w:rPr>
            </w:pPr>
            <w:r>
              <w:rPr>
                <w:rFonts w:ascii="Arial" w:cs="Arial" w:eastAsia="Arial" w:hAnsi="Arial"/>
                <w:sz w:val="14"/>
                <w:szCs w:val="14"/>
                <w:color w:val="auto"/>
              </w:rPr>
              <w:t>2023</w:t>
            </w:r>
          </w:p>
        </w:tc>
        <w:tc>
          <w:tcPr>
            <w:tcW w:w="1240" w:type="dxa"/>
            <w:vAlign w:val="bottom"/>
            <w:tcBorders>
              <w:bottom w:val="single" w:sz="8" w:color="E5EBEE"/>
            </w:tcBorders>
            <w:shd w:val="clear" w:color="auto" w:fill="E5EBEE"/>
          </w:tcPr>
          <w:p>
            <w:pPr>
              <w:spacing w:after="0"/>
              <w:rPr>
                <w:sz w:val="21"/>
                <w:szCs w:val="21"/>
                <w:color w:val="auto"/>
              </w:rPr>
            </w:pPr>
          </w:p>
        </w:tc>
        <w:tc>
          <w:tcPr>
            <w:tcW w:w="40" w:type="dxa"/>
            <w:vAlign w:val="bottom"/>
            <w:tcBorders>
              <w:bottom w:val="single" w:sz="8" w:color="E5EBEE"/>
            </w:tcBorders>
            <w:shd w:val="clear" w:color="auto" w:fill="E5EBEE"/>
          </w:tcPr>
          <w:p>
            <w:pPr>
              <w:spacing w:after="0"/>
              <w:rPr>
                <w:sz w:val="21"/>
                <w:szCs w:val="21"/>
                <w:color w:val="auto"/>
              </w:rPr>
            </w:pPr>
          </w:p>
        </w:tc>
        <w:tc>
          <w:tcPr>
            <w:tcW w:w="1180" w:type="dxa"/>
            <w:vAlign w:val="bottom"/>
            <w:tcBorders>
              <w:bottom w:val="single" w:sz="8" w:color="E5EBEE"/>
            </w:tcBorders>
            <w:gridSpan w:val="2"/>
            <w:shd w:val="clear" w:color="auto" w:fill="E5EBEE"/>
          </w:tcPr>
          <w:p>
            <w:pPr>
              <w:jc w:val="center"/>
              <w:ind w:left="29"/>
              <w:spacing w:after="0"/>
              <w:rPr>
                <w:sz w:val="20"/>
                <w:szCs w:val="20"/>
                <w:color w:val="auto"/>
              </w:rPr>
            </w:pPr>
            <w:r>
              <w:rPr>
                <w:rFonts w:ascii="Arial" w:cs="Arial" w:eastAsia="Arial" w:hAnsi="Arial"/>
                <w:sz w:val="14"/>
                <w:szCs w:val="14"/>
                <w:color w:val="auto"/>
              </w:rPr>
              <w:t>$28,589,573</w:t>
            </w:r>
          </w:p>
        </w:tc>
        <w:tc>
          <w:tcPr>
            <w:tcW w:w="60" w:type="dxa"/>
            <w:vAlign w:val="bottom"/>
            <w:tcBorders>
              <w:bottom w:val="single" w:sz="8" w:color="E5EBEE"/>
            </w:tcBorders>
            <w:shd w:val="clear" w:color="auto" w:fill="E5EBEE"/>
          </w:tcPr>
          <w:p>
            <w:pPr>
              <w:spacing w:after="0"/>
              <w:rPr>
                <w:sz w:val="21"/>
                <w:szCs w:val="21"/>
                <w:color w:val="auto"/>
              </w:rPr>
            </w:pPr>
          </w:p>
        </w:tc>
        <w:tc>
          <w:tcPr>
            <w:tcW w:w="1160" w:type="dxa"/>
            <w:vAlign w:val="bottom"/>
            <w:tcBorders>
              <w:bottom w:val="single" w:sz="8" w:color="E5EBEE"/>
            </w:tcBorders>
            <w:shd w:val="clear" w:color="auto" w:fill="E5EBEE"/>
          </w:tcPr>
          <w:p>
            <w:pPr>
              <w:jc w:val="center"/>
              <w:ind w:left="12"/>
              <w:spacing w:after="0"/>
              <w:rPr>
                <w:sz w:val="20"/>
                <w:szCs w:val="20"/>
                <w:color w:val="auto"/>
              </w:rPr>
            </w:pPr>
            <w:r>
              <w:rPr>
                <w:rFonts w:ascii="Arial" w:cs="Arial" w:eastAsia="Arial" w:hAnsi="Arial"/>
                <w:sz w:val="14"/>
                <w:szCs w:val="14"/>
                <w:color w:val="auto"/>
              </w:rPr>
              <w:t>$56,015,379</w:t>
            </w:r>
          </w:p>
        </w:tc>
        <w:tc>
          <w:tcPr>
            <w:tcW w:w="60" w:type="dxa"/>
            <w:vAlign w:val="bottom"/>
            <w:tcBorders>
              <w:bottom w:val="single" w:sz="8" w:color="E5EBEE"/>
            </w:tcBorders>
            <w:shd w:val="clear" w:color="auto" w:fill="E5EBEE"/>
          </w:tcPr>
          <w:p>
            <w:pPr>
              <w:spacing w:after="0"/>
              <w:rPr>
                <w:sz w:val="21"/>
                <w:szCs w:val="21"/>
                <w:color w:val="auto"/>
              </w:rPr>
            </w:pPr>
          </w:p>
        </w:tc>
        <w:tc>
          <w:tcPr>
            <w:tcW w:w="11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$7,171,356</w:t>
            </w:r>
          </w:p>
        </w:tc>
        <w:tc>
          <w:tcPr>
            <w:tcW w:w="40" w:type="dxa"/>
            <w:vAlign w:val="bottom"/>
            <w:tcBorders>
              <w:bottom w:val="single" w:sz="8" w:color="E5EBEE"/>
            </w:tcBorders>
            <w:shd w:val="clear" w:color="auto" w:fill="E5EBEE"/>
          </w:tcPr>
          <w:p>
            <w:pPr>
              <w:spacing w:after="0"/>
              <w:rPr>
                <w:sz w:val="21"/>
                <w:szCs w:val="21"/>
                <w:color w:val="auto"/>
              </w:rPr>
            </w:pPr>
          </w:p>
        </w:tc>
        <w:tc>
          <w:tcPr>
            <w:tcW w:w="1140" w:type="dxa"/>
            <w:vAlign w:val="bottom"/>
            <w:tcBorders>
              <w:bottom w:val="single" w:sz="8" w:color="E5EBEE"/>
            </w:tcBorders>
            <w:shd w:val="clear" w:color="auto" w:fill="E5EBEE"/>
          </w:tcPr>
          <w:p>
            <w:pPr>
              <w:jc w:val="center"/>
              <w:ind w:left="29"/>
              <w:spacing w:after="0"/>
              <w:rPr>
                <w:sz w:val="20"/>
                <w:szCs w:val="20"/>
                <w:color w:val="auto"/>
              </w:rPr>
            </w:pPr>
            <w:r>
              <w:rPr>
                <w:rFonts w:ascii="Arial" w:cs="Arial" w:eastAsia="Arial" w:hAnsi="Arial"/>
                <w:sz w:val="14"/>
                <w:szCs w:val="14"/>
                <w:color w:val="auto"/>
              </w:rPr>
              <w:t>$9,620,815</w:t>
            </w:r>
          </w:p>
        </w:tc>
        <w:tc>
          <w:tcPr>
            <w:tcW w:w="20" w:type="dxa"/>
            <w:vAlign w:val="bottom"/>
            <w:tcBorders>
              <w:bottom w:val="single" w:sz="8" w:color="E5EBEE"/>
            </w:tcBorders>
            <w:shd w:val="clear" w:color="auto" w:fill="E5EBEE"/>
          </w:tcPr>
          <w:p>
            <w:pPr>
              <w:spacing w:after="0"/>
              <w:rPr>
                <w:sz w:val="21"/>
                <w:szCs w:val="21"/>
                <w:color w:val="auto"/>
              </w:rPr>
            </w:pPr>
          </w:p>
        </w:tc>
        <w:tc>
          <w:tcPr>
            <w:tcW w:w="1000" w:type="dxa"/>
            <w:vAlign w:val="bottom"/>
            <w:tcBorders>
              <w:bottom w:val="single" w:sz="8" w:color="E5EBEE"/>
            </w:tcBorders>
            <w:gridSpan w:val="2"/>
            <w:shd w:val="clear" w:color="auto" w:fill="E5EBEE"/>
          </w:tcPr>
          <w:p>
            <w:pPr>
              <w:jc w:val="center"/>
              <w:ind w:left="49"/>
              <w:spacing w:after="0"/>
              <w:rPr>
                <w:sz w:val="20"/>
                <w:szCs w:val="20"/>
                <w:color w:val="auto"/>
              </w:rPr>
            </w:pPr>
            <w:r>
              <w:rPr>
                <w:rFonts w:ascii="Arial" w:cs="Arial" w:eastAsia="Arial" w:hAnsi="Arial"/>
                <w:sz w:val="14"/>
                <w:szCs w:val="14"/>
                <w:color w:val="auto"/>
              </w:rPr>
              <w:t>$137.03</w:t>
            </w:r>
          </w:p>
        </w:tc>
        <w:tc>
          <w:tcPr>
            <w:tcW w:w="1040" w:type="dxa"/>
            <w:vAlign w:val="bottom"/>
            <w:tcBorders>
              <w:bottom w:val="single" w:sz="8" w:color="E5EBEE"/>
            </w:tcBorders>
            <w:gridSpan w:val="3"/>
            <w:shd w:val="clear" w:color="auto" w:fill="E5EBEE"/>
          </w:tcPr>
          <w:p>
            <w:pPr>
              <w:jc w:val="center"/>
              <w:ind w:left="89"/>
              <w:spacing w:after="0"/>
              <w:rPr>
                <w:sz w:val="20"/>
                <w:szCs w:val="20"/>
                <w:color w:val="auto"/>
              </w:rPr>
            </w:pPr>
            <w:r>
              <w:rPr>
                <w:rFonts w:ascii="Arial" w:cs="Arial" w:eastAsia="Arial" w:hAnsi="Arial"/>
                <w:sz w:val="14"/>
                <w:szCs w:val="14"/>
                <w:color w:val="auto"/>
              </w:rPr>
              <w:t>$133.20</w:t>
            </w:r>
          </w:p>
        </w:tc>
        <w:tc>
          <w:tcPr>
            <w:tcW w:w="20" w:type="dxa"/>
            <w:vAlign w:val="bottom"/>
            <w:tcBorders>
              <w:bottom w:val="single" w:sz="8" w:color="E5EBEE"/>
            </w:tcBorders>
            <w:shd w:val="clear" w:color="auto" w:fill="E5EBEE"/>
          </w:tcPr>
          <w:p>
            <w:pPr>
              <w:spacing w:after="0"/>
              <w:rPr>
                <w:sz w:val="21"/>
                <w:szCs w:val="21"/>
                <w:color w:val="auto"/>
              </w:rPr>
            </w:pPr>
          </w:p>
        </w:tc>
        <w:tc>
          <w:tcPr>
            <w:tcW w:w="680" w:type="dxa"/>
            <w:vAlign w:val="bottom"/>
            <w:tcBorders>
              <w:bottom w:val="single" w:sz="8" w:color="E5EBEE"/>
            </w:tcBorders>
            <w:gridSpan w:val="2"/>
            <w:shd w:val="clear" w:color="auto" w:fill="E5EBEE"/>
          </w:tcPr>
          <w:p>
            <w:pPr>
              <w:jc w:val="center"/>
              <w:ind w:left="49"/>
              <w:spacing w:after="0"/>
              <w:rPr>
                <w:sz w:val="20"/>
                <w:szCs w:val="20"/>
                <w:color w:val="auto"/>
              </w:rPr>
            </w:pPr>
            <w:r>
              <w:rPr>
                <w:rFonts w:ascii="Arial" w:cs="Arial" w:eastAsia="Arial" w:hAnsi="Arial"/>
                <w:sz w:val="14"/>
                <w:szCs w:val="14"/>
                <w:color w:val="auto"/>
              </w:rPr>
              <w:t>$4,887</w:t>
            </w:r>
          </w:p>
        </w:tc>
        <w:tc>
          <w:tcPr>
            <w:tcW w:w="60" w:type="dxa"/>
            <w:vAlign w:val="bottom"/>
            <w:tcBorders>
              <w:bottom w:val="single" w:sz="8" w:color="E5EBEE"/>
            </w:tcBorders>
            <w:shd w:val="clear" w:color="auto" w:fill="E5EBEE"/>
          </w:tcPr>
          <w:p>
            <w:pPr>
              <w:spacing w:after="0"/>
              <w:rPr>
                <w:sz w:val="21"/>
                <w:szCs w:val="21"/>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18.7%</w:t>
            </w:r>
          </w:p>
        </w:tc>
      </w:tr>
      <w:tr>
        <w:trPr>
          <w:trHeight w:val="213"/>
        </w:trPr>
        <w:tc>
          <w:tcPr>
            <w:tcW w:w="1220" w:type="dxa"/>
            <w:vAlign w:val="bottom"/>
            <w:tcBorders>
              <w:top w:val="single" w:sz="8" w:color="023C5B"/>
            </w:tcBorders>
          </w:tcPr>
          <w:p>
            <w:pPr>
              <w:jc w:val="right"/>
              <w:ind w:right="789"/>
              <w:spacing w:after="0"/>
              <w:rPr>
                <w:sz w:val="20"/>
                <w:szCs w:val="20"/>
                <w:color w:val="auto"/>
              </w:rPr>
            </w:pPr>
            <w:r>
              <w:rPr>
                <w:rFonts w:ascii="Arial" w:cs="Arial" w:eastAsia="Arial" w:hAnsi="Arial"/>
                <w:sz w:val="14"/>
                <w:szCs w:val="14"/>
                <w:color w:val="auto"/>
              </w:rPr>
              <w:t>2022</w:t>
            </w:r>
          </w:p>
        </w:tc>
        <w:tc>
          <w:tcPr>
            <w:tcW w:w="1240" w:type="dxa"/>
            <w:vAlign w:val="bottom"/>
            <w:tcBorders>
              <w:top w:val="single" w:sz="8" w:color="023C5B"/>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top w:val="single" w:sz="8" w:color="023C5B"/>
            </w:tcBorders>
          </w:tcPr>
          <w:p>
            <w:pPr>
              <w:jc w:val="center"/>
              <w:ind w:left="29"/>
              <w:spacing w:after="0"/>
              <w:rPr>
                <w:sz w:val="20"/>
                <w:szCs w:val="20"/>
                <w:color w:val="auto"/>
              </w:rPr>
            </w:pPr>
            <w:r>
              <w:rPr>
                <w:rFonts w:ascii="Arial" w:cs="Arial" w:eastAsia="Arial" w:hAnsi="Arial"/>
                <w:sz w:val="14"/>
                <w:szCs w:val="14"/>
                <w:color w:val="auto"/>
              </w:rPr>
              <w:t>$27,605,311</w:t>
            </w:r>
          </w:p>
        </w:tc>
        <w:tc>
          <w:tcPr>
            <w:tcW w:w="60" w:type="dxa"/>
            <w:vAlign w:val="bottom"/>
          </w:tcPr>
          <w:p>
            <w:pPr>
              <w:spacing w:after="0"/>
              <w:rPr>
                <w:sz w:val="18"/>
                <w:szCs w:val="18"/>
                <w:color w:val="auto"/>
              </w:rPr>
            </w:pPr>
          </w:p>
        </w:tc>
        <w:tc>
          <w:tcPr>
            <w:tcW w:w="1160" w:type="dxa"/>
            <w:vAlign w:val="bottom"/>
            <w:tcBorders>
              <w:top w:val="single" w:sz="8" w:color="023C5B"/>
            </w:tcBorders>
          </w:tcPr>
          <w:p>
            <w:pPr>
              <w:jc w:val="center"/>
              <w:ind w:left="12"/>
              <w:spacing w:after="0"/>
              <w:rPr>
                <w:sz w:val="20"/>
                <w:szCs w:val="20"/>
                <w:color w:val="auto"/>
              </w:rPr>
            </w:pPr>
            <w:r>
              <w:rPr>
                <w:rFonts w:ascii="Arial" w:cs="Arial" w:eastAsia="Arial" w:hAnsi="Arial"/>
                <w:sz w:val="14"/>
                <w:szCs w:val="14"/>
                <w:color w:val="auto"/>
              </w:rPr>
              <w:t>$(758,823)</w:t>
            </w:r>
          </w:p>
        </w:tc>
        <w:tc>
          <w:tcPr>
            <w:tcW w:w="60" w:type="dxa"/>
            <w:vAlign w:val="bottom"/>
          </w:tcPr>
          <w:p>
            <w:pPr>
              <w:spacing w:after="0"/>
              <w:rPr>
                <w:sz w:val="18"/>
                <w:szCs w:val="18"/>
                <w:color w:val="auto"/>
              </w:rPr>
            </w:pPr>
          </w:p>
        </w:tc>
        <w:tc>
          <w:tcPr>
            <w:tcW w:w="1140" w:type="dxa"/>
            <w:vAlign w:val="bottom"/>
            <w:tcBorders>
              <w:top w:val="single" w:sz="8" w:color="023C5B"/>
            </w:tcBorders>
          </w:tcPr>
          <w:p>
            <w:pPr>
              <w:jc w:val="center"/>
              <w:ind w:left="9"/>
              <w:spacing w:after="0"/>
              <w:rPr>
                <w:sz w:val="20"/>
                <w:szCs w:val="20"/>
                <w:color w:val="auto"/>
              </w:rPr>
            </w:pPr>
            <w:r>
              <w:rPr>
                <w:rFonts w:ascii="Arial" w:cs="Arial" w:eastAsia="Arial" w:hAnsi="Arial"/>
                <w:sz w:val="14"/>
                <w:szCs w:val="14"/>
                <w:color w:val="auto"/>
              </w:rPr>
              <w:t>$11,374,302</w:t>
            </w:r>
          </w:p>
        </w:tc>
        <w:tc>
          <w:tcPr>
            <w:tcW w:w="40" w:type="dxa"/>
            <w:vAlign w:val="bottom"/>
          </w:tcPr>
          <w:p>
            <w:pPr>
              <w:spacing w:after="0"/>
              <w:rPr>
                <w:sz w:val="18"/>
                <w:szCs w:val="18"/>
                <w:color w:val="auto"/>
              </w:rPr>
            </w:pPr>
          </w:p>
        </w:tc>
        <w:tc>
          <w:tcPr>
            <w:tcW w:w="1140" w:type="dxa"/>
            <w:vAlign w:val="bottom"/>
            <w:tcBorders>
              <w:top w:val="single" w:sz="8" w:color="023C5B"/>
            </w:tcBorders>
          </w:tcPr>
          <w:p>
            <w:pPr>
              <w:jc w:val="center"/>
              <w:ind w:left="29"/>
              <w:spacing w:after="0"/>
              <w:rPr>
                <w:sz w:val="20"/>
                <w:szCs w:val="20"/>
                <w:color w:val="auto"/>
              </w:rPr>
            </w:pPr>
            <w:r>
              <w:rPr>
                <w:rFonts w:ascii="Arial" w:cs="Arial" w:eastAsia="Arial" w:hAnsi="Arial"/>
                <w:sz w:val="14"/>
                <w:szCs w:val="14"/>
                <w:color w:val="auto"/>
              </w:rPr>
              <w:t>$7,425,259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023C5B"/>
            </w:tcBorders>
          </w:tcPr>
          <w:p>
            <w:pPr>
              <w:jc w:val="center"/>
              <w:ind w:left="9"/>
              <w:spacing w:after="0"/>
              <w:rPr>
                <w:sz w:val="20"/>
                <w:szCs w:val="20"/>
                <w:color w:val="auto"/>
              </w:rPr>
            </w:pPr>
            <w:r>
              <w:rPr>
                <w:rFonts w:ascii="Arial" w:cs="Arial" w:eastAsia="Arial" w:hAnsi="Arial"/>
                <w:sz w:val="14"/>
                <w:szCs w:val="14"/>
                <w:color w:val="auto"/>
              </w:rPr>
              <w:t>$94.95</w:t>
            </w:r>
          </w:p>
        </w:tc>
        <w:tc>
          <w:tcPr>
            <w:tcW w:w="20" w:type="dxa"/>
            <w:vAlign w:val="bottom"/>
            <w:tcBorders>
              <w:top w:val="single" w:sz="8" w:color="023C5B"/>
            </w:tcBorders>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Borders>
              <w:top w:val="single" w:sz="8" w:color="023C5B"/>
            </w:tcBorders>
          </w:tcPr>
          <w:p>
            <w:pPr>
              <w:jc w:val="center"/>
              <w:ind w:left="9"/>
              <w:spacing w:after="0"/>
              <w:rPr>
                <w:sz w:val="20"/>
                <w:szCs w:val="20"/>
                <w:color w:val="auto"/>
              </w:rPr>
            </w:pPr>
            <w:r>
              <w:rPr>
                <w:rFonts w:ascii="Arial" w:cs="Arial" w:eastAsia="Arial" w:hAnsi="Arial"/>
                <w:sz w:val="14"/>
                <w:szCs w:val="14"/>
                <w:color w:val="auto"/>
                <w:w w:val="98"/>
              </w:rPr>
              <w:t>$118.77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top w:val="single" w:sz="8" w:color="023C5B"/>
            </w:tcBorders>
          </w:tcPr>
          <w:p>
            <w:pPr>
              <w:jc w:val="center"/>
              <w:ind w:left="9"/>
              <w:spacing w:after="0"/>
              <w:rPr>
                <w:sz w:val="20"/>
                <w:szCs w:val="20"/>
                <w:color w:val="auto"/>
              </w:rPr>
            </w:pPr>
            <w:r>
              <w:rPr>
                <w:rFonts w:ascii="Arial" w:cs="Arial" w:eastAsia="Arial" w:hAnsi="Arial"/>
                <w:sz w:val="14"/>
                <w:szCs w:val="14"/>
                <w:color w:val="auto"/>
              </w:rPr>
              <w:t>$7,360</w:t>
            </w:r>
          </w:p>
        </w:tc>
        <w:tc>
          <w:tcPr>
            <w:tcW w:w="60" w:type="dxa"/>
            <w:vAlign w:val="bottom"/>
          </w:tcPr>
          <w:p>
            <w:pPr>
              <w:spacing w:after="0"/>
              <w:rPr>
                <w:sz w:val="18"/>
                <w:szCs w:val="18"/>
                <w:color w:val="auto"/>
              </w:rPr>
            </w:pPr>
          </w:p>
        </w:tc>
        <w:tc>
          <w:tcPr>
            <w:tcW w:w="820" w:type="dxa"/>
            <w:vAlign w:val="bottom"/>
            <w:tcBorders>
              <w:top w:val="single" w:sz="8" w:color="023C5B"/>
            </w:tcBorders>
          </w:tcPr>
          <w:p>
            <w:pPr>
              <w:jc w:val="center"/>
              <w:ind w:left="9"/>
              <w:spacing w:after="0"/>
              <w:rPr>
                <w:sz w:val="20"/>
                <w:szCs w:val="20"/>
                <w:color w:val="auto"/>
              </w:rPr>
            </w:pPr>
            <w:r>
              <w:rPr>
                <w:rFonts w:ascii="Arial" w:cs="Arial" w:eastAsia="Arial" w:hAnsi="Arial"/>
                <w:sz w:val="14"/>
                <w:szCs w:val="14"/>
                <w:color w:val="auto"/>
              </w:rPr>
              <w:t>(11.3)%</w:t>
            </w:r>
          </w:p>
        </w:tc>
      </w:tr>
      <w:tr>
        <w:trPr>
          <w:trHeight w:val="34"/>
        </w:trPr>
        <w:tc>
          <w:tcPr>
            <w:tcW w:w="1220" w:type="dxa"/>
            <w:vAlign w:val="bottom"/>
            <w:tcBorders>
              <w:bottom w:val="single" w:sz="8" w:color="023C5B"/>
            </w:tcBorders>
          </w:tcPr>
          <w:p>
            <w:pPr>
              <w:spacing w:after="0"/>
              <w:rPr>
                <w:sz w:val="2"/>
                <w:szCs w:val="2"/>
                <w:color w:val="auto"/>
              </w:rPr>
            </w:pPr>
          </w:p>
        </w:tc>
        <w:tc>
          <w:tcPr>
            <w:tcW w:w="1240" w:type="dxa"/>
            <w:vAlign w:val="bottom"/>
            <w:tcBorders>
              <w:bottom w:val="single" w:sz="8" w:color="023C5B"/>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116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116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1140" w:type="dxa"/>
            <w:vAlign w:val="bottom"/>
            <w:tcBorders>
              <w:bottom w:val="single" w:sz="8" w:color="023C5B"/>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1140" w:type="dxa"/>
            <w:vAlign w:val="bottom"/>
            <w:tcBorders>
              <w:bottom w:val="single" w:sz="8" w:color="023C5B"/>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960" w:type="dxa"/>
            <w:vAlign w:val="bottom"/>
            <w:tcBorders>
              <w:bottom w:val="single" w:sz="8" w:color="023C5B"/>
            </w:tcBorders>
          </w:tcPr>
          <w:p>
            <w:pPr>
              <w:spacing w:after="0"/>
              <w:rPr>
                <w:sz w:val="2"/>
                <w:szCs w:val="2"/>
                <w:color w:val="auto"/>
              </w:rPr>
            </w:pPr>
          </w:p>
        </w:tc>
        <w:tc>
          <w:tcPr>
            <w:tcW w:w="20" w:type="dxa"/>
            <w:vAlign w:val="bottom"/>
            <w:tcBorders>
              <w:bottom w:val="single" w:sz="8" w:color="023C5B"/>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980" w:type="dxa"/>
            <w:vAlign w:val="bottom"/>
            <w:tcBorders>
              <w:bottom w:val="single" w:sz="8" w:color="023C5B"/>
            </w:tcBorders>
          </w:tcPr>
          <w:p>
            <w:pPr>
              <w:spacing w:after="0"/>
              <w:rPr>
                <w:sz w:val="2"/>
                <w:szCs w:val="2"/>
                <w:color w:val="auto"/>
              </w:rPr>
            </w:pPr>
          </w:p>
        </w:tc>
        <w:tc>
          <w:tcPr>
            <w:tcW w:w="20" w:type="dxa"/>
            <w:vAlign w:val="bottom"/>
            <w:tcBorders>
              <w:bottom w:val="single" w:sz="8" w:color="E5EBEE"/>
            </w:tcBorders>
          </w:tcPr>
          <w:p>
            <w:pPr>
              <w:spacing w:after="0"/>
              <w:rPr>
                <w:sz w:val="2"/>
                <w:szCs w:val="2"/>
                <w:color w:val="auto"/>
              </w:rPr>
            </w:pPr>
          </w:p>
        </w:tc>
        <w:tc>
          <w:tcPr>
            <w:tcW w:w="40" w:type="dxa"/>
            <w:vAlign w:val="bottom"/>
            <w:tcBorders>
              <w:bottom w:val="single" w:sz="8" w:color="E5EBEE"/>
            </w:tcBorders>
          </w:tcPr>
          <w:p>
            <w:pPr>
              <w:spacing w:after="0"/>
              <w:rPr>
                <w:sz w:val="2"/>
                <w:szCs w:val="2"/>
                <w:color w:val="auto"/>
              </w:rPr>
            </w:pPr>
          </w:p>
        </w:tc>
        <w:tc>
          <w:tcPr>
            <w:tcW w:w="640" w:type="dxa"/>
            <w:vAlign w:val="bottom"/>
            <w:tcBorders>
              <w:bottom w:val="single" w:sz="8" w:color="023C5B"/>
            </w:tcBorders>
          </w:tcPr>
          <w:p>
            <w:pPr>
              <w:spacing w:after="0"/>
              <w:rPr>
                <w:sz w:val="2"/>
                <w:szCs w:val="2"/>
                <w:color w:val="auto"/>
              </w:rPr>
            </w:pPr>
          </w:p>
        </w:tc>
        <w:tc>
          <w:tcPr>
            <w:tcW w:w="60" w:type="dxa"/>
            <w:vAlign w:val="bottom"/>
            <w:tcBorders>
              <w:bottom w:val="single" w:sz="8" w:color="E5EBEE"/>
            </w:tcBorders>
          </w:tcPr>
          <w:p>
            <w:pPr>
              <w:spacing w:after="0"/>
              <w:rPr>
                <w:sz w:val="2"/>
                <w:szCs w:val="2"/>
                <w:color w:val="auto"/>
              </w:rPr>
            </w:pPr>
          </w:p>
        </w:tc>
        <w:tc>
          <w:tcPr>
            <w:tcW w:w="820" w:type="dxa"/>
            <w:vAlign w:val="bottom"/>
            <w:tcBorders>
              <w:bottom w:val="single" w:sz="8" w:color="023C5B"/>
            </w:tcBorders>
          </w:tcPr>
          <w:p>
            <w:pPr>
              <w:spacing w:after="0"/>
              <w:rPr>
                <w:sz w:val="2"/>
                <w:szCs w:val="2"/>
                <w:color w:val="auto"/>
              </w:rPr>
            </w:pPr>
          </w:p>
        </w:tc>
      </w:tr>
      <w:tr>
        <w:trPr>
          <w:trHeight w:val="252"/>
        </w:trPr>
        <w:tc>
          <w:tcPr>
            <w:tcW w:w="1220" w:type="dxa"/>
            <w:vAlign w:val="bottom"/>
            <w:tcBorders>
              <w:bottom w:val="single" w:sz="8" w:color="E5EBEE"/>
            </w:tcBorders>
            <w:shd w:val="clear" w:color="auto" w:fill="E5EBEE"/>
          </w:tcPr>
          <w:p>
            <w:pPr>
              <w:jc w:val="right"/>
              <w:ind w:right="789"/>
              <w:spacing w:after="0"/>
              <w:rPr>
                <w:sz w:val="20"/>
                <w:szCs w:val="20"/>
                <w:color w:val="auto"/>
              </w:rPr>
            </w:pPr>
            <w:r>
              <w:rPr>
                <w:rFonts w:ascii="Arial" w:cs="Arial" w:eastAsia="Arial" w:hAnsi="Arial"/>
                <w:sz w:val="14"/>
                <w:szCs w:val="14"/>
                <w:color w:val="auto"/>
              </w:rPr>
              <w:t>2021</w:t>
            </w:r>
          </w:p>
        </w:tc>
        <w:tc>
          <w:tcPr>
            <w:tcW w:w="1240" w:type="dxa"/>
            <w:vAlign w:val="bottom"/>
            <w:tcBorders>
              <w:bottom w:val="single" w:sz="8" w:color="E5EBEE"/>
            </w:tcBorders>
            <w:shd w:val="clear" w:color="auto" w:fill="E5EBEE"/>
          </w:tcPr>
          <w:p>
            <w:pPr>
              <w:spacing w:after="0"/>
              <w:rPr>
                <w:sz w:val="21"/>
                <w:szCs w:val="21"/>
                <w:color w:val="auto"/>
              </w:rPr>
            </w:pPr>
          </w:p>
        </w:tc>
        <w:tc>
          <w:tcPr>
            <w:tcW w:w="40" w:type="dxa"/>
            <w:vAlign w:val="bottom"/>
            <w:tcBorders>
              <w:bottom w:val="single" w:sz="8" w:color="E5EBEE"/>
            </w:tcBorders>
            <w:shd w:val="clear" w:color="auto" w:fill="E5EBEE"/>
          </w:tcPr>
          <w:p>
            <w:pPr>
              <w:spacing w:after="0"/>
              <w:rPr>
                <w:sz w:val="21"/>
                <w:szCs w:val="21"/>
                <w:color w:val="auto"/>
              </w:rPr>
            </w:pPr>
          </w:p>
        </w:tc>
        <w:tc>
          <w:tcPr>
            <w:tcW w:w="1180" w:type="dxa"/>
            <w:vAlign w:val="bottom"/>
            <w:tcBorders>
              <w:bottom w:val="single" w:sz="8" w:color="E5EBEE"/>
            </w:tcBorders>
            <w:gridSpan w:val="2"/>
            <w:shd w:val="clear" w:color="auto" w:fill="E5EBEE"/>
          </w:tcPr>
          <w:p>
            <w:pPr>
              <w:jc w:val="center"/>
              <w:ind w:left="29"/>
              <w:spacing w:after="0"/>
              <w:rPr>
                <w:sz w:val="20"/>
                <w:szCs w:val="20"/>
                <w:color w:val="auto"/>
              </w:rPr>
            </w:pPr>
            <w:r>
              <w:rPr>
                <w:rFonts w:ascii="Arial" w:cs="Arial" w:eastAsia="Arial" w:hAnsi="Arial"/>
                <w:sz w:val="14"/>
                <w:szCs w:val="14"/>
                <w:color w:val="auto"/>
              </w:rPr>
              <w:t>$20,457,553</w:t>
            </w:r>
          </w:p>
        </w:tc>
        <w:tc>
          <w:tcPr>
            <w:tcW w:w="60" w:type="dxa"/>
            <w:vAlign w:val="bottom"/>
            <w:tcBorders>
              <w:bottom w:val="single" w:sz="8" w:color="E5EBEE"/>
            </w:tcBorders>
            <w:shd w:val="clear" w:color="auto" w:fill="E5EBEE"/>
          </w:tcPr>
          <w:p>
            <w:pPr>
              <w:spacing w:after="0"/>
              <w:rPr>
                <w:sz w:val="21"/>
                <w:szCs w:val="21"/>
                <w:color w:val="auto"/>
              </w:rPr>
            </w:pPr>
          </w:p>
        </w:tc>
        <w:tc>
          <w:tcPr>
            <w:tcW w:w="1160" w:type="dxa"/>
            <w:vAlign w:val="bottom"/>
            <w:tcBorders>
              <w:bottom w:val="single" w:sz="8" w:color="E5EBEE"/>
            </w:tcBorders>
            <w:shd w:val="clear" w:color="auto" w:fill="E5EBEE"/>
          </w:tcPr>
          <w:p>
            <w:pPr>
              <w:jc w:val="center"/>
              <w:ind w:left="12"/>
              <w:spacing w:after="0"/>
              <w:rPr>
                <w:sz w:val="20"/>
                <w:szCs w:val="20"/>
                <w:color w:val="auto"/>
              </w:rPr>
            </w:pPr>
            <w:r>
              <w:rPr>
                <w:rFonts w:ascii="Arial" w:cs="Arial" w:eastAsia="Arial" w:hAnsi="Arial"/>
                <w:sz w:val="14"/>
                <w:szCs w:val="14"/>
                <w:color w:val="auto"/>
              </w:rPr>
              <w:t>$44,692,866</w:t>
            </w:r>
          </w:p>
        </w:tc>
        <w:tc>
          <w:tcPr>
            <w:tcW w:w="60" w:type="dxa"/>
            <w:vAlign w:val="bottom"/>
            <w:tcBorders>
              <w:bottom w:val="single" w:sz="8" w:color="E5EBEE"/>
            </w:tcBorders>
            <w:shd w:val="clear" w:color="auto" w:fill="E5EBEE"/>
          </w:tcPr>
          <w:p>
            <w:pPr>
              <w:spacing w:after="0"/>
              <w:rPr>
                <w:sz w:val="21"/>
                <w:szCs w:val="21"/>
                <w:color w:val="auto"/>
              </w:rPr>
            </w:pPr>
          </w:p>
        </w:tc>
        <w:tc>
          <w:tcPr>
            <w:tcW w:w="11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$5,404,513</w:t>
            </w:r>
          </w:p>
        </w:tc>
        <w:tc>
          <w:tcPr>
            <w:tcW w:w="40" w:type="dxa"/>
            <w:vAlign w:val="bottom"/>
            <w:tcBorders>
              <w:bottom w:val="single" w:sz="8" w:color="E5EBEE"/>
            </w:tcBorders>
            <w:shd w:val="clear" w:color="auto" w:fill="E5EBEE"/>
          </w:tcPr>
          <w:p>
            <w:pPr>
              <w:spacing w:after="0"/>
              <w:rPr>
                <w:sz w:val="21"/>
                <w:szCs w:val="21"/>
                <w:color w:val="auto"/>
              </w:rPr>
            </w:pPr>
          </w:p>
        </w:tc>
        <w:tc>
          <w:tcPr>
            <w:tcW w:w="1140" w:type="dxa"/>
            <w:vAlign w:val="bottom"/>
            <w:tcBorders>
              <w:bottom w:val="single" w:sz="8" w:color="E5EBEE"/>
            </w:tcBorders>
            <w:shd w:val="clear" w:color="auto" w:fill="E5EBEE"/>
          </w:tcPr>
          <w:p>
            <w:pPr>
              <w:jc w:val="center"/>
              <w:ind w:left="29"/>
              <w:spacing w:after="0"/>
              <w:rPr>
                <w:sz w:val="20"/>
                <w:szCs w:val="20"/>
                <w:color w:val="auto"/>
              </w:rPr>
            </w:pPr>
            <w:r>
              <w:rPr>
                <w:rFonts w:ascii="Arial" w:cs="Arial" w:eastAsia="Arial" w:hAnsi="Arial"/>
                <w:sz w:val="14"/>
                <w:szCs w:val="14"/>
                <w:color w:val="auto"/>
              </w:rPr>
              <w:t>$7,652,216</w:t>
            </w:r>
          </w:p>
        </w:tc>
        <w:tc>
          <w:tcPr>
            <w:tcW w:w="20" w:type="dxa"/>
            <w:vAlign w:val="bottom"/>
            <w:tcBorders>
              <w:bottom w:val="single" w:sz="8" w:color="E5EBEE"/>
            </w:tcBorders>
            <w:shd w:val="clear" w:color="auto" w:fill="E5EBEE"/>
          </w:tcPr>
          <w:p>
            <w:pPr>
              <w:spacing w:after="0"/>
              <w:rPr>
                <w:sz w:val="21"/>
                <w:szCs w:val="21"/>
                <w:color w:val="auto"/>
              </w:rPr>
            </w:pPr>
          </w:p>
        </w:tc>
        <w:tc>
          <w:tcPr>
            <w:tcW w:w="1000" w:type="dxa"/>
            <w:vAlign w:val="bottom"/>
            <w:tcBorders>
              <w:bottom w:val="single" w:sz="8" w:color="E5EBEE"/>
            </w:tcBorders>
            <w:gridSpan w:val="2"/>
            <w:shd w:val="clear" w:color="auto" w:fill="E5EBEE"/>
          </w:tcPr>
          <w:p>
            <w:pPr>
              <w:jc w:val="center"/>
              <w:ind w:left="49"/>
              <w:spacing w:after="0"/>
              <w:rPr>
                <w:sz w:val="20"/>
                <w:szCs w:val="20"/>
                <w:color w:val="auto"/>
              </w:rPr>
            </w:pPr>
            <w:r>
              <w:rPr>
                <w:rFonts w:ascii="Arial" w:cs="Arial" w:eastAsia="Arial" w:hAnsi="Arial"/>
                <w:sz w:val="14"/>
                <w:szCs w:val="14"/>
                <w:color w:val="auto"/>
              </w:rPr>
              <w:t>$145.28</w:t>
            </w:r>
          </w:p>
        </w:tc>
        <w:tc>
          <w:tcPr>
            <w:tcW w:w="1040" w:type="dxa"/>
            <w:vAlign w:val="bottom"/>
            <w:tcBorders>
              <w:bottom w:val="single" w:sz="8" w:color="E5EBEE"/>
            </w:tcBorders>
            <w:gridSpan w:val="3"/>
            <w:shd w:val="clear" w:color="auto" w:fill="E5EBEE"/>
          </w:tcPr>
          <w:p>
            <w:pPr>
              <w:jc w:val="center"/>
              <w:ind w:left="89"/>
              <w:spacing w:after="0"/>
              <w:rPr>
                <w:sz w:val="20"/>
                <w:szCs w:val="20"/>
                <w:color w:val="auto"/>
              </w:rPr>
            </w:pPr>
            <w:r>
              <w:rPr>
                <w:rFonts w:ascii="Arial" w:cs="Arial" w:eastAsia="Arial" w:hAnsi="Arial"/>
                <w:sz w:val="14"/>
                <w:szCs w:val="14"/>
                <w:color w:val="auto"/>
              </w:rPr>
              <w:t>$132.75</w:t>
            </w:r>
          </w:p>
        </w:tc>
        <w:tc>
          <w:tcPr>
            <w:tcW w:w="20" w:type="dxa"/>
            <w:vAlign w:val="bottom"/>
            <w:tcBorders>
              <w:bottom w:val="single" w:sz="8" w:color="E5EBEE"/>
            </w:tcBorders>
            <w:shd w:val="clear" w:color="auto" w:fill="E5EBEE"/>
          </w:tcPr>
          <w:p>
            <w:pPr>
              <w:spacing w:after="0"/>
              <w:rPr>
                <w:sz w:val="21"/>
                <w:szCs w:val="21"/>
                <w:color w:val="auto"/>
              </w:rPr>
            </w:pPr>
          </w:p>
        </w:tc>
        <w:tc>
          <w:tcPr>
            <w:tcW w:w="680" w:type="dxa"/>
            <w:vAlign w:val="bottom"/>
            <w:tcBorders>
              <w:bottom w:val="single" w:sz="8" w:color="E5EBEE"/>
            </w:tcBorders>
            <w:gridSpan w:val="2"/>
            <w:shd w:val="clear" w:color="auto" w:fill="E5EBEE"/>
          </w:tcPr>
          <w:p>
            <w:pPr>
              <w:jc w:val="center"/>
              <w:ind w:left="49"/>
              <w:spacing w:after="0"/>
              <w:rPr>
                <w:sz w:val="20"/>
                <w:szCs w:val="20"/>
                <w:color w:val="auto"/>
              </w:rPr>
            </w:pPr>
            <w:r>
              <w:rPr>
                <w:rFonts w:ascii="Arial" w:cs="Arial" w:eastAsia="Arial" w:hAnsi="Arial"/>
                <w:sz w:val="14"/>
                <w:szCs w:val="14"/>
                <w:color w:val="auto"/>
              </w:rPr>
              <w:t>$12,390</w:t>
            </w:r>
          </w:p>
        </w:tc>
        <w:tc>
          <w:tcPr>
            <w:tcW w:w="60" w:type="dxa"/>
            <w:vAlign w:val="bottom"/>
            <w:tcBorders>
              <w:bottom w:val="single" w:sz="8" w:color="E5EBEE"/>
            </w:tcBorders>
            <w:shd w:val="clear" w:color="auto" w:fill="E5EBEE"/>
          </w:tcPr>
          <w:p>
            <w:pPr>
              <w:spacing w:after="0"/>
              <w:rPr>
                <w:sz w:val="21"/>
                <w:szCs w:val="21"/>
                <w:color w:val="auto"/>
              </w:rPr>
            </w:pPr>
          </w:p>
        </w:tc>
        <w:tc>
          <w:tcPr>
            <w:tcW w:w="8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4"/>
                <w:szCs w:val="14"/>
                <w:color w:val="auto"/>
              </w:rPr>
              <w:t>15.8%</w:t>
            </w:r>
          </w:p>
        </w:tc>
      </w:tr>
      <w:tr>
        <w:trPr>
          <w:trHeight w:val="127"/>
        </w:trPr>
        <w:tc>
          <w:tcPr>
            <w:tcW w:w="1220" w:type="dxa"/>
            <w:vAlign w:val="bottom"/>
            <w:tcBorders>
              <w:top w:val="single" w:sz="8" w:color="023C5B"/>
              <w:bottom w:val="single" w:sz="8" w:color="auto"/>
            </w:tcBorders>
          </w:tcPr>
          <w:p>
            <w:pPr>
              <w:spacing w:after="0"/>
              <w:rPr>
                <w:sz w:val="11"/>
                <w:szCs w:val="11"/>
                <w:color w:val="auto"/>
              </w:rPr>
            </w:pPr>
          </w:p>
        </w:tc>
        <w:tc>
          <w:tcPr>
            <w:tcW w:w="1240" w:type="dxa"/>
            <w:vAlign w:val="bottom"/>
            <w:tcBorders>
              <w:top w:val="single" w:sz="8" w:color="023C5B"/>
            </w:tcBorders>
          </w:tcPr>
          <w:p>
            <w:pPr>
              <w:spacing w:after="0"/>
              <w:rPr>
                <w:sz w:val="11"/>
                <w:szCs w:val="11"/>
                <w:color w:val="auto"/>
              </w:rPr>
            </w:pPr>
          </w:p>
        </w:tc>
        <w:tc>
          <w:tcPr>
            <w:tcW w:w="40" w:type="dxa"/>
            <w:vAlign w:val="bottom"/>
            <w:tcBorders>
              <w:top w:val="single" w:sz="8" w:color="023C5B"/>
            </w:tcBorders>
          </w:tcPr>
          <w:p>
            <w:pPr>
              <w:spacing w:after="0"/>
              <w:rPr>
                <w:sz w:val="11"/>
                <w:szCs w:val="11"/>
                <w:color w:val="auto"/>
              </w:rPr>
            </w:pPr>
          </w:p>
        </w:tc>
        <w:tc>
          <w:tcPr>
            <w:tcW w:w="20" w:type="dxa"/>
            <w:vAlign w:val="bottom"/>
            <w:tcBorders>
              <w:top w:val="single" w:sz="8" w:color="023C5B"/>
            </w:tcBorders>
          </w:tcPr>
          <w:p>
            <w:pPr>
              <w:spacing w:after="0"/>
              <w:rPr>
                <w:sz w:val="11"/>
                <w:szCs w:val="11"/>
                <w:color w:val="auto"/>
              </w:rPr>
            </w:pPr>
          </w:p>
        </w:tc>
        <w:tc>
          <w:tcPr>
            <w:tcW w:w="116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116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1140" w:type="dxa"/>
            <w:vAlign w:val="bottom"/>
            <w:tcBorders>
              <w:top w:val="single" w:sz="8" w:color="023C5B"/>
            </w:tcBorders>
          </w:tcPr>
          <w:p>
            <w:pPr>
              <w:spacing w:after="0"/>
              <w:rPr>
                <w:sz w:val="11"/>
                <w:szCs w:val="11"/>
                <w:color w:val="auto"/>
              </w:rPr>
            </w:pPr>
          </w:p>
        </w:tc>
        <w:tc>
          <w:tcPr>
            <w:tcW w:w="40" w:type="dxa"/>
            <w:vAlign w:val="bottom"/>
            <w:tcBorders>
              <w:top w:val="single" w:sz="8" w:color="023C5B"/>
            </w:tcBorders>
          </w:tcPr>
          <w:p>
            <w:pPr>
              <w:spacing w:after="0"/>
              <w:rPr>
                <w:sz w:val="11"/>
                <w:szCs w:val="11"/>
                <w:color w:val="auto"/>
              </w:rPr>
            </w:pPr>
          </w:p>
        </w:tc>
        <w:tc>
          <w:tcPr>
            <w:tcW w:w="1140" w:type="dxa"/>
            <w:vAlign w:val="bottom"/>
            <w:tcBorders>
              <w:top w:val="single" w:sz="8" w:color="023C5B"/>
            </w:tcBorders>
          </w:tcPr>
          <w:p>
            <w:pPr>
              <w:spacing w:after="0"/>
              <w:rPr>
                <w:sz w:val="11"/>
                <w:szCs w:val="11"/>
                <w:color w:val="auto"/>
              </w:rPr>
            </w:pPr>
          </w:p>
        </w:tc>
        <w:tc>
          <w:tcPr>
            <w:tcW w:w="20" w:type="dxa"/>
            <w:vAlign w:val="bottom"/>
            <w:tcBorders>
              <w:top w:val="single" w:sz="8" w:color="023C5B"/>
            </w:tcBorders>
          </w:tcPr>
          <w:p>
            <w:pPr>
              <w:spacing w:after="0"/>
              <w:rPr>
                <w:sz w:val="11"/>
                <w:szCs w:val="11"/>
                <w:color w:val="auto"/>
              </w:rPr>
            </w:pPr>
          </w:p>
        </w:tc>
        <w:tc>
          <w:tcPr>
            <w:tcW w:w="40" w:type="dxa"/>
            <w:vAlign w:val="bottom"/>
            <w:tcBorders>
              <w:top w:val="single" w:sz="8" w:color="023C5B"/>
            </w:tcBorders>
          </w:tcPr>
          <w:p>
            <w:pPr>
              <w:spacing w:after="0"/>
              <w:rPr>
                <w:sz w:val="11"/>
                <w:szCs w:val="11"/>
                <w:color w:val="auto"/>
              </w:rPr>
            </w:pPr>
          </w:p>
        </w:tc>
        <w:tc>
          <w:tcPr>
            <w:tcW w:w="960" w:type="dxa"/>
            <w:vAlign w:val="bottom"/>
            <w:tcBorders>
              <w:top w:val="single" w:sz="8" w:color="023C5B"/>
            </w:tcBorders>
          </w:tcPr>
          <w:p>
            <w:pPr>
              <w:spacing w:after="0"/>
              <w:rPr>
                <w:sz w:val="11"/>
                <w:szCs w:val="11"/>
                <w:color w:val="auto"/>
              </w:rPr>
            </w:pPr>
          </w:p>
        </w:tc>
        <w:tc>
          <w:tcPr>
            <w:tcW w:w="20" w:type="dxa"/>
            <w:vAlign w:val="bottom"/>
            <w:tcBorders>
              <w:top w:val="single" w:sz="8" w:color="023C5B"/>
            </w:tcBorders>
          </w:tcPr>
          <w:p>
            <w:pPr>
              <w:spacing w:after="0"/>
              <w:rPr>
                <w:sz w:val="11"/>
                <w:szCs w:val="11"/>
                <w:color w:val="auto"/>
              </w:rPr>
            </w:pPr>
          </w:p>
        </w:tc>
        <w:tc>
          <w:tcPr>
            <w:tcW w:w="40" w:type="dxa"/>
            <w:vAlign w:val="bottom"/>
            <w:tcBorders>
              <w:top w:val="single" w:sz="8" w:color="023C5B"/>
            </w:tcBorders>
          </w:tcPr>
          <w:p>
            <w:pPr>
              <w:spacing w:after="0"/>
              <w:rPr>
                <w:sz w:val="11"/>
                <w:szCs w:val="11"/>
                <w:color w:val="auto"/>
              </w:rPr>
            </w:pPr>
          </w:p>
        </w:tc>
        <w:tc>
          <w:tcPr>
            <w:tcW w:w="980" w:type="dxa"/>
            <w:vAlign w:val="bottom"/>
            <w:tcBorders>
              <w:top w:val="single" w:sz="8" w:color="023C5B"/>
            </w:tcBorders>
          </w:tcPr>
          <w:p>
            <w:pPr>
              <w:spacing w:after="0"/>
              <w:rPr>
                <w:sz w:val="11"/>
                <w:szCs w:val="11"/>
                <w:color w:val="auto"/>
              </w:rPr>
            </w:pPr>
          </w:p>
        </w:tc>
        <w:tc>
          <w:tcPr>
            <w:tcW w:w="20" w:type="dxa"/>
            <w:vAlign w:val="bottom"/>
            <w:tcBorders>
              <w:top w:val="single" w:sz="8" w:color="023C5B"/>
            </w:tcBorders>
          </w:tcPr>
          <w:p>
            <w:pPr>
              <w:spacing w:after="0"/>
              <w:rPr>
                <w:sz w:val="11"/>
                <w:szCs w:val="11"/>
                <w:color w:val="auto"/>
              </w:rPr>
            </w:pPr>
          </w:p>
        </w:tc>
        <w:tc>
          <w:tcPr>
            <w:tcW w:w="40" w:type="dxa"/>
            <w:vAlign w:val="bottom"/>
            <w:tcBorders>
              <w:top w:val="single" w:sz="8" w:color="023C5B"/>
            </w:tcBorders>
          </w:tcPr>
          <w:p>
            <w:pPr>
              <w:spacing w:after="0"/>
              <w:rPr>
                <w:sz w:val="11"/>
                <w:szCs w:val="11"/>
                <w:color w:val="auto"/>
              </w:rPr>
            </w:pPr>
          </w:p>
        </w:tc>
        <w:tc>
          <w:tcPr>
            <w:tcW w:w="64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820" w:type="dxa"/>
            <w:vAlign w:val="bottom"/>
            <w:tcBorders>
              <w:top w:val="single" w:sz="8" w:color="023C5B"/>
            </w:tcBorders>
          </w:tcPr>
          <w:p>
            <w:pPr>
              <w:spacing w:after="0"/>
              <w:rPr>
                <w:sz w:val="11"/>
                <w:szCs w:val="11"/>
                <w:color w:val="auto"/>
              </w:rPr>
            </w:pPr>
          </w:p>
        </w:tc>
      </w:tr>
    </w:tbl>
    <w:p>
      <w:pPr>
        <w:spacing w:after="0" w:line="31" w:lineRule="exact"/>
        <w:rPr>
          <w:sz w:val="20"/>
          <w:szCs w:val="20"/>
          <w:color w:val="auto"/>
        </w:rPr>
      </w:pPr>
    </w:p>
    <w:p>
      <w:pPr>
        <w:jc w:val="both"/>
        <w:ind w:left="600" w:hanging="433"/>
        <w:spacing w:after="0" w:line="249" w:lineRule="auto"/>
        <w:tabs>
          <w:tab w:leader="none" w:pos="6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Mr. Fairbank is represented as the principal executive officer (“PEO”) for each of the years shown. For performance year 2025, Messrs. Young, Cooper, Mouadeb, and LaPrade are represented as the non-PEO named executive officers (“Non-PEO NEOs”). For performance year 2024, Messrs. Young, LaPrade, Cooper, and Yajnik are represented as the Non-PEO NEOs. For performance year 2023, Messrs. Young, LaPrade, Yajnik, and Robert M. Alexander are represented as the Non-PEO NEOs. For performance year 2022, Messrs. Young, Neal A. Blinde, LaPrade, and Yajnik are represented as the Non-PEO NEOs. For performance year 2021, Messrs. Young, R. Scott Blackley, LaPrade, Michael J. Wassmer, and Yajnik are represented as the Non-PEO NEOs.</w:t>
      </w:r>
    </w:p>
    <w:p>
      <w:pPr>
        <w:spacing w:after="0" w:line="47" w:lineRule="exact"/>
        <w:rPr>
          <w:rFonts w:ascii="Arial" w:cs="Arial" w:eastAsia="Arial" w:hAnsi="Arial"/>
          <w:sz w:val="14"/>
          <w:szCs w:val="14"/>
          <w:color w:val="auto"/>
        </w:rPr>
      </w:pPr>
    </w:p>
    <w:p>
      <w:pPr>
        <w:jc w:val="both"/>
        <w:ind w:left="600" w:hanging="433"/>
        <w:spacing w:after="0" w:line="249" w:lineRule="auto"/>
        <w:tabs>
          <w:tab w:leader="none" w:pos="6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calculation of CAP requires that we make adjustments to amounts previously reported in the Summary Compensation Table for the five years presented. The SEC’s valuation and calculation methods for CAP differ from those required in the Summary Compensation Table. The table below summarizes compensation values presented in the Summary Compensation Table and the adjusted values required to reconcile these values to the CAP presented above. The amounts shown below for Non-PEO NEOs represents an average of all Non-PEO NEOs. CAP to the PEO and Non-PEO NEOs represents Summary Compensation Table total compensation adjusted by the following amounts:</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307"/>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shd w:val="clear" w:color="auto" w:fill="023C5B"/>
          </w:tcPr>
          <w:p>
            <w:pPr>
              <w:spacing w:after="0"/>
              <w:rPr>
                <w:sz w:val="24"/>
                <w:szCs w:val="24"/>
                <w:color w:val="auto"/>
              </w:rPr>
            </w:pPr>
          </w:p>
        </w:tc>
        <w:tc>
          <w:tcPr>
            <w:tcW w:w="20" w:type="dxa"/>
            <w:vAlign w:val="bottom"/>
            <w:shd w:val="clear" w:color="auto" w:fill="023C5B"/>
          </w:tcPr>
          <w:p>
            <w:pPr>
              <w:spacing w:after="0"/>
              <w:rPr>
                <w:sz w:val="24"/>
                <w:szCs w:val="24"/>
                <w:color w:val="auto"/>
              </w:rPr>
            </w:pPr>
          </w:p>
        </w:tc>
        <w:tc>
          <w:tcPr>
            <w:tcW w:w="20" w:type="dxa"/>
            <w:vAlign w:val="bottom"/>
            <w:shd w:val="clear" w:color="auto" w:fill="023C5B"/>
          </w:tcPr>
          <w:p>
            <w:pPr>
              <w:spacing w:after="0"/>
              <w:rPr>
                <w:sz w:val="24"/>
                <w:szCs w:val="24"/>
                <w:color w:val="auto"/>
              </w:rPr>
            </w:pPr>
          </w:p>
        </w:tc>
        <w:tc>
          <w:tcPr>
            <w:tcW w:w="1060" w:type="dxa"/>
            <w:vAlign w:val="bottom"/>
            <w:shd w:val="clear" w:color="auto" w:fill="023C5B"/>
          </w:tcPr>
          <w:p>
            <w:pPr>
              <w:spacing w:after="0"/>
              <w:rPr>
                <w:sz w:val="24"/>
                <w:szCs w:val="24"/>
                <w:color w:val="auto"/>
              </w:rPr>
            </w:pPr>
          </w:p>
        </w:tc>
        <w:tc>
          <w:tcPr>
            <w:tcW w:w="40" w:type="dxa"/>
            <w:vAlign w:val="bottom"/>
            <w:shd w:val="clear" w:color="auto" w:fill="023C5B"/>
          </w:tcPr>
          <w:p>
            <w:pPr>
              <w:spacing w:after="0"/>
              <w:rPr>
                <w:sz w:val="24"/>
                <w:szCs w:val="24"/>
                <w:color w:val="auto"/>
              </w:rPr>
            </w:pPr>
          </w:p>
        </w:tc>
        <w:tc>
          <w:tcPr>
            <w:tcW w:w="20" w:type="dxa"/>
            <w:vAlign w:val="bottom"/>
            <w:shd w:val="clear" w:color="auto" w:fill="023C5B"/>
          </w:tcPr>
          <w:p>
            <w:pPr>
              <w:spacing w:after="0"/>
              <w:rPr>
                <w:sz w:val="24"/>
                <w:szCs w:val="24"/>
                <w:color w:val="auto"/>
              </w:rPr>
            </w:pPr>
          </w:p>
        </w:tc>
        <w:tc>
          <w:tcPr>
            <w:tcW w:w="320" w:type="dxa"/>
            <w:vAlign w:val="bottom"/>
            <w:tcBorders>
              <w:right w:val="single" w:sz="8" w:color="023C5B"/>
            </w:tcBorders>
            <w:shd w:val="clear" w:color="auto" w:fill="023C5B"/>
          </w:tcPr>
          <w:p>
            <w:pPr>
              <w:spacing w:after="0"/>
              <w:rPr>
                <w:sz w:val="24"/>
                <w:szCs w:val="24"/>
                <w:color w:val="auto"/>
              </w:rPr>
            </w:pPr>
          </w:p>
        </w:tc>
        <w:tc>
          <w:tcPr>
            <w:tcW w:w="4620" w:type="dxa"/>
            <w:vAlign w:val="bottom"/>
            <w:gridSpan w:val="10"/>
            <w:shd w:val="clear" w:color="auto" w:fill="023C5B"/>
          </w:tcPr>
          <w:p>
            <w:pPr>
              <w:ind w:left="280"/>
              <w:spacing w:after="0"/>
              <w:rPr>
                <w:sz w:val="20"/>
                <w:szCs w:val="20"/>
                <w:color w:val="auto"/>
              </w:rPr>
            </w:pPr>
            <w:r>
              <w:rPr>
                <w:rFonts w:ascii="Arial" w:cs="Arial" w:eastAsia="Arial" w:hAnsi="Arial"/>
                <w:sz w:val="12"/>
                <w:szCs w:val="12"/>
                <w:b w:val="1"/>
                <w:bCs w:val="1"/>
                <w:color w:val="FFFFFF"/>
              </w:rPr>
              <w:t>Summary Compensation Table Total to CAP Reconciliation</w:t>
            </w:r>
            <w:r>
              <w:rPr>
                <w:rFonts w:ascii="Arial" w:cs="Arial" w:eastAsia="Arial" w:hAnsi="Arial"/>
                <w:sz w:val="15"/>
                <w:szCs w:val="15"/>
                <w:b w:val="1"/>
                <w:bCs w:val="1"/>
                <w:color w:val="FFFFFF"/>
                <w:vertAlign w:val="superscript"/>
              </w:rPr>
              <w:t>(a)</w:t>
            </w:r>
          </w:p>
        </w:tc>
        <w:tc>
          <w:tcPr>
            <w:tcW w:w="780" w:type="dxa"/>
            <w:vAlign w:val="bottom"/>
            <w:shd w:val="clear" w:color="auto" w:fill="023C5B"/>
          </w:tcPr>
          <w:p>
            <w:pPr>
              <w:spacing w:after="0"/>
              <w:rPr>
                <w:sz w:val="24"/>
                <w:szCs w:val="24"/>
                <w:color w:val="auto"/>
              </w:rPr>
            </w:pPr>
          </w:p>
        </w:tc>
        <w:tc>
          <w:tcPr>
            <w:tcW w:w="60" w:type="dxa"/>
            <w:vAlign w:val="bottom"/>
            <w:shd w:val="clear" w:color="auto" w:fill="023C5B"/>
          </w:tcPr>
          <w:p>
            <w:pPr>
              <w:spacing w:after="0"/>
              <w:rPr>
                <w:sz w:val="24"/>
                <w:szCs w:val="24"/>
                <w:color w:val="auto"/>
              </w:rPr>
            </w:pPr>
          </w:p>
        </w:tc>
        <w:tc>
          <w:tcPr>
            <w:tcW w:w="880" w:type="dxa"/>
            <w:vAlign w:val="bottom"/>
            <w:shd w:val="clear" w:color="auto" w:fill="023C5B"/>
          </w:tcPr>
          <w:p>
            <w:pPr>
              <w:spacing w:after="0"/>
              <w:rPr>
                <w:sz w:val="24"/>
                <w:szCs w:val="24"/>
                <w:color w:val="auto"/>
              </w:rPr>
            </w:pPr>
          </w:p>
        </w:tc>
        <w:tc>
          <w:tcPr>
            <w:tcW w:w="60" w:type="dxa"/>
            <w:vAlign w:val="bottom"/>
            <w:shd w:val="clear" w:color="auto" w:fill="023C5B"/>
          </w:tcPr>
          <w:p>
            <w:pPr>
              <w:spacing w:after="0"/>
              <w:rPr>
                <w:sz w:val="24"/>
                <w:szCs w:val="24"/>
                <w:color w:val="auto"/>
              </w:rPr>
            </w:pPr>
          </w:p>
        </w:tc>
        <w:tc>
          <w:tcPr>
            <w:tcW w:w="900" w:type="dxa"/>
            <w:vAlign w:val="bottom"/>
            <w:shd w:val="clear" w:color="auto" w:fill="023C5B"/>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shd w:val="clear" w:color="auto" w:fill="023C5B"/>
          </w:tcPr>
          <w:p>
            <w:pPr>
              <w:spacing w:after="0"/>
              <w:rPr>
                <w:sz w:val="20"/>
                <w:szCs w:val="20"/>
                <w:color w:val="auto"/>
              </w:rPr>
            </w:pPr>
          </w:p>
        </w:tc>
        <w:tc>
          <w:tcPr>
            <w:tcW w:w="20" w:type="dxa"/>
            <w:vAlign w:val="bottom"/>
            <w:shd w:val="clear" w:color="auto" w:fill="023C5B"/>
          </w:tcPr>
          <w:p>
            <w:pPr>
              <w:spacing w:after="0"/>
              <w:rPr>
                <w:sz w:val="20"/>
                <w:szCs w:val="20"/>
                <w:color w:val="auto"/>
              </w:rPr>
            </w:pPr>
          </w:p>
        </w:tc>
        <w:tc>
          <w:tcPr>
            <w:tcW w:w="20" w:type="dxa"/>
            <w:vAlign w:val="bottom"/>
            <w:shd w:val="clear" w:color="auto" w:fill="023C5B"/>
          </w:tcPr>
          <w:p>
            <w:pPr>
              <w:spacing w:after="0"/>
              <w:rPr>
                <w:sz w:val="20"/>
                <w:szCs w:val="20"/>
                <w:color w:val="auto"/>
              </w:rPr>
            </w:pPr>
          </w:p>
        </w:tc>
        <w:tc>
          <w:tcPr>
            <w:tcW w:w="1060" w:type="dxa"/>
            <w:vAlign w:val="bottom"/>
            <w:shd w:val="clear" w:color="auto" w:fill="023C5B"/>
          </w:tcPr>
          <w:p>
            <w:pPr>
              <w:spacing w:after="0"/>
              <w:rPr>
                <w:sz w:val="20"/>
                <w:szCs w:val="20"/>
                <w:color w:val="auto"/>
              </w:rPr>
            </w:pPr>
          </w:p>
        </w:tc>
        <w:tc>
          <w:tcPr>
            <w:tcW w:w="40" w:type="dxa"/>
            <w:vAlign w:val="bottom"/>
            <w:shd w:val="clear" w:color="auto" w:fill="023C5B"/>
          </w:tcPr>
          <w:p>
            <w:pPr>
              <w:spacing w:after="0"/>
              <w:rPr>
                <w:sz w:val="20"/>
                <w:szCs w:val="20"/>
                <w:color w:val="auto"/>
              </w:rPr>
            </w:pPr>
          </w:p>
        </w:tc>
        <w:tc>
          <w:tcPr>
            <w:tcW w:w="20" w:type="dxa"/>
            <w:vAlign w:val="bottom"/>
            <w:shd w:val="clear" w:color="auto" w:fill="023C5B"/>
          </w:tcPr>
          <w:p>
            <w:pPr>
              <w:spacing w:after="0"/>
              <w:rPr>
                <w:sz w:val="20"/>
                <w:szCs w:val="20"/>
                <w:color w:val="auto"/>
              </w:rPr>
            </w:pPr>
          </w:p>
        </w:tc>
        <w:tc>
          <w:tcPr>
            <w:tcW w:w="320" w:type="dxa"/>
            <w:vAlign w:val="bottom"/>
            <w:tcBorders>
              <w:right w:val="single" w:sz="8" w:color="023C5B"/>
            </w:tcBorders>
            <w:shd w:val="clear" w:color="auto" w:fill="023C5B"/>
          </w:tcPr>
          <w:p>
            <w:pPr>
              <w:spacing w:after="0"/>
              <w:rPr>
                <w:sz w:val="20"/>
                <w:szCs w:val="20"/>
                <w:color w:val="auto"/>
              </w:rPr>
            </w:pPr>
          </w:p>
        </w:tc>
        <w:tc>
          <w:tcPr>
            <w:tcW w:w="580" w:type="dxa"/>
            <w:vAlign w:val="bottom"/>
            <w:shd w:val="clear" w:color="auto" w:fill="023C5B"/>
          </w:tcPr>
          <w:p>
            <w:pPr>
              <w:spacing w:after="0"/>
              <w:rPr>
                <w:sz w:val="20"/>
                <w:szCs w:val="20"/>
                <w:color w:val="auto"/>
              </w:rPr>
            </w:pPr>
          </w:p>
        </w:tc>
        <w:tc>
          <w:tcPr>
            <w:tcW w:w="40" w:type="dxa"/>
            <w:vAlign w:val="bottom"/>
            <w:shd w:val="clear" w:color="auto" w:fill="023C5B"/>
          </w:tcPr>
          <w:p>
            <w:pPr>
              <w:spacing w:after="0"/>
              <w:rPr>
                <w:sz w:val="20"/>
                <w:szCs w:val="20"/>
                <w:color w:val="auto"/>
              </w:rPr>
            </w:pPr>
          </w:p>
        </w:tc>
        <w:tc>
          <w:tcPr>
            <w:tcW w:w="1120" w:type="dxa"/>
            <w:vAlign w:val="bottom"/>
            <w:gridSpan w:val="2"/>
            <w:shd w:val="clear" w:color="auto" w:fill="023C5B"/>
          </w:tcPr>
          <w:p>
            <w:pPr>
              <w:jc w:val="center"/>
              <w:spacing w:after="0"/>
              <w:rPr>
                <w:sz w:val="20"/>
                <w:szCs w:val="20"/>
                <w:color w:val="auto"/>
              </w:rPr>
            </w:pPr>
            <w:r>
              <w:rPr>
                <w:rFonts w:ascii="Arial" w:cs="Arial" w:eastAsia="Arial" w:hAnsi="Arial"/>
                <w:sz w:val="12"/>
                <w:szCs w:val="12"/>
                <w:b w:val="1"/>
                <w:bCs w:val="1"/>
                <w:color w:val="FFFFFF"/>
              </w:rPr>
              <w:t>Less Fair</w:t>
            </w:r>
          </w:p>
        </w:tc>
        <w:tc>
          <w:tcPr>
            <w:tcW w:w="900" w:type="dxa"/>
            <w:vAlign w:val="bottom"/>
            <w:shd w:val="clear" w:color="auto" w:fill="023C5B"/>
          </w:tcPr>
          <w:p>
            <w:pPr>
              <w:spacing w:after="0"/>
              <w:rPr>
                <w:sz w:val="20"/>
                <w:szCs w:val="20"/>
                <w:color w:val="auto"/>
              </w:rPr>
            </w:pPr>
          </w:p>
        </w:tc>
        <w:tc>
          <w:tcPr>
            <w:tcW w:w="60" w:type="dxa"/>
            <w:vAlign w:val="bottom"/>
            <w:shd w:val="clear" w:color="auto" w:fill="023C5B"/>
          </w:tcPr>
          <w:p>
            <w:pPr>
              <w:spacing w:after="0"/>
              <w:rPr>
                <w:sz w:val="20"/>
                <w:szCs w:val="20"/>
                <w:color w:val="auto"/>
              </w:rPr>
            </w:pPr>
          </w:p>
        </w:tc>
        <w:tc>
          <w:tcPr>
            <w:tcW w:w="960" w:type="dxa"/>
            <w:vAlign w:val="bottom"/>
            <w:gridSpan w:val="2"/>
            <w:vMerge w:val="restart"/>
            <w:shd w:val="clear" w:color="auto" w:fill="023C5B"/>
          </w:tcPr>
          <w:p>
            <w:pPr>
              <w:jc w:val="center"/>
              <w:ind w:right="20"/>
              <w:spacing w:after="0"/>
              <w:rPr>
                <w:sz w:val="20"/>
                <w:szCs w:val="20"/>
                <w:color w:val="auto"/>
              </w:rPr>
            </w:pPr>
            <w:r>
              <w:rPr>
                <w:rFonts w:ascii="Arial" w:cs="Arial" w:eastAsia="Arial" w:hAnsi="Arial"/>
                <w:sz w:val="12"/>
                <w:szCs w:val="12"/>
                <w:b w:val="1"/>
                <w:bCs w:val="1"/>
                <w:color w:val="FFFFFF"/>
                <w:w w:val="95"/>
              </w:rPr>
              <w:t>  Change in </w:t>
            </w:r>
          </w:p>
        </w:tc>
        <w:tc>
          <w:tcPr>
            <w:tcW w:w="960" w:type="dxa"/>
            <w:vAlign w:val="bottom"/>
            <w:gridSpan w:val="2"/>
            <w:vMerge w:val="restart"/>
            <w:shd w:val="clear" w:color="auto" w:fill="023C5B"/>
          </w:tcPr>
          <w:p>
            <w:pPr>
              <w:jc w:val="center"/>
              <w:spacing w:after="0"/>
              <w:rPr>
                <w:sz w:val="20"/>
                <w:szCs w:val="20"/>
                <w:color w:val="auto"/>
              </w:rPr>
            </w:pPr>
            <w:r>
              <w:rPr>
                <w:rFonts w:ascii="Arial" w:cs="Arial" w:eastAsia="Arial" w:hAnsi="Arial"/>
                <w:sz w:val="12"/>
                <w:szCs w:val="12"/>
                <w:b w:val="1"/>
                <w:bCs w:val="1"/>
                <w:color w:val="FFFFFF"/>
              </w:rPr>
              <w:t>Change in</w:t>
            </w:r>
          </w:p>
        </w:tc>
        <w:tc>
          <w:tcPr>
            <w:tcW w:w="840" w:type="dxa"/>
            <w:vAlign w:val="bottom"/>
            <w:gridSpan w:val="2"/>
            <w:vMerge w:val="restart"/>
            <w:shd w:val="clear" w:color="auto" w:fill="023C5B"/>
          </w:tcPr>
          <w:p>
            <w:pPr>
              <w:jc w:val="center"/>
              <w:spacing w:after="0"/>
              <w:rPr>
                <w:sz w:val="20"/>
                <w:szCs w:val="20"/>
                <w:color w:val="auto"/>
              </w:rPr>
            </w:pPr>
            <w:r>
              <w:rPr>
                <w:rFonts w:ascii="Arial" w:cs="Arial" w:eastAsia="Arial" w:hAnsi="Arial"/>
                <w:sz w:val="12"/>
                <w:szCs w:val="12"/>
                <w:b w:val="1"/>
                <w:bCs w:val="1"/>
                <w:color w:val="FFFFFF"/>
              </w:rPr>
              <w:t>Less</w:t>
            </w:r>
          </w:p>
        </w:tc>
        <w:tc>
          <w:tcPr>
            <w:tcW w:w="880" w:type="dxa"/>
            <w:vAlign w:val="bottom"/>
            <w:shd w:val="clear" w:color="auto" w:fill="023C5B"/>
          </w:tcPr>
          <w:p>
            <w:pPr>
              <w:spacing w:after="0"/>
              <w:rPr>
                <w:sz w:val="20"/>
                <w:szCs w:val="20"/>
                <w:color w:val="auto"/>
              </w:rPr>
            </w:pPr>
          </w:p>
        </w:tc>
        <w:tc>
          <w:tcPr>
            <w:tcW w:w="60" w:type="dxa"/>
            <w:vAlign w:val="bottom"/>
            <w:shd w:val="clear" w:color="auto" w:fill="023C5B"/>
          </w:tcPr>
          <w:p>
            <w:pPr>
              <w:spacing w:after="0"/>
              <w:rPr>
                <w:sz w:val="20"/>
                <w:szCs w:val="20"/>
                <w:color w:val="auto"/>
              </w:rPr>
            </w:pPr>
          </w:p>
        </w:tc>
        <w:tc>
          <w:tcPr>
            <w:tcW w:w="900" w:type="dxa"/>
            <w:vAlign w:val="bottom"/>
            <w:shd w:val="clear" w:color="auto" w:fill="023C5B"/>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1060" w:type="dxa"/>
            <w:vAlign w:val="bottom"/>
            <w:shd w:val="clear" w:color="auto" w:fill="023C5B"/>
          </w:tcPr>
          <w:p>
            <w:pPr>
              <w:spacing w:after="0"/>
              <w:rPr>
                <w:sz w:val="11"/>
                <w:szCs w:val="11"/>
                <w:color w:val="auto"/>
              </w:rPr>
            </w:pPr>
          </w:p>
        </w:tc>
        <w:tc>
          <w:tcPr>
            <w:tcW w:w="4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320" w:type="dxa"/>
            <w:vAlign w:val="bottom"/>
            <w:tcBorders>
              <w:right w:val="single" w:sz="8" w:color="023C5B"/>
            </w:tcBorders>
            <w:shd w:val="clear" w:color="auto" w:fill="023C5B"/>
          </w:tcPr>
          <w:p>
            <w:pPr>
              <w:spacing w:after="0"/>
              <w:rPr>
                <w:sz w:val="11"/>
                <w:szCs w:val="11"/>
                <w:color w:val="auto"/>
              </w:rPr>
            </w:pPr>
          </w:p>
        </w:tc>
        <w:tc>
          <w:tcPr>
            <w:tcW w:w="580" w:type="dxa"/>
            <w:vAlign w:val="bottom"/>
            <w:shd w:val="clear" w:color="auto" w:fill="023C5B"/>
          </w:tcPr>
          <w:p>
            <w:pPr>
              <w:spacing w:after="0"/>
              <w:rPr>
                <w:sz w:val="11"/>
                <w:szCs w:val="11"/>
                <w:color w:val="auto"/>
              </w:rPr>
            </w:pPr>
          </w:p>
        </w:tc>
        <w:tc>
          <w:tcPr>
            <w:tcW w:w="40" w:type="dxa"/>
            <w:vAlign w:val="bottom"/>
            <w:shd w:val="clear" w:color="auto" w:fill="023C5B"/>
          </w:tcPr>
          <w:p>
            <w:pPr>
              <w:spacing w:after="0"/>
              <w:rPr>
                <w:sz w:val="11"/>
                <w:szCs w:val="11"/>
                <w:color w:val="auto"/>
              </w:rPr>
            </w:pPr>
          </w:p>
        </w:tc>
        <w:tc>
          <w:tcPr>
            <w:tcW w:w="112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Value of</w:t>
            </w:r>
          </w:p>
        </w:tc>
        <w:tc>
          <w:tcPr>
            <w:tcW w:w="900" w:type="dxa"/>
            <w:vAlign w:val="bottom"/>
            <w:shd w:val="clear" w:color="auto" w:fill="023C5B"/>
          </w:tcPr>
          <w:p>
            <w:pPr>
              <w:spacing w:after="0"/>
              <w:rPr>
                <w:sz w:val="11"/>
                <w:szCs w:val="11"/>
                <w:color w:val="auto"/>
              </w:rPr>
            </w:pPr>
          </w:p>
        </w:tc>
        <w:tc>
          <w:tcPr>
            <w:tcW w:w="60" w:type="dxa"/>
            <w:vAlign w:val="bottom"/>
            <w:shd w:val="clear" w:color="auto" w:fill="023C5B"/>
          </w:tcPr>
          <w:p>
            <w:pPr>
              <w:spacing w:after="0"/>
              <w:rPr>
                <w:sz w:val="11"/>
                <w:szCs w:val="11"/>
                <w:color w:val="auto"/>
              </w:rPr>
            </w:pPr>
          </w:p>
        </w:tc>
        <w:tc>
          <w:tcPr>
            <w:tcW w:w="960" w:type="dxa"/>
            <w:vAlign w:val="bottom"/>
            <w:gridSpan w:val="2"/>
            <w:vMerge w:val="continue"/>
            <w:shd w:val="clear" w:color="auto" w:fill="023C5B"/>
          </w:tcPr>
          <w:p>
            <w:pPr>
              <w:spacing w:after="0"/>
              <w:rPr>
                <w:sz w:val="11"/>
                <w:szCs w:val="11"/>
                <w:color w:val="auto"/>
              </w:rPr>
            </w:pPr>
          </w:p>
        </w:tc>
        <w:tc>
          <w:tcPr>
            <w:tcW w:w="960" w:type="dxa"/>
            <w:vAlign w:val="bottom"/>
            <w:gridSpan w:val="2"/>
            <w:vMerge w:val="continue"/>
            <w:shd w:val="clear" w:color="auto" w:fill="023C5B"/>
          </w:tcPr>
          <w:p>
            <w:pPr>
              <w:spacing w:after="0"/>
              <w:rPr>
                <w:sz w:val="11"/>
                <w:szCs w:val="11"/>
                <w:color w:val="auto"/>
              </w:rPr>
            </w:pPr>
          </w:p>
        </w:tc>
        <w:tc>
          <w:tcPr>
            <w:tcW w:w="840" w:type="dxa"/>
            <w:vAlign w:val="bottom"/>
            <w:gridSpan w:val="2"/>
            <w:vMerge w:val="continue"/>
            <w:shd w:val="clear" w:color="auto" w:fill="023C5B"/>
          </w:tcPr>
          <w:p>
            <w:pPr>
              <w:spacing w:after="0"/>
              <w:rPr>
                <w:sz w:val="11"/>
                <w:szCs w:val="11"/>
                <w:color w:val="auto"/>
              </w:rPr>
            </w:pPr>
          </w:p>
        </w:tc>
        <w:tc>
          <w:tcPr>
            <w:tcW w:w="940" w:type="dxa"/>
            <w:vAlign w:val="bottom"/>
            <w:gridSpan w:val="2"/>
            <w:vMerge w:val="restart"/>
            <w:shd w:val="clear" w:color="auto" w:fill="023C5B"/>
          </w:tcPr>
          <w:p>
            <w:pPr>
              <w:jc w:val="center"/>
              <w:ind w:right="20"/>
              <w:spacing w:after="0"/>
              <w:rPr>
                <w:sz w:val="20"/>
                <w:szCs w:val="20"/>
                <w:color w:val="auto"/>
              </w:rPr>
            </w:pPr>
            <w:r>
              <w:rPr>
                <w:rFonts w:ascii="Arial" w:cs="Arial" w:eastAsia="Arial" w:hAnsi="Arial"/>
                <w:sz w:val="12"/>
                <w:szCs w:val="12"/>
                <w:b w:val="1"/>
                <w:bCs w:val="1"/>
                <w:color w:val="FFFFFF"/>
              </w:rPr>
              <w:t>Plus Fair</w:t>
            </w:r>
          </w:p>
        </w:tc>
        <w:tc>
          <w:tcPr>
            <w:tcW w:w="900" w:type="dxa"/>
            <w:vAlign w:val="bottom"/>
            <w:shd w:val="clear" w:color="auto" w:fill="023C5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1060" w:type="dxa"/>
            <w:vAlign w:val="bottom"/>
            <w:shd w:val="clear" w:color="auto" w:fill="023C5B"/>
          </w:tcPr>
          <w:p>
            <w:pPr>
              <w:spacing w:after="0"/>
              <w:rPr>
                <w:sz w:val="11"/>
                <w:szCs w:val="11"/>
                <w:color w:val="auto"/>
              </w:rPr>
            </w:pPr>
          </w:p>
        </w:tc>
        <w:tc>
          <w:tcPr>
            <w:tcW w:w="4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320" w:type="dxa"/>
            <w:vAlign w:val="bottom"/>
            <w:tcBorders>
              <w:right w:val="single" w:sz="8" w:color="023C5B"/>
            </w:tcBorders>
            <w:shd w:val="clear" w:color="auto" w:fill="023C5B"/>
          </w:tcPr>
          <w:p>
            <w:pPr>
              <w:spacing w:after="0"/>
              <w:rPr>
                <w:sz w:val="11"/>
                <w:szCs w:val="11"/>
                <w:color w:val="auto"/>
              </w:rPr>
            </w:pPr>
          </w:p>
        </w:tc>
        <w:tc>
          <w:tcPr>
            <w:tcW w:w="580" w:type="dxa"/>
            <w:vAlign w:val="bottom"/>
            <w:shd w:val="clear" w:color="auto" w:fill="023C5B"/>
          </w:tcPr>
          <w:p>
            <w:pPr>
              <w:spacing w:after="0"/>
              <w:rPr>
                <w:sz w:val="11"/>
                <w:szCs w:val="11"/>
                <w:color w:val="auto"/>
              </w:rPr>
            </w:pPr>
          </w:p>
        </w:tc>
        <w:tc>
          <w:tcPr>
            <w:tcW w:w="40" w:type="dxa"/>
            <w:vAlign w:val="bottom"/>
            <w:shd w:val="clear" w:color="auto" w:fill="023C5B"/>
          </w:tcPr>
          <w:p>
            <w:pPr>
              <w:spacing w:after="0"/>
              <w:rPr>
                <w:sz w:val="11"/>
                <w:szCs w:val="11"/>
                <w:color w:val="auto"/>
              </w:rPr>
            </w:pPr>
          </w:p>
        </w:tc>
        <w:tc>
          <w:tcPr>
            <w:tcW w:w="112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Equity</w:t>
            </w:r>
          </w:p>
        </w:tc>
        <w:tc>
          <w:tcPr>
            <w:tcW w:w="960" w:type="dxa"/>
            <w:vAlign w:val="bottom"/>
            <w:gridSpan w:val="2"/>
            <w:vMerge w:val="restart"/>
            <w:shd w:val="clear" w:color="auto" w:fill="023C5B"/>
          </w:tcPr>
          <w:p>
            <w:pPr>
              <w:jc w:val="center"/>
              <w:spacing w:after="0"/>
              <w:rPr>
                <w:sz w:val="20"/>
                <w:szCs w:val="20"/>
                <w:color w:val="auto"/>
              </w:rPr>
            </w:pPr>
            <w:r>
              <w:rPr>
                <w:rFonts w:ascii="Arial" w:cs="Arial" w:eastAsia="Arial" w:hAnsi="Arial"/>
                <w:sz w:val="12"/>
                <w:szCs w:val="12"/>
                <w:b w:val="1"/>
                <w:bCs w:val="1"/>
                <w:color w:val="FFFFFF"/>
              </w:rPr>
              <w:t>Plus Fair</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Fair Value</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Fair Value</w:t>
            </w:r>
          </w:p>
        </w:tc>
        <w:tc>
          <w:tcPr>
            <w:tcW w:w="840" w:type="dxa"/>
            <w:vAlign w:val="bottom"/>
            <w:gridSpan w:val="2"/>
            <w:shd w:val="clear" w:color="auto" w:fill="023C5B"/>
          </w:tcPr>
          <w:p>
            <w:pPr>
              <w:jc w:val="center"/>
              <w:ind w:right="40"/>
              <w:spacing w:after="0" w:line="134" w:lineRule="exact"/>
              <w:rPr>
                <w:sz w:val="20"/>
                <w:szCs w:val="20"/>
                <w:color w:val="auto"/>
              </w:rPr>
            </w:pPr>
            <w:r>
              <w:rPr>
                <w:rFonts w:ascii="Arial" w:cs="Arial" w:eastAsia="Arial" w:hAnsi="Arial"/>
                <w:sz w:val="12"/>
                <w:szCs w:val="12"/>
                <w:b w:val="1"/>
                <w:bCs w:val="1"/>
                <w:color w:val="FFFFFF"/>
              </w:rPr>
              <w:t xml:space="preserve">  Fair Value </w:t>
            </w:r>
          </w:p>
        </w:tc>
        <w:tc>
          <w:tcPr>
            <w:tcW w:w="940" w:type="dxa"/>
            <w:vAlign w:val="bottom"/>
            <w:gridSpan w:val="2"/>
            <w:vMerge w:val="continue"/>
            <w:shd w:val="clear" w:color="auto" w:fill="023C5B"/>
          </w:tcPr>
          <w:p>
            <w:pPr>
              <w:spacing w:after="0"/>
              <w:rPr>
                <w:sz w:val="11"/>
                <w:szCs w:val="11"/>
                <w:color w:val="auto"/>
              </w:rPr>
            </w:pPr>
          </w:p>
        </w:tc>
        <w:tc>
          <w:tcPr>
            <w:tcW w:w="900" w:type="dxa"/>
            <w:vAlign w:val="bottom"/>
            <w:shd w:val="clear" w:color="auto" w:fill="023C5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1060" w:type="dxa"/>
            <w:vAlign w:val="bottom"/>
            <w:shd w:val="clear" w:color="auto" w:fill="023C5B"/>
          </w:tcPr>
          <w:p>
            <w:pPr>
              <w:spacing w:after="0"/>
              <w:rPr>
                <w:sz w:val="11"/>
                <w:szCs w:val="11"/>
                <w:color w:val="auto"/>
              </w:rPr>
            </w:pPr>
          </w:p>
        </w:tc>
        <w:tc>
          <w:tcPr>
            <w:tcW w:w="4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320" w:type="dxa"/>
            <w:vAlign w:val="bottom"/>
            <w:tcBorders>
              <w:right w:val="single" w:sz="8" w:color="023C5B"/>
            </w:tcBorders>
            <w:shd w:val="clear" w:color="auto" w:fill="023C5B"/>
          </w:tcPr>
          <w:p>
            <w:pPr>
              <w:spacing w:after="0"/>
              <w:rPr>
                <w:sz w:val="11"/>
                <w:szCs w:val="11"/>
                <w:color w:val="auto"/>
              </w:rPr>
            </w:pPr>
          </w:p>
        </w:tc>
        <w:tc>
          <w:tcPr>
            <w:tcW w:w="580" w:type="dxa"/>
            <w:vAlign w:val="bottom"/>
            <w:shd w:val="clear" w:color="auto" w:fill="023C5B"/>
          </w:tcPr>
          <w:p>
            <w:pPr>
              <w:spacing w:after="0"/>
              <w:rPr>
                <w:sz w:val="11"/>
                <w:szCs w:val="11"/>
                <w:color w:val="auto"/>
              </w:rPr>
            </w:pPr>
          </w:p>
        </w:tc>
        <w:tc>
          <w:tcPr>
            <w:tcW w:w="40" w:type="dxa"/>
            <w:vAlign w:val="bottom"/>
            <w:shd w:val="clear" w:color="auto" w:fill="023C5B"/>
          </w:tcPr>
          <w:p>
            <w:pPr>
              <w:spacing w:after="0"/>
              <w:rPr>
                <w:sz w:val="11"/>
                <w:szCs w:val="11"/>
                <w:color w:val="auto"/>
              </w:rPr>
            </w:pPr>
          </w:p>
        </w:tc>
        <w:tc>
          <w:tcPr>
            <w:tcW w:w="112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Awards</w:t>
            </w:r>
          </w:p>
        </w:tc>
        <w:tc>
          <w:tcPr>
            <w:tcW w:w="960" w:type="dxa"/>
            <w:vAlign w:val="bottom"/>
            <w:gridSpan w:val="2"/>
            <w:vMerge w:val="continue"/>
            <w:shd w:val="clear" w:color="auto" w:fill="023C5B"/>
          </w:tcPr>
          <w:p>
            <w:pPr>
              <w:spacing w:after="0"/>
              <w:rPr>
                <w:sz w:val="11"/>
                <w:szCs w:val="11"/>
                <w:color w:val="auto"/>
              </w:rPr>
            </w:pP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of Prior</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of Prior</w:t>
            </w:r>
          </w:p>
        </w:tc>
        <w:tc>
          <w:tcPr>
            <w:tcW w:w="84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of Prior</w:t>
            </w:r>
          </w:p>
        </w:tc>
        <w:tc>
          <w:tcPr>
            <w:tcW w:w="940" w:type="dxa"/>
            <w:vAlign w:val="bottom"/>
            <w:gridSpan w:val="2"/>
            <w:shd w:val="clear" w:color="auto" w:fill="023C5B"/>
          </w:tcPr>
          <w:p>
            <w:pPr>
              <w:jc w:val="center"/>
              <w:ind w:right="20"/>
              <w:spacing w:after="0" w:line="134" w:lineRule="exact"/>
              <w:rPr>
                <w:sz w:val="20"/>
                <w:szCs w:val="20"/>
                <w:color w:val="auto"/>
              </w:rPr>
            </w:pPr>
            <w:r>
              <w:rPr>
                <w:rFonts w:ascii="Arial" w:cs="Arial" w:eastAsia="Arial" w:hAnsi="Arial"/>
                <w:sz w:val="12"/>
                <w:szCs w:val="12"/>
                <w:b w:val="1"/>
                <w:bCs w:val="1"/>
                <w:color w:val="FFFFFF"/>
              </w:rPr>
              <w:t>Value of</w:t>
            </w:r>
          </w:p>
        </w:tc>
        <w:tc>
          <w:tcPr>
            <w:tcW w:w="900" w:type="dxa"/>
            <w:vAlign w:val="bottom"/>
            <w:shd w:val="clear" w:color="auto" w:fill="023C5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1060" w:type="dxa"/>
            <w:vAlign w:val="bottom"/>
            <w:shd w:val="clear" w:color="auto" w:fill="023C5B"/>
          </w:tcPr>
          <w:p>
            <w:pPr>
              <w:spacing w:after="0"/>
              <w:rPr>
                <w:sz w:val="11"/>
                <w:szCs w:val="11"/>
                <w:color w:val="auto"/>
              </w:rPr>
            </w:pPr>
          </w:p>
        </w:tc>
        <w:tc>
          <w:tcPr>
            <w:tcW w:w="4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320" w:type="dxa"/>
            <w:vAlign w:val="bottom"/>
            <w:tcBorders>
              <w:right w:val="single" w:sz="8" w:color="023C5B"/>
            </w:tcBorders>
            <w:shd w:val="clear" w:color="auto" w:fill="023C5B"/>
          </w:tcPr>
          <w:p>
            <w:pPr>
              <w:spacing w:after="0"/>
              <w:rPr>
                <w:sz w:val="11"/>
                <w:szCs w:val="11"/>
                <w:color w:val="auto"/>
              </w:rPr>
            </w:pPr>
          </w:p>
        </w:tc>
        <w:tc>
          <w:tcPr>
            <w:tcW w:w="580" w:type="dxa"/>
            <w:vAlign w:val="bottom"/>
            <w:shd w:val="clear" w:color="auto" w:fill="023C5B"/>
          </w:tcPr>
          <w:p>
            <w:pPr>
              <w:spacing w:after="0"/>
              <w:rPr>
                <w:sz w:val="11"/>
                <w:szCs w:val="11"/>
                <w:color w:val="auto"/>
              </w:rPr>
            </w:pPr>
          </w:p>
        </w:tc>
        <w:tc>
          <w:tcPr>
            <w:tcW w:w="40" w:type="dxa"/>
            <w:vAlign w:val="bottom"/>
            <w:shd w:val="clear" w:color="auto" w:fill="023C5B"/>
          </w:tcPr>
          <w:p>
            <w:pPr>
              <w:spacing w:after="0"/>
              <w:rPr>
                <w:sz w:val="11"/>
                <w:szCs w:val="11"/>
                <w:color w:val="auto"/>
              </w:rPr>
            </w:pPr>
          </w:p>
        </w:tc>
        <w:tc>
          <w:tcPr>
            <w:tcW w:w="112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Reported</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Value of</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w w:val="99"/>
              </w:rPr>
              <w:t>Years’</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w w:val="99"/>
              </w:rPr>
              <w:t>Years’</w:t>
            </w:r>
          </w:p>
        </w:tc>
        <w:tc>
          <w:tcPr>
            <w:tcW w:w="84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Year</w:t>
            </w:r>
          </w:p>
        </w:tc>
        <w:tc>
          <w:tcPr>
            <w:tcW w:w="940" w:type="dxa"/>
            <w:vAlign w:val="bottom"/>
            <w:gridSpan w:val="2"/>
            <w:shd w:val="clear" w:color="auto" w:fill="023C5B"/>
          </w:tcPr>
          <w:p>
            <w:pPr>
              <w:jc w:val="center"/>
              <w:ind w:right="40"/>
              <w:spacing w:after="0" w:line="134" w:lineRule="exact"/>
              <w:rPr>
                <w:sz w:val="20"/>
                <w:szCs w:val="20"/>
                <w:color w:val="auto"/>
              </w:rPr>
            </w:pPr>
            <w:r>
              <w:rPr>
                <w:rFonts w:ascii="Arial" w:cs="Arial" w:eastAsia="Arial" w:hAnsi="Arial"/>
                <w:sz w:val="12"/>
                <w:szCs w:val="12"/>
                <w:b w:val="1"/>
                <w:bCs w:val="1"/>
                <w:color w:val="FFFFFF"/>
              </w:rPr>
              <w:t xml:space="preserve">  Incremental </w:t>
            </w:r>
          </w:p>
        </w:tc>
        <w:tc>
          <w:tcPr>
            <w:tcW w:w="900" w:type="dxa"/>
            <w:vAlign w:val="bottom"/>
            <w:shd w:val="clear" w:color="auto" w:fill="023C5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1060" w:type="dxa"/>
            <w:vAlign w:val="bottom"/>
            <w:shd w:val="clear" w:color="auto" w:fill="023C5B"/>
          </w:tcPr>
          <w:p>
            <w:pPr>
              <w:spacing w:after="0"/>
              <w:rPr>
                <w:sz w:val="11"/>
                <w:szCs w:val="11"/>
                <w:color w:val="auto"/>
              </w:rPr>
            </w:pPr>
          </w:p>
        </w:tc>
        <w:tc>
          <w:tcPr>
            <w:tcW w:w="4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940" w:type="dxa"/>
            <w:vAlign w:val="bottom"/>
            <w:gridSpan w:val="3"/>
            <w:vMerge w:val="restart"/>
            <w:shd w:val="clear" w:color="auto" w:fill="023C5B"/>
          </w:tcPr>
          <w:p>
            <w:pPr>
              <w:jc w:val="center"/>
              <w:spacing w:after="0"/>
              <w:rPr>
                <w:sz w:val="20"/>
                <w:szCs w:val="20"/>
                <w:color w:val="auto"/>
              </w:rPr>
            </w:pPr>
            <w:r>
              <w:rPr>
                <w:rFonts w:ascii="Arial" w:cs="Arial" w:eastAsia="Arial" w:hAnsi="Arial"/>
                <w:sz w:val="12"/>
                <w:szCs w:val="12"/>
                <w:b w:val="1"/>
                <w:bCs w:val="1"/>
                <w:color w:val="FFFFFF"/>
              </w:rPr>
              <w:t>Change in</w:t>
            </w:r>
          </w:p>
        </w:tc>
        <w:tc>
          <w:tcPr>
            <w:tcW w:w="112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w w:val="99"/>
              </w:rPr>
              <w:t>in the</w:t>
            </w:r>
          </w:p>
        </w:tc>
        <w:tc>
          <w:tcPr>
            <w:tcW w:w="960" w:type="dxa"/>
            <w:vAlign w:val="bottom"/>
            <w:gridSpan w:val="2"/>
            <w:shd w:val="clear" w:color="auto" w:fill="023C5B"/>
          </w:tcPr>
          <w:p>
            <w:pPr>
              <w:jc w:val="center"/>
              <w:ind w:right="20"/>
              <w:spacing w:after="0" w:line="134" w:lineRule="exact"/>
              <w:rPr>
                <w:sz w:val="20"/>
                <w:szCs w:val="20"/>
                <w:color w:val="auto"/>
              </w:rPr>
            </w:pPr>
            <w:r>
              <w:rPr>
                <w:rFonts w:ascii="Arial" w:cs="Arial" w:eastAsia="Arial" w:hAnsi="Arial"/>
                <w:sz w:val="12"/>
                <w:szCs w:val="12"/>
                <w:b w:val="1"/>
                <w:bCs w:val="1"/>
                <w:color w:val="FFFFFF"/>
              </w:rPr>
              <w:t>Covered</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Equity</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Equity</w:t>
            </w:r>
          </w:p>
        </w:tc>
        <w:tc>
          <w:tcPr>
            <w:tcW w:w="84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Awards</w:t>
            </w:r>
          </w:p>
        </w:tc>
        <w:tc>
          <w:tcPr>
            <w:tcW w:w="940" w:type="dxa"/>
            <w:vAlign w:val="bottom"/>
            <w:gridSpan w:val="2"/>
            <w:shd w:val="clear" w:color="auto" w:fill="023C5B"/>
          </w:tcPr>
          <w:p>
            <w:pPr>
              <w:jc w:val="center"/>
              <w:ind w:right="20"/>
              <w:spacing w:after="0" w:line="134" w:lineRule="exact"/>
              <w:rPr>
                <w:sz w:val="20"/>
                <w:szCs w:val="20"/>
                <w:color w:val="auto"/>
              </w:rPr>
            </w:pPr>
            <w:r>
              <w:rPr>
                <w:rFonts w:ascii="Arial" w:cs="Arial" w:eastAsia="Arial" w:hAnsi="Arial"/>
                <w:sz w:val="12"/>
                <w:szCs w:val="12"/>
                <w:b w:val="1"/>
                <w:bCs w:val="1"/>
                <w:color w:val="FFFFFF"/>
              </w:rPr>
              <w:t>Dividends</w:t>
            </w:r>
          </w:p>
        </w:tc>
        <w:tc>
          <w:tcPr>
            <w:tcW w:w="900" w:type="dxa"/>
            <w:vAlign w:val="bottom"/>
            <w:shd w:val="clear" w:color="auto" w:fill="023C5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1100" w:type="dxa"/>
            <w:vAlign w:val="bottom"/>
            <w:gridSpan w:val="2"/>
            <w:vMerge w:val="restart"/>
            <w:shd w:val="clear" w:color="auto" w:fill="023C5B"/>
          </w:tcPr>
          <w:p>
            <w:pPr>
              <w:jc w:val="center"/>
              <w:spacing w:after="0"/>
              <w:rPr>
                <w:sz w:val="20"/>
                <w:szCs w:val="20"/>
                <w:color w:val="auto"/>
              </w:rPr>
            </w:pPr>
            <w:r>
              <w:rPr>
                <w:rFonts w:ascii="Arial" w:cs="Arial" w:eastAsia="Arial" w:hAnsi="Arial"/>
                <w:sz w:val="12"/>
                <w:szCs w:val="12"/>
                <w:b w:val="1"/>
                <w:bCs w:val="1"/>
                <w:color w:val="FFFFFF"/>
              </w:rPr>
              <w:t>Summary</w:t>
            </w:r>
          </w:p>
        </w:tc>
        <w:tc>
          <w:tcPr>
            <w:tcW w:w="20" w:type="dxa"/>
            <w:vAlign w:val="bottom"/>
            <w:shd w:val="clear" w:color="auto" w:fill="023C5B"/>
          </w:tcPr>
          <w:p>
            <w:pPr>
              <w:spacing w:after="0"/>
              <w:rPr>
                <w:sz w:val="11"/>
                <w:szCs w:val="11"/>
                <w:color w:val="auto"/>
              </w:rPr>
            </w:pPr>
          </w:p>
        </w:tc>
        <w:tc>
          <w:tcPr>
            <w:tcW w:w="940" w:type="dxa"/>
            <w:vAlign w:val="bottom"/>
            <w:gridSpan w:val="3"/>
            <w:vMerge w:val="continue"/>
            <w:shd w:val="clear" w:color="auto" w:fill="023C5B"/>
          </w:tcPr>
          <w:p>
            <w:pPr>
              <w:spacing w:after="0"/>
              <w:rPr>
                <w:sz w:val="11"/>
                <w:szCs w:val="11"/>
                <w:color w:val="auto"/>
              </w:rPr>
            </w:pPr>
          </w:p>
        </w:tc>
        <w:tc>
          <w:tcPr>
            <w:tcW w:w="112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Summary</w:t>
            </w:r>
          </w:p>
        </w:tc>
        <w:tc>
          <w:tcPr>
            <w:tcW w:w="960" w:type="dxa"/>
            <w:vAlign w:val="bottom"/>
            <w:gridSpan w:val="2"/>
            <w:shd w:val="clear" w:color="auto" w:fill="023C5B"/>
          </w:tcPr>
          <w:p>
            <w:pPr>
              <w:jc w:val="center"/>
              <w:ind w:right="20"/>
              <w:spacing w:after="0" w:line="134" w:lineRule="exact"/>
              <w:rPr>
                <w:sz w:val="20"/>
                <w:szCs w:val="20"/>
                <w:color w:val="auto"/>
              </w:rPr>
            </w:pPr>
            <w:r>
              <w:rPr>
                <w:rFonts w:ascii="Arial" w:cs="Arial" w:eastAsia="Arial" w:hAnsi="Arial"/>
                <w:sz w:val="12"/>
                <w:szCs w:val="12"/>
                <w:b w:val="1"/>
                <w:bCs w:val="1"/>
                <w:color w:val="FFFFFF"/>
              </w:rPr>
              <w:t xml:space="preserve">  Year Equity </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Awards</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Awards</w:t>
            </w:r>
          </w:p>
        </w:tc>
        <w:tc>
          <w:tcPr>
            <w:tcW w:w="84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Forfeited</w:t>
            </w:r>
          </w:p>
        </w:tc>
        <w:tc>
          <w:tcPr>
            <w:tcW w:w="940" w:type="dxa"/>
            <w:vAlign w:val="bottom"/>
            <w:gridSpan w:val="2"/>
            <w:shd w:val="clear" w:color="auto" w:fill="023C5B"/>
          </w:tcPr>
          <w:p>
            <w:pPr>
              <w:jc w:val="center"/>
              <w:ind w:right="20"/>
              <w:spacing w:after="0" w:line="134" w:lineRule="exact"/>
              <w:rPr>
                <w:sz w:val="20"/>
                <w:szCs w:val="20"/>
                <w:color w:val="auto"/>
              </w:rPr>
            </w:pPr>
            <w:r>
              <w:rPr>
                <w:rFonts w:ascii="Arial" w:cs="Arial" w:eastAsia="Arial" w:hAnsi="Arial"/>
                <w:sz w:val="12"/>
                <w:szCs w:val="12"/>
                <w:b w:val="1"/>
                <w:bCs w:val="1"/>
                <w:color w:val="FFFFFF"/>
                <w:w w:val="99"/>
              </w:rPr>
              <w:t>or</w:t>
            </w:r>
          </w:p>
        </w:tc>
        <w:tc>
          <w:tcPr>
            <w:tcW w:w="900" w:type="dxa"/>
            <w:vAlign w:val="bottom"/>
            <w:shd w:val="clear" w:color="auto" w:fill="023C5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1100" w:type="dxa"/>
            <w:vAlign w:val="bottom"/>
            <w:gridSpan w:val="2"/>
            <w:vMerge w:val="continue"/>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940" w:type="dxa"/>
            <w:vAlign w:val="bottom"/>
            <w:gridSpan w:val="3"/>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Pension</w:t>
            </w:r>
          </w:p>
        </w:tc>
        <w:tc>
          <w:tcPr>
            <w:tcW w:w="1120" w:type="dxa"/>
            <w:vAlign w:val="bottom"/>
            <w:gridSpan w:val="2"/>
            <w:shd w:val="clear" w:color="auto" w:fill="023C5B"/>
          </w:tcPr>
          <w:p>
            <w:pPr>
              <w:jc w:val="center"/>
              <w:ind w:right="40"/>
              <w:spacing w:after="0" w:line="134" w:lineRule="exact"/>
              <w:rPr>
                <w:sz w:val="20"/>
                <w:szCs w:val="20"/>
                <w:color w:val="auto"/>
              </w:rPr>
            </w:pPr>
            <w:r>
              <w:rPr>
                <w:rFonts w:ascii="Arial" w:cs="Arial" w:eastAsia="Arial" w:hAnsi="Arial"/>
                <w:sz w:val="12"/>
                <w:szCs w:val="12"/>
                <w:b w:val="1"/>
                <w:bCs w:val="1"/>
                <w:color w:val="FFFFFF"/>
              </w:rPr>
              <w:t xml:space="preserve">  Compensation </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Awards</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Unvested</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Vested in</w:t>
            </w:r>
          </w:p>
        </w:tc>
        <w:tc>
          <w:tcPr>
            <w:tcW w:w="84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w w:val="99"/>
              </w:rPr>
              <w:t>in the</w:t>
            </w:r>
          </w:p>
        </w:tc>
        <w:tc>
          <w:tcPr>
            <w:tcW w:w="94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Earnings</w:t>
            </w:r>
          </w:p>
        </w:tc>
        <w:tc>
          <w:tcPr>
            <w:tcW w:w="900" w:type="dxa"/>
            <w:vAlign w:val="bottom"/>
            <w:shd w:val="clear" w:color="auto" w:fill="023C5B"/>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20" w:type="dxa"/>
            <w:vAlign w:val="bottom"/>
            <w:shd w:val="clear" w:color="auto" w:fill="023C5B"/>
          </w:tcPr>
          <w:p>
            <w:pPr>
              <w:spacing w:after="0"/>
              <w:rPr>
                <w:sz w:val="11"/>
                <w:szCs w:val="11"/>
                <w:color w:val="auto"/>
              </w:rPr>
            </w:pPr>
          </w:p>
        </w:tc>
        <w:tc>
          <w:tcPr>
            <w:tcW w:w="110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 xml:space="preserve">  Compensation </w:t>
            </w:r>
          </w:p>
        </w:tc>
        <w:tc>
          <w:tcPr>
            <w:tcW w:w="20" w:type="dxa"/>
            <w:vAlign w:val="bottom"/>
            <w:shd w:val="clear" w:color="auto" w:fill="023C5B"/>
          </w:tcPr>
          <w:p>
            <w:pPr>
              <w:spacing w:after="0"/>
              <w:rPr>
                <w:sz w:val="11"/>
                <w:szCs w:val="11"/>
                <w:color w:val="auto"/>
              </w:rPr>
            </w:pPr>
          </w:p>
        </w:tc>
        <w:tc>
          <w:tcPr>
            <w:tcW w:w="320" w:type="dxa"/>
            <w:vAlign w:val="bottom"/>
            <w:tcBorders>
              <w:right w:val="single" w:sz="8" w:color="023C5B"/>
            </w:tcBorders>
            <w:shd w:val="clear" w:color="auto" w:fill="023C5B"/>
          </w:tcPr>
          <w:p>
            <w:pPr>
              <w:spacing w:after="0"/>
              <w:rPr>
                <w:sz w:val="11"/>
                <w:szCs w:val="11"/>
                <w:color w:val="auto"/>
              </w:rPr>
            </w:pPr>
          </w:p>
        </w:tc>
        <w:tc>
          <w:tcPr>
            <w:tcW w:w="620" w:type="dxa"/>
            <w:vAlign w:val="bottom"/>
            <w:gridSpan w:val="2"/>
            <w:shd w:val="clear" w:color="auto" w:fill="023C5B"/>
          </w:tcPr>
          <w:p>
            <w:pPr>
              <w:jc w:val="center"/>
              <w:ind w:right="300"/>
              <w:spacing w:after="0" w:line="134" w:lineRule="exact"/>
              <w:rPr>
                <w:sz w:val="20"/>
                <w:szCs w:val="20"/>
                <w:color w:val="auto"/>
              </w:rPr>
            </w:pPr>
            <w:r>
              <w:rPr>
                <w:rFonts w:ascii="Arial" w:cs="Arial" w:eastAsia="Arial" w:hAnsi="Arial"/>
                <w:sz w:val="12"/>
                <w:szCs w:val="12"/>
                <w:b w:val="1"/>
                <w:bCs w:val="1"/>
                <w:color w:val="FFFFFF"/>
                <w:w w:val="99"/>
              </w:rPr>
              <w:t>Value</w:t>
            </w:r>
          </w:p>
        </w:tc>
        <w:tc>
          <w:tcPr>
            <w:tcW w:w="112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Table in the</w:t>
            </w:r>
          </w:p>
        </w:tc>
        <w:tc>
          <w:tcPr>
            <w:tcW w:w="960" w:type="dxa"/>
            <w:vAlign w:val="bottom"/>
            <w:gridSpan w:val="2"/>
            <w:shd w:val="clear" w:color="auto" w:fill="023C5B"/>
          </w:tcPr>
          <w:p>
            <w:pPr>
              <w:jc w:val="center"/>
              <w:ind w:right="20"/>
              <w:spacing w:after="0" w:line="134" w:lineRule="exact"/>
              <w:rPr>
                <w:sz w:val="20"/>
                <w:szCs w:val="20"/>
                <w:color w:val="auto"/>
              </w:rPr>
            </w:pPr>
            <w:r>
              <w:rPr>
                <w:rFonts w:ascii="Arial" w:cs="Arial" w:eastAsia="Arial" w:hAnsi="Arial"/>
                <w:sz w:val="12"/>
                <w:szCs w:val="12"/>
                <w:b w:val="1"/>
                <w:bCs w:val="1"/>
                <w:color w:val="FFFFFF"/>
              </w:rPr>
              <w:t>at Fiscal</w:t>
            </w:r>
          </w:p>
        </w:tc>
        <w:tc>
          <w:tcPr>
            <w:tcW w:w="96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at Fiscal</w:t>
            </w:r>
          </w:p>
        </w:tc>
        <w:tc>
          <w:tcPr>
            <w:tcW w:w="960" w:type="dxa"/>
            <w:vAlign w:val="bottom"/>
            <w:gridSpan w:val="2"/>
            <w:shd w:val="clear" w:color="auto" w:fill="023C5B"/>
          </w:tcPr>
          <w:p>
            <w:pPr>
              <w:jc w:val="center"/>
              <w:ind w:right="20"/>
              <w:spacing w:after="0" w:line="134" w:lineRule="exact"/>
              <w:rPr>
                <w:sz w:val="20"/>
                <w:szCs w:val="20"/>
                <w:color w:val="auto"/>
              </w:rPr>
            </w:pPr>
            <w:r>
              <w:rPr>
                <w:rFonts w:ascii="Arial" w:cs="Arial" w:eastAsia="Arial" w:hAnsi="Arial"/>
                <w:sz w:val="12"/>
                <w:szCs w:val="12"/>
                <w:b w:val="1"/>
                <w:bCs w:val="1"/>
                <w:color w:val="FFFFFF"/>
              </w:rPr>
              <w:t xml:space="preserve">  the Covered </w:t>
            </w:r>
          </w:p>
        </w:tc>
        <w:tc>
          <w:tcPr>
            <w:tcW w:w="840" w:type="dxa"/>
            <w:vAlign w:val="bottom"/>
            <w:gridSpan w:val="2"/>
            <w:shd w:val="clear" w:color="auto" w:fill="023C5B"/>
          </w:tcPr>
          <w:p>
            <w:pPr>
              <w:jc w:val="center"/>
              <w:spacing w:after="0" w:line="134" w:lineRule="exact"/>
              <w:rPr>
                <w:sz w:val="20"/>
                <w:szCs w:val="20"/>
                <w:color w:val="auto"/>
              </w:rPr>
            </w:pPr>
            <w:r>
              <w:rPr>
                <w:rFonts w:ascii="Arial" w:cs="Arial" w:eastAsia="Arial" w:hAnsi="Arial"/>
                <w:sz w:val="12"/>
                <w:szCs w:val="12"/>
                <w:b w:val="1"/>
                <w:bCs w:val="1"/>
                <w:color w:val="FFFFFF"/>
              </w:rPr>
              <w:t>Covered</w:t>
            </w:r>
          </w:p>
        </w:tc>
        <w:tc>
          <w:tcPr>
            <w:tcW w:w="940" w:type="dxa"/>
            <w:vAlign w:val="bottom"/>
            <w:gridSpan w:val="2"/>
            <w:shd w:val="clear" w:color="auto" w:fill="023C5B"/>
          </w:tcPr>
          <w:p>
            <w:pPr>
              <w:jc w:val="center"/>
              <w:ind w:right="20"/>
              <w:spacing w:after="0" w:line="134" w:lineRule="exact"/>
              <w:rPr>
                <w:sz w:val="20"/>
                <w:szCs w:val="20"/>
                <w:color w:val="auto"/>
              </w:rPr>
            </w:pPr>
            <w:r>
              <w:rPr>
                <w:rFonts w:ascii="Arial" w:cs="Arial" w:eastAsia="Arial" w:hAnsi="Arial"/>
                <w:sz w:val="12"/>
                <w:szCs w:val="12"/>
                <w:b w:val="1"/>
                <w:bCs w:val="1"/>
                <w:color w:val="FFFFFF"/>
              </w:rPr>
              <w:t>on Stock</w:t>
            </w:r>
          </w:p>
        </w:tc>
        <w:tc>
          <w:tcPr>
            <w:tcW w:w="900" w:type="dxa"/>
            <w:vAlign w:val="bottom"/>
            <w:vMerge w:val="restart"/>
            <w:shd w:val="clear" w:color="auto" w:fill="023C5B"/>
          </w:tcPr>
          <w:p>
            <w:pPr>
              <w:jc w:val="right"/>
              <w:ind w:right="172"/>
              <w:spacing w:after="0"/>
              <w:rPr>
                <w:sz w:val="20"/>
                <w:szCs w:val="20"/>
                <w:color w:val="auto"/>
              </w:rPr>
            </w:pPr>
            <w:r>
              <w:rPr>
                <w:rFonts w:ascii="Arial" w:cs="Arial" w:eastAsia="Arial" w:hAnsi="Arial"/>
                <w:sz w:val="12"/>
                <w:szCs w:val="12"/>
                <w:b w:val="1"/>
                <w:bCs w:val="1"/>
                <w:color w:val="FFFFFF"/>
              </w:rPr>
              <w:t>CAP</w:t>
            </w:r>
            <w:r>
              <w:rPr>
                <w:rFonts w:ascii="Arial" w:cs="Arial" w:eastAsia="Arial" w:hAnsi="Arial"/>
                <w:sz w:val="15"/>
                <w:szCs w:val="15"/>
                <w:b w:val="1"/>
                <w:bCs w:val="1"/>
                <w:color w:val="FFFFFF"/>
                <w:vertAlign w:val="superscript"/>
              </w:rPr>
              <w:t>(e)</w:t>
            </w:r>
          </w:p>
        </w:tc>
        <w:tc>
          <w:tcPr>
            <w:tcW w:w="0" w:type="dxa"/>
            <w:vAlign w:val="bottom"/>
          </w:tcPr>
          <w:p>
            <w:pPr>
              <w:spacing w:after="0"/>
              <w:rPr>
                <w:sz w:val="1"/>
                <w:szCs w:val="1"/>
                <w:color w:val="auto"/>
              </w:rPr>
            </w:pPr>
          </w:p>
        </w:tc>
      </w:tr>
      <w:tr>
        <w:trPr>
          <w:trHeight w:val="205"/>
        </w:trPr>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shd w:val="clear" w:color="auto" w:fill="023C5B"/>
          </w:tcPr>
          <w:p>
            <w:pPr>
              <w:spacing w:after="0"/>
              <w:rPr>
                <w:sz w:val="17"/>
                <w:szCs w:val="17"/>
                <w:color w:val="auto"/>
              </w:rPr>
            </w:pPr>
          </w:p>
        </w:tc>
        <w:tc>
          <w:tcPr>
            <w:tcW w:w="20" w:type="dxa"/>
            <w:vAlign w:val="bottom"/>
            <w:shd w:val="clear" w:color="auto" w:fill="023C5B"/>
          </w:tcPr>
          <w:p>
            <w:pPr>
              <w:spacing w:after="0"/>
              <w:rPr>
                <w:sz w:val="17"/>
                <w:szCs w:val="17"/>
                <w:color w:val="auto"/>
              </w:rPr>
            </w:pPr>
          </w:p>
        </w:tc>
        <w:tc>
          <w:tcPr>
            <w:tcW w:w="20" w:type="dxa"/>
            <w:vAlign w:val="bottom"/>
            <w:shd w:val="clear" w:color="auto" w:fill="023C5B"/>
          </w:tcPr>
          <w:p>
            <w:pPr>
              <w:spacing w:after="0"/>
              <w:rPr>
                <w:sz w:val="17"/>
                <w:szCs w:val="17"/>
                <w:color w:val="auto"/>
              </w:rPr>
            </w:pPr>
          </w:p>
        </w:tc>
        <w:tc>
          <w:tcPr>
            <w:tcW w:w="1100" w:type="dxa"/>
            <w:vAlign w:val="bottom"/>
            <w:gridSpan w:val="2"/>
            <w:shd w:val="clear" w:color="auto" w:fill="023C5B"/>
          </w:tcPr>
          <w:p>
            <w:pPr>
              <w:jc w:val="center"/>
              <w:spacing w:after="0"/>
              <w:rPr>
                <w:sz w:val="20"/>
                <w:szCs w:val="20"/>
                <w:color w:val="auto"/>
              </w:rPr>
            </w:pPr>
            <w:r>
              <w:rPr>
                <w:rFonts w:ascii="Arial" w:cs="Arial" w:eastAsia="Arial" w:hAnsi="Arial"/>
                <w:sz w:val="12"/>
                <w:szCs w:val="12"/>
                <w:b w:val="1"/>
                <w:bCs w:val="1"/>
                <w:color w:val="FFFFFF"/>
                <w:w w:val="97"/>
              </w:rPr>
              <w:t>Table Total</w:t>
            </w:r>
            <w:r>
              <w:rPr>
                <w:rFonts w:ascii="Arial" w:cs="Arial" w:eastAsia="Arial" w:hAnsi="Arial"/>
                <w:sz w:val="15"/>
                <w:szCs w:val="15"/>
                <w:b w:val="1"/>
                <w:bCs w:val="1"/>
                <w:color w:val="FFFFFF"/>
                <w:w w:val="97"/>
                <w:vertAlign w:val="superscript"/>
              </w:rPr>
              <w:t>(b)</w:t>
            </w:r>
          </w:p>
        </w:tc>
        <w:tc>
          <w:tcPr>
            <w:tcW w:w="20" w:type="dxa"/>
            <w:vAlign w:val="bottom"/>
            <w:shd w:val="clear" w:color="auto" w:fill="023C5B"/>
          </w:tcPr>
          <w:p>
            <w:pPr>
              <w:spacing w:after="0"/>
              <w:rPr>
                <w:sz w:val="17"/>
                <w:szCs w:val="17"/>
                <w:color w:val="auto"/>
              </w:rPr>
            </w:pPr>
          </w:p>
        </w:tc>
        <w:tc>
          <w:tcPr>
            <w:tcW w:w="940" w:type="dxa"/>
            <w:vAlign w:val="bottom"/>
            <w:gridSpan w:val="3"/>
            <w:shd w:val="clear" w:color="auto" w:fill="023C5B"/>
          </w:tcPr>
          <w:p>
            <w:pPr>
              <w:jc w:val="center"/>
              <w:ind w:right="20"/>
              <w:spacing w:after="0"/>
              <w:rPr>
                <w:sz w:val="20"/>
                <w:szCs w:val="20"/>
                <w:color w:val="auto"/>
              </w:rPr>
            </w:pPr>
            <w:r>
              <w:rPr>
                <w:rFonts w:ascii="Arial" w:cs="Arial" w:eastAsia="Arial" w:hAnsi="Arial"/>
                <w:sz w:val="12"/>
                <w:szCs w:val="12"/>
                <w:b w:val="1"/>
                <w:bCs w:val="1"/>
                <w:color w:val="FFFFFF"/>
                <w:w w:val="99"/>
              </w:rPr>
              <w:t>  Deduction</w:t>
            </w:r>
            <w:r>
              <w:rPr>
                <w:rFonts w:ascii="Arial" w:cs="Arial" w:eastAsia="Arial" w:hAnsi="Arial"/>
                <w:sz w:val="15"/>
                <w:szCs w:val="15"/>
                <w:b w:val="1"/>
                <w:bCs w:val="1"/>
                <w:color w:val="FFFFFF"/>
                <w:w w:val="99"/>
                <w:vertAlign w:val="superscript"/>
              </w:rPr>
              <w:t>(c)</w:t>
            </w:r>
            <w:r>
              <w:rPr>
                <w:rFonts w:ascii="Arial" w:cs="Arial" w:eastAsia="Arial" w:hAnsi="Arial"/>
                <w:sz w:val="12"/>
                <w:szCs w:val="12"/>
                <w:b w:val="1"/>
                <w:bCs w:val="1"/>
                <w:color w:val="FFFFFF"/>
                <w:w w:val="99"/>
              </w:rPr>
              <w:t xml:space="preserve"> </w:t>
            </w:r>
          </w:p>
        </w:tc>
        <w:tc>
          <w:tcPr>
            <w:tcW w:w="1120" w:type="dxa"/>
            <w:vAlign w:val="bottom"/>
            <w:gridSpan w:val="2"/>
            <w:shd w:val="clear" w:color="auto" w:fill="023C5B"/>
          </w:tcPr>
          <w:p>
            <w:pPr>
              <w:jc w:val="center"/>
              <w:spacing w:after="0"/>
              <w:rPr>
                <w:sz w:val="20"/>
                <w:szCs w:val="20"/>
                <w:color w:val="auto"/>
              </w:rPr>
            </w:pPr>
            <w:r>
              <w:rPr>
                <w:rFonts w:ascii="Arial" w:cs="Arial" w:eastAsia="Arial" w:hAnsi="Arial"/>
                <w:sz w:val="12"/>
                <w:szCs w:val="12"/>
                <w:b w:val="1"/>
                <w:bCs w:val="1"/>
                <w:color w:val="FFFFFF"/>
              </w:rPr>
              <w:t>Covered Year</w:t>
            </w:r>
          </w:p>
        </w:tc>
        <w:tc>
          <w:tcPr>
            <w:tcW w:w="960" w:type="dxa"/>
            <w:vAlign w:val="bottom"/>
            <w:gridSpan w:val="2"/>
            <w:shd w:val="clear" w:color="auto" w:fill="023C5B"/>
          </w:tcPr>
          <w:p>
            <w:pPr>
              <w:jc w:val="center"/>
              <w:ind w:right="20"/>
              <w:spacing w:after="0"/>
              <w:rPr>
                <w:sz w:val="20"/>
                <w:szCs w:val="20"/>
                <w:color w:val="auto"/>
              </w:rPr>
            </w:pPr>
            <w:r>
              <w:rPr>
                <w:rFonts w:ascii="Arial" w:cs="Arial" w:eastAsia="Arial" w:hAnsi="Arial"/>
                <w:sz w:val="12"/>
                <w:szCs w:val="12"/>
                <w:b w:val="1"/>
                <w:bCs w:val="1"/>
                <w:color w:val="FFFFFF"/>
              </w:rPr>
              <w:t>Year-End</w:t>
            </w:r>
          </w:p>
        </w:tc>
        <w:tc>
          <w:tcPr>
            <w:tcW w:w="960" w:type="dxa"/>
            <w:vAlign w:val="bottom"/>
            <w:gridSpan w:val="2"/>
            <w:shd w:val="clear" w:color="auto" w:fill="023C5B"/>
          </w:tcPr>
          <w:p>
            <w:pPr>
              <w:jc w:val="center"/>
              <w:spacing w:after="0"/>
              <w:rPr>
                <w:sz w:val="20"/>
                <w:szCs w:val="20"/>
                <w:color w:val="auto"/>
              </w:rPr>
            </w:pPr>
            <w:r>
              <w:rPr>
                <w:rFonts w:ascii="Arial" w:cs="Arial" w:eastAsia="Arial" w:hAnsi="Arial"/>
                <w:sz w:val="12"/>
                <w:szCs w:val="12"/>
                <w:b w:val="1"/>
                <w:bCs w:val="1"/>
                <w:color w:val="FFFFFF"/>
              </w:rPr>
              <w:t>Year-End</w:t>
            </w:r>
          </w:p>
        </w:tc>
        <w:tc>
          <w:tcPr>
            <w:tcW w:w="960" w:type="dxa"/>
            <w:vAlign w:val="bottom"/>
            <w:gridSpan w:val="2"/>
            <w:shd w:val="clear" w:color="auto" w:fill="023C5B"/>
          </w:tcPr>
          <w:p>
            <w:pPr>
              <w:jc w:val="center"/>
              <w:spacing w:after="0"/>
              <w:rPr>
                <w:sz w:val="20"/>
                <w:szCs w:val="20"/>
                <w:color w:val="auto"/>
              </w:rPr>
            </w:pPr>
            <w:r>
              <w:rPr>
                <w:rFonts w:ascii="Arial" w:cs="Arial" w:eastAsia="Arial" w:hAnsi="Arial"/>
                <w:sz w:val="12"/>
                <w:szCs w:val="12"/>
                <w:b w:val="1"/>
                <w:bCs w:val="1"/>
                <w:color w:val="FFFFFF"/>
                <w:w w:val="99"/>
              </w:rPr>
              <w:t>Year</w:t>
            </w:r>
          </w:p>
        </w:tc>
        <w:tc>
          <w:tcPr>
            <w:tcW w:w="840" w:type="dxa"/>
            <w:vAlign w:val="bottom"/>
            <w:gridSpan w:val="2"/>
            <w:shd w:val="clear" w:color="auto" w:fill="023C5B"/>
          </w:tcPr>
          <w:p>
            <w:pPr>
              <w:jc w:val="center"/>
              <w:spacing w:after="0"/>
              <w:rPr>
                <w:sz w:val="20"/>
                <w:szCs w:val="20"/>
                <w:color w:val="auto"/>
              </w:rPr>
            </w:pPr>
            <w:r>
              <w:rPr>
                <w:rFonts w:ascii="Arial" w:cs="Arial" w:eastAsia="Arial" w:hAnsi="Arial"/>
                <w:sz w:val="12"/>
                <w:szCs w:val="12"/>
                <w:b w:val="1"/>
                <w:bCs w:val="1"/>
                <w:color w:val="FFFFFF"/>
                <w:w w:val="92"/>
              </w:rPr>
              <w:t>Year</w:t>
            </w:r>
            <w:r>
              <w:rPr>
                <w:rFonts w:ascii="Arial" w:cs="Arial" w:eastAsia="Arial" w:hAnsi="Arial"/>
                <w:sz w:val="15"/>
                <w:szCs w:val="15"/>
                <w:b w:val="1"/>
                <w:bCs w:val="1"/>
                <w:color w:val="FFFFFF"/>
                <w:w w:val="92"/>
                <w:vertAlign w:val="superscript"/>
              </w:rPr>
              <w:t>(d)</w:t>
            </w:r>
          </w:p>
        </w:tc>
        <w:tc>
          <w:tcPr>
            <w:tcW w:w="940" w:type="dxa"/>
            <w:vAlign w:val="bottom"/>
            <w:gridSpan w:val="2"/>
            <w:shd w:val="clear" w:color="auto" w:fill="023C5B"/>
          </w:tcPr>
          <w:p>
            <w:pPr>
              <w:jc w:val="center"/>
              <w:ind w:right="20"/>
              <w:spacing w:after="0"/>
              <w:rPr>
                <w:sz w:val="20"/>
                <w:szCs w:val="20"/>
                <w:color w:val="auto"/>
              </w:rPr>
            </w:pPr>
            <w:r>
              <w:rPr>
                <w:rFonts w:ascii="Arial" w:cs="Arial" w:eastAsia="Arial" w:hAnsi="Arial"/>
                <w:sz w:val="12"/>
                <w:szCs w:val="12"/>
                <w:b w:val="1"/>
                <w:bCs w:val="1"/>
                <w:color w:val="FFFFFF"/>
              </w:rPr>
              <w:t>Awards</w:t>
            </w:r>
          </w:p>
        </w:tc>
        <w:tc>
          <w:tcPr>
            <w:tcW w:w="900" w:type="dxa"/>
            <w:vAlign w:val="bottom"/>
            <w:vMerge w:val="continue"/>
            <w:shd w:val="clear" w:color="auto" w:fill="023C5B"/>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20" w:type="dxa"/>
            <w:vAlign w:val="bottom"/>
            <w:tcBorders>
              <w:bottom w:val="single" w:sz="8" w:color="E5EBEE"/>
            </w:tcBorders>
            <w:gridSpan w:val="2"/>
            <w:shd w:val="clear" w:color="auto" w:fill="E5EBEE"/>
          </w:tcPr>
          <w:p>
            <w:pPr>
              <w:spacing w:after="0"/>
              <w:rPr>
                <w:sz w:val="20"/>
                <w:szCs w:val="20"/>
                <w:color w:val="auto"/>
              </w:rPr>
            </w:pPr>
            <w:r>
              <w:rPr>
                <w:rFonts w:ascii="Arial" w:cs="Arial" w:eastAsia="Arial" w:hAnsi="Arial"/>
                <w:sz w:val="14"/>
                <w:szCs w:val="14"/>
                <w:color w:val="auto"/>
              </w:rPr>
              <w:t>PEO 2025</w:t>
            </w:r>
          </w:p>
        </w:tc>
        <w:tc>
          <w:tcPr>
            <w:tcW w:w="1080" w:type="dxa"/>
            <w:vAlign w:val="bottom"/>
            <w:tcBorders>
              <w:bottom w:val="single" w:sz="8" w:color="E5EBEE"/>
            </w:tcBorders>
            <w:gridSpan w:val="2"/>
            <w:shd w:val="clear" w:color="auto" w:fill="E5EBEE"/>
          </w:tcPr>
          <w:p>
            <w:pPr>
              <w:jc w:val="center"/>
              <w:ind w:left="9"/>
              <w:spacing w:after="0"/>
              <w:rPr>
                <w:sz w:val="20"/>
                <w:szCs w:val="20"/>
                <w:color w:val="auto"/>
              </w:rPr>
            </w:pPr>
            <w:r>
              <w:rPr>
                <w:rFonts w:ascii="Arial" w:cs="Arial" w:eastAsia="Arial" w:hAnsi="Arial"/>
                <w:sz w:val="14"/>
                <w:szCs w:val="14"/>
                <w:color w:val="auto"/>
              </w:rPr>
              <w:t>$64,971,137</w:t>
            </w:r>
          </w:p>
        </w:tc>
        <w:tc>
          <w:tcPr>
            <w:tcW w:w="40" w:type="dxa"/>
            <w:vAlign w:val="bottom"/>
            <w:tcBorders>
              <w:bottom w:val="single" w:sz="8" w:color="E5EBEE"/>
            </w:tcBorders>
            <w:shd w:val="clear" w:color="auto" w:fill="E5EBEE"/>
          </w:tcPr>
          <w:p>
            <w:pPr>
              <w:spacing w:after="0"/>
              <w:rPr>
                <w:sz w:val="23"/>
                <w:szCs w:val="23"/>
                <w:color w:val="auto"/>
              </w:rPr>
            </w:pPr>
          </w:p>
        </w:tc>
        <w:tc>
          <w:tcPr>
            <w:tcW w:w="920" w:type="dxa"/>
            <w:vAlign w:val="bottom"/>
            <w:tcBorders>
              <w:bottom w:val="single" w:sz="8" w:color="E5EBEE"/>
            </w:tcBorders>
            <w:gridSpan w:val="3"/>
            <w:shd w:val="clear" w:color="auto" w:fill="E5EBEE"/>
          </w:tcPr>
          <w:p>
            <w:pPr>
              <w:jc w:val="right"/>
              <w:ind w:right="52"/>
              <w:spacing w:after="0"/>
              <w:rPr>
                <w:sz w:val="20"/>
                <w:szCs w:val="20"/>
                <w:color w:val="auto"/>
              </w:rPr>
            </w:pPr>
            <w:r>
              <w:rPr>
                <w:rFonts w:ascii="Arial" w:cs="Arial" w:eastAsia="Arial" w:hAnsi="Arial"/>
                <w:sz w:val="14"/>
                <w:szCs w:val="14"/>
                <w:color w:val="auto"/>
              </w:rPr>
              <w:t>$(10,831)</w:t>
            </w:r>
          </w:p>
        </w:tc>
        <w:tc>
          <w:tcPr>
            <w:tcW w:w="40" w:type="dxa"/>
            <w:vAlign w:val="bottom"/>
            <w:tcBorders>
              <w:bottom w:val="single" w:sz="8" w:color="E5EBEE"/>
            </w:tcBorders>
            <w:shd w:val="clear" w:color="auto" w:fill="E5EBEE"/>
          </w:tcPr>
          <w:p>
            <w:pPr>
              <w:spacing w:after="0"/>
              <w:rPr>
                <w:sz w:val="23"/>
                <w:szCs w:val="23"/>
                <w:color w:val="auto"/>
              </w:rPr>
            </w:pPr>
          </w:p>
        </w:tc>
        <w:tc>
          <w:tcPr>
            <w:tcW w:w="1060" w:type="dxa"/>
            <w:vAlign w:val="bottom"/>
            <w:tcBorders>
              <w:bottom w:val="single" w:sz="8" w:color="E5EBEE"/>
            </w:tcBorders>
            <w:shd w:val="clear" w:color="auto" w:fill="E5EBEE"/>
          </w:tcPr>
          <w:p>
            <w:pPr>
              <w:jc w:val="right"/>
              <w:spacing w:after="0"/>
              <w:rPr>
                <w:sz w:val="20"/>
                <w:szCs w:val="20"/>
                <w:color w:val="auto"/>
              </w:rPr>
            </w:pPr>
            <w:r>
              <w:rPr>
                <w:rFonts w:ascii="Arial" w:cs="Arial" w:eastAsia="Arial" w:hAnsi="Arial"/>
                <w:sz w:val="14"/>
                <w:szCs w:val="14"/>
                <w:color w:val="auto"/>
              </w:rPr>
              <w:t>$(58,127,029)</w:t>
            </w:r>
          </w:p>
        </w:tc>
        <w:tc>
          <w:tcPr>
            <w:tcW w:w="60" w:type="dxa"/>
            <w:vAlign w:val="bottom"/>
            <w:tcBorders>
              <w:bottom w:val="single" w:sz="8" w:color="E5EBEE"/>
            </w:tcBorders>
            <w:shd w:val="clear" w:color="auto" w:fill="E5EBEE"/>
          </w:tcPr>
          <w:p>
            <w:pPr>
              <w:spacing w:after="0"/>
              <w:rPr>
                <w:sz w:val="23"/>
                <w:szCs w:val="23"/>
                <w:color w:val="auto"/>
              </w:rPr>
            </w:pPr>
          </w:p>
        </w:tc>
        <w:tc>
          <w:tcPr>
            <w:tcW w:w="9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 $71,407,266 </w:t>
            </w:r>
          </w:p>
        </w:tc>
        <w:tc>
          <w:tcPr>
            <w:tcW w:w="9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 $15,664,126 </w:t>
            </w:r>
          </w:p>
        </w:tc>
        <w:tc>
          <w:tcPr>
            <w:tcW w:w="920" w:type="dxa"/>
            <w:vAlign w:val="bottom"/>
            <w:tcBorders>
              <w:bottom w:val="single" w:sz="8" w:color="E5EBEE"/>
            </w:tcBorders>
            <w:shd w:val="clear" w:color="auto" w:fill="E5EBEE"/>
          </w:tcPr>
          <w:p>
            <w:pPr>
              <w:jc w:val="right"/>
              <w:ind w:right="36"/>
              <w:spacing w:after="0"/>
              <w:rPr>
                <w:sz w:val="20"/>
                <w:szCs w:val="20"/>
                <w:color w:val="auto"/>
              </w:rPr>
            </w:pPr>
            <w:r>
              <w:rPr>
                <w:rFonts w:ascii="Arial" w:cs="Arial" w:eastAsia="Arial" w:hAnsi="Arial"/>
                <w:sz w:val="14"/>
                <w:szCs w:val="14"/>
                <w:color w:val="auto"/>
              </w:rPr>
              <w:t>$(722,283)</w:t>
            </w:r>
          </w:p>
        </w:tc>
        <w:tc>
          <w:tcPr>
            <w:tcW w:w="40" w:type="dxa"/>
            <w:vAlign w:val="bottom"/>
            <w:tcBorders>
              <w:bottom w:val="single" w:sz="8" w:color="E5EBEE"/>
            </w:tcBorders>
            <w:shd w:val="clear" w:color="auto" w:fill="E5EBEE"/>
          </w:tcPr>
          <w:p>
            <w:pPr>
              <w:spacing w:after="0"/>
              <w:rPr>
                <w:sz w:val="23"/>
                <w:szCs w:val="23"/>
                <w:color w:val="auto"/>
              </w:rPr>
            </w:pPr>
          </w:p>
        </w:tc>
        <w:tc>
          <w:tcPr>
            <w:tcW w:w="8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5EBEE"/>
            </w:tcBorders>
            <w:shd w:val="clear" w:color="auto" w:fill="E5EBEE"/>
          </w:tcPr>
          <w:p>
            <w:pPr>
              <w:jc w:val="right"/>
              <w:ind w:right="56"/>
              <w:spacing w:after="0"/>
              <w:rPr>
                <w:sz w:val="20"/>
                <w:szCs w:val="20"/>
                <w:color w:val="auto"/>
              </w:rPr>
            </w:pPr>
            <w:r>
              <w:rPr>
                <w:rFonts w:ascii="Arial" w:cs="Arial" w:eastAsia="Arial" w:hAnsi="Arial"/>
                <w:sz w:val="14"/>
                <w:szCs w:val="14"/>
                <w:color w:val="auto"/>
              </w:rPr>
              <w:t>$943,115</w:t>
            </w:r>
          </w:p>
        </w:tc>
        <w:tc>
          <w:tcPr>
            <w:tcW w:w="60" w:type="dxa"/>
            <w:vAlign w:val="bottom"/>
            <w:tcBorders>
              <w:bottom w:val="single" w:sz="8" w:color="E5EBEE"/>
            </w:tcBorders>
            <w:shd w:val="clear" w:color="auto" w:fill="E5EBEE"/>
          </w:tcPr>
          <w:p>
            <w:pPr>
              <w:spacing w:after="0"/>
              <w:rPr>
                <w:sz w:val="23"/>
                <w:szCs w:val="23"/>
                <w:color w:val="auto"/>
              </w:rPr>
            </w:pPr>
          </w:p>
        </w:tc>
        <w:tc>
          <w:tcPr>
            <w:tcW w:w="900" w:type="dxa"/>
            <w:vAlign w:val="bottom"/>
            <w:tcBorders>
              <w:bottom w:val="single" w:sz="8" w:color="E5EBEE"/>
            </w:tcBorders>
            <w:shd w:val="clear" w:color="auto" w:fill="E5EBEE"/>
          </w:tcPr>
          <w:p>
            <w:pPr>
              <w:jc w:val="right"/>
              <w:spacing w:after="0"/>
              <w:rPr>
                <w:sz w:val="20"/>
                <w:szCs w:val="20"/>
                <w:color w:val="auto"/>
              </w:rPr>
            </w:pPr>
            <w:r>
              <w:rPr>
                <w:rFonts w:ascii="Arial" w:cs="Arial" w:eastAsia="Arial" w:hAnsi="Arial"/>
                <w:sz w:val="14"/>
                <w:szCs w:val="14"/>
                <w:color w:val="auto"/>
              </w:rPr>
              <w:t> $94,125,501</w:t>
            </w: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Borders>
              <w:top w:val="single" w:sz="8" w:color="023C5B"/>
            </w:tcBorders>
            <w:shd w:val="clear" w:color="auto" w:fill="E5EBEE"/>
          </w:tcPr>
          <w:p>
            <w:pPr>
              <w:spacing w:after="0"/>
              <w:rPr>
                <w:sz w:val="20"/>
                <w:szCs w:val="20"/>
                <w:color w:val="auto"/>
              </w:rPr>
            </w:pPr>
            <w:r>
              <w:rPr>
                <w:rFonts w:ascii="Arial" w:cs="Arial" w:eastAsia="Arial" w:hAnsi="Arial"/>
                <w:sz w:val="14"/>
                <w:szCs w:val="14"/>
                <w:color w:val="auto"/>
              </w:rPr>
              <w:t>Non-PEO</w:t>
            </w:r>
          </w:p>
        </w:tc>
        <w:tc>
          <w:tcPr>
            <w:tcW w:w="20" w:type="dxa"/>
            <w:vAlign w:val="bottom"/>
            <w:tcBorders>
              <w:top w:val="single" w:sz="8" w:color="E5EBEE"/>
            </w:tcBorders>
            <w:shd w:val="clear" w:color="auto" w:fill="E5EBEE"/>
          </w:tcPr>
          <w:p>
            <w:pPr>
              <w:spacing w:after="0"/>
              <w:rPr>
                <w:sz w:val="16"/>
                <w:szCs w:val="16"/>
                <w:color w:val="auto"/>
              </w:rPr>
            </w:pPr>
          </w:p>
        </w:tc>
        <w:tc>
          <w:tcPr>
            <w:tcW w:w="20" w:type="dxa"/>
            <w:vAlign w:val="bottom"/>
            <w:tcBorders>
              <w:top w:val="single" w:sz="8" w:color="E5EBEE"/>
            </w:tcBorders>
            <w:vMerge w:val="restart"/>
            <w:shd w:val="clear" w:color="auto" w:fill="E5EBEE"/>
          </w:tcPr>
          <w:p>
            <w:pPr>
              <w:spacing w:after="0"/>
              <w:rPr>
                <w:sz w:val="16"/>
                <w:szCs w:val="16"/>
                <w:color w:val="auto"/>
              </w:rPr>
            </w:pPr>
          </w:p>
        </w:tc>
        <w:tc>
          <w:tcPr>
            <w:tcW w:w="1060" w:type="dxa"/>
            <w:vAlign w:val="bottom"/>
            <w:tcBorders>
              <w:top w:val="single" w:sz="8" w:color="023C5B"/>
            </w:tcBorders>
            <w:vMerge w:val="restart"/>
            <w:shd w:val="clear" w:color="auto" w:fill="E5EBEE"/>
          </w:tcPr>
          <w:p>
            <w:pPr>
              <w:jc w:val="center"/>
              <w:spacing w:after="0"/>
              <w:rPr>
                <w:sz w:val="20"/>
                <w:szCs w:val="20"/>
                <w:color w:val="auto"/>
              </w:rPr>
            </w:pPr>
            <w:r>
              <w:rPr>
                <w:rFonts w:ascii="Arial" w:cs="Arial" w:eastAsia="Arial" w:hAnsi="Arial"/>
                <w:sz w:val="14"/>
                <w:szCs w:val="14"/>
                <w:color w:val="auto"/>
              </w:rPr>
              <w:t>$12,057,413</w:t>
            </w:r>
          </w:p>
        </w:tc>
        <w:tc>
          <w:tcPr>
            <w:tcW w:w="40" w:type="dxa"/>
            <w:vAlign w:val="bottom"/>
            <w:tcBorders>
              <w:top w:val="single" w:sz="8" w:color="E5EBEE"/>
            </w:tcBorders>
            <w:shd w:val="clear" w:color="auto" w:fill="E5EBEE"/>
          </w:tcPr>
          <w:p>
            <w:pPr>
              <w:spacing w:after="0"/>
              <w:rPr>
                <w:sz w:val="16"/>
                <w:szCs w:val="16"/>
                <w:color w:val="auto"/>
              </w:rPr>
            </w:pPr>
          </w:p>
        </w:tc>
        <w:tc>
          <w:tcPr>
            <w:tcW w:w="20" w:type="dxa"/>
            <w:vAlign w:val="bottom"/>
            <w:tcBorders>
              <w:top w:val="single" w:sz="8" w:color="E5EBEE"/>
            </w:tcBorders>
            <w:shd w:val="clear" w:color="auto" w:fill="E5EBEE"/>
          </w:tcPr>
          <w:p>
            <w:pPr>
              <w:spacing w:after="0"/>
              <w:rPr>
                <w:sz w:val="16"/>
                <w:szCs w:val="16"/>
                <w:color w:val="auto"/>
              </w:rPr>
            </w:pPr>
          </w:p>
        </w:tc>
        <w:tc>
          <w:tcPr>
            <w:tcW w:w="320" w:type="dxa"/>
            <w:vAlign w:val="bottom"/>
            <w:tcBorders>
              <w:top w:val="single" w:sz="8" w:color="023C5B"/>
              <w:right w:val="single" w:sz="8" w:color="E5EBEE"/>
            </w:tcBorders>
            <w:shd w:val="clear" w:color="auto" w:fill="E5EBEE"/>
          </w:tcPr>
          <w:p>
            <w:pPr>
              <w:spacing w:after="0"/>
              <w:rPr>
                <w:sz w:val="16"/>
                <w:szCs w:val="16"/>
                <w:color w:val="auto"/>
              </w:rPr>
            </w:pPr>
          </w:p>
        </w:tc>
        <w:tc>
          <w:tcPr>
            <w:tcW w:w="580" w:type="dxa"/>
            <w:vAlign w:val="bottom"/>
            <w:tcBorders>
              <w:top w:val="single" w:sz="8" w:color="023C5B"/>
            </w:tcBorders>
            <w:vMerge w:val="restart"/>
            <w:shd w:val="clear" w:color="auto" w:fill="E5EBEE"/>
          </w:tcPr>
          <w:p>
            <w:pPr>
              <w:jc w:val="center"/>
              <w:ind w:right="212"/>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E5EBEE"/>
            </w:tcBorders>
            <w:vMerge w:val="restart"/>
            <w:shd w:val="clear" w:color="auto" w:fill="E5EBEE"/>
          </w:tcPr>
          <w:p>
            <w:pPr>
              <w:spacing w:after="0"/>
              <w:rPr>
                <w:sz w:val="16"/>
                <w:szCs w:val="16"/>
                <w:color w:val="auto"/>
              </w:rPr>
            </w:pPr>
          </w:p>
        </w:tc>
        <w:tc>
          <w:tcPr>
            <w:tcW w:w="1060" w:type="dxa"/>
            <w:vAlign w:val="bottom"/>
            <w:tcBorders>
              <w:top w:val="single" w:sz="8" w:color="023C5B"/>
            </w:tcBorders>
            <w:vMerge w:val="restart"/>
            <w:shd w:val="clear" w:color="auto" w:fill="E5EBEE"/>
          </w:tcPr>
          <w:p>
            <w:pPr>
              <w:jc w:val="right"/>
              <w:ind w:right="36"/>
              <w:spacing w:after="0"/>
              <w:rPr>
                <w:sz w:val="20"/>
                <w:szCs w:val="20"/>
                <w:color w:val="auto"/>
              </w:rPr>
            </w:pPr>
            <w:r>
              <w:rPr>
                <w:rFonts w:ascii="Arial" w:cs="Arial" w:eastAsia="Arial" w:hAnsi="Arial"/>
                <w:sz w:val="14"/>
                <w:szCs w:val="14"/>
                <w:color w:val="auto"/>
              </w:rPr>
              <w:t>$(7,199,981)</w:t>
            </w:r>
          </w:p>
        </w:tc>
        <w:tc>
          <w:tcPr>
            <w:tcW w:w="60" w:type="dxa"/>
            <w:vAlign w:val="bottom"/>
            <w:tcBorders>
              <w:top w:val="single" w:sz="8" w:color="E5EBEE"/>
            </w:tcBorders>
            <w:shd w:val="clear" w:color="auto" w:fill="E5EBEE"/>
          </w:tcPr>
          <w:p>
            <w:pPr>
              <w:spacing w:after="0"/>
              <w:rPr>
                <w:sz w:val="16"/>
                <w:szCs w:val="16"/>
                <w:color w:val="auto"/>
              </w:rPr>
            </w:pPr>
          </w:p>
        </w:tc>
        <w:tc>
          <w:tcPr>
            <w:tcW w:w="900" w:type="dxa"/>
            <w:vAlign w:val="bottom"/>
            <w:tcBorders>
              <w:top w:val="single" w:sz="8" w:color="023C5B"/>
            </w:tcBorders>
            <w:vMerge w:val="restart"/>
            <w:shd w:val="clear" w:color="auto" w:fill="E5EBEE"/>
          </w:tcPr>
          <w:p>
            <w:pPr>
              <w:jc w:val="center"/>
              <w:spacing w:after="0"/>
              <w:rPr>
                <w:sz w:val="20"/>
                <w:szCs w:val="20"/>
                <w:color w:val="auto"/>
              </w:rPr>
            </w:pPr>
            <w:r>
              <w:rPr>
                <w:rFonts w:ascii="Arial" w:cs="Arial" w:eastAsia="Arial" w:hAnsi="Arial"/>
                <w:sz w:val="14"/>
                <w:szCs w:val="14"/>
                <w:color w:val="auto"/>
              </w:rPr>
              <w:t>$8,827,418</w:t>
            </w:r>
          </w:p>
        </w:tc>
        <w:tc>
          <w:tcPr>
            <w:tcW w:w="60" w:type="dxa"/>
            <w:vAlign w:val="bottom"/>
            <w:tcBorders>
              <w:top w:val="single" w:sz="8" w:color="E5EBEE"/>
            </w:tcBorders>
            <w:shd w:val="clear" w:color="auto" w:fill="E5EBEE"/>
          </w:tcPr>
          <w:p>
            <w:pPr>
              <w:spacing w:after="0"/>
              <w:rPr>
                <w:sz w:val="16"/>
                <w:szCs w:val="16"/>
                <w:color w:val="auto"/>
              </w:rPr>
            </w:pPr>
          </w:p>
        </w:tc>
        <w:tc>
          <w:tcPr>
            <w:tcW w:w="900" w:type="dxa"/>
            <w:vAlign w:val="bottom"/>
            <w:tcBorders>
              <w:top w:val="single" w:sz="8" w:color="023C5B"/>
            </w:tcBorders>
            <w:vMerge w:val="restart"/>
            <w:shd w:val="clear" w:color="auto" w:fill="E5EBEE"/>
          </w:tcPr>
          <w:p>
            <w:pPr>
              <w:jc w:val="center"/>
              <w:spacing w:after="0"/>
              <w:rPr>
                <w:sz w:val="20"/>
                <w:szCs w:val="20"/>
                <w:color w:val="auto"/>
              </w:rPr>
            </w:pPr>
            <w:r>
              <w:rPr>
                <w:rFonts w:ascii="Arial" w:cs="Arial" w:eastAsia="Arial" w:hAnsi="Arial"/>
                <w:sz w:val="14"/>
                <w:szCs w:val="14"/>
                <w:color w:val="auto"/>
              </w:rPr>
              <w:t>$1,029,963</w:t>
            </w:r>
          </w:p>
        </w:tc>
        <w:tc>
          <w:tcPr>
            <w:tcW w:w="60" w:type="dxa"/>
            <w:vAlign w:val="bottom"/>
            <w:tcBorders>
              <w:top w:val="single" w:sz="8" w:color="E5EBEE"/>
            </w:tcBorders>
            <w:shd w:val="clear" w:color="auto" w:fill="E5EBEE"/>
          </w:tcPr>
          <w:p>
            <w:pPr>
              <w:spacing w:after="0"/>
              <w:rPr>
                <w:sz w:val="16"/>
                <w:szCs w:val="16"/>
                <w:color w:val="auto"/>
              </w:rPr>
            </w:pPr>
          </w:p>
        </w:tc>
        <w:tc>
          <w:tcPr>
            <w:tcW w:w="920" w:type="dxa"/>
            <w:vAlign w:val="bottom"/>
            <w:tcBorders>
              <w:top w:val="single" w:sz="8" w:color="023C5B"/>
            </w:tcBorders>
            <w:vMerge w:val="restart"/>
            <w:shd w:val="clear" w:color="auto" w:fill="E5EBEE"/>
          </w:tcPr>
          <w:p>
            <w:pPr>
              <w:jc w:val="right"/>
              <w:ind w:right="76"/>
              <w:spacing w:after="0"/>
              <w:rPr>
                <w:sz w:val="20"/>
                <w:szCs w:val="20"/>
                <w:color w:val="auto"/>
              </w:rPr>
            </w:pPr>
            <w:r>
              <w:rPr>
                <w:rFonts w:ascii="Arial" w:cs="Arial" w:eastAsia="Arial" w:hAnsi="Arial"/>
                <w:sz w:val="14"/>
                <w:szCs w:val="14"/>
                <w:color w:val="auto"/>
              </w:rPr>
              <w:t>$148,088</w:t>
            </w:r>
          </w:p>
        </w:tc>
        <w:tc>
          <w:tcPr>
            <w:tcW w:w="40" w:type="dxa"/>
            <w:vAlign w:val="bottom"/>
            <w:tcBorders>
              <w:top w:val="single" w:sz="8" w:color="E5EBEE"/>
            </w:tcBorders>
            <w:shd w:val="clear" w:color="auto" w:fill="E5EBEE"/>
          </w:tcPr>
          <w:p>
            <w:pPr>
              <w:spacing w:after="0"/>
              <w:rPr>
                <w:sz w:val="16"/>
                <w:szCs w:val="16"/>
                <w:color w:val="auto"/>
              </w:rPr>
            </w:pPr>
          </w:p>
        </w:tc>
        <w:tc>
          <w:tcPr>
            <w:tcW w:w="780" w:type="dxa"/>
            <w:vAlign w:val="bottom"/>
            <w:tcBorders>
              <w:top w:val="single" w:sz="8" w:color="023C5B"/>
            </w:tcBorders>
            <w:vMerge w:val="restart"/>
            <w:shd w:val="clear" w:color="auto" w:fill="E5EBEE"/>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E5EBEE"/>
            </w:tcBorders>
            <w:vMerge w:val="restart"/>
            <w:shd w:val="clear" w:color="auto" w:fill="E5EBEE"/>
          </w:tcPr>
          <w:p>
            <w:pPr>
              <w:spacing w:after="0"/>
              <w:rPr>
                <w:sz w:val="16"/>
                <w:szCs w:val="16"/>
                <w:color w:val="auto"/>
              </w:rPr>
            </w:pPr>
          </w:p>
        </w:tc>
        <w:tc>
          <w:tcPr>
            <w:tcW w:w="880" w:type="dxa"/>
            <w:vAlign w:val="bottom"/>
            <w:tcBorders>
              <w:top w:val="single" w:sz="8" w:color="023C5B"/>
            </w:tcBorders>
            <w:vMerge w:val="restart"/>
            <w:shd w:val="clear" w:color="auto" w:fill="E5EBEE"/>
          </w:tcPr>
          <w:p>
            <w:pPr>
              <w:jc w:val="right"/>
              <w:ind w:right="96"/>
              <w:spacing w:after="0"/>
              <w:rPr>
                <w:sz w:val="20"/>
                <w:szCs w:val="20"/>
                <w:color w:val="auto"/>
              </w:rPr>
            </w:pPr>
            <w:r>
              <w:rPr>
                <w:rFonts w:ascii="Arial" w:cs="Arial" w:eastAsia="Arial" w:hAnsi="Arial"/>
                <w:sz w:val="14"/>
                <w:szCs w:val="14"/>
                <w:color w:val="auto"/>
              </w:rPr>
              <w:t>$71,143</w:t>
            </w:r>
          </w:p>
        </w:tc>
        <w:tc>
          <w:tcPr>
            <w:tcW w:w="60" w:type="dxa"/>
            <w:vAlign w:val="bottom"/>
            <w:tcBorders>
              <w:top w:val="single" w:sz="8" w:color="E5EBEE"/>
            </w:tcBorders>
            <w:shd w:val="clear" w:color="auto" w:fill="E5EBEE"/>
          </w:tcPr>
          <w:p>
            <w:pPr>
              <w:spacing w:after="0"/>
              <w:rPr>
                <w:sz w:val="16"/>
                <w:szCs w:val="16"/>
                <w:color w:val="auto"/>
              </w:rPr>
            </w:pPr>
          </w:p>
        </w:tc>
        <w:tc>
          <w:tcPr>
            <w:tcW w:w="900" w:type="dxa"/>
            <w:vAlign w:val="bottom"/>
            <w:tcBorders>
              <w:top w:val="single" w:sz="8" w:color="023C5B"/>
            </w:tcBorders>
            <w:vMerge w:val="restart"/>
            <w:shd w:val="clear" w:color="auto" w:fill="E5EBEE"/>
          </w:tcPr>
          <w:p>
            <w:pPr>
              <w:jc w:val="right"/>
              <w:spacing w:after="0"/>
              <w:rPr>
                <w:sz w:val="20"/>
                <w:szCs w:val="20"/>
                <w:color w:val="auto"/>
              </w:rPr>
            </w:pPr>
            <w:r>
              <w:rPr>
                <w:rFonts w:ascii="Arial" w:cs="Arial" w:eastAsia="Arial" w:hAnsi="Arial"/>
                <w:sz w:val="14"/>
                <w:szCs w:val="14"/>
                <w:color w:val="auto"/>
              </w:rPr>
              <w:t>$14,934,044</w:t>
            </w:r>
          </w:p>
        </w:tc>
        <w:tc>
          <w:tcPr>
            <w:tcW w:w="0" w:type="dxa"/>
            <w:vAlign w:val="bottom"/>
          </w:tcPr>
          <w:p>
            <w:pPr>
              <w:spacing w:after="0"/>
              <w:rPr>
                <w:sz w:val="1"/>
                <w:szCs w:val="1"/>
                <w:color w:val="auto"/>
              </w:rPr>
            </w:pPr>
          </w:p>
        </w:tc>
      </w:tr>
      <w:tr>
        <w:trPr>
          <w:trHeight w:val="109"/>
        </w:trPr>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720" w:type="dxa"/>
            <w:vAlign w:val="bottom"/>
            <w:gridSpan w:val="2"/>
            <w:vMerge w:val="restart"/>
            <w:shd w:val="clear" w:color="auto" w:fill="E5EBEE"/>
          </w:tcPr>
          <w:p>
            <w:pPr>
              <w:spacing w:after="0"/>
              <w:rPr>
                <w:sz w:val="20"/>
                <w:szCs w:val="20"/>
                <w:color w:val="auto"/>
              </w:rPr>
            </w:pPr>
            <w:r>
              <w:rPr>
                <w:rFonts w:ascii="Arial" w:cs="Arial" w:eastAsia="Arial" w:hAnsi="Arial"/>
                <w:sz w:val="14"/>
                <w:szCs w:val="14"/>
                <w:color w:val="auto"/>
              </w:rPr>
              <w:t>NEOs 2025</w:t>
            </w:r>
          </w:p>
        </w:tc>
        <w:tc>
          <w:tcPr>
            <w:tcW w:w="20" w:type="dxa"/>
            <w:vAlign w:val="bottom"/>
            <w:vMerge w:val="continue"/>
            <w:shd w:val="clear" w:color="auto" w:fill="E5EBEE"/>
          </w:tcPr>
          <w:p>
            <w:pPr>
              <w:spacing w:after="0"/>
              <w:rPr>
                <w:sz w:val="9"/>
                <w:szCs w:val="9"/>
                <w:color w:val="auto"/>
              </w:rPr>
            </w:pPr>
          </w:p>
        </w:tc>
        <w:tc>
          <w:tcPr>
            <w:tcW w:w="1060" w:type="dxa"/>
            <w:vAlign w:val="bottom"/>
            <w:vMerge w:val="continue"/>
            <w:shd w:val="clear" w:color="auto" w:fill="E5EBEE"/>
          </w:tcPr>
          <w:p>
            <w:pPr>
              <w:spacing w:after="0"/>
              <w:rPr>
                <w:sz w:val="9"/>
                <w:szCs w:val="9"/>
                <w:color w:val="auto"/>
              </w:rPr>
            </w:pPr>
          </w:p>
        </w:tc>
        <w:tc>
          <w:tcPr>
            <w:tcW w:w="40" w:type="dxa"/>
            <w:vAlign w:val="bottom"/>
            <w:shd w:val="clear" w:color="auto" w:fill="E5EBEE"/>
          </w:tcPr>
          <w:p>
            <w:pPr>
              <w:spacing w:after="0"/>
              <w:rPr>
                <w:sz w:val="9"/>
                <w:szCs w:val="9"/>
                <w:color w:val="auto"/>
              </w:rPr>
            </w:pPr>
          </w:p>
        </w:tc>
        <w:tc>
          <w:tcPr>
            <w:tcW w:w="20" w:type="dxa"/>
            <w:vAlign w:val="bottom"/>
            <w:shd w:val="clear" w:color="auto" w:fill="E5EBEE"/>
          </w:tcPr>
          <w:p>
            <w:pPr>
              <w:spacing w:after="0"/>
              <w:rPr>
                <w:sz w:val="9"/>
                <w:szCs w:val="9"/>
                <w:color w:val="auto"/>
              </w:rPr>
            </w:pPr>
          </w:p>
        </w:tc>
        <w:tc>
          <w:tcPr>
            <w:tcW w:w="320" w:type="dxa"/>
            <w:vAlign w:val="bottom"/>
            <w:tcBorders>
              <w:right w:val="single" w:sz="8" w:color="E5EBEE"/>
            </w:tcBorders>
            <w:shd w:val="clear" w:color="auto" w:fill="E5EBEE"/>
          </w:tcPr>
          <w:p>
            <w:pPr>
              <w:spacing w:after="0"/>
              <w:rPr>
                <w:sz w:val="9"/>
                <w:szCs w:val="9"/>
                <w:color w:val="auto"/>
              </w:rPr>
            </w:pPr>
          </w:p>
        </w:tc>
        <w:tc>
          <w:tcPr>
            <w:tcW w:w="580" w:type="dxa"/>
            <w:vAlign w:val="bottom"/>
            <w:vMerge w:val="continue"/>
            <w:shd w:val="clear" w:color="auto" w:fill="E5EBEE"/>
          </w:tcPr>
          <w:p>
            <w:pPr>
              <w:spacing w:after="0"/>
              <w:rPr>
                <w:sz w:val="9"/>
                <w:szCs w:val="9"/>
                <w:color w:val="auto"/>
              </w:rPr>
            </w:pPr>
          </w:p>
        </w:tc>
        <w:tc>
          <w:tcPr>
            <w:tcW w:w="40" w:type="dxa"/>
            <w:vAlign w:val="bottom"/>
            <w:vMerge w:val="continue"/>
            <w:shd w:val="clear" w:color="auto" w:fill="E5EBEE"/>
          </w:tcPr>
          <w:p>
            <w:pPr>
              <w:spacing w:after="0"/>
              <w:rPr>
                <w:sz w:val="9"/>
                <w:szCs w:val="9"/>
                <w:color w:val="auto"/>
              </w:rPr>
            </w:pPr>
          </w:p>
        </w:tc>
        <w:tc>
          <w:tcPr>
            <w:tcW w:w="1060" w:type="dxa"/>
            <w:vAlign w:val="bottom"/>
            <w:vMerge w:val="continue"/>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900" w:type="dxa"/>
            <w:vAlign w:val="bottom"/>
            <w:vMerge w:val="continue"/>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900" w:type="dxa"/>
            <w:vAlign w:val="bottom"/>
            <w:vMerge w:val="continue"/>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920" w:type="dxa"/>
            <w:vAlign w:val="bottom"/>
            <w:vMerge w:val="continue"/>
            <w:shd w:val="clear" w:color="auto" w:fill="E5EBEE"/>
          </w:tcPr>
          <w:p>
            <w:pPr>
              <w:spacing w:after="0"/>
              <w:rPr>
                <w:sz w:val="9"/>
                <w:szCs w:val="9"/>
                <w:color w:val="auto"/>
              </w:rPr>
            </w:pPr>
          </w:p>
        </w:tc>
        <w:tc>
          <w:tcPr>
            <w:tcW w:w="40" w:type="dxa"/>
            <w:vAlign w:val="bottom"/>
            <w:shd w:val="clear" w:color="auto" w:fill="E5EBEE"/>
          </w:tcPr>
          <w:p>
            <w:pPr>
              <w:spacing w:after="0"/>
              <w:rPr>
                <w:sz w:val="9"/>
                <w:szCs w:val="9"/>
                <w:color w:val="auto"/>
              </w:rPr>
            </w:pPr>
          </w:p>
        </w:tc>
        <w:tc>
          <w:tcPr>
            <w:tcW w:w="780" w:type="dxa"/>
            <w:vAlign w:val="bottom"/>
            <w:vMerge w:val="continue"/>
            <w:shd w:val="clear" w:color="auto" w:fill="E5EBEE"/>
          </w:tcPr>
          <w:p>
            <w:pPr>
              <w:spacing w:after="0"/>
              <w:rPr>
                <w:sz w:val="9"/>
                <w:szCs w:val="9"/>
                <w:color w:val="auto"/>
              </w:rPr>
            </w:pPr>
          </w:p>
        </w:tc>
        <w:tc>
          <w:tcPr>
            <w:tcW w:w="60" w:type="dxa"/>
            <w:vAlign w:val="bottom"/>
            <w:vMerge w:val="continue"/>
            <w:shd w:val="clear" w:color="auto" w:fill="E5EBEE"/>
          </w:tcPr>
          <w:p>
            <w:pPr>
              <w:spacing w:after="0"/>
              <w:rPr>
                <w:sz w:val="9"/>
                <w:szCs w:val="9"/>
                <w:color w:val="auto"/>
              </w:rPr>
            </w:pPr>
          </w:p>
        </w:tc>
        <w:tc>
          <w:tcPr>
            <w:tcW w:w="880" w:type="dxa"/>
            <w:vAlign w:val="bottom"/>
            <w:vMerge w:val="continue"/>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900" w:type="dxa"/>
            <w:vAlign w:val="bottom"/>
            <w:vMerge w:val="continue"/>
            <w:shd w:val="clear" w:color="auto" w:fill="E5EBE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tcBorders>
              <w:bottom w:val="single" w:sz="8" w:color="E5EBEE"/>
            </w:tcBorders>
            <w:gridSpan w:val="2"/>
            <w:vMerge w:val="continue"/>
            <w:shd w:val="clear" w:color="auto" w:fill="E5EBEE"/>
          </w:tcPr>
          <w:p>
            <w:pPr>
              <w:spacing w:after="0"/>
              <w:rPr>
                <w:sz w:val="11"/>
                <w:szCs w:val="11"/>
                <w:color w:val="auto"/>
              </w:rPr>
            </w:pPr>
          </w:p>
        </w:tc>
        <w:tc>
          <w:tcPr>
            <w:tcW w:w="20" w:type="dxa"/>
            <w:vAlign w:val="bottom"/>
            <w:tcBorders>
              <w:bottom w:val="single" w:sz="8" w:color="E5EBEE"/>
            </w:tcBorders>
            <w:shd w:val="clear" w:color="auto" w:fill="E5EBEE"/>
          </w:tcPr>
          <w:p>
            <w:pPr>
              <w:spacing w:after="0"/>
              <w:rPr>
                <w:sz w:val="11"/>
                <w:szCs w:val="11"/>
                <w:color w:val="auto"/>
              </w:rPr>
            </w:pPr>
          </w:p>
        </w:tc>
        <w:tc>
          <w:tcPr>
            <w:tcW w:w="1060" w:type="dxa"/>
            <w:vAlign w:val="bottom"/>
            <w:tcBorders>
              <w:bottom w:val="single" w:sz="8" w:color="E5EBEE"/>
            </w:tcBorders>
            <w:shd w:val="clear" w:color="auto" w:fill="E5EBEE"/>
          </w:tcPr>
          <w:p>
            <w:pPr>
              <w:spacing w:after="0"/>
              <w:rPr>
                <w:sz w:val="11"/>
                <w:szCs w:val="11"/>
                <w:color w:val="auto"/>
              </w:rPr>
            </w:pPr>
          </w:p>
        </w:tc>
        <w:tc>
          <w:tcPr>
            <w:tcW w:w="40" w:type="dxa"/>
            <w:vAlign w:val="bottom"/>
            <w:tcBorders>
              <w:bottom w:val="single" w:sz="8" w:color="E5EBEE"/>
            </w:tcBorders>
            <w:shd w:val="clear" w:color="auto" w:fill="E5EBEE"/>
          </w:tcPr>
          <w:p>
            <w:pPr>
              <w:spacing w:after="0"/>
              <w:rPr>
                <w:sz w:val="11"/>
                <w:szCs w:val="11"/>
                <w:color w:val="auto"/>
              </w:rPr>
            </w:pPr>
          </w:p>
        </w:tc>
        <w:tc>
          <w:tcPr>
            <w:tcW w:w="20" w:type="dxa"/>
            <w:vAlign w:val="bottom"/>
            <w:tcBorders>
              <w:bottom w:val="single" w:sz="8" w:color="E5EBEE"/>
            </w:tcBorders>
            <w:shd w:val="clear" w:color="auto" w:fill="E5EBEE"/>
          </w:tcPr>
          <w:p>
            <w:pPr>
              <w:spacing w:after="0"/>
              <w:rPr>
                <w:sz w:val="11"/>
                <w:szCs w:val="11"/>
                <w:color w:val="auto"/>
              </w:rPr>
            </w:pPr>
          </w:p>
        </w:tc>
        <w:tc>
          <w:tcPr>
            <w:tcW w:w="320" w:type="dxa"/>
            <w:vAlign w:val="bottom"/>
            <w:tcBorders>
              <w:bottom w:val="single" w:sz="8" w:color="E5EBEE"/>
              <w:right w:val="single" w:sz="8" w:color="E5EBEE"/>
            </w:tcBorders>
            <w:shd w:val="clear" w:color="auto" w:fill="E5EBEE"/>
          </w:tcPr>
          <w:p>
            <w:pPr>
              <w:spacing w:after="0"/>
              <w:rPr>
                <w:sz w:val="11"/>
                <w:szCs w:val="11"/>
                <w:color w:val="auto"/>
              </w:rPr>
            </w:pPr>
          </w:p>
        </w:tc>
        <w:tc>
          <w:tcPr>
            <w:tcW w:w="580" w:type="dxa"/>
            <w:vAlign w:val="bottom"/>
            <w:tcBorders>
              <w:bottom w:val="single" w:sz="8" w:color="E5EBEE"/>
            </w:tcBorders>
            <w:shd w:val="clear" w:color="auto" w:fill="E5EBEE"/>
          </w:tcPr>
          <w:p>
            <w:pPr>
              <w:spacing w:after="0"/>
              <w:rPr>
                <w:sz w:val="11"/>
                <w:szCs w:val="11"/>
                <w:color w:val="auto"/>
              </w:rPr>
            </w:pPr>
          </w:p>
        </w:tc>
        <w:tc>
          <w:tcPr>
            <w:tcW w:w="40" w:type="dxa"/>
            <w:vAlign w:val="bottom"/>
            <w:tcBorders>
              <w:bottom w:val="single" w:sz="8" w:color="E5EBEE"/>
            </w:tcBorders>
            <w:shd w:val="clear" w:color="auto" w:fill="E5EBEE"/>
          </w:tcPr>
          <w:p>
            <w:pPr>
              <w:spacing w:after="0"/>
              <w:rPr>
                <w:sz w:val="11"/>
                <w:szCs w:val="11"/>
                <w:color w:val="auto"/>
              </w:rPr>
            </w:pPr>
          </w:p>
        </w:tc>
        <w:tc>
          <w:tcPr>
            <w:tcW w:w="1060" w:type="dxa"/>
            <w:vAlign w:val="bottom"/>
            <w:tcBorders>
              <w:bottom w:val="single" w:sz="8" w:color="E5EBEE"/>
            </w:tcBorders>
            <w:shd w:val="clear" w:color="auto" w:fill="E5EBEE"/>
          </w:tcPr>
          <w:p>
            <w:pPr>
              <w:spacing w:after="0"/>
              <w:rPr>
                <w:sz w:val="11"/>
                <w:szCs w:val="11"/>
                <w:color w:val="auto"/>
              </w:rPr>
            </w:pPr>
          </w:p>
        </w:tc>
        <w:tc>
          <w:tcPr>
            <w:tcW w:w="60" w:type="dxa"/>
            <w:vAlign w:val="bottom"/>
            <w:tcBorders>
              <w:bottom w:val="single" w:sz="8" w:color="E5EBEE"/>
            </w:tcBorders>
            <w:shd w:val="clear" w:color="auto" w:fill="E5EBEE"/>
          </w:tcPr>
          <w:p>
            <w:pPr>
              <w:spacing w:after="0"/>
              <w:rPr>
                <w:sz w:val="11"/>
                <w:szCs w:val="11"/>
                <w:color w:val="auto"/>
              </w:rPr>
            </w:pPr>
          </w:p>
        </w:tc>
        <w:tc>
          <w:tcPr>
            <w:tcW w:w="900" w:type="dxa"/>
            <w:vAlign w:val="bottom"/>
            <w:tcBorders>
              <w:bottom w:val="single" w:sz="8" w:color="E5EBEE"/>
            </w:tcBorders>
            <w:shd w:val="clear" w:color="auto" w:fill="E5EBEE"/>
          </w:tcPr>
          <w:p>
            <w:pPr>
              <w:spacing w:after="0"/>
              <w:rPr>
                <w:sz w:val="11"/>
                <w:szCs w:val="11"/>
                <w:color w:val="auto"/>
              </w:rPr>
            </w:pPr>
          </w:p>
        </w:tc>
        <w:tc>
          <w:tcPr>
            <w:tcW w:w="60" w:type="dxa"/>
            <w:vAlign w:val="bottom"/>
            <w:tcBorders>
              <w:bottom w:val="single" w:sz="8" w:color="E5EBEE"/>
            </w:tcBorders>
            <w:shd w:val="clear" w:color="auto" w:fill="E5EBEE"/>
          </w:tcPr>
          <w:p>
            <w:pPr>
              <w:spacing w:after="0"/>
              <w:rPr>
                <w:sz w:val="11"/>
                <w:szCs w:val="11"/>
                <w:color w:val="auto"/>
              </w:rPr>
            </w:pPr>
          </w:p>
        </w:tc>
        <w:tc>
          <w:tcPr>
            <w:tcW w:w="900" w:type="dxa"/>
            <w:vAlign w:val="bottom"/>
            <w:tcBorders>
              <w:bottom w:val="single" w:sz="8" w:color="E5EBEE"/>
            </w:tcBorders>
            <w:shd w:val="clear" w:color="auto" w:fill="E5EBEE"/>
          </w:tcPr>
          <w:p>
            <w:pPr>
              <w:spacing w:after="0"/>
              <w:rPr>
                <w:sz w:val="11"/>
                <w:szCs w:val="11"/>
                <w:color w:val="auto"/>
              </w:rPr>
            </w:pPr>
          </w:p>
        </w:tc>
        <w:tc>
          <w:tcPr>
            <w:tcW w:w="60" w:type="dxa"/>
            <w:vAlign w:val="bottom"/>
            <w:tcBorders>
              <w:bottom w:val="single" w:sz="8" w:color="E5EBEE"/>
            </w:tcBorders>
            <w:shd w:val="clear" w:color="auto" w:fill="E5EBEE"/>
          </w:tcPr>
          <w:p>
            <w:pPr>
              <w:spacing w:after="0"/>
              <w:rPr>
                <w:sz w:val="11"/>
                <w:szCs w:val="11"/>
                <w:color w:val="auto"/>
              </w:rPr>
            </w:pPr>
          </w:p>
        </w:tc>
        <w:tc>
          <w:tcPr>
            <w:tcW w:w="920" w:type="dxa"/>
            <w:vAlign w:val="bottom"/>
            <w:tcBorders>
              <w:bottom w:val="single" w:sz="8" w:color="E5EBEE"/>
            </w:tcBorders>
            <w:shd w:val="clear" w:color="auto" w:fill="E5EBEE"/>
          </w:tcPr>
          <w:p>
            <w:pPr>
              <w:spacing w:after="0"/>
              <w:rPr>
                <w:sz w:val="11"/>
                <w:szCs w:val="11"/>
                <w:color w:val="auto"/>
              </w:rPr>
            </w:pPr>
          </w:p>
        </w:tc>
        <w:tc>
          <w:tcPr>
            <w:tcW w:w="40" w:type="dxa"/>
            <w:vAlign w:val="bottom"/>
            <w:tcBorders>
              <w:bottom w:val="single" w:sz="8" w:color="E5EBEE"/>
            </w:tcBorders>
            <w:shd w:val="clear" w:color="auto" w:fill="E5EBEE"/>
          </w:tcPr>
          <w:p>
            <w:pPr>
              <w:spacing w:after="0"/>
              <w:rPr>
                <w:sz w:val="11"/>
                <w:szCs w:val="11"/>
                <w:color w:val="auto"/>
              </w:rPr>
            </w:pPr>
          </w:p>
        </w:tc>
        <w:tc>
          <w:tcPr>
            <w:tcW w:w="780" w:type="dxa"/>
            <w:vAlign w:val="bottom"/>
            <w:tcBorders>
              <w:bottom w:val="single" w:sz="8" w:color="E5EBEE"/>
            </w:tcBorders>
            <w:shd w:val="clear" w:color="auto" w:fill="E5EBEE"/>
          </w:tcPr>
          <w:p>
            <w:pPr>
              <w:spacing w:after="0"/>
              <w:rPr>
                <w:sz w:val="11"/>
                <w:szCs w:val="11"/>
                <w:color w:val="auto"/>
              </w:rPr>
            </w:pPr>
          </w:p>
        </w:tc>
        <w:tc>
          <w:tcPr>
            <w:tcW w:w="60" w:type="dxa"/>
            <w:vAlign w:val="bottom"/>
            <w:tcBorders>
              <w:bottom w:val="single" w:sz="8" w:color="E5EBEE"/>
            </w:tcBorders>
            <w:shd w:val="clear" w:color="auto" w:fill="E5EBEE"/>
          </w:tcPr>
          <w:p>
            <w:pPr>
              <w:spacing w:after="0"/>
              <w:rPr>
                <w:sz w:val="11"/>
                <w:szCs w:val="11"/>
                <w:color w:val="auto"/>
              </w:rPr>
            </w:pPr>
          </w:p>
        </w:tc>
        <w:tc>
          <w:tcPr>
            <w:tcW w:w="880" w:type="dxa"/>
            <w:vAlign w:val="bottom"/>
            <w:tcBorders>
              <w:bottom w:val="single" w:sz="8" w:color="E5EBEE"/>
            </w:tcBorders>
            <w:shd w:val="clear" w:color="auto" w:fill="E5EBEE"/>
          </w:tcPr>
          <w:p>
            <w:pPr>
              <w:spacing w:after="0"/>
              <w:rPr>
                <w:sz w:val="11"/>
                <w:szCs w:val="11"/>
                <w:color w:val="auto"/>
              </w:rPr>
            </w:pPr>
          </w:p>
        </w:tc>
        <w:tc>
          <w:tcPr>
            <w:tcW w:w="60" w:type="dxa"/>
            <w:vAlign w:val="bottom"/>
            <w:tcBorders>
              <w:bottom w:val="single" w:sz="8" w:color="E5EBEE"/>
            </w:tcBorders>
            <w:shd w:val="clear" w:color="auto" w:fill="E5EBEE"/>
          </w:tcPr>
          <w:p>
            <w:pPr>
              <w:spacing w:after="0"/>
              <w:rPr>
                <w:sz w:val="11"/>
                <w:szCs w:val="11"/>
                <w:color w:val="auto"/>
              </w:rPr>
            </w:pPr>
          </w:p>
        </w:tc>
        <w:tc>
          <w:tcPr>
            <w:tcW w:w="900" w:type="dxa"/>
            <w:vAlign w:val="bottom"/>
            <w:tcBorders>
              <w:bottom w:val="single" w:sz="8" w:color="E5EBEE"/>
            </w:tcBorders>
            <w:shd w:val="clear" w:color="auto" w:fill="E5EBE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6"/>
              </w:rPr>
              <w:t>116</w:t>
            </w:r>
          </w:p>
        </w:tc>
        <w:tc>
          <w:tcPr>
            <w:tcW w:w="60" w:type="dxa"/>
            <w:vAlign w:val="bottom"/>
          </w:tcPr>
          <w:p>
            <w:pPr>
              <w:spacing w:after="0"/>
              <w:rPr>
                <w:sz w:val="12"/>
                <w:szCs w:val="12"/>
                <w:color w:val="auto"/>
              </w:rPr>
            </w:pPr>
          </w:p>
        </w:tc>
        <w:tc>
          <w:tcPr>
            <w:tcW w:w="5880" w:type="dxa"/>
            <w:vAlign w:val="bottom"/>
            <w:tcBorders>
              <w:top w:val="single" w:sz="8" w:color="023C5B"/>
            </w:tcBorders>
            <w:gridSpan w:val="13"/>
          </w:tcPr>
          <w:p>
            <w:pPr>
              <w:spacing w:after="0"/>
              <w:rPr>
                <w:sz w:val="12"/>
                <w:szCs w:val="12"/>
                <w:color w:val="auto"/>
              </w:rPr>
            </w:pPr>
          </w:p>
        </w:tc>
        <w:tc>
          <w:tcPr>
            <w:tcW w:w="900" w:type="dxa"/>
            <w:vAlign w:val="bottom"/>
            <w:tcBorders>
              <w:top w:val="single" w:sz="8" w:color="023C5B"/>
            </w:tcBorders>
          </w:tcPr>
          <w:p>
            <w:pPr>
              <w:spacing w:after="0"/>
              <w:rPr>
                <w:sz w:val="12"/>
                <w:szCs w:val="12"/>
                <w:color w:val="auto"/>
              </w:rPr>
            </w:pPr>
          </w:p>
        </w:tc>
        <w:tc>
          <w:tcPr>
            <w:tcW w:w="60" w:type="dxa"/>
            <w:vAlign w:val="bottom"/>
            <w:tcBorders>
              <w:top w:val="single" w:sz="8" w:color="023C5B"/>
            </w:tcBorders>
          </w:tcPr>
          <w:p>
            <w:pPr>
              <w:spacing w:after="0"/>
              <w:rPr>
                <w:sz w:val="12"/>
                <w:szCs w:val="12"/>
                <w:color w:val="auto"/>
              </w:rPr>
            </w:pPr>
          </w:p>
        </w:tc>
        <w:tc>
          <w:tcPr>
            <w:tcW w:w="920" w:type="dxa"/>
            <w:vAlign w:val="bottom"/>
            <w:tcBorders>
              <w:top w:val="single" w:sz="8" w:color="023C5B"/>
            </w:tcBorders>
          </w:tcPr>
          <w:p>
            <w:pPr>
              <w:spacing w:after="0"/>
              <w:rPr>
                <w:sz w:val="12"/>
                <w:szCs w:val="12"/>
                <w:color w:val="auto"/>
              </w:rPr>
            </w:pPr>
          </w:p>
        </w:tc>
        <w:tc>
          <w:tcPr>
            <w:tcW w:w="40" w:type="dxa"/>
            <w:vAlign w:val="bottom"/>
            <w:tcBorders>
              <w:top w:val="single" w:sz="8" w:color="023C5B"/>
            </w:tcBorders>
          </w:tcPr>
          <w:p>
            <w:pPr>
              <w:spacing w:after="0"/>
              <w:rPr>
                <w:sz w:val="12"/>
                <w:szCs w:val="12"/>
                <w:color w:val="auto"/>
              </w:rPr>
            </w:pPr>
          </w:p>
        </w:tc>
        <w:tc>
          <w:tcPr>
            <w:tcW w:w="780" w:type="dxa"/>
            <w:vAlign w:val="bottom"/>
            <w:tcBorders>
              <w:top w:val="single" w:sz="8" w:color="023C5B"/>
            </w:tcBorders>
          </w:tcPr>
          <w:p>
            <w:pPr>
              <w:spacing w:after="0"/>
              <w:rPr>
                <w:sz w:val="12"/>
                <w:szCs w:val="12"/>
                <w:color w:val="auto"/>
              </w:rPr>
            </w:pPr>
          </w:p>
        </w:tc>
        <w:tc>
          <w:tcPr>
            <w:tcW w:w="60" w:type="dxa"/>
            <w:vAlign w:val="bottom"/>
            <w:tcBorders>
              <w:top w:val="single" w:sz="8" w:color="023C5B"/>
            </w:tcBorders>
          </w:tcPr>
          <w:p>
            <w:pPr>
              <w:spacing w:after="0"/>
              <w:rPr>
                <w:sz w:val="12"/>
                <w:szCs w:val="12"/>
                <w:color w:val="auto"/>
              </w:rPr>
            </w:pPr>
          </w:p>
        </w:tc>
        <w:tc>
          <w:tcPr>
            <w:tcW w:w="880" w:type="dxa"/>
            <w:vAlign w:val="bottom"/>
            <w:tcBorders>
              <w:top w:val="single" w:sz="8" w:color="023C5B"/>
            </w:tcBorders>
          </w:tcPr>
          <w:p>
            <w:pPr>
              <w:spacing w:after="0"/>
              <w:rPr>
                <w:sz w:val="12"/>
                <w:szCs w:val="12"/>
                <w:color w:val="auto"/>
              </w:rPr>
            </w:pPr>
          </w:p>
        </w:tc>
        <w:tc>
          <w:tcPr>
            <w:tcW w:w="60" w:type="dxa"/>
            <w:vAlign w:val="bottom"/>
            <w:tcBorders>
              <w:top w:val="single" w:sz="8" w:color="023C5B"/>
            </w:tcBorders>
          </w:tcPr>
          <w:p>
            <w:pPr>
              <w:spacing w:after="0"/>
              <w:rPr>
                <w:sz w:val="12"/>
                <w:szCs w:val="12"/>
                <w:color w:val="auto"/>
              </w:rPr>
            </w:pPr>
          </w:p>
        </w:tc>
        <w:tc>
          <w:tcPr>
            <w:tcW w:w="900" w:type="dxa"/>
            <w:vAlign w:val="bottom"/>
            <w:tcBorders>
              <w:top w:val="single" w:sz="8" w:color="023C5B"/>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180" w:type="dxa"/>
            <w:vAlign w:val="bottom"/>
            <w:tcBorders>
              <w:right w:val="single" w:sz="8" w:color="023C5B"/>
            </w:tcBorders>
            <w:gridSpan w:val="7"/>
          </w:tcPr>
          <w:p>
            <w:pPr>
              <w:ind w:left="120"/>
              <w:spacing w:after="0"/>
              <w:rPr>
                <w:sz w:val="20"/>
                <w:szCs w:val="20"/>
                <w:color w:val="auto"/>
              </w:rPr>
            </w:pPr>
            <w:r>
              <w:rPr>
                <w:rFonts w:ascii="Arial" w:cs="Arial" w:eastAsia="Arial" w:hAnsi="Arial"/>
                <w:sz w:val="15"/>
                <w:szCs w:val="15"/>
                <w:color w:val="023C5B"/>
              </w:rPr>
              <w:t>CAPITAL ONE FINANCIAL CORPORATION</w:t>
            </w:r>
          </w:p>
        </w:tc>
        <w:tc>
          <w:tcPr>
            <w:tcW w:w="2700" w:type="dxa"/>
            <w:vAlign w:val="bottom"/>
            <w:gridSpan w:val="6"/>
          </w:tcPr>
          <w:p>
            <w:pPr>
              <w:ind w:left="60"/>
              <w:spacing w:after="0"/>
              <w:rPr>
                <w:sz w:val="20"/>
                <w:szCs w:val="20"/>
                <w:color w:val="auto"/>
              </w:rPr>
            </w:pPr>
            <w:r>
              <w:rPr>
                <w:rFonts w:ascii="Arial" w:cs="Arial" w:eastAsia="Arial" w:hAnsi="Arial"/>
                <w:sz w:val="15"/>
                <w:szCs w:val="15"/>
                <w:b w:val="1"/>
                <w:bCs w:val="1"/>
                <w:color w:val="023C5B"/>
              </w:rPr>
              <w:t>  2026 PROXY STATEMENT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Borders>
              <w:right w:val="single" w:sz="8" w:color="023C5B"/>
            </w:tcBorders>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-1663700</wp:posOffset>
            </wp:positionV>
            <wp:extent cx="6649720" cy="13925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649720" cy="13925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55" w:lineRule="exact"/>
        <w:rPr>
          <w:sz w:val="20"/>
          <w:szCs w:val="20"/>
          <w:color w:val="auto"/>
        </w:rPr>
      </w:pPr>
    </w:p>
    <w:p>
      <w:pPr>
        <w:ind w:left="1020" w:hanging="425"/>
        <w:spacing w:after="0" w:line="281" w:lineRule="auto"/>
        <w:tabs>
          <w:tab w:leader="none" w:pos="1020" w:val="left"/>
        </w:tabs>
        <w:numPr>
          <w:ilvl w:val="1"/>
          <w:numId w:val="125"/>
        </w:numPr>
        <w:rPr>
          <w:rFonts w:ascii="Arial" w:cs="Arial" w:eastAsia="Arial" w:hAnsi="Arial"/>
          <w:sz w:val="14"/>
          <w:szCs w:val="14"/>
          <w:color w:val="auto"/>
        </w:rPr>
      </w:pPr>
      <w:r>
        <w:rPr>
          <w:rFonts w:ascii="Arial" w:cs="Arial" w:eastAsia="Arial" w:hAnsi="Arial"/>
          <w:sz w:val="14"/>
          <w:szCs w:val="14"/>
          <w:color w:val="auto"/>
        </w:rPr>
        <w:t>Fair values are calculated in accordance with FASB ASC Topic 718 as of the end of the fiscal year, other than awards that vest in the covered year, which are valued as of the applicable vesting dates. There were no awards granted in each of the covered years that vested in the same year.</w:t>
      </w:r>
    </w:p>
    <w:p>
      <w:pPr>
        <w:spacing w:after="0" w:line="24" w:lineRule="exact"/>
        <w:rPr>
          <w:rFonts w:ascii="Arial" w:cs="Arial" w:eastAsia="Arial" w:hAnsi="Arial"/>
          <w:sz w:val="14"/>
          <w:szCs w:val="14"/>
          <w:color w:val="auto"/>
        </w:rPr>
      </w:pPr>
    </w:p>
    <w:p>
      <w:pPr>
        <w:ind w:left="1020" w:hanging="425"/>
        <w:spacing w:after="0"/>
        <w:tabs>
          <w:tab w:leader="none" w:pos="1020" w:val="left"/>
        </w:tabs>
        <w:numPr>
          <w:ilvl w:val="1"/>
          <w:numId w:val="125"/>
        </w:numPr>
        <w:rPr>
          <w:rFonts w:ascii="Arial" w:cs="Arial" w:eastAsia="Arial" w:hAnsi="Arial"/>
          <w:sz w:val="14"/>
          <w:szCs w:val="14"/>
          <w:color w:val="auto"/>
        </w:rPr>
      </w:pPr>
      <w:r>
        <w:rPr>
          <w:rFonts w:ascii="Arial" w:cs="Arial" w:eastAsia="Arial" w:hAnsi="Arial"/>
          <w:sz w:val="14"/>
          <w:szCs w:val="14"/>
          <w:color w:val="auto"/>
        </w:rPr>
        <w:t>Reflects the total compensation amount reported in the Summary Compensation Table the year shown.</w:t>
      </w:r>
    </w:p>
    <w:p>
      <w:pPr>
        <w:spacing w:after="0" w:line="79" w:lineRule="exact"/>
        <w:rPr>
          <w:rFonts w:ascii="Arial" w:cs="Arial" w:eastAsia="Arial" w:hAnsi="Arial"/>
          <w:sz w:val="14"/>
          <w:szCs w:val="14"/>
          <w:color w:val="auto"/>
        </w:rPr>
      </w:pPr>
    </w:p>
    <w:p>
      <w:pPr>
        <w:ind w:left="1020" w:hanging="425"/>
        <w:spacing w:after="0" w:line="281" w:lineRule="auto"/>
        <w:tabs>
          <w:tab w:leader="none" w:pos="1020" w:val="left"/>
        </w:tabs>
        <w:numPr>
          <w:ilvl w:val="1"/>
          <w:numId w:val="125"/>
        </w:numPr>
        <w:rPr>
          <w:rFonts w:ascii="Arial" w:cs="Arial" w:eastAsia="Arial" w:hAnsi="Arial"/>
          <w:sz w:val="14"/>
          <w:szCs w:val="14"/>
          <w:color w:val="auto"/>
        </w:rPr>
      </w:pPr>
      <w:r>
        <w:rPr>
          <w:rFonts w:ascii="Arial" w:cs="Arial" w:eastAsia="Arial" w:hAnsi="Arial"/>
          <w:sz w:val="14"/>
          <w:szCs w:val="14"/>
          <w:color w:val="auto"/>
        </w:rPr>
        <w:t>Reflects the aggregate change in pension value for all defined benefit plans. There are no service costs or prior service costs associated with pension benefits since the Cash Balance Pension Plan and the Excess Cash Balance Pension Plan are frozen.</w:t>
      </w:r>
    </w:p>
    <w:p>
      <w:pPr>
        <w:spacing w:after="0" w:line="24" w:lineRule="exact"/>
        <w:rPr>
          <w:rFonts w:ascii="Arial" w:cs="Arial" w:eastAsia="Arial" w:hAnsi="Arial"/>
          <w:sz w:val="14"/>
          <w:szCs w:val="14"/>
          <w:color w:val="auto"/>
        </w:rPr>
      </w:pPr>
    </w:p>
    <w:p>
      <w:pPr>
        <w:ind w:left="1020" w:hanging="425"/>
        <w:spacing w:after="0"/>
        <w:tabs>
          <w:tab w:leader="none" w:pos="1020" w:val="left"/>
        </w:tabs>
        <w:numPr>
          <w:ilvl w:val="1"/>
          <w:numId w:val="125"/>
        </w:numPr>
        <w:rPr>
          <w:rFonts w:ascii="Arial" w:cs="Arial" w:eastAsia="Arial" w:hAnsi="Arial"/>
          <w:sz w:val="14"/>
          <w:szCs w:val="14"/>
          <w:color w:val="auto"/>
        </w:rPr>
      </w:pPr>
      <w:r>
        <w:rPr>
          <w:rFonts w:ascii="Arial" w:cs="Arial" w:eastAsia="Arial" w:hAnsi="Arial"/>
          <w:sz w:val="14"/>
          <w:szCs w:val="14"/>
          <w:color w:val="auto"/>
        </w:rPr>
        <w:t>Reflects awards that failed to meet vesting conditions during the covered year.</w:t>
      </w:r>
    </w:p>
    <w:p>
      <w:pPr>
        <w:spacing w:after="0" w:line="79" w:lineRule="exact"/>
        <w:rPr>
          <w:rFonts w:ascii="Arial" w:cs="Arial" w:eastAsia="Arial" w:hAnsi="Arial"/>
          <w:sz w:val="14"/>
          <w:szCs w:val="14"/>
          <w:color w:val="auto"/>
        </w:rPr>
      </w:pPr>
    </w:p>
    <w:p>
      <w:pPr>
        <w:ind w:left="1020" w:hanging="425"/>
        <w:spacing w:after="0"/>
        <w:tabs>
          <w:tab w:leader="none" w:pos="1020" w:val="left"/>
        </w:tabs>
        <w:numPr>
          <w:ilvl w:val="1"/>
          <w:numId w:val="125"/>
        </w:numPr>
        <w:rPr>
          <w:rFonts w:ascii="Arial" w:cs="Arial" w:eastAsia="Arial" w:hAnsi="Arial"/>
          <w:sz w:val="14"/>
          <w:szCs w:val="14"/>
          <w:color w:val="auto"/>
        </w:rPr>
      </w:pPr>
      <w:r>
        <w:rPr>
          <w:rFonts w:ascii="Arial" w:cs="Arial" w:eastAsia="Arial" w:hAnsi="Arial"/>
          <w:sz w:val="14"/>
          <w:szCs w:val="14"/>
          <w:color w:val="auto"/>
        </w:rPr>
        <w:t>Reflects the actual CAP for the PEO and average CAP for the Non-PEO NEOs.</w:t>
      </w:r>
    </w:p>
    <w:p>
      <w:pPr>
        <w:spacing w:after="0" w:line="79"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TSR is cumulative for the measurement periods beginning on December 31, 2020, and ending on the last fiscal day in 2025, 2024, 2023, 2022, and 2021, respectively, calculated in accordance with Item 201(e) of Regulation S-K. “Peer Group” represents the S&amp;P Financial Index for each year disclosed in the table.</w:t>
      </w:r>
    </w:p>
    <w:p>
      <w:pPr>
        <w:spacing w:after="0" w:line="24" w:lineRule="exact"/>
        <w:rPr>
          <w:rFonts w:ascii="Arial" w:cs="Arial" w:eastAsia="Arial" w:hAnsi="Arial"/>
          <w:sz w:val="14"/>
          <w:szCs w:val="14"/>
          <w:color w:val="auto"/>
        </w:rPr>
      </w:pPr>
    </w:p>
    <w:p>
      <w:pPr>
        <w:jc w:val="both"/>
        <w:ind w:left="600" w:hanging="433"/>
        <w:spacing w:after="0" w:line="260" w:lineRule="auto"/>
        <w:tabs>
          <w:tab w:leader="none" w:pos="6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D+TBV/Sh is a non-GAAP measure. D+TBV/Sh is calculated as the ratio, expressed as a percentage, of (i) the Company’s tangible book value per share at the end of each year, plus total common dividends per share paid during such year, to (ii) the Company’s tangible book value per share at the beginning of each corresponding year.</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CAP versus Company TSR</w:t>
      </w:r>
    </w:p>
    <w:p>
      <w:pPr>
        <w:spacing w:after="0" w:line="221"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As shown in the chart above, the PEO and other NEO’s CAP amounts are aligned with the Company’s TSR. This alignment is due to the Company’s executive compensation program being composed of primarily equity, with 83% of PEO and approximately 50% of all Non-PEO NEO’s total compensation for the 2025 performance year being comprised of equity-based compensation, similar to prior years. Including the Discover-Related Special Awards, 90% of PEO compensation and an average of 60% of all Non-PEO NEO’s total compensation was equity-based. In addition, a portion of PEO compensation is directly linked to the Company’s TSR and vests entirely on the Company’s TSR performance relative to the Performance Share Peers over a three-year period.</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CAP versus Net Income</w:t>
      </w:r>
    </w:p>
    <w:p>
      <w:pPr>
        <w:spacing w:after="0" w:line="248"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As shown in the chart above, the Company’s net income has varied over the measurement period. While net income has increased and decreased directionally with PEO and other NEO CAP for certain years in the performance period, the changes are not proportionally correlated with CAP. This is due in large part to the significant portion of PEO and other NEO compensation that is equity-based, as well as the significant volatility of net income over the measurement period, including volatility resulting from (i) the pandemic and post-pandemic periods of economic change and uncertainty, and (ii) the effects of certain adjusting items associated with the Discover Transaction. In addition, while net income is one of several factors used to assess Company performance, the Company does not use net income as a primary metric to determine compensation levels or incentive plan payout.</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CAP versus D+TBV/Sh</w:t>
      </w:r>
    </w:p>
    <w:p>
      <w:pPr>
        <w:spacing w:after="0" w:line="221" w:lineRule="exact"/>
        <w:rPr>
          <w:sz w:val="20"/>
          <w:szCs w:val="20"/>
          <w:color w:val="auto"/>
        </w:rPr>
      </w:pPr>
    </w:p>
    <w:p>
      <w:pPr>
        <w:jc w:val="both"/>
        <w:ind w:left="160"/>
        <w:spacing w:after="0" w:line="253" w:lineRule="auto"/>
        <w:rPr>
          <w:sz w:val="20"/>
          <w:szCs w:val="20"/>
          <w:color w:val="auto"/>
        </w:rPr>
      </w:pPr>
      <w:r>
        <w:rPr>
          <w:rFonts w:ascii="Arial" w:cs="Arial" w:eastAsia="Arial" w:hAnsi="Arial"/>
          <w:sz w:val="17"/>
          <w:szCs w:val="17"/>
          <w:color w:val="auto"/>
        </w:rPr>
        <w:t>As shown in the chart above, the PEO and other NEOs’ CAP amounts are directionally aligned with the Company selected measure of D+TBV/Sh. This alignment is partially due to a large portion of PEO and other NEO compensation being comprised of Financial Performance Shares (as described on page 79). For the 2025 performance year, 55% of PEO total compensation and an average of 27% of other NEO total compensation was granted in the form of Financial Performance Shares, similar to prior years. Including the Discover-Related Special Awards, 32% of PEO total compensation and an average of 17% of other NEO total compensation was granted in the form of Financial Performance Shares. The Company’s D+TBV/Sh for 2025 was negatively affected by the issuance of shares as merger consideration in the Discover Transaction. For Financial Performance Shares taken into consideration in the calculation of CAP, two-thirds of the payout of each Financial Performance Share upon vesting is based on D+TBV/Sh for the years covered in the chart above.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Company TSR versus Peer Group TSR</w:t>
      </w:r>
    </w:p>
    <w:p>
      <w:pPr>
        <w:spacing w:after="0" w:line="221"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As shown in the chart above, the TSR peer group is based on the S&amp;P Financial Index, which reflects the Company’s industry sector. The Company’s cumulative TSR was above that of the S&amp;P Financial Index during the</w:t>
      </w:r>
    </w:p>
    <w:p>
      <w:pPr>
        <w:spacing w:after="0" w:line="91" w:lineRule="exact"/>
        <w:rPr>
          <w:sz w:val="20"/>
          <w:szCs w:val="20"/>
          <w:color w:val="auto"/>
        </w:rPr>
      </w:pPr>
    </w:p>
    <w:p>
      <w:pPr>
        <w:ind w:left="5520"/>
        <w:spacing w:after="0"/>
        <w:tabs>
          <w:tab w:leader="none" w:pos="8620" w:val="left"/>
          <w:tab w:leader="none" w:pos="1068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-97155</wp:posOffset>
            </wp:positionV>
            <wp:extent cx="8255" cy="1784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46"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period covered by the table above. The financial services industry faced volatility over the measured period including the post-pandemic economic uncertainty, substantial changes to interest rates, regional bank failures and the resulting bank funding stress, and general economic and regulatory uncertainty. Strong capital and liquidity, the strength of our credit performance relative to peers, and investor confidence in our results and our future buoyed our stock price and total shareholder return over the period measured in the chart.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Company Selected Measures</w:t>
      </w:r>
    </w:p>
    <w:p>
      <w:pPr>
        <w:spacing w:after="0" w:line="22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When determining the compensation paid to our NEOs, the Committee and the Independent Directors consider the Company’s performance against four categories of quantitative and qualitative performance factors related to: Financial and Operating Performance, Governance and Risk Management, Strategic Performance, and Winning with Our Customers and Associates. See “Company Performance Assessment” beginning on page 74 for a description of the Company’s 2025 performance, based on the Company Performance Factors. In accordance with the Item 402(v) of Regulation S-K, the following are the financial performance measures that the Company has determined to represent the most important financial performance measures used to link CAP (for both the PEO and the non-PEO NEOs) for the most recent fiscal year to Company performance: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D+TBV/Sh</w:t>
      </w:r>
    </w:p>
    <w:p>
      <w:pPr>
        <w:spacing w:after="0" w:line="234" w:lineRule="exact"/>
        <w:rPr>
          <w:sz w:val="20"/>
          <w:szCs w:val="20"/>
          <w:color w:val="auto"/>
        </w:rPr>
      </w:pPr>
    </w:p>
    <w:p>
      <w:pPr>
        <w:jc w:val="both"/>
        <w:ind w:left="1460" w:hanging="423"/>
        <w:spacing w:after="0" w:line="217" w:lineRule="auto"/>
        <w:tabs>
          <w:tab w:leader="none" w:pos="1460" w:val="left"/>
        </w:tabs>
        <w:numPr>
          <w:ilvl w:val="0"/>
          <w:numId w:val="12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D+TBV/Sh rewards strong operational results, balanced stewardship of capital, and long-term stockholder value creation by measuring the value distributed to stockholders (common dividends per share) and the growth of company value created for common stockholders (tangible book value per common share).</w:t>
      </w:r>
    </w:p>
    <w:p>
      <w:pPr>
        <w:spacing w:after="0" w:line="206" w:lineRule="exact"/>
        <w:rPr>
          <w:rFonts w:ascii="MS PGothic" w:cs="MS PGothic" w:eastAsia="MS PGothic" w:hAnsi="MS PGothic"/>
          <w:sz w:val="29"/>
          <w:szCs w:val="29"/>
          <w:color w:val="023C5B"/>
          <w:vertAlign w:val="superscript"/>
        </w:rPr>
      </w:pPr>
    </w:p>
    <w:p>
      <w:pPr>
        <w:jc w:val="both"/>
        <w:ind w:left="1460" w:hanging="423"/>
        <w:spacing w:after="0" w:line="220" w:lineRule="auto"/>
        <w:tabs>
          <w:tab w:leader="none" w:pos="1460" w:val="left"/>
        </w:tabs>
        <w:numPr>
          <w:ilvl w:val="0"/>
          <w:numId w:val="127"/>
        </w:numPr>
        <w:rPr>
          <w:rFonts w:ascii="MS PGothic" w:cs="MS PGothic" w:eastAsia="MS PGothic" w:hAnsi="MS PGothic"/>
          <w:sz w:val="29"/>
          <w:szCs w:val="29"/>
          <w:color w:val="023C5B"/>
          <w:vertAlign w:val="superscript"/>
        </w:rPr>
      </w:pPr>
      <w:r>
        <w:rPr>
          <w:rFonts w:ascii="Arial" w:cs="Arial" w:eastAsia="Arial" w:hAnsi="Arial"/>
          <w:sz w:val="18"/>
          <w:szCs w:val="18"/>
          <w:color w:val="auto"/>
        </w:rPr>
        <w:t>D+TBV/Sh is calculated as the average of the ratios, expressed as a percentage, of (i) the Company’s tangible book value per common share at the end of each year within the performance period, plus total common dividends per share paid during such year, to (ii) the Company’s tangible book value per common share at the beginning of each corresponding year within the performance period.</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PSU Adjusted ROTCE</w:t>
      </w:r>
    </w:p>
    <w:p>
      <w:pPr>
        <w:spacing w:after="0" w:line="234" w:lineRule="exact"/>
        <w:rPr>
          <w:sz w:val="20"/>
          <w:szCs w:val="20"/>
          <w:color w:val="auto"/>
        </w:rPr>
      </w:pPr>
    </w:p>
    <w:p>
      <w:pPr>
        <w:jc w:val="both"/>
        <w:ind w:left="1460" w:hanging="423"/>
        <w:spacing w:after="0" w:line="217" w:lineRule="auto"/>
        <w:tabs>
          <w:tab w:leader="none" w:pos="1460" w:val="left"/>
        </w:tabs>
        <w:numPr>
          <w:ilvl w:val="0"/>
          <w:numId w:val="12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PSU Adjusted ROTCE rewards balanced capital management and stewardship while capturing current and historical business performance and profitability as compared to the size of our stockholders’ investment in the Company. ROTCE is broadly used in banking as a key performance indicator and component in peer executive compensation programs.</w:t>
      </w:r>
    </w:p>
    <w:p>
      <w:pPr>
        <w:spacing w:after="0" w:line="206" w:lineRule="exact"/>
        <w:rPr>
          <w:rFonts w:ascii="MS PGothic" w:cs="MS PGothic" w:eastAsia="MS PGothic" w:hAnsi="MS PGothic"/>
          <w:sz w:val="29"/>
          <w:szCs w:val="29"/>
          <w:color w:val="023C5B"/>
          <w:vertAlign w:val="superscript"/>
        </w:rPr>
      </w:pPr>
    </w:p>
    <w:p>
      <w:pPr>
        <w:jc w:val="both"/>
        <w:ind w:left="1460" w:hanging="423"/>
        <w:spacing w:after="0" w:line="217" w:lineRule="auto"/>
        <w:tabs>
          <w:tab w:leader="none" w:pos="1460" w:val="left"/>
        </w:tabs>
        <w:numPr>
          <w:ilvl w:val="0"/>
          <w:numId w:val="128"/>
        </w:numPr>
        <w:rPr>
          <w:rFonts w:ascii="MS PGothic" w:cs="MS PGothic" w:eastAsia="MS PGothic" w:hAnsi="MS PGothic"/>
          <w:sz w:val="29"/>
          <w:szCs w:val="29"/>
          <w:color w:val="023C5B"/>
          <w:vertAlign w:val="superscript"/>
        </w:rPr>
      </w:pPr>
      <w:r>
        <w:rPr>
          <w:rFonts w:ascii="Arial" w:cs="Arial" w:eastAsia="Arial" w:hAnsi="Arial"/>
          <w:sz w:val="18"/>
          <w:szCs w:val="18"/>
          <w:color w:val="auto"/>
        </w:rPr>
        <w:t>PSU Adjusted ROTCE is calculated as the ratio, expressed as a percentage, of (i) the Company’s net income available to common stockholders, excluding, on a tax-adjusted basis, the impact of impairment, amortization and re-measurement of intangible assets, to (ii) the Company’s average tangible common equity.</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Net Revenue</w:t>
      </w:r>
    </w:p>
    <w:p>
      <w:pPr>
        <w:spacing w:after="0" w:line="114" w:lineRule="exact"/>
        <w:rPr>
          <w:sz w:val="20"/>
          <w:szCs w:val="20"/>
          <w:color w:val="auto"/>
        </w:rPr>
      </w:pPr>
    </w:p>
    <w:p>
      <w:pPr>
        <w:jc w:val="both"/>
        <w:ind w:left="1460" w:hanging="423"/>
        <w:spacing w:after="0" w:line="220" w:lineRule="auto"/>
        <w:tabs>
          <w:tab w:leader="none" w:pos="1460" w:val="left"/>
        </w:tabs>
        <w:numPr>
          <w:ilvl w:val="0"/>
          <w:numId w:val="129"/>
        </w:numPr>
        <w:rPr>
          <w:rFonts w:ascii="MS PGothic" w:cs="MS PGothic" w:eastAsia="MS PGothic" w:hAnsi="MS PGothic"/>
          <w:sz w:val="29"/>
          <w:szCs w:val="29"/>
          <w:color w:val="023C5B"/>
          <w:vertAlign w:val="superscript"/>
        </w:rPr>
      </w:pPr>
      <w:r>
        <w:rPr>
          <w:rFonts w:ascii="Arial" w:cs="Arial" w:eastAsia="Arial" w:hAnsi="Arial"/>
          <w:sz w:val="18"/>
          <w:szCs w:val="18"/>
          <w:color w:val="auto"/>
        </w:rPr>
        <w:t>Net revenue, and the growth of net revenue, reflects the Company’s ability to grow new customer relationships, deepen existing relationships, manage margins, and expand into new businesses and areas of focus and market opportunity. Net revenue serves as the key driver for long-term earnings power and requires delivery of compelling products and experiences as well as a sustainable, through-cycle business model and pricing strategy.</w:t>
      </w:r>
    </w:p>
    <w:p>
      <w:pPr>
        <w:spacing w:after="0" w:line="18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Committee and the Independent Directors believe these three financial metrics provide a measure of Company performance that balances creation of stockholder value, returns generated on stockholders’ investment in the Company, the pursuit of long-term strategy and competitive positioning, and long-term financial sustainability. Each of these metrics is considered in the award and/or payout of compensation awarded to our NEOs under the executive compensation program for each performance year shown in the tables above.</w:t>
      </w:r>
    </w:p>
    <w:p>
      <w:pPr>
        <w:spacing w:after="0" w:line="103" w:lineRule="exact"/>
        <w:rPr>
          <w:sz w:val="20"/>
          <w:szCs w:val="20"/>
          <w:color w:val="auto"/>
        </w:rPr>
      </w:pPr>
    </w:p>
    <w:p>
      <w:pPr>
        <w:ind w:left="18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023C5B"/>
        </w:rPr>
        <w:t>Section VII - Named Executive Officer Compensation</w:t>
      </w:r>
    </w:p>
    <w:p>
      <w:pPr>
        <w:spacing w:after="0" w:line="14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D+TBV/Sh and PSU Adjusted ROTCE are both earnings and profit-driven measures that have shown to be strong indicators of long-term stockholder value. These two metrics, in combination, are used to determine the amount paid to our NEOs upon the vesting of the Financial Performance Shares, which represented 55% of 2025 performance year compensation awarded to our CEO and approximately 27% of the performance year compensation awarded to our non-CEO NEOs for the 2025 performance year. For additional information on the composition of the Financial Performance Shares see “Performance Share Awards” beginning on page 69.</w:t>
      </w:r>
    </w:p>
    <w:p>
      <w:pPr>
        <w:spacing w:after="0" w:line="182"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Earnings and profit-driven measures, such as D+TBV/Sh and PSU Adjusted ROTCE, can be affected by the pace and level of long-term investment in areas like talent, technology, and marketing as well as short-term or cyclical factors such as credit provision or the level of interest rates. As such, the Committee and the Independent Directors believe that net revenue and the growth of net revenue are valuable complements to earnings-driven measures and important indicators of Capital One’s financial strength, growth trajectory, and long-term sustainability.</w:t>
      </w:r>
    </w:p>
    <w:p>
      <w:pPr>
        <w:spacing w:after="0" w:line="115" w:lineRule="exact"/>
        <w:rPr>
          <w:sz w:val="20"/>
          <w:szCs w:val="20"/>
          <w:color w:val="auto"/>
        </w:rPr>
      </w:pPr>
    </w:p>
    <w:p>
      <w:pPr>
        <w:ind w:left="5520"/>
        <w:spacing w:after="0"/>
        <w:tabs>
          <w:tab w:leader="none" w:pos="8620" w:val="left"/>
          <w:tab w:leader="none" w:pos="1068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2026 PROXY STATEMENT</w:t>
      </w:r>
      <w:r>
        <w:rPr>
          <w:sz w:val="20"/>
          <w:szCs w:val="20"/>
          <w:color w:val="auto"/>
        </w:rPr>
        <w:tab/>
      </w:r>
      <w:r>
        <w:rPr>
          <w:rFonts w:ascii="Arial" w:cs="Arial" w:eastAsia="Arial" w:hAnsi="Arial"/>
          <w:sz w:val="14"/>
          <w:szCs w:val="14"/>
          <w:b w:val="1"/>
          <w:bCs w:val="1"/>
          <w:color w:val="auto"/>
        </w:rPr>
        <w:t>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-97155</wp:posOffset>
            </wp:positionV>
            <wp:extent cx="8255" cy="1784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VIII -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Equity Compensation Plan Information</w:t>
      </w:r>
    </w:p>
    <w:p>
      <w:pPr>
        <w:spacing w:after="0" w:line="228" w:lineRule="exact"/>
        <w:rPr>
          <w:sz w:val="20"/>
          <w:szCs w:val="20"/>
          <w:color w:val="auto"/>
        </w:rPr>
      </w:pPr>
    </w:p>
    <w:p>
      <w:pPr>
        <w:ind w:left="160" w:right="20"/>
        <w:spacing w:after="0" w:line="265" w:lineRule="auto"/>
        <w:rPr>
          <w:sz w:val="20"/>
          <w:szCs w:val="20"/>
          <w:color w:val="auto"/>
        </w:rPr>
      </w:pPr>
      <w:r>
        <w:rPr>
          <w:rFonts w:ascii="Arial" w:cs="Arial" w:eastAsia="Arial" w:hAnsi="Arial"/>
          <w:sz w:val="18"/>
          <w:szCs w:val="18"/>
          <w:color w:val="auto"/>
        </w:rPr>
        <w:t>The following table provides information as of December 31, 2025, with respect to our equity compensation plans under which shares of Capital One common stock are authorized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29755" cy="243713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29755" cy="2437130"/>
                    </a:xfrm>
                    <a:prstGeom prst="rect">
                      <a:avLst/>
                    </a:prstGeom>
                    <a:noFill/>
                  </pic:spPr>
                </pic:pic>
              </a:graphicData>
            </a:graphic>
          </wp:anchor>
        </w:drawing>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20" w:type="dxa"/>
            <w:vAlign w:val="bottom"/>
            <w:shd w:val="clear" w:color="auto" w:fill="023C5B"/>
          </w:tcPr>
          <w:p>
            <w:pPr>
              <w:spacing w:after="0"/>
              <w:rPr>
                <w:sz w:val="19"/>
                <w:szCs w:val="19"/>
                <w:color w:val="auto"/>
              </w:rPr>
            </w:pPr>
          </w:p>
        </w:tc>
        <w:tc>
          <w:tcPr>
            <w:tcW w:w="3020" w:type="dxa"/>
            <w:vAlign w:val="bottom"/>
            <w:shd w:val="clear" w:color="auto" w:fill="023C5B"/>
          </w:tcPr>
          <w:p>
            <w:pPr>
              <w:spacing w:after="0"/>
              <w:rPr>
                <w:sz w:val="19"/>
                <w:szCs w:val="19"/>
                <w:color w:val="auto"/>
              </w:rPr>
            </w:pPr>
          </w:p>
        </w:tc>
        <w:tc>
          <w:tcPr>
            <w:tcW w:w="20" w:type="dxa"/>
            <w:vAlign w:val="bottom"/>
            <w:shd w:val="clear" w:color="auto" w:fill="023C5B"/>
          </w:tcPr>
          <w:p>
            <w:pPr>
              <w:spacing w:after="0"/>
              <w:rPr>
                <w:sz w:val="19"/>
                <w:szCs w:val="19"/>
                <w:color w:val="auto"/>
              </w:rPr>
            </w:pPr>
          </w:p>
        </w:tc>
        <w:tc>
          <w:tcPr>
            <w:tcW w:w="20" w:type="dxa"/>
            <w:vAlign w:val="bottom"/>
            <w:shd w:val="clear" w:color="auto" w:fill="023C5B"/>
          </w:tcPr>
          <w:p>
            <w:pPr>
              <w:spacing w:after="0"/>
              <w:rPr>
                <w:sz w:val="19"/>
                <w:szCs w:val="19"/>
                <w:color w:val="auto"/>
              </w:rPr>
            </w:pPr>
          </w:p>
        </w:tc>
        <w:tc>
          <w:tcPr>
            <w:tcW w:w="212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194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2460" w:type="dxa"/>
            <w:vAlign w:val="bottom"/>
            <w:shd w:val="clear" w:color="auto" w:fill="023C5B"/>
          </w:tcPr>
          <w:p>
            <w:pPr>
              <w:jc w:val="center"/>
              <w:ind w:left="58"/>
              <w:spacing w:after="0"/>
              <w:rPr>
                <w:sz w:val="20"/>
                <w:szCs w:val="20"/>
                <w:color w:val="auto"/>
              </w:rPr>
            </w:pPr>
            <w:r>
              <w:rPr>
                <w:rFonts w:ascii="Arial" w:cs="Arial" w:eastAsia="Arial" w:hAnsi="Arial"/>
                <w:sz w:val="16"/>
                <w:szCs w:val="16"/>
                <w:b w:val="1"/>
                <w:bCs w:val="1"/>
                <w:color w:val="FFFFFF"/>
                <w:w w:val="99"/>
              </w:rPr>
              <w:t>Number of</w:t>
            </w:r>
          </w:p>
        </w:tc>
        <w:tc>
          <w:tcPr>
            <w:tcW w:w="0" w:type="dxa"/>
            <w:vAlign w:val="bottom"/>
          </w:tcPr>
          <w:p>
            <w:pPr>
              <w:spacing w:after="0"/>
              <w:rPr>
                <w:sz w:val="1"/>
                <w:szCs w:val="1"/>
                <w:color w:val="auto"/>
              </w:rPr>
            </w:pPr>
          </w:p>
        </w:tc>
      </w:tr>
      <w:tr>
        <w:trPr>
          <w:trHeight w:val="187"/>
        </w:trPr>
        <w:tc>
          <w:tcPr>
            <w:tcW w:w="1220" w:type="dxa"/>
            <w:vAlign w:val="bottom"/>
            <w:shd w:val="clear" w:color="auto" w:fill="023C5B"/>
          </w:tcPr>
          <w:p>
            <w:pPr>
              <w:spacing w:after="0"/>
              <w:rPr>
                <w:sz w:val="16"/>
                <w:szCs w:val="16"/>
                <w:color w:val="auto"/>
              </w:rPr>
            </w:pPr>
          </w:p>
        </w:tc>
        <w:tc>
          <w:tcPr>
            <w:tcW w:w="30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12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94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2460" w:type="dxa"/>
            <w:vAlign w:val="bottom"/>
            <w:shd w:val="clear" w:color="auto" w:fill="023C5B"/>
          </w:tcPr>
          <w:p>
            <w:pPr>
              <w:jc w:val="center"/>
              <w:ind w:left="58"/>
              <w:spacing w:after="0"/>
              <w:rPr>
                <w:sz w:val="20"/>
                <w:szCs w:val="20"/>
                <w:color w:val="auto"/>
              </w:rPr>
            </w:pPr>
            <w:r>
              <w:rPr>
                <w:rFonts w:ascii="Arial" w:cs="Arial" w:eastAsia="Arial" w:hAnsi="Arial"/>
                <w:sz w:val="16"/>
                <w:szCs w:val="16"/>
                <w:b w:val="1"/>
                <w:bCs w:val="1"/>
                <w:color w:val="FFFFFF"/>
              </w:rPr>
              <w:t>securities</w:t>
            </w:r>
          </w:p>
        </w:tc>
        <w:tc>
          <w:tcPr>
            <w:tcW w:w="0" w:type="dxa"/>
            <w:vAlign w:val="bottom"/>
          </w:tcPr>
          <w:p>
            <w:pPr>
              <w:spacing w:after="0"/>
              <w:rPr>
                <w:sz w:val="1"/>
                <w:szCs w:val="1"/>
                <w:color w:val="auto"/>
              </w:rPr>
            </w:pPr>
          </w:p>
        </w:tc>
      </w:tr>
      <w:tr>
        <w:trPr>
          <w:trHeight w:val="187"/>
        </w:trPr>
        <w:tc>
          <w:tcPr>
            <w:tcW w:w="1220" w:type="dxa"/>
            <w:vAlign w:val="bottom"/>
            <w:shd w:val="clear" w:color="auto" w:fill="023C5B"/>
          </w:tcPr>
          <w:p>
            <w:pPr>
              <w:spacing w:after="0"/>
              <w:rPr>
                <w:sz w:val="16"/>
                <w:szCs w:val="16"/>
                <w:color w:val="auto"/>
              </w:rPr>
            </w:pPr>
          </w:p>
        </w:tc>
        <w:tc>
          <w:tcPr>
            <w:tcW w:w="30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12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94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2460" w:type="dxa"/>
            <w:vAlign w:val="bottom"/>
            <w:shd w:val="clear" w:color="auto" w:fill="023C5B"/>
          </w:tcPr>
          <w:p>
            <w:pPr>
              <w:jc w:val="center"/>
              <w:ind w:left="58"/>
              <w:spacing w:after="0"/>
              <w:rPr>
                <w:sz w:val="20"/>
                <w:szCs w:val="20"/>
                <w:color w:val="auto"/>
              </w:rPr>
            </w:pPr>
            <w:r>
              <w:rPr>
                <w:rFonts w:ascii="Arial" w:cs="Arial" w:eastAsia="Arial" w:hAnsi="Arial"/>
                <w:sz w:val="16"/>
                <w:szCs w:val="16"/>
                <w:b w:val="1"/>
                <w:bCs w:val="1"/>
                <w:color w:val="FFFFFF"/>
                <w:w w:val="99"/>
              </w:rPr>
              <w:t>remaining</w:t>
            </w:r>
          </w:p>
        </w:tc>
        <w:tc>
          <w:tcPr>
            <w:tcW w:w="0" w:type="dxa"/>
            <w:vAlign w:val="bottom"/>
          </w:tcPr>
          <w:p>
            <w:pPr>
              <w:spacing w:after="0"/>
              <w:rPr>
                <w:sz w:val="1"/>
                <w:szCs w:val="1"/>
                <w:color w:val="auto"/>
              </w:rPr>
            </w:pPr>
          </w:p>
        </w:tc>
      </w:tr>
      <w:tr>
        <w:trPr>
          <w:trHeight w:val="187"/>
        </w:trPr>
        <w:tc>
          <w:tcPr>
            <w:tcW w:w="1220" w:type="dxa"/>
            <w:vAlign w:val="bottom"/>
            <w:shd w:val="clear" w:color="auto" w:fill="023C5B"/>
          </w:tcPr>
          <w:p>
            <w:pPr>
              <w:spacing w:after="0"/>
              <w:rPr>
                <w:sz w:val="16"/>
                <w:szCs w:val="16"/>
                <w:color w:val="auto"/>
              </w:rPr>
            </w:pPr>
          </w:p>
        </w:tc>
        <w:tc>
          <w:tcPr>
            <w:tcW w:w="30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12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94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2460" w:type="dxa"/>
            <w:vAlign w:val="bottom"/>
            <w:shd w:val="clear" w:color="auto" w:fill="023C5B"/>
          </w:tcPr>
          <w:p>
            <w:pPr>
              <w:jc w:val="center"/>
              <w:ind w:left="38"/>
              <w:spacing w:after="0"/>
              <w:rPr>
                <w:sz w:val="20"/>
                <w:szCs w:val="20"/>
                <w:color w:val="auto"/>
              </w:rPr>
            </w:pPr>
            <w:r>
              <w:rPr>
                <w:rFonts w:ascii="Arial" w:cs="Arial" w:eastAsia="Arial" w:hAnsi="Arial"/>
                <w:sz w:val="16"/>
                <w:szCs w:val="16"/>
                <w:b w:val="1"/>
                <w:bCs w:val="1"/>
                <w:color w:val="FFFFFF"/>
              </w:rPr>
              <w:t>available for</w:t>
            </w:r>
          </w:p>
        </w:tc>
        <w:tc>
          <w:tcPr>
            <w:tcW w:w="0" w:type="dxa"/>
            <w:vAlign w:val="bottom"/>
          </w:tcPr>
          <w:p>
            <w:pPr>
              <w:spacing w:after="0"/>
              <w:rPr>
                <w:sz w:val="1"/>
                <w:szCs w:val="1"/>
                <w:color w:val="auto"/>
              </w:rPr>
            </w:pPr>
          </w:p>
        </w:tc>
      </w:tr>
      <w:tr>
        <w:trPr>
          <w:trHeight w:val="187"/>
        </w:trPr>
        <w:tc>
          <w:tcPr>
            <w:tcW w:w="1220" w:type="dxa"/>
            <w:vAlign w:val="bottom"/>
            <w:shd w:val="clear" w:color="auto" w:fill="023C5B"/>
          </w:tcPr>
          <w:p>
            <w:pPr>
              <w:spacing w:after="0"/>
              <w:rPr>
                <w:sz w:val="16"/>
                <w:szCs w:val="16"/>
                <w:color w:val="auto"/>
              </w:rPr>
            </w:pPr>
          </w:p>
        </w:tc>
        <w:tc>
          <w:tcPr>
            <w:tcW w:w="30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180" w:type="dxa"/>
            <w:vAlign w:val="bottom"/>
            <w:gridSpan w:val="2"/>
            <w:shd w:val="clear" w:color="auto" w:fill="023C5B"/>
          </w:tcPr>
          <w:p>
            <w:pPr>
              <w:jc w:val="center"/>
              <w:ind w:right="20"/>
              <w:spacing w:after="0"/>
              <w:rPr>
                <w:sz w:val="20"/>
                <w:szCs w:val="20"/>
                <w:color w:val="auto"/>
              </w:rPr>
            </w:pPr>
            <w:r>
              <w:rPr>
                <w:rFonts w:ascii="Arial" w:cs="Arial" w:eastAsia="Arial" w:hAnsi="Arial"/>
                <w:sz w:val="16"/>
                <w:szCs w:val="16"/>
                <w:b w:val="1"/>
                <w:bCs w:val="1"/>
                <w:color w:val="FFFFFF"/>
                <w:w w:val="99"/>
              </w:rPr>
              <w:t>Number of</w:t>
            </w:r>
          </w:p>
        </w:tc>
        <w:tc>
          <w:tcPr>
            <w:tcW w:w="194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2460" w:type="dxa"/>
            <w:vAlign w:val="bottom"/>
            <w:shd w:val="clear" w:color="auto" w:fill="023C5B"/>
          </w:tcPr>
          <w:p>
            <w:pPr>
              <w:jc w:val="center"/>
              <w:ind w:left="58"/>
              <w:spacing w:after="0"/>
              <w:rPr>
                <w:sz w:val="20"/>
                <w:szCs w:val="20"/>
                <w:color w:val="auto"/>
              </w:rPr>
            </w:pPr>
            <w:r>
              <w:rPr>
                <w:rFonts w:ascii="Arial" w:cs="Arial" w:eastAsia="Arial" w:hAnsi="Arial"/>
                <w:sz w:val="16"/>
                <w:szCs w:val="16"/>
                <w:b w:val="1"/>
                <w:bCs w:val="1"/>
                <w:color w:val="FFFFFF"/>
              </w:rPr>
              <w:t>future issuance</w:t>
            </w:r>
          </w:p>
        </w:tc>
        <w:tc>
          <w:tcPr>
            <w:tcW w:w="0" w:type="dxa"/>
            <w:vAlign w:val="bottom"/>
          </w:tcPr>
          <w:p>
            <w:pPr>
              <w:spacing w:after="0"/>
              <w:rPr>
                <w:sz w:val="1"/>
                <w:szCs w:val="1"/>
                <w:color w:val="auto"/>
              </w:rPr>
            </w:pPr>
          </w:p>
        </w:tc>
      </w:tr>
      <w:tr>
        <w:trPr>
          <w:trHeight w:val="187"/>
        </w:trPr>
        <w:tc>
          <w:tcPr>
            <w:tcW w:w="1220" w:type="dxa"/>
            <w:vAlign w:val="bottom"/>
            <w:shd w:val="clear" w:color="auto" w:fill="023C5B"/>
          </w:tcPr>
          <w:p>
            <w:pPr>
              <w:spacing w:after="0"/>
              <w:rPr>
                <w:sz w:val="16"/>
                <w:szCs w:val="16"/>
                <w:color w:val="auto"/>
              </w:rPr>
            </w:pPr>
          </w:p>
        </w:tc>
        <w:tc>
          <w:tcPr>
            <w:tcW w:w="30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180" w:type="dxa"/>
            <w:vAlign w:val="bottom"/>
            <w:gridSpan w:val="2"/>
            <w:shd w:val="clear" w:color="auto" w:fill="023C5B"/>
          </w:tcPr>
          <w:p>
            <w:pPr>
              <w:jc w:val="center"/>
              <w:ind w:right="40"/>
              <w:spacing w:after="0"/>
              <w:rPr>
                <w:sz w:val="20"/>
                <w:szCs w:val="20"/>
                <w:color w:val="auto"/>
              </w:rPr>
            </w:pPr>
            <w:r>
              <w:rPr>
                <w:rFonts w:ascii="Arial" w:cs="Arial" w:eastAsia="Arial" w:hAnsi="Arial"/>
                <w:sz w:val="16"/>
                <w:szCs w:val="16"/>
                <w:b w:val="1"/>
                <w:bCs w:val="1"/>
                <w:color w:val="FFFFFF"/>
              </w:rPr>
              <w:t>securities to be</w:t>
            </w:r>
          </w:p>
        </w:tc>
        <w:tc>
          <w:tcPr>
            <w:tcW w:w="194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2460" w:type="dxa"/>
            <w:vAlign w:val="bottom"/>
            <w:shd w:val="clear" w:color="auto" w:fill="023C5B"/>
          </w:tcPr>
          <w:p>
            <w:pPr>
              <w:jc w:val="center"/>
              <w:ind w:left="58"/>
              <w:spacing w:after="0"/>
              <w:rPr>
                <w:sz w:val="20"/>
                <w:szCs w:val="20"/>
                <w:color w:val="auto"/>
              </w:rPr>
            </w:pPr>
            <w:r>
              <w:rPr>
                <w:rFonts w:ascii="Arial" w:cs="Arial" w:eastAsia="Arial" w:hAnsi="Arial"/>
                <w:sz w:val="16"/>
                <w:szCs w:val="16"/>
                <w:b w:val="1"/>
                <w:bCs w:val="1"/>
                <w:color w:val="FFFFFF"/>
                <w:w w:val="99"/>
              </w:rPr>
              <w:t>under equity</w:t>
            </w:r>
          </w:p>
        </w:tc>
        <w:tc>
          <w:tcPr>
            <w:tcW w:w="0" w:type="dxa"/>
            <w:vAlign w:val="bottom"/>
          </w:tcPr>
          <w:p>
            <w:pPr>
              <w:spacing w:after="0"/>
              <w:rPr>
                <w:sz w:val="1"/>
                <w:szCs w:val="1"/>
                <w:color w:val="auto"/>
              </w:rPr>
            </w:pPr>
          </w:p>
        </w:tc>
      </w:tr>
      <w:tr>
        <w:trPr>
          <w:trHeight w:val="187"/>
        </w:trPr>
        <w:tc>
          <w:tcPr>
            <w:tcW w:w="1220" w:type="dxa"/>
            <w:vAlign w:val="bottom"/>
            <w:shd w:val="clear" w:color="auto" w:fill="023C5B"/>
          </w:tcPr>
          <w:p>
            <w:pPr>
              <w:spacing w:after="0"/>
              <w:rPr>
                <w:sz w:val="16"/>
                <w:szCs w:val="16"/>
                <w:color w:val="auto"/>
              </w:rPr>
            </w:pPr>
          </w:p>
        </w:tc>
        <w:tc>
          <w:tcPr>
            <w:tcW w:w="30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180" w:type="dxa"/>
            <w:vAlign w:val="bottom"/>
            <w:gridSpan w:val="2"/>
            <w:shd w:val="clear" w:color="auto" w:fill="023C5B"/>
          </w:tcPr>
          <w:p>
            <w:pPr>
              <w:jc w:val="center"/>
              <w:ind w:right="40"/>
              <w:spacing w:after="0"/>
              <w:rPr>
                <w:sz w:val="20"/>
                <w:szCs w:val="20"/>
                <w:color w:val="auto"/>
              </w:rPr>
            </w:pPr>
            <w:r>
              <w:rPr>
                <w:rFonts w:ascii="Arial" w:cs="Arial" w:eastAsia="Arial" w:hAnsi="Arial"/>
                <w:sz w:val="16"/>
                <w:szCs w:val="16"/>
                <w:b w:val="1"/>
                <w:bCs w:val="1"/>
                <w:color w:val="FFFFFF"/>
                <w:w w:val="99"/>
              </w:rPr>
              <w:t>issued upon</w:t>
            </w:r>
          </w:p>
        </w:tc>
        <w:tc>
          <w:tcPr>
            <w:tcW w:w="200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Weighted-average</w:t>
            </w:r>
          </w:p>
        </w:tc>
        <w:tc>
          <w:tcPr>
            <w:tcW w:w="2460" w:type="dxa"/>
            <w:vAlign w:val="bottom"/>
            <w:shd w:val="clear" w:color="auto" w:fill="023C5B"/>
          </w:tcPr>
          <w:p>
            <w:pPr>
              <w:jc w:val="center"/>
              <w:ind w:left="58"/>
              <w:spacing w:after="0"/>
              <w:rPr>
                <w:sz w:val="20"/>
                <w:szCs w:val="20"/>
                <w:color w:val="auto"/>
              </w:rPr>
            </w:pPr>
            <w:r>
              <w:rPr>
                <w:rFonts w:ascii="Arial" w:cs="Arial" w:eastAsia="Arial" w:hAnsi="Arial"/>
                <w:sz w:val="16"/>
                <w:szCs w:val="16"/>
                <w:b w:val="1"/>
                <w:bCs w:val="1"/>
                <w:color w:val="FFFFFF"/>
                <w:w w:val="99"/>
              </w:rPr>
              <w:t>compensation</w:t>
            </w:r>
          </w:p>
        </w:tc>
        <w:tc>
          <w:tcPr>
            <w:tcW w:w="0" w:type="dxa"/>
            <w:vAlign w:val="bottom"/>
          </w:tcPr>
          <w:p>
            <w:pPr>
              <w:spacing w:after="0"/>
              <w:rPr>
                <w:sz w:val="1"/>
                <w:szCs w:val="1"/>
                <w:color w:val="auto"/>
              </w:rPr>
            </w:pPr>
          </w:p>
        </w:tc>
      </w:tr>
      <w:tr>
        <w:trPr>
          <w:trHeight w:val="187"/>
        </w:trPr>
        <w:tc>
          <w:tcPr>
            <w:tcW w:w="1220" w:type="dxa"/>
            <w:vAlign w:val="bottom"/>
            <w:shd w:val="clear" w:color="auto" w:fill="023C5B"/>
          </w:tcPr>
          <w:p>
            <w:pPr>
              <w:spacing w:after="0"/>
              <w:rPr>
                <w:sz w:val="16"/>
                <w:szCs w:val="16"/>
                <w:color w:val="auto"/>
              </w:rPr>
            </w:pPr>
          </w:p>
        </w:tc>
        <w:tc>
          <w:tcPr>
            <w:tcW w:w="30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180" w:type="dxa"/>
            <w:vAlign w:val="bottom"/>
            <w:gridSpan w:val="2"/>
            <w:shd w:val="clear" w:color="auto" w:fill="023C5B"/>
          </w:tcPr>
          <w:p>
            <w:pPr>
              <w:jc w:val="center"/>
              <w:ind w:right="20"/>
              <w:spacing w:after="0"/>
              <w:rPr>
                <w:sz w:val="20"/>
                <w:szCs w:val="20"/>
                <w:color w:val="auto"/>
              </w:rPr>
            </w:pPr>
            <w:r>
              <w:rPr>
                <w:rFonts w:ascii="Arial" w:cs="Arial" w:eastAsia="Arial" w:hAnsi="Arial"/>
                <w:sz w:val="16"/>
                <w:szCs w:val="16"/>
                <w:b w:val="1"/>
                <w:bCs w:val="1"/>
                <w:color w:val="FFFFFF"/>
                <w:w w:val="99"/>
              </w:rPr>
              <w:t>exercise</w:t>
            </w:r>
          </w:p>
        </w:tc>
        <w:tc>
          <w:tcPr>
            <w:tcW w:w="200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exercise price of</w:t>
            </w:r>
          </w:p>
        </w:tc>
        <w:tc>
          <w:tcPr>
            <w:tcW w:w="2460" w:type="dxa"/>
            <w:vAlign w:val="bottom"/>
            <w:shd w:val="clear" w:color="auto" w:fill="023C5B"/>
          </w:tcPr>
          <w:p>
            <w:pPr>
              <w:jc w:val="center"/>
              <w:ind w:left="58"/>
              <w:spacing w:after="0"/>
              <w:rPr>
                <w:sz w:val="20"/>
                <w:szCs w:val="20"/>
                <w:color w:val="auto"/>
              </w:rPr>
            </w:pPr>
            <w:r>
              <w:rPr>
                <w:rFonts w:ascii="Arial" w:cs="Arial" w:eastAsia="Arial" w:hAnsi="Arial"/>
                <w:sz w:val="16"/>
                <w:szCs w:val="16"/>
                <w:b w:val="1"/>
                <w:bCs w:val="1"/>
                <w:color w:val="FFFFFF"/>
              </w:rPr>
              <w:t>plans (excluding</w:t>
            </w:r>
          </w:p>
        </w:tc>
        <w:tc>
          <w:tcPr>
            <w:tcW w:w="0" w:type="dxa"/>
            <w:vAlign w:val="bottom"/>
          </w:tcPr>
          <w:p>
            <w:pPr>
              <w:spacing w:after="0"/>
              <w:rPr>
                <w:sz w:val="1"/>
                <w:szCs w:val="1"/>
                <w:color w:val="auto"/>
              </w:rPr>
            </w:pPr>
          </w:p>
        </w:tc>
      </w:tr>
      <w:tr>
        <w:trPr>
          <w:trHeight w:val="187"/>
        </w:trPr>
        <w:tc>
          <w:tcPr>
            <w:tcW w:w="1220" w:type="dxa"/>
            <w:vAlign w:val="bottom"/>
            <w:shd w:val="clear" w:color="auto" w:fill="023C5B"/>
          </w:tcPr>
          <w:p>
            <w:pPr>
              <w:spacing w:after="0"/>
              <w:rPr>
                <w:sz w:val="16"/>
                <w:szCs w:val="16"/>
                <w:color w:val="auto"/>
              </w:rPr>
            </w:pPr>
          </w:p>
        </w:tc>
        <w:tc>
          <w:tcPr>
            <w:tcW w:w="30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180" w:type="dxa"/>
            <w:vAlign w:val="bottom"/>
            <w:gridSpan w:val="2"/>
            <w:shd w:val="clear" w:color="auto" w:fill="023C5B"/>
          </w:tcPr>
          <w:p>
            <w:pPr>
              <w:jc w:val="center"/>
              <w:ind w:right="20"/>
              <w:spacing w:after="0"/>
              <w:rPr>
                <w:sz w:val="20"/>
                <w:szCs w:val="20"/>
                <w:color w:val="auto"/>
              </w:rPr>
            </w:pPr>
            <w:r>
              <w:rPr>
                <w:rFonts w:ascii="Arial" w:cs="Arial" w:eastAsia="Arial" w:hAnsi="Arial"/>
                <w:sz w:val="16"/>
                <w:szCs w:val="16"/>
                <w:b w:val="1"/>
                <w:bCs w:val="1"/>
                <w:color w:val="FFFFFF"/>
              </w:rPr>
              <w:t>of outstanding</w:t>
            </w:r>
          </w:p>
        </w:tc>
        <w:tc>
          <w:tcPr>
            <w:tcW w:w="200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outstanding</w:t>
            </w:r>
          </w:p>
        </w:tc>
        <w:tc>
          <w:tcPr>
            <w:tcW w:w="2460" w:type="dxa"/>
            <w:vAlign w:val="bottom"/>
            <w:shd w:val="clear" w:color="auto" w:fill="023C5B"/>
          </w:tcPr>
          <w:p>
            <w:pPr>
              <w:jc w:val="center"/>
              <w:ind w:left="58"/>
              <w:spacing w:after="0"/>
              <w:rPr>
                <w:sz w:val="20"/>
                <w:szCs w:val="20"/>
                <w:color w:val="auto"/>
              </w:rPr>
            </w:pPr>
            <w:r>
              <w:rPr>
                <w:rFonts w:ascii="Arial" w:cs="Arial" w:eastAsia="Arial" w:hAnsi="Arial"/>
                <w:sz w:val="16"/>
                <w:szCs w:val="16"/>
                <w:b w:val="1"/>
                <w:bCs w:val="1"/>
                <w:color w:val="FFFFFF"/>
              </w:rPr>
              <w:t>securities</w:t>
            </w:r>
          </w:p>
        </w:tc>
        <w:tc>
          <w:tcPr>
            <w:tcW w:w="0" w:type="dxa"/>
            <w:vAlign w:val="bottom"/>
          </w:tcPr>
          <w:p>
            <w:pPr>
              <w:spacing w:after="0"/>
              <w:rPr>
                <w:sz w:val="1"/>
                <w:szCs w:val="1"/>
                <w:color w:val="auto"/>
              </w:rPr>
            </w:pPr>
          </w:p>
        </w:tc>
      </w:tr>
      <w:tr>
        <w:trPr>
          <w:trHeight w:val="187"/>
        </w:trPr>
        <w:tc>
          <w:tcPr>
            <w:tcW w:w="1220" w:type="dxa"/>
            <w:vAlign w:val="bottom"/>
            <w:shd w:val="clear" w:color="auto" w:fill="023C5B"/>
          </w:tcPr>
          <w:p>
            <w:pPr>
              <w:spacing w:after="0"/>
              <w:rPr>
                <w:sz w:val="16"/>
                <w:szCs w:val="16"/>
                <w:color w:val="auto"/>
              </w:rPr>
            </w:pPr>
          </w:p>
        </w:tc>
        <w:tc>
          <w:tcPr>
            <w:tcW w:w="30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180" w:type="dxa"/>
            <w:vAlign w:val="bottom"/>
            <w:gridSpan w:val="2"/>
            <w:shd w:val="clear" w:color="auto" w:fill="023C5B"/>
          </w:tcPr>
          <w:p>
            <w:pPr>
              <w:jc w:val="center"/>
              <w:ind w:right="40"/>
              <w:spacing w:after="0"/>
              <w:rPr>
                <w:sz w:val="20"/>
                <w:szCs w:val="20"/>
                <w:color w:val="auto"/>
              </w:rPr>
            </w:pPr>
            <w:r>
              <w:rPr>
                <w:rFonts w:ascii="Arial" w:cs="Arial" w:eastAsia="Arial" w:hAnsi="Arial"/>
                <w:sz w:val="16"/>
                <w:szCs w:val="16"/>
                <w:b w:val="1"/>
                <w:bCs w:val="1"/>
                <w:color w:val="FFFFFF"/>
              </w:rPr>
              <w:t>options, warrants</w:t>
            </w:r>
          </w:p>
        </w:tc>
        <w:tc>
          <w:tcPr>
            <w:tcW w:w="200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options,</w:t>
            </w:r>
          </w:p>
        </w:tc>
        <w:tc>
          <w:tcPr>
            <w:tcW w:w="2460" w:type="dxa"/>
            <w:vAlign w:val="bottom"/>
            <w:shd w:val="clear" w:color="auto" w:fill="023C5B"/>
          </w:tcPr>
          <w:p>
            <w:pPr>
              <w:jc w:val="center"/>
              <w:ind w:left="38"/>
              <w:spacing w:after="0"/>
              <w:rPr>
                <w:sz w:val="20"/>
                <w:szCs w:val="20"/>
                <w:color w:val="auto"/>
              </w:rPr>
            </w:pPr>
            <w:r>
              <w:rPr>
                <w:rFonts w:ascii="Arial" w:cs="Arial" w:eastAsia="Arial" w:hAnsi="Arial"/>
                <w:sz w:val="16"/>
                <w:szCs w:val="16"/>
                <w:b w:val="1"/>
                <w:bCs w:val="1"/>
                <w:color w:val="FFFFFF"/>
              </w:rPr>
              <w:t>reflected in</w:t>
            </w:r>
          </w:p>
        </w:tc>
        <w:tc>
          <w:tcPr>
            <w:tcW w:w="0" w:type="dxa"/>
            <w:vAlign w:val="bottom"/>
          </w:tcPr>
          <w:p>
            <w:pPr>
              <w:spacing w:after="0"/>
              <w:rPr>
                <w:sz w:val="1"/>
                <w:szCs w:val="1"/>
                <w:color w:val="auto"/>
              </w:rPr>
            </w:pPr>
          </w:p>
        </w:tc>
      </w:tr>
      <w:tr>
        <w:trPr>
          <w:trHeight w:val="221"/>
        </w:trPr>
        <w:tc>
          <w:tcPr>
            <w:tcW w:w="1220" w:type="dxa"/>
            <w:vAlign w:val="bottom"/>
            <w:shd w:val="clear" w:color="auto" w:fill="023C5B"/>
          </w:tcPr>
          <w:p>
            <w:pPr>
              <w:spacing w:after="0"/>
              <w:rPr>
                <w:sz w:val="19"/>
                <w:szCs w:val="19"/>
                <w:color w:val="auto"/>
              </w:rPr>
            </w:pPr>
          </w:p>
        </w:tc>
        <w:tc>
          <w:tcPr>
            <w:tcW w:w="3020" w:type="dxa"/>
            <w:vAlign w:val="bottom"/>
            <w:shd w:val="clear" w:color="auto" w:fill="023C5B"/>
          </w:tcPr>
          <w:p>
            <w:pPr>
              <w:spacing w:after="0"/>
              <w:rPr>
                <w:sz w:val="19"/>
                <w:szCs w:val="19"/>
                <w:color w:val="auto"/>
              </w:rPr>
            </w:pPr>
          </w:p>
        </w:tc>
        <w:tc>
          <w:tcPr>
            <w:tcW w:w="20" w:type="dxa"/>
            <w:vAlign w:val="bottom"/>
            <w:shd w:val="clear" w:color="auto" w:fill="023C5B"/>
          </w:tcPr>
          <w:p>
            <w:pPr>
              <w:spacing w:after="0"/>
              <w:rPr>
                <w:sz w:val="19"/>
                <w:szCs w:val="19"/>
                <w:color w:val="auto"/>
              </w:rPr>
            </w:pPr>
          </w:p>
        </w:tc>
        <w:tc>
          <w:tcPr>
            <w:tcW w:w="20" w:type="dxa"/>
            <w:vAlign w:val="bottom"/>
            <w:shd w:val="clear" w:color="auto" w:fill="023C5B"/>
          </w:tcPr>
          <w:p>
            <w:pPr>
              <w:spacing w:after="0"/>
              <w:rPr>
                <w:sz w:val="19"/>
                <w:szCs w:val="19"/>
                <w:color w:val="auto"/>
              </w:rPr>
            </w:pPr>
          </w:p>
        </w:tc>
        <w:tc>
          <w:tcPr>
            <w:tcW w:w="218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87"/>
              </w:rPr>
              <w:t>and rights </w:t>
            </w:r>
          </w:p>
        </w:tc>
        <w:tc>
          <w:tcPr>
            <w:tcW w:w="2000" w:type="dxa"/>
            <w:vAlign w:val="bottom"/>
            <w:gridSpan w:val="2"/>
            <w:shd w:val="clear" w:color="auto" w:fill="023C5B"/>
          </w:tcPr>
          <w:p>
            <w:pPr>
              <w:jc w:val="center"/>
              <w:ind w:left="37"/>
              <w:spacing w:after="0"/>
              <w:rPr>
                <w:sz w:val="20"/>
                <w:szCs w:val="20"/>
                <w:color w:val="auto"/>
              </w:rPr>
            </w:pPr>
            <w:r>
              <w:rPr>
                <w:rFonts w:ascii="Arial" w:cs="Arial" w:eastAsia="Arial" w:hAnsi="Arial"/>
                <w:sz w:val="16"/>
                <w:szCs w:val="16"/>
                <w:b w:val="1"/>
                <w:bCs w:val="1"/>
                <w:color w:val="FFFFFF"/>
              </w:rPr>
              <w:t xml:space="preserve">warrants and rights </w:t>
            </w:r>
          </w:p>
        </w:tc>
        <w:tc>
          <w:tcPr>
            <w:tcW w:w="2460" w:type="dxa"/>
            <w:vAlign w:val="bottom"/>
            <w:shd w:val="clear" w:color="auto" w:fill="023C5B"/>
          </w:tcPr>
          <w:p>
            <w:pPr>
              <w:jc w:val="center"/>
              <w:ind w:left="38"/>
              <w:spacing w:after="0"/>
              <w:rPr>
                <w:sz w:val="20"/>
                <w:szCs w:val="20"/>
                <w:color w:val="auto"/>
              </w:rPr>
            </w:pPr>
            <w:r>
              <w:rPr>
                <w:rFonts w:ascii="Arial" w:cs="Arial" w:eastAsia="Arial" w:hAnsi="Arial"/>
                <w:sz w:val="16"/>
                <w:szCs w:val="16"/>
                <w:b w:val="1"/>
                <w:bCs w:val="1"/>
                <w:color w:val="FFFFFF"/>
                <w:w w:val="99"/>
              </w:rPr>
              <w:t>column (a))</w:t>
            </w:r>
          </w:p>
        </w:tc>
        <w:tc>
          <w:tcPr>
            <w:tcW w:w="0" w:type="dxa"/>
            <w:vAlign w:val="bottom"/>
          </w:tcPr>
          <w:p>
            <w:pPr>
              <w:spacing w:after="0"/>
              <w:rPr>
                <w:sz w:val="1"/>
                <w:szCs w:val="1"/>
                <w:color w:val="auto"/>
              </w:rPr>
            </w:pPr>
          </w:p>
        </w:tc>
      </w:tr>
      <w:tr>
        <w:trPr>
          <w:trHeight w:val="348"/>
        </w:trPr>
        <w:tc>
          <w:tcPr>
            <w:tcW w:w="4260" w:type="dxa"/>
            <w:vAlign w:val="bottom"/>
            <w:tcBorders>
              <w:bottom w:val="single" w:sz="8" w:color="023C5B"/>
            </w:tcBorders>
            <w:gridSpan w:val="3"/>
            <w:shd w:val="clear" w:color="auto" w:fill="023C5B"/>
          </w:tcPr>
          <w:p>
            <w:pPr>
              <w:ind w:left="120"/>
              <w:spacing w:after="0"/>
              <w:rPr>
                <w:sz w:val="20"/>
                <w:szCs w:val="20"/>
                <w:color w:val="auto"/>
              </w:rPr>
            </w:pPr>
            <w:r>
              <w:rPr>
                <w:rFonts w:ascii="Arial" w:cs="Arial" w:eastAsia="Arial" w:hAnsi="Arial"/>
                <w:sz w:val="16"/>
                <w:szCs w:val="16"/>
                <w:b w:val="1"/>
                <w:bCs w:val="1"/>
                <w:color w:val="FFFFFF"/>
              </w:rPr>
              <w:t>Plan Category</w:t>
            </w:r>
          </w:p>
        </w:tc>
        <w:tc>
          <w:tcPr>
            <w:tcW w:w="20" w:type="dxa"/>
            <w:vAlign w:val="bottom"/>
            <w:tcBorders>
              <w:bottom w:val="single" w:sz="8" w:color="023C5B"/>
            </w:tcBorders>
            <w:shd w:val="clear" w:color="auto" w:fill="023C5B"/>
          </w:tcPr>
          <w:p>
            <w:pPr>
              <w:spacing w:after="0"/>
              <w:rPr>
                <w:sz w:val="24"/>
                <w:szCs w:val="24"/>
                <w:color w:val="auto"/>
              </w:rPr>
            </w:pPr>
          </w:p>
        </w:tc>
        <w:tc>
          <w:tcPr>
            <w:tcW w:w="2180" w:type="dxa"/>
            <w:vAlign w:val="bottom"/>
            <w:tcBorders>
              <w:bottom w:val="single" w:sz="8" w:color="023C5B"/>
            </w:tcBorders>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 xml:space="preserve">(a) </w:t>
            </w:r>
          </w:p>
        </w:tc>
        <w:tc>
          <w:tcPr>
            <w:tcW w:w="2000" w:type="dxa"/>
            <w:vAlign w:val="bottom"/>
            <w:tcBorders>
              <w:bottom w:val="single" w:sz="8" w:color="023C5B"/>
            </w:tcBorders>
            <w:gridSpan w:val="2"/>
            <w:shd w:val="clear" w:color="auto" w:fill="023C5B"/>
          </w:tcPr>
          <w:p>
            <w:pPr>
              <w:jc w:val="center"/>
              <w:ind w:left="37"/>
              <w:spacing w:after="0"/>
              <w:rPr>
                <w:sz w:val="20"/>
                <w:szCs w:val="20"/>
                <w:color w:val="auto"/>
              </w:rPr>
            </w:pPr>
            <w:r>
              <w:rPr>
                <w:rFonts w:ascii="Arial" w:cs="Arial" w:eastAsia="Arial" w:hAnsi="Arial"/>
                <w:sz w:val="16"/>
                <w:szCs w:val="16"/>
                <w:b w:val="1"/>
                <w:bCs w:val="1"/>
                <w:color w:val="FFFFFF"/>
              </w:rPr>
              <w:t xml:space="preserve">(b) </w:t>
            </w:r>
          </w:p>
        </w:tc>
        <w:tc>
          <w:tcPr>
            <w:tcW w:w="2460" w:type="dxa"/>
            <w:vAlign w:val="bottom"/>
            <w:tcBorders>
              <w:bottom w:val="single" w:sz="8" w:color="023C5B"/>
            </w:tcBorders>
            <w:shd w:val="clear" w:color="auto" w:fill="023C5B"/>
          </w:tcPr>
          <w:p>
            <w:pPr>
              <w:jc w:val="center"/>
              <w:ind w:left="58"/>
              <w:spacing w:after="0"/>
              <w:rPr>
                <w:sz w:val="20"/>
                <w:szCs w:val="20"/>
                <w:color w:val="auto"/>
              </w:rPr>
            </w:pPr>
            <w:r>
              <w:rPr>
                <w:rFonts w:ascii="Arial" w:cs="Arial" w:eastAsia="Arial" w:hAnsi="Arial"/>
                <w:sz w:val="16"/>
                <w:szCs w:val="16"/>
                <w:b w:val="1"/>
                <w:bCs w:val="1"/>
                <w:color w:val="FFFFFF"/>
              </w:rPr>
              <w:t>(c)</w:t>
            </w:r>
          </w:p>
        </w:tc>
        <w:tc>
          <w:tcPr>
            <w:tcW w:w="0" w:type="dxa"/>
            <w:vAlign w:val="bottom"/>
          </w:tcPr>
          <w:p>
            <w:pPr>
              <w:spacing w:after="0"/>
              <w:rPr>
                <w:sz w:val="1"/>
                <w:szCs w:val="1"/>
                <w:color w:val="auto"/>
              </w:rPr>
            </w:pPr>
          </w:p>
        </w:tc>
      </w:tr>
      <w:tr>
        <w:trPr>
          <w:trHeight w:val="235"/>
        </w:trPr>
        <w:tc>
          <w:tcPr>
            <w:tcW w:w="4260" w:type="dxa"/>
            <w:vAlign w:val="bottom"/>
            <w:gridSpan w:val="3"/>
            <w:shd w:val="clear" w:color="auto" w:fill="E5EBEE"/>
          </w:tcPr>
          <w:p>
            <w:pPr>
              <w:ind w:left="120"/>
              <w:spacing w:after="0"/>
              <w:rPr>
                <w:sz w:val="20"/>
                <w:szCs w:val="20"/>
                <w:color w:val="auto"/>
              </w:rPr>
            </w:pPr>
            <w:r>
              <w:rPr>
                <w:rFonts w:ascii="Arial" w:cs="Arial" w:eastAsia="Arial" w:hAnsi="Arial"/>
                <w:sz w:val="18"/>
                <w:szCs w:val="18"/>
                <w:color w:val="auto"/>
              </w:rPr>
              <w:t>Equity compensation plans approved</w:t>
            </w:r>
          </w:p>
        </w:tc>
        <w:tc>
          <w:tcPr>
            <w:tcW w:w="2140" w:type="dxa"/>
            <w:vAlign w:val="bottom"/>
            <w:gridSpan w:val="2"/>
            <w:vMerge w:val="restart"/>
            <w:shd w:val="clear" w:color="auto" w:fill="E5EBEE"/>
          </w:tcPr>
          <w:p>
            <w:pPr>
              <w:jc w:val="center"/>
              <w:ind w:left="131"/>
              <w:spacing w:after="0"/>
              <w:rPr>
                <w:sz w:val="20"/>
                <w:szCs w:val="20"/>
                <w:color w:val="auto"/>
              </w:rPr>
            </w:pPr>
            <w:r>
              <w:rPr>
                <w:rFonts w:ascii="Arial" w:cs="Arial" w:eastAsia="Arial" w:hAnsi="Arial"/>
                <w:sz w:val="18"/>
                <w:szCs w:val="18"/>
                <w:color w:val="auto"/>
                <w:w w:val="94"/>
              </w:rPr>
              <w:t>8,922,826</w:t>
            </w:r>
            <w:r>
              <w:rPr>
                <w:rFonts w:ascii="Arial" w:cs="Arial" w:eastAsia="Arial" w:hAnsi="Arial"/>
                <w:sz w:val="26"/>
                <w:szCs w:val="26"/>
                <w:color w:val="auto"/>
                <w:w w:val="94"/>
                <w:vertAlign w:val="superscript"/>
              </w:rPr>
              <w:t>(2)</w:t>
            </w:r>
          </w:p>
        </w:tc>
        <w:tc>
          <w:tcPr>
            <w:tcW w:w="60" w:type="dxa"/>
            <w:vAlign w:val="bottom"/>
            <w:shd w:val="clear" w:color="auto" w:fill="E5EBEE"/>
          </w:tcPr>
          <w:p>
            <w:pPr>
              <w:spacing w:after="0"/>
              <w:rPr>
                <w:sz w:val="20"/>
                <w:szCs w:val="20"/>
                <w:color w:val="auto"/>
              </w:rPr>
            </w:pPr>
          </w:p>
        </w:tc>
        <w:tc>
          <w:tcPr>
            <w:tcW w:w="2000" w:type="dxa"/>
            <w:vAlign w:val="bottom"/>
            <w:gridSpan w:val="2"/>
            <w:vMerge w:val="restart"/>
            <w:shd w:val="clear" w:color="auto" w:fill="E5EBEE"/>
          </w:tcPr>
          <w:p>
            <w:pPr>
              <w:jc w:val="center"/>
              <w:ind w:left="177"/>
              <w:spacing w:after="0"/>
              <w:rPr>
                <w:sz w:val="20"/>
                <w:szCs w:val="20"/>
                <w:color w:val="auto"/>
              </w:rPr>
            </w:pPr>
            <w:r>
              <w:rPr>
                <w:rFonts w:ascii="Arial" w:cs="Arial" w:eastAsia="Arial" w:hAnsi="Arial"/>
                <w:sz w:val="18"/>
                <w:szCs w:val="18"/>
                <w:color w:val="auto"/>
                <w:w w:val="96"/>
              </w:rPr>
              <w:t>$86.34    </w:t>
            </w:r>
          </w:p>
        </w:tc>
        <w:tc>
          <w:tcPr>
            <w:tcW w:w="2460" w:type="dxa"/>
            <w:vAlign w:val="bottom"/>
            <w:vMerge w:val="restart"/>
            <w:shd w:val="clear" w:color="auto" w:fill="E5EBEE"/>
          </w:tcPr>
          <w:p>
            <w:pPr>
              <w:jc w:val="center"/>
              <w:ind w:left="198"/>
              <w:spacing w:after="0"/>
              <w:rPr>
                <w:sz w:val="20"/>
                <w:szCs w:val="20"/>
                <w:color w:val="auto"/>
              </w:rPr>
            </w:pPr>
            <w:r>
              <w:rPr>
                <w:rFonts w:ascii="Arial" w:cs="Arial" w:eastAsia="Arial" w:hAnsi="Arial"/>
                <w:sz w:val="18"/>
                <w:szCs w:val="18"/>
                <w:color w:val="auto"/>
                <w:w w:val="95"/>
              </w:rPr>
              <w:t>34,966,770</w:t>
            </w:r>
            <w:r>
              <w:rPr>
                <w:rFonts w:ascii="Arial" w:cs="Arial" w:eastAsia="Arial" w:hAnsi="Arial"/>
                <w:sz w:val="26"/>
                <w:szCs w:val="26"/>
                <w:color w:val="auto"/>
                <w:w w:val="95"/>
                <w:vertAlign w:val="superscript"/>
              </w:rPr>
              <w:t>(3)</w:t>
            </w:r>
          </w:p>
        </w:tc>
        <w:tc>
          <w:tcPr>
            <w:tcW w:w="0" w:type="dxa"/>
            <w:vAlign w:val="bottom"/>
          </w:tcPr>
          <w:p>
            <w:pPr>
              <w:spacing w:after="0"/>
              <w:rPr>
                <w:sz w:val="1"/>
                <w:szCs w:val="1"/>
                <w:color w:val="auto"/>
              </w:rPr>
            </w:pPr>
          </w:p>
        </w:tc>
      </w:tr>
      <w:tr>
        <w:trPr>
          <w:trHeight w:val="179"/>
        </w:trPr>
        <w:tc>
          <w:tcPr>
            <w:tcW w:w="4240" w:type="dxa"/>
            <w:vAlign w:val="bottom"/>
            <w:gridSpan w:val="2"/>
            <w:vMerge w:val="restart"/>
            <w:shd w:val="clear" w:color="auto" w:fill="E5EBEE"/>
          </w:tcPr>
          <w:p>
            <w:pPr>
              <w:ind w:left="120"/>
              <w:spacing w:after="0" w:line="273" w:lineRule="exact"/>
              <w:rPr>
                <w:sz w:val="20"/>
                <w:szCs w:val="20"/>
                <w:color w:val="auto"/>
              </w:rPr>
            </w:pPr>
            <w:r>
              <w:rPr>
                <w:rFonts w:ascii="Arial" w:cs="Arial" w:eastAsia="Arial" w:hAnsi="Arial"/>
                <w:sz w:val="18"/>
                <w:szCs w:val="18"/>
                <w:color w:val="auto"/>
              </w:rPr>
              <w:t>by security holders</w:t>
            </w:r>
            <w:r>
              <w:rPr>
                <w:rFonts w:ascii="Arial" w:cs="Arial" w:eastAsia="Arial" w:hAnsi="Arial"/>
                <w:sz w:val="26"/>
                <w:szCs w:val="26"/>
                <w:color w:val="auto"/>
                <w:vertAlign w:val="superscript"/>
              </w:rPr>
              <w:t>(1)</w:t>
            </w:r>
          </w:p>
        </w:tc>
        <w:tc>
          <w:tcPr>
            <w:tcW w:w="20" w:type="dxa"/>
            <w:vAlign w:val="bottom"/>
            <w:vMerge w:val="restart"/>
            <w:shd w:val="clear" w:color="auto" w:fill="E5EBEE"/>
          </w:tcPr>
          <w:p>
            <w:pPr>
              <w:spacing w:after="0"/>
              <w:rPr>
                <w:sz w:val="15"/>
                <w:szCs w:val="15"/>
                <w:color w:val="auto"/>
              </w:rPr>
            </w:pPr>
          </w:p>
        </w:tc>
        <w:tc>
          <w:tcPr>
            <w:tcW w:w="2140" w:type="dxa"/>
            <w:vAlign w:val="bottom"/>
            <w:gridSpan w:val="2"/>
            <w:vMerge w:val="continue"/>
            <w:shd w:val="clear" w:color="auto" w:fill="E5EBEE"/>
          </w:tcPr>
          <w:p>
            <w:pPr>
              <w:spacing w:after="0"/>
              <w:rPr>
                <w:sz w:val="15"/>
                <w:szCs w:val="15"/>
                <w:color w:val="auto"/>
              </w:rPr>
            </w:pPr>
          </w:p>
        </w:tc>
        <w:tc>
          <w:tcPr>
            <w:tcW w:w="60" w:type="dxa"/>
            <w:vAlign w:val="bottom"/>
            <w:shd w:val="clear" w:color="auto" w:fill="E5EBEE"/>
          </w:tcPr>
          <w:p>
            <w:pPr>
              <w:spacing w:after="0"/>
              <w:rPr>
                <w:sz w:val="15"/>
                <w:szCs w:val="15"/>
                <w:color w:val="auto"/>
              </w:rPr>
            </w:pPr>
          </w:p>
        </w:tc>
        <w:tc>
          <w:tcPr>
            <w:tcW w:w="2000" w:type="dxa"/>
            <w:vAlign w:val="bottom"/>
            <w:gridSpan w:val="2"/>
            <w:vMerge w:val="continue"/>
            <w:shd w:val="clear" w:color="auto" w:fill="E5EBEE"/>
          </w:tcPr>
          <w:p>
            <w:pPr>
              <w:spacing w:after="0"/>
              <w:rPr>
                <w:sz w:val="15"/>
                <w:szCs w:val="15"/>
                <w:color w:val="auto"/>
              </w:rPr>
            </w:pPr>
          </w:p>
        </w:tc>
        <w:tc>
          <w:tcPr>
            <w:tcW w:w="2460" w:type="dxa"/>
            <w:vAlign w:val="bottom"/>
            <w:vMerge w:val="continue"/>
            <w:shd w:val="clear" w:color="auto" w:fill="E5EBEE"/>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240" w:type="dxa"/>
            <w:vAlign w:val="bottom"/>
            <w:tcBorders>
              <w:bottom w:val="single" w:sz="8" w:color="023C5B"/>
            </w:tcBorders>
            <w:gridSpan w:val="2"/>
            <w:vMerge w:val="continue"/>
            <w:shd w:val="clear" w:color="auto" w:fill="E5EBEE"/>
          </w:tcPr>
          <w:p>
            <w:pPr>
              <w:spacing w:after="0"/>
              <w:rPr>
                <w:sz w:val="8"/>
                <w:szCs w:val="8"/>
                <w:color w:val="auto"/>
              </w:rPr>
            </w:pPr>
          </w:p>
        </w:tc>
        <w:tc>
          <w:tcPr>
            <w:tcW w:w="20" w:type="dxa"/>
            <w:vAlign w:val="bottom"/>
            <w:vMerge w:val="continue"/>
            <w:shd w:val="clear" w:color="auto" w:fill="E5EBEE"/>
          </w:tcPr>
          <w:p>
            <w:pPr>
              <w:spacing w:after="0"/>
              <w:rPr>
                <w:sz w:val="8"/>
                <w:szCs w:val="8"/>
                <w:color w:val="auto"/>
              </w:rPr>
            </w:pPr>
          </w:p>
        </w:tc>
        <w:tc>
          <w:tcPr>
            <w:tcW w:w="20" w:type="dxa"/>
            <w:vAlign w:val="bottom"/>
            <w:shd w:val="clear" w:color="auto" w:fill="E5EBEE"/>
          </w:tcPr>
          <w:p>
            <w:pPr>
              <w:spacing w:after="0"/>
              <w:rPr>
                <w:sz w:val="8"/>
                <w:szCs w:val="8"/>
                <w:color w:val="auto"/>
              </w:rPr>
            </w:pPr>
          </w:p>
        </w:tc>
        <w:tc>
          <w:tcPr>
            <w:tcW w:w="2120" w:type="dxa"/>
            <w:vAlign w:val="bottom"/>
            <w:tcBorders>
              <w:bottom w:val="single" w:sz="8" w:color="023C5B"/>
            </w:tcBorders>
            <w:shd w:val="clear" w:color="auto" w:fill="E5EBEE"/>
          </w:tcPr>
          <w:p>
            <w:pPr>
              <w:spacing w:after="0"/>
              <w:rPr>
                <w:sz w:val="8"/>
                <w:szCs w:val="8"/>
                <w:color w:val="auto"/>
              </w:rPr>
            </w:pPr>
          </w:p>
        </w:tc>
        <w:tc>
          <w:tcPr>
            <w:tcW w:w="60" w:type="dxa"/>
            <w:vAlign w:val="bottom"/>
            <w:shd w:val="clear" w:color="auto" w:fill="E5EBEE"/>
          </w:tcPr>
          <w:p>
            <w:pPr>
              <w:spacing w:after="0"/>
              <w:rPr>
                <w:sz w:val="8"/>
                <w:szCs w:val="8"/>
                <w:color w:val="auto"/>
              </w:rPr>
            </w:pPr>
          </w:p>
        </w:tc>
        <w:tc>
          <w:tcPr>
            <w:tcW w:w="1940" w:type="dxa"/>
            <w:vAlign w:val="bottom"/>
            <w:tcBorders>
              <w:bottom w:val="single" w:sz="8" w:color="023C5B"/>
            </w:tcBorders>
            <w:shd w:val="clear" w:color="auto" w:fill="E5EBEE"/>
          </w:tcPr>
          <w:p>
            <w:pPr>
              <w:spacing w:after="0"/>
              <w:rPr>
                <w:sz w:val="8"/>
                <w:szCs w:val="8"/>
                <w:color w:val="auto"/>
              </w:rPr>
            </w:pPr>
          </w:p>
        </w:tc>
        <w:tc>
          <w:tcPr>
            <w:tcW w:w="60" w:type="dxa"/>
            <w:vAlign w:val="bottom"/>
            <w:shd w:val="clear" w:color="auto" w:fill="E5EBEE"/>
          </w:tcPr>
          <w:p>
            <w:pPr>
              <w:spacing w:after="0"/>
              <w:rPr>
                <w:sz w:val="8"/>
                <w:szCs w:val="8"/>
                <w:color w:val="auto"/>
              </w:rPr>
            </w:pPr>
          </w:p>
        </w:tc>
        <w:tc>
          <w:tcPr>
            <w:tcW w:w="2460" w:type="dxa"/>
            <w:vAlign w:val="bottom"/>
            <w:tcBorders>
              <w:bottom w:val="single" w:sz="8" w:color="023C5B"/>
            </w:tcBorders>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260" w:type="dxa"/>
            <w:vAlign w:val="bottom"/>
            <w:gridSpan w:val="3"/>
          </w:tcPr>
          <w:p>
            <w:pPr>
              <w:ind w:left="120"/>
              <w:spacing w:after="0"/>
              <w:rPr>
                <w:sz w:val="20"/>
                <w:szCs w:val="20"/>
                <w:color w:val="auto"/>
              </w:rPr>
            </w:pPr>
            <w:r>
              <w:rPr>
                <w:rFonts w:ascii="Arial" w:cs="Arial" w:eastAsia="Arial" w:hAnsi="Arial"/>
                <w:sz w:val="18"/>
                <w:szCs w:val="18"/>
                <w:color w:val="auto"/>
              </w:rPr>
              <w:t>Equity compensation plans not</w:t>
            </w:r>
          </w:p>
        </w:tc>
        <w:tc>
          <w:tcPr>
            <w:tcW w:w="2140" w:type="dxa"/>
            <w:vAlign w:val="bottom"/>
            <w:gridSpan w:val="2"/>
            <w:vMerge w:val="restart"/>
          </w:tcPr>
          <w:p>
            <w:pPr>
              <w:jc w:val="center"/>
              <w:ind w:left="131"/>
              <w:spacing w:after="0"/>
              <w:rPr>
                <w:sz w:val="20"/>
                <w:szCs w:val="20"/>
                <w:color w:val="auto"/>
              </w:rPr>
            </w:pPr>
            <w:r>
              <w:rPr>
                <w:rFonts w:ascii="Arial" w:cs="Arial" w:eastAsia="Arial" w:hAnsi="Arial"/>
                <w:sz w:val="18"/>
                <w:szCs w:val="18"/>
                <w:color w:val="auto"/>
                <w:w w:val="92"/>
              </w:rPr>
              <w:t>770,688</w:t>
            </w:r>
            <w:r>
              <w:rPr>
                <w:rFonts w:ascii="Arial" w:cs="Arial" w:eastAsia="Arial" w:hAnsi="Arial"/>
                <w:sz w:val="26"/>
                <w:szCs w:val="26"/>
                <w:color w:val="auto"/>
                <w:w w:val="92"/>
                <w:vertAlign w:val="superscript"/>
              </w:rPr>
              <w:t>(4)</w:t>
            </w:r>
          </w:p>
        </w:tc>
        <w:tc>
          <w:tcPr>
            <w:tcW w:w="60" w:type="dxa"/>
            <w:vAlign w:val="bottom"/>
          </w:tcPr>
          <w:p>
            <w:pPr>
              <w:spacing w:after="0"/>
              <w:rPr>
                <w:sz w:val="18"/>
                <w:szCs w:val="18"/>
                <w:color w:val="auto"/>
              </w:rPr>
            </w:pPr>
          </w:p>
        </w:tc>
        <w:tc>
          <w:tcPr>
            <w:tcW w:w="2000" w:type="dxa"/>
            <w:vAlign w:val="bottom"/>
            <w:gridSpan w:val="2"/>
            <w:vMerge w:val="restart"/>
          </w:tcPr>
          <w:p>
            <w:pPr>
              <w:jc w:val="center"/>
              <w:ind w:left="197"/>
              <w:spacing w:after="0"/>
              <w:rPr>
                <w:sz w:val="20"/>
                <w:szCs w:val="20"/>
                <w:color w:val="auto"/>
              </w:rPr>
            </w:pPr>
            <w:r>
              <w:rPr>
                <w:rFonts w:ascii="Arial" w:cs="Arial" w:eastAsia="Arial" w:hAnsi="Arial"/>
                <w:sz w:val="18"/>
                <w:szCs w:val="18"/>
                <w:color w:val="auto"/>
                <w:w w:val="96"/>
              </w:rPr>
              <w:t>$—    </w:t>
            </w:r>
          </w:p>
        </w:tc>
        <w:tc>
          <w:tcPr>
            <w:tcW w:w="2460" w:type="dxa"/>
            <w:vAlign w:val="bottom"/>
            <w:vMerge w:val="restart"/>
          </w:tcPr>
          <w:p>
            <w:pPr>
              <w:jc w:val="center"/>
              <w:ind w:left="198"/>
              <w:spacing w:after="0"/>
              <w:rPr>
                <w:sz w:val="20"/>
                <w:szCs w:val="20"/>
                <w:color w:val="auto"/>
              </w:rPr>
            </w:pPr>
            <w:r>
              <w:rPr>
                <w:rFonts w:ascii="Arial" w:cs="Arial" w:eastAsia="Arial" w:hAnsi="Arial"/>
                <w:sz w:val="18"/>
                <w:szCs w:val="18"/>
                <w:color w:val="auto"/>
                <w:w w:val="95"/>
              </w:rPr>
              <w:t>17,076,627</w:t>
            </w:r>
            <w:r>
              <w:rPr>
                <w:rFonts w:ascii="Arial" w:cs="Arial" w:eastAsia="Arial" w:hAnsi="Arial"/>
                <w:sz w:val="26"/>
                <w:szCs w:val="26"/>
                <w:color w:val="auto"/>
                <w:w w:val="95"/>
                <w:vertAlign w:val="superscript"/>
              </w:rPr>
              <w:t>(5)</w:t>
            </w:r>
          </w:p>
        </w:tc>
        <w:tc>
          <w:tcPr>
            <w:tcW w:w="0" w:type="dxa"/>
            <w:vAlign w:val="bottom"/>
          </w:tcPr>
          <w:p>
            <w:pPr>
              <w:spacing w:after="0"/>
              <w:rPr>
                <w:sz w:val="1"/>
                <w:szCs w:val="1"/>
                <w:color w:val="auto"/>
              </w:rPr>
            </w:pPr>
          </w:p>
        </w:tc>
      </w:tr>
      <w:tr>
        <w:trPr>
          <w:trHeight w:val="179"/>
        </w:trPr>
        <w:tc>
          <w:tcPr>
            <w:tcW w:w="4260" w:type="dxa"/>
            <w:vAlign w:val="bottom"/>
            <w:gridSpan w:val="3"/>
            <w:vMerge w:val="restart"/>
          </w:tcPr>
          <w:p>
            <w:pPr>
              <w:ind w:left="120"/>
              <w:spacing w:after="0"/>
              <w:rPr>
                <w:sz w:val="20"/>
                <w:szCs w:val="20"/>
                <w:color w:val="auto"/>
              </w:rPr>
            </w:pPr>
            <w:r>
              <w:rPr>
                <w:rFonts w:ascii="Arial" w:cs="Arial" w:eastAsia="Arial" w:hAnsi="Arial"/>
                <w:sz w:val="18"/>
                <w:szCs w:val="18"/>
                <w:color w:val="auto"/>
              </w:rPr>
              <w:t>approved by security holders</w:t>
            </w:r>
          </w:p>
        </w:tc>
        <w:tc>
          <w:tcPr>
            <w:tcW w:w="21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42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1220" w:type="dxa"/>
            <w:vAlign w:val="bottom"/>
            <w:tcBorders>
              <w:bottom w:val="single" w:sz="8" w:color="023C5B"/>
            </w:tcBorders>
          </w:tcPr>
          <w:p>
            <w:pPr>
              <w:spacing w:after="0"/>
              <w:rPr>
                <w:sz w:val="3"/>
                <w:szCs w:val="3"/>
                <w:color w:val="auto"/>
              </w:rPr>
            </w:pPr>
          </w:p>
        </w:tc>
        <w:tc>
          <w:tcPr>
            <w:tcW w:w="302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1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94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246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4260" w:type="dxa"/>
            <w:vAlign w:val="bottom"/>
            <w:tcBorders>
              <w:bottom w:val="single" w:sz="8" w:color="E5EBEE"/>
            </w:tcBorders>
            <w:gridSpan w:val="3"/>
            <w:shd w:val="clear" w:color="auto" w:fill="E5EBEE"/>
          </w:tcPr>
          <w:p>
            <w:pPr>
              <w:ind w:left="120"/>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E5EBEE"/>
            </w:tcBorders>
            <w:gridSpan w:val="2"/>
            <w:shd w:val="clear" w:color="auto" w:fill="E5EBEE"/>
          </w:tcPr>
          <w:p>
            <w:pPr>
              <w:jc w:val="center"/>
              <w:ind w:left="131"/>
              <w:spacing w:after="0"/>
              <w:rPr>
                <w:sz w:val="20"/>
                <w:szCs w:val="20"/>
                <w:color w:val="auto"/>
              </w:rPr>
            </w:pPr>
            <w:r>
              <w:rPr>
                <w:rFonts w:ascii="Arial" w:cs="Arial" w:eastAsia="Arial" w:hAnsi="Arial"/>
                <w:sz w:val="18"/>
                <w:szCs w:val="18"/>
                <w:color w:val="auto"/>
                <w:w w:val="99"/>
              </w:rPr>
              <w:t>9,693,514</w:t>
            </w:r>
          </w:p>
        </w:tc>
        <w:tc>
          <w:tcPr>
            <w:tcW w:w="60" w:type="dxa"/>
            <w:vAlign w:val="bottom"/>
            <w:tcBorders>
              <w:bottom w:val="single" w:sz="8" w:color="E5EBEE"/>
            </w:tcBorders>
            <w:shd w:val="clear" w:color="auto" w:fill="E5EBEE"/>
          </w:tcPr>
          <w:p>
            <w:pPr>
              <w:spacing w:after="0"/>
              <w:rPr>
                <w:sz w:val="24"/>
                <w:szCs w:val="24"/>
                <w:color w:val="auto"/>
              </w:rPr>
            </w:pPr>
          </w:p>
        </w:tc>
        <w:tc>
          <w:tcPr>
            <w:tcW w:w="2000" w:type="dxa"/>
            <w:vAlign w:val="bottom"/>
            <w:tcBorders>
              <w:bottom w:val="single" w:sz="8" w:color="E5EBEE"/>
            </w:tcBorders>
            <w:gridSpan w:val="2"/>
            <w:shd w:val="clear" w:color="auto" w:fill="E5EBEE"/>
          </w:tcPr>
          <w:p>
            <w:pPr>
              <w:jc w:val="center"/>
              <w:ind w:left="177"/>
              <w:spacing w:after="0"/>
              <w:rPr>
                <w:sz w:val="20"/>
                <w:szCs w:val="20"/>
                <w:color w:val="auto"/>
              </w:rPr>
            </w:pPr>
            <w:r>
              <w:rPr>
                <w:rFonts w:ascii="Arial" w:cs="Arial" w:eastAsia="Arial" w:hAnsi="Arial"/>
                <w:sz w:val="18"/>
                <w:szCs w:val="18"/>
                <w:color w:val="auto"/>
                <w:w w:val="96"/>
              </w:rPr>
              <w:t>$86.34    </w:t>
            </w:r>
          </w:p>
        </w:tc>
        <w:tc>
          <w:tcPr>
            <w:tcW w:w="2460" w:type="dxa"/>
            <w:vAlign w:val="bottom"/>
            <w:tcBorders>
              <w:bottom w:val="single" w:sz="8" w:color="E5EBEE"/>
            </w:tcBorders>
            <w:shd w:val="clear" w:color="auto" w:fill="E5EBEE"/>
          </w:tcPr>
          <w:p>
            <w:pPr>
              <w:jc w:val="center"/>
              <w:ind w:left="218"/>
              <w:spacing w:after="0"/>
              <w:rPr>
                <w:sz w:val="20"/>
                <w:szCs w:val="20"/>
                <w:color w:val="auto"/>
              </w:rPr>
            </w:pPr>
            <w:r>
              <w:rPr>
                <w:rFonts w:ascii="Arial" w:cs="Arial" w:eastAsia="Arial" w:hAnsi="Arial"/>
                <w:sz w:val="18"/>
                <w:szCs w:val="18"/>
                <w:color w:val="auto"/>
                <w:w w:val="97"/>
              </w:rPr>
              <w:t>52,043,397</w:t>
            </w:r>
          </w:p>
        </w:tc>
        <w:tc>
          <w:tcPr>
            <w:tcW w:w="0" w:type="dxa"/>
            <w:vAlign w:val="bottom"/>
          </w:tcPr>
          <w:p>
            <w:pPr>
              <w:spacing w:after="0"/>
              <w:rPr>
                <w:sz w:val="1"/>
                <w:szCs w:val="1"/>
                <w:color w:val="auto"/>
              </w:rPr>
            </w:pPr>
          </w:p>
        </w:tc>
      </w:tr>
      <w:tr>
        <w:trPr>
          <w:trHeight w:val="127"/>
        </w:trPr>
        <w:tc>
          <w:tcPr>
            <w:tcW w:w="1220" w:type="dxa"/>
            <w:vAlign w:val="bottom"/>
            <w:tcBorders>
              <w:top w:val="single" w:sz="8" w:color="023C5B"/>
              <w:bottom w:val="single" w:sz="8" w:color="auto"/>
            </w:tcBorders>
          </w:tcPr>
          <w:p>
            <w:pPr>
              <w:spacing w:after="0"/>
              <w:rPr>
                <w:sz w:val="11"/>
                <w:szCs w:val="11"/>
                <w:color w:val="auto"/>
              </w:rPr>
            </w:pPr>
          </w:p>
        </w:tc>
        <w:tc>
          <w:tcPr>
            <w:tcW w:w="3020" w:type="dxa"/>
            <w:vAlign w:val="bottom"/>
            <w:tcBorders>
              <w:top w:val="single" w:sz="8" w:color="023C5B"/>
            </w:tcBorders>
          </w:tcPr>
          <w:p>
            <w:pPr>
              <w:spacing w:after="0"/>
              <w:rPr>
                <w:sz w:val="11"/>
                <w:szCs w:val="11"/>
                <w:color w:val="auto"/>
              </w:rPr>
            </w:pPr>
          </w:p>
        </w:tc>
        <w:tc>
          <w:tcPr>
            <w:tcW w:w="20" w:type="dxa"/>
            <w:vAlign w:val="bottom"/>
            <w:tcBorders>
              <w:top w:val="single" w:sz="8" w:color="023C5B"/>
            </w:tcBorders>
          </w:tcPr>
          <w:p>
            <w:pPr>
              <w:spacing w:after="0"/>
              <w:rPr>
                <w:sz w:val="11"/>
                <w:szCs w:val="11"/>
                <w:color w:val="auto"/>
              </w:rPr>
            </w:pPr>
          </w:p>
        </w:tc>
        <w:tc>
          <w:tcPr>
            <w:tcW w:w="20" w:type="dxa"/>
            <w:vAlign w:val="bottom"/>
            <w:tcBorders>
              <w:top w:val="single" w:sz="8" w:color="023C5B"/>
            </w:tcBorders>
          </w:tcPr>
          <w:p>
            <w:pPr>
              <w:spacing w:after="0"/>
              <w:rPr>
                <w:sz w:val="11"/>
                <w:szCs w:val="11"/>
                <w:color w:val="auto"/>
              </w:rPr>
            </w:pPr>
          </w:p>
        </w:tc>
        <w:tc>
          <w:tcPr>
            <w:tcW w:w="212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1940" w:type="dxa"/>
            <w:vAlign w:val="bottom"/>
            <w:tcBorders>
              <w:top w:val="single" w:sz="8" w:color="023C5B"/>
            </w:tcBorders>
          </w:tcPr>
          <w:p>
            <w:pPr>
              <w:spacing w:after="0"/>
              <w:rPr>
                <w:sz w:val="11"/>
                <w:szCs w:val="11"/>
                <w:color w:val="auto"/>
              </w:rPr>
            </w:pPr>
          </w:p>
        </w:tc>
        <w:tc>
          <w:tcPr>
            <w:tcW w:w="60" w:type="dxa"/>
            <w:vAlign w:val="bottom"/>
            <w:tcBorders>
              <w:top w:val="single" w:sz="8" w:color="023C5B"/>
            </w:tcBorders>
          </w:tcPr>
          <w:p>
            <w:pPr>
              <w:spacing w:after="0"/>
              <w:rPr>
                <w:sz w:val="11"/>
                <w:szCs w:val="11"/>
                <w:color w:val="auto"/>
              </w:rPr>
            </w:pPr>
          </w:p>
        </w:tc>
        <w:tc>
          <w:tcPr>
            <w:tcW w:w="2460" w:type="dxa"/>
            <w:vAlign w:val="bottom"/>
            <w:tcBorders>
              <w:top w:val="single" w:sz="8" w:color="023C5B"/>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00" w:hanging="433"/>
        <w:spacing w:after="0"/>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following plans have been approved by our stockholders and are currently in effect: the 2004 Stock Incentive Plan and the 2002 Associate Stock Purchase Plan.</w:t>
      </w:r>
    </w:p>
    <w:p>
      <w:pPr>
        <w:spacing w:after="0" w:line="79" w:lineRule="exact"/>
        <w:rPr>
          <w:rFonts w:ascii="Arial" w:cs="Arial" w:eastAsia="Arial" w:hAnsi="Arial"/>
          <w:sz w:val="14"/>
          <w:szCs w:val="14"/>
          <w:color w:val="auto"/>
        </w:rPr>
      </w:pPr>
    </w:p>
    <w:p>
      <w:pPr>
        <w:jc w:val="both"/>
        <w:ind w:left="600" w:hanging="433"/>
        <w:spacing w:after="0" w:line="249"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Excludes purchase rights accruing under the 2002 Associate Stock Purchase Plan. Includes 1,479,336 shares that represent the maximum number of shares issuable pursuant to outstanding performance share awards under the 2004 Stock Incentive Plan and 7,346,451 shares subject to outstanding RSUs, including outstanding RSUs that are subject to performance-based vesting provisions, under the 2004 Stock Incentive Plan. Excludes RSUs that will be settled in cash under the 2004 Stock Incentive Plan. Also excludes dividend equivalents accrued with respect to performance shares which are paid in shares at the time the underlying performance shares are issued, and only with respect to the number of performance shares that vest.</w:t>
      </w:r>
    </w:p>
    <w:p>
      <w:pPr>
        <w:spacing w:after="0" w:line="47"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Represents 15,422,567 shares available for future issuance under the 2004 Stock Incentive Plan; and 19,544,203 shares available for future issuance under the 2002 Associate Stock Purchase Plan as shares purchased voluntarily by Capital One associates through regular payroll deductions and a Company match.</w:t>
      </w:r>
    </w:p>
    <w:p>
      <w:pPr>
        <w:spacing w:after="0" w:line="24"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Represents 20,744 outstanding RSUs under the 1999 Directors Plan, which was terminated in April 2009 and 749,944 outstanding RSUs under the Legacy Discover 2023 Omnibus Incentive Plan.</w:t>
      </w:r>
    </w:p>
    <w:p>
      <w:pPr>
        <w:spacing w:after="0" w:line="24"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In connection with the Discover Transaction, Capital One assumed the Legacy Discover 2023 Omnibus Incentive Plan, which allows for the future issuance of up to 17,076,627 shares.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1999 Directors Plan</w:t>
      </w:r>
    </w:p>
    <w:p>
      <w:pPr>
        <w:spacing w:after="0" w:line="228"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The 1999 Directors Plan was adopted by the Board on April 29, 1999, and terminated on April 28, 2009, although certain grants remain outstanding that were awarded under the plan. The plan authorized a maximum of 825,000 shares of Capital One common stock for the grant of non-qualified stock options, restricted stock, and RSUs to members of the Board who were not otherwise employed by Capital One or any subsidiary of Capital One at the time an award was granted. The plan is administered by the Board, which retains the right to cancel any awards outstanding under the plan in exchange for a cash payment equal to any such award’s value as of the cancellation date. No shares are available for issuance under this plan other than shares subject to outstanding equity awards under the plan, which are solely in the form of RSUs.</w:t>
      </w:r>
    </w:p>
    <w:p>
      <w:pPr>
        <w:spacing w:after="0" w:line="107"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VIII - Equity Compensation Plans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Legacy Discover 2023 Omnibus Incentive Plan</w:t>
      </w:r>
    </w:p>
    <w:p>
      <w:pPr>
        <w:spacing w:after="0" w:line="228" w:lineRule="exact"/>
        <w:rPr>
          <w:sz w:val="20"/>
          <w:szCs w:val="20"/>
          <w:color w:val="auto"/>
        </w:rPr>
      </w:pPr>
    </w:p>
    <w:p>
      <w:pPr>
        <w:jc w:val="both"/>
        <w:ind w:left="160"/>
        <w:spacing w:after="0" w:line="253" w:lineRule="auto"/>
        <w:rPr>
          <w:sz w:val="20"/>
          <w:szCs w:val="20"/>
          <w:color w:val="auto"/>
        </w:rPr>
      </w:pPr>
      <w:r>
        <w:rPr>
          <w:rFonts w:ascii="Arial" w:cs="Arial" w:eastAsia="Arial" w:hAnsi="Arial"/>
          <w:sz w:val="17"/>
          <w:szCs w:val="17"/>
          <w:color w:val="auto"/>
        </w:rPr>
        <w:t>On February 23, 2023, the Discover 2023 Omnibus Incentive Plan was approved by the Board of Directors of Discover, and was approved by Discover shareholders on May 11, 2023. The plan authorized a maximum of 18,000,000 shares of Discover common stock for the grant of employee awards to include stock options, restricted stock, RSUs, and performance shares. At the close of the Discover Transaction on May 18, 2025, the plan was assumed by Capital One and renamed the Legacy Discover 2023 Omnibus Incentive Plan. The number of shares available for issuance was adjusted per the exchange ratio set forth in the Agreement and Plan of Merger relating to the Discover Transaction. A total of 16,879,343 shares remained available for issuance under this plan to legacy Discover employees or newly hired employees following the close of the Discover Transaction. Shares subject to outstanding awards under the Legacy Discover 2023 Omnibus Incentive Plan that are forfeited are returned to the plan’s pool for future grant. The plan is administered by the Board.</w:t>
      </w:r>
    </w:p>
    <w:p>
      <w:pPr>
        <w:spacing w:after="0" w:line="103" w:lineRule="exact"/>
        <w:rPr>
          <w:sz w:val="20"/>
          <w:szCs w:val="20"/>
          <w:color w:val="auto"/>
        </w:rPr>
      </w:pPr>
    </w:p>
    <w:p>
      <w:pPr>
        <w:ind w:left="5520"/>
        <w:spacing w:after="0"/>
        <w:tabs>
          <w:tab w:leader="none" w:pos="862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-111760</wp:posOffset>
            </wp:positionV>
            <wp:extent cx="8255" cy="1784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IX - 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47625</wp:posOffset>
            </wp:positionV>
            <wp:extent cx="69297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Security Ownership of Certain Beneficial Owners</w:t>
      </w:r>
    </w:p>
    <w:p>
      <w:pPr>
        <w:spacing w:after="0" w:line="22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Based on Schedule 13D and 13G filings submitted to the SEC, Capital One is aware of the following beneficial owners of more than 5% of Capital One’s outstanding common stock. All percentage calculations are based on the number of shares of common stock issued and outstanding on December 31, 2025, which was 625,102,271.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61595</wp:posOffset>
            </wp:positionV>
            <wp:extent cx="6929755" cy="13671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29755" cy="1367155"/>
                    </a:xfrm>
                    <a:prstGeom prst="rect">
                      <a:avLst/>
                    </a:prstGeom>
                    <a:noFill/>
                  </pic:spPr>
                </pic:pic>
              </a:graphicData>
            </a:graphic>
          </wp:anchor>
        </w:drawing>
      </w:r>
    </w:p>
    <w:p>
      <w:pPr>
        <w:spacing w:after="0" w:line="77"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220" w:type="dxa"/>
            <w:vAlign w:val="bottom"/>
            <w:shd w:val="clear" w:color="auto" w:fill="023C5B"/>
          </w:tcPr>
          <w:p>
            <w:pPr>
              <w:spacing w:after="0"/>
              <w:rPr>
                <w:sz w:val="19"/>
                <w:szCs w:val="19"/>
                <w:color w:val="auto"/>
              </w:rPr>
            </w:pPr>
          </w:p>
        </w:tc>
        <w:tc>
          <w:tcPr>
            <w:tcW w:w="5400" w:type="dxa"/>
            <w:vAlign w:val="bottom"/>
            <w:shd w:val="clear" w:color="auto" w:fill="023C5B"/>
          </w:tcPr>
          <w:p>
            <w:pPr>
              <w:spacing w:after="0"/>
              <w:rPr>
                <w:sz w:val="19"/>
                <w:szCs w:val="19"/>
                <w:color w:val="auto"/>
              </w:rPr>
            </w:pPr>
          </w:p>
        </w:tc>
        <w:tc>
          <w:tcPr>
            <w:tcW w:w="40" w:type="dxa"/>
            <w:vAlign w:val="bottom"/>
            <w:shd w:val="clear" w:color="auto" w:fill="023C5B"/>
          </w:tcPr>
          <w:p>
            <w:pPr>
              <w:spacing w:after="0"/>
              <w:rPr>
                <w:sz w:val="19"/>
                <w:szCs w:val="19"/>
                <w:color w:val="auto"/>
              </w:rPr>
            </w:pPr>
          </w:p>
        </w:tc>
        <w:tc>
          <w:tcPr>
            <w:tcW w:w="20" w:type="dxa"/>
            <w:vAlign w:val="bottom"/>
            <w:shd w:val="clear" w:color="auto" w:fill="023C5B"/>
          </w:tcPr>
          <w:p>
            <w:pPr>
              <w:spacing w:after="0"/>
              <w:rPr>
                <w:sz w:val="19"/>
                <w:szCs w:val="19"/>
                <w:color w:val="auto"/>
              </w:rPr>
            </w:pPr>
          </w:p>
        </w:tc>
        <w:tc>
          <w:tcPr>
            <w:tcW w:w="234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Number of Shares of</w:t>
            </w:r>
          </w:p>
        </w:tc>
        <w:tc>
          <w:tcPr>
            <w:tcW w:w="1900" w:type="dxa"/>
            <w:vAlign w:val="bottom"/>
            <w:shd w:val="clear" w:color="auto" w:fill="023C5B"/>
          </w:tcPr>
          <w:p>
            <w:pPr>
              <w:spacing w:after="0"/>
              <w:rPr>
                <w:sz w:val="19"/>
                <w:szCs w:val="19"/>
                <w:color w:val="auto"/>
              </w:rPr>
            </w:pPr>
          </w:p>
        </w:tc>
      </w:tr>
      <w:tr>
        <w:trPr>
          <w:trHeight w:val="187"/>
        </w:trPr>
        <w:tc>
          <w:tcPr>
            <w:tcW w:w="1220" w:type="dxa"/>
            <w:vAlign w:val="bottom"/>
            <w:shd w:val="clear" w:color="auto" w:fill="023C5B"/>
          </w:tcPr>
          <w:p>
            <w:pPr>
              <w:spacing w:after="0"/>
              <w:rPr>
                <w:sz w:val="16"/>
                <w:szCs w:val="16"/>
                <w:color w:val="auto"/>
              </w:rPr>
            </w:pPr>
          </w:p>
        </w:tc>
        <w:tc>
          <w:tcPr>
            <w:tcW w:w="5400" w:type="dxa"/>
            <w:vAlign w:val="bottom"/>
            <w:shd w:val="clear" w:color="auto" w:fill="023C5B"/>
          </w:tcPr>
          <w:p>
            <w:pPr>
              <w:spacing w:after="0"/>
              <w:rPr>
                <w:sz w:val="16"/>
                <w:szCs w:val="16"/>
                <w:color w:val="auto"/>
              </w:rPr>
            </w:pPr>
          </w:p>
        </w:tc>
        <w:tc>
          <w:tcPr>
            <w:tcW w:w="4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34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Common Stock</w:t>
            </w:r>
          </w:p>
        </w:tc>
        <w:tc>
          <w:tcPr>
            <w:tcW w:w="1900" w:type="dxa"/>
            <w:vAlign w:val="bottom"/>
            <w:shd w:val="clear" w:color="auto" w:fill="023C5B"/>
          </w:tcPr>
          <w:p>
            <w:pPr>
              <w:spacing w:after="0"/>
              <w:rPr>
                <w:sz w:val="16"/>
                <w:szCs w:val="16"/>
                <w:color w:val="auto"/>
              </w:rPr>
            </w:pPr>
          </w:p>
        </w:tc>
      </w:tr>
      <w:tr>
        <w:trPr>
          <w:trHeight w:val="255"/>
        </w:trPr>
        <w:tc>
          <w:tcPr>
            <w:tcW w:w="6660" w:type="dxa"/>
            <w:vAlign w:val="bottom"/>
            <w:gridSpan w:val="3"/>
            <w:shd w:val="clear" w:color="auto" w:fill="023C5B"/>
          </w:tcPr>
          <w:p>
            <w:pPr>
              <w:ind w:left="100"/>
              <w:spacing w:after="0"/>
              <w:rPr>
                <w:sz w:val="20"/>
                <w:szCs w:val="20"/>
                <w:color w:val="auto"/>
              </w:rPr>
            </w:pPr>
            <w:r>
              <w:rPr>
                <w:rFonts w:ascii="Arial" w:cs="Arial" w:eastAsia="Arial" w:hAnsi="Arial"/>
                <w:sz w:val="16"/>
                <w:szCs w:val="16"/>
                <w:b w:val="1"/>
                <w:bCs w:val="1"/>
                <w:color w:val="FFFFFF"/>
              </w:rPr>
              <w:t>Name and Address</w:t>
            </w:r>
          </w:p>
        </w:tc>
        <w:tc>
          <w:tcPr>
            <w:tcW w:w="20" w:type="dxa"/>
            <w:vAlign w:val="bottom"/>
            <w:shd w:val="clear" w:color="auto" w:fill="023C5B"/>
          </w:tcPr>
          <w:p>
            <w:pPr>
              <w:spacing w:after="0"/>
              <w:rPr>
                <w:sz w:val="22"/>
                <w:szCs w:val="22"/>
                <w:color w:val="auto"/>
              </w:rPr>
            </w:pPr>
          </w:p>
        </w:tc>
        <w:tc>
          <w:tcPr>
            <w:tcW w:w="2340" w:type="dxa"/>
            <w:vAlign w:val="bottom"/>
            <w:gridSpan w:val="2"/>
            <w:shd w:val="clear" w:color="auto" w:fill="023C5B"/>
          </w:tcPr>
          <w:p>
            <w:pPr>
              <w:ind w:left="240"/>
              <w:spacing w:after="0" w:line="255" w:lineRule="exact"/>
              <w:rPr>
                <w:sz w:val="20"/>
                <w:szCs w:val="20"/>
                <w:color w:val="auto"/>
              </w:rPr>
            </w:pPr>
            <w:r>
              <w:rPr>
                <w:rFonts w:ascii="Arial" w:cs="Arial" w:eastAsia="Arial" w:hAnsi="Arial"/>
                <w:sz w:val="16"/>
                <w:szCs w:val="16"/>
                <w:b w:val="1"/>
                <w:bCs w:val="1"/>
                <w:color w:val="FFFFFF"/>
              </w:rPr>
              <w:t>   Beneficially Owned</w:t>
            </w:r>
            <w:r>
              <w:rPr>
                <w:rFonts w:ascii="Arial" w:cs="Arial" w:eastAsia="Arial" w:hAnsi="Arial"/>
                <w:sz w:val="24"/>
                <w:szCs w:val="24"/>
                <w:b w:val="1"/>
                <w:bCs w:val="1"/>
                <w:color w:val="FFFFFF"/>
                <w:vertAlign w:val="superscript"/>
              </w:rPr>
              <w:t>(1)</w:t>
            </w:r>
            <w:r>
              <w:rPr>
                <w:rFonts w:ascii="Arial" w:cs="Arial" w:eastAsia="Arial" w:hAnsi="Arial"/>
                <w:sz w:val="16"/>
                <w:szCs w:val="16"/>
                <w:b w:val="1"/>
                <w:bCs w:val="1"/>
                <w:color w:val="FFFFFF"/>
              </w:rPr>
              <w:t xml:space="preserve"> </w:t>
            </w:r>
          </w:p>
        </w:tc>
        <w:tc>
          <w:tcPr>
            <w:tcW w:w="1900" w:type="dxa"/>
            <w:vAlign w:val="bottom"/>
            <w:shd w:val="clear" w:color="auto" w:fill="023C5B"/>
          </w:tcPr>
          <w:p>
            <w:pPr>
              <w:ind w:left="220"/>
              <w:spacing w:after="0"/>
              <w:rPr>
                <w:sz w:val="20"/>
                <w:szCs w:val="20"/>
                <w:color w:val="auto"/>
              </w:rPr>
            </w:pPr>
            <w:r>
              <w:rPr>
                <w:rFonts w:ascii="Arial" w:cs="Arial" w:eastAsia="Arial" w:hAnsi="Arial"/>
                <w:sz w:val="16"/>
                <w:szCs w:val="16"/>
                <w:b w:val="1"/>
                <w:bCs w:val="1"/>
                <w:color w:val="FFFFFF"/>
              </w:rPr>
              <w:t xml:space="preserve">    Percent of Class   </w:t>
            </w:r>
          </w:p>
        </w:tc>
      </w:tr>
      <w:tr>
        <w:trPr>
          <w:trHeight w:val="262"/>
        </w:trPr>
        <w:tc>
          <w:tcPr>
            <w:tcW w:w="6660" w:type="dxa"/>
            <w:vAlign w:val="bottom"/>
            <w:gridSpan w:val="3"/>
            <w:shd w:val="clear" w:color="auto" w:fill="E5EBEE"/>
          </w:tcPr>
          <w:p>
            <w:pPr>
              <w:ind w:left="100"/>
              <w:spacing w:after="0" w:line="262" w:lineRule="exact"/>
              <w:rPr>
                <w:sz w:val="20"/>
                <w:szCs w:val="20"/>
                <w:color w:val="auto"/>
              </w:rPr>
            </w:pPr>
            <w:r>
              <w:rPr>
                <w:rFonts w:ascii="Arial" w:cs="Arial" w:eastAsia="Arial" w:hAnsi="Arial"/>
                <w:sz w:val="18"/>
                <w:szCs w:val="18"/>
                <w:color w:val="auto"/>
              </w:rPr>
              <w:t>The Vanguard Group</w:t>
            </w:r>
            <w:r>
              <w:rPr>
                <w:rFonts w:ascii="Arial" w:cs="Arial" w:eastAsia="Arial" w:hAnsi="Arial"/>
                <w:sz w:val="26"/>
                <w:szCs w:val="26"/>
                <w:color w:val="auto"/>
                <w:vertAlign w:val="superscript"/>
              </w:rPr>
              <w:t>(2)</w:t>
            </w:r>
          </w:p>
        </w:tc>
        <w:tc>
          <w:tcPr>
            <w:tcW w:w="20" w:type="dxa"/>
            <w:vAlign w:val="bottom"/>
            <w:shd w:val="clear" w:color="auto" w:fill="E5EBEE"/>
          </w:tcPr>
          <w:p>
            <w:pPr>
              <w:spacing w:after="0"/>
              <w:rPr>
                <w:sz w:val="22"/>
                <w:szCs w:val="22"/>
                <w:color w:val="auto"/>
              </w:rPr>
            </w:pPr>
          </w:p>
        </w:tc>
        <w:tc>
          <w:tcPr>
            <w:tcW w:w="2280" w:type="dxa"/>
            <w:vAlign w:val="bottom"/>
            <w:shd w:val="clear" w:color="auto" w:fill="E5EBEE"/>
          </w:tcPr>
          <w:p>
            <w:pPr>
              <w:spacing w:after="0"/>
              <w:rPr>
                <w:sz w:val="22"/>
                <w:szCs w:val="22"/>
                <w:color w:val="auto"/>
              </w:rPr>
            </w:pPr>
          </w:p>
        </w:tc>
        <w:tc>
          <w:tcPr>
            <w:tcW w:w="60" w:type="dxa"/>
            <w:vAlign w:val="bottom"/>
            <w:shd w:val="clear" w:color="auto" w:fill="E5EBEE"/>
          </w:tcPr>
          <w:p>
            <w:pPr>
              <w:spacing w:after="0"/>
              <w:rPr>
                <w:sz w:val="22"/>
                <w:szCs w:val="22"/>
                <w:color w:val="auto"/>
              </w:rPr>
            </w:pPr>
          </w:p>
        </w:tc>
        <w:tc>
          <w:tcPr>
            <w:tcW w:w="1900" w:type="dxa"/>
            <w:vAlign w:val="bottom"/>
            <w:shd w:val="clear" w:color="auto" w:fill="E5EBEE"/>
          </w:tcPr>
          <w:p>
            <w:pPr>
              <w:spacing w:after="0"/>
              <w:rPr>
                <w:sz w:val="22"/>
                <w:szCs w:val="22"/>
                <w:color w:val="auto"/>
              </w:rPr>
            </w:pPr>
          </w:p>
        </w:tc>
      </w:tr>
      <w:tr>
        <w:trPr>
          <w:trHeight w:val="201"/>
        </w:trPr>
        <w:tc>
          <w:tcPr>
            <w:tcW w:w="6660" w:type="dxa"/>
            <w:vAlign w:val="bottom"/>
            <w:gridSpan w:val="3"/>
            <w:shd w:val="clear" w:color="auto" w:fill="E5EBEE"/>
          </w:tcPr>
          <w:p>
            <w:pPr>
              <w:ind w:left="100"/>
              <w:spacing w:after="0" w:line="201" w:lineRule="exact"/>
              <w:rPr>
                <w:sz w:val="20"/>
                <w:szCs w:val="20"/>
                <w:color w:val="auto"/>
              </w:rPr>
            </w:pPr>
            <w:r>
              <w:rPr>
                <w:rFonts w:ascii="Arial" w:cs="Arial" w:eastAsia="Arial" w:hAnsi="Arial"/>
                <w:sz w:val="18"/>
                <w:szCs w:val="18"/>
                <w:color w:val="auto"/>
              </w:rPr>
              <w:t>100 Vanguard Blvd.</w:t>
            </w:r>
          </w:p>
        </w:tc>
        <w:tc>
          <w:tcPr>
            <w:tcW w:w="2300" w:type="dxa"/>
            <w:vAlign w:val="bottom"/>
            <w:gridSpan w:val="2"/>
            <w:shd w:val="clear" w:color="auto" w:fill="E5EBEE"/>
          </w:tcPr>
          <w:p>
            <w:pPr>
              <w:jc w:val="center"/>
              <w:ind w:left="71"/>
              <w:spacing w:after="0" w:line="201" w:lineRule="exact"/>
              <w:rPr>
                <w:sz w:val="20"/>
                <w:szCs w:val="20"/>
                <w:color w:val="auto"/>
              </w:rPr>
            </w:pPr>
            <w:r>
              <w:rPr>
                <w:rFonts w:ascii="Arial" w:cs="Arial" w:eastAsia="Arial" w:hAnsi="Arial"/>
                <w:sz w:val="18"/>
                <w:szCs w:val="18"/>
                <w:color w:val="auto"/>
                <w:w w:val="99"/>
              </w:rPr>
              <w:t>63,618,145</w:t>
            </w:r>
          </w:p>
        </w:tc>
        <w:tc>
          <w:tcPr>
            <w:tcW w:w="60" w:type="dxa"/>
            <w:vAlign w:val="bottom"/>
            <w:shd w:val="clear" w:color="auto" w:fill="E5EBEE"/>
          </w:tcPr>
          <w:p>
            <w:pPr>
              <w:spacing w:after="0"/>
              <w:rPr>
                <w:sz w:val="17"/>
                <w:szCs w:val="17"/>
                <w:color w:val="auto"/>
              </w:rPr>
            </w:pPr>
          </w:p>
        </w:tc>
        <w:tc>
          <w:tcPr>
            <w:tcW w:w="1900" w:type="dxa"/>
            <w:vAlign w:val="bottom"/>
            <w:shd w:val="clear" w:color="auto" w:fill="E5EBEE"/>
          </w:tcPr>
          <w:p>
            <w:pPr>
              <w:jc w:val="right"/>
              <w:ind w:right="554"/>
              <w:spacing w:after="0" w:line="201" w:lineRule="exact"/>
              <w:rPr>
                <w:sz w:val="20"/>
                <w:szCs w:val="20"/>
                <w:color w:val="auto"/>
              </w:rPr>
            </w:pPr>
            <w:r>
              <w:rPr>
                <w:rFonts w:ascii="Arial" w:cs="Arial" w:eastAsia="Arial" w:hAnsi="Arial"/>
                <w:sz w:val="18"/>
                <w:szCs w:val="18"/>
                <w:color w:val="auto"/>
              </w:rPr>
              <w:t>10.2%</w:t>
            </w:r>
          </w:p>
        </w:tc>
      </w:tr>
      <w:tr>
        <w:trPr>
          <w:trHeight w:val="286"/>
        </w:trPr>
        <w:tc>
          <w:tcPr>
            <w:tcW w:w="6660" w:type="dxa"/>
            <w:vAlign w:val="bottom"/>
            <w:tcBorders>
              <w:bottom w:val="single" w:sz="8" w:color="E5EBEE"/>
            </w:tcBorders>
            <w:gridSpan w:val="3"/>
            <w:shd w:val="clear" w:color="auto" w:fill="E5EBEE"/>
          </w:tcPr>
          <w:p>
            <w:pPr>
              <w:ind w:left="100"/>
              <w:spacing w:after="0"/>
              <w:rPr>
                <w:sz w:val="20"/>
                <w:szCs w:val="20"/>
                <w:color w:val="auto"/>
              </w:rPr>
            </w:pPr>
            <w:r>
              <w:rPr>
                <w:rFonts w:ascii="Arial" w:cs="Arial" w:eastAsia="Arial" w:hAnsi="Arial"/>
                <w:sz w:val="18"/>
                <w:szCs w:val="18"/>
                <w:color w:val="auto"/>
              </w:rPr>
              <w:t>Malvern, PA 19355</w:t>
            </w:r>
          </w:p>
        </w:tc>
        <w:tc>
          <w:tcPr>
            <w:tcW w:w="20" w:type="dxa"/>
            <w:vAlign w:val="bottom"/>
            <w:tcBorders>
              <w:bottom w:val="single" w:sz="8" w:color="E5EBEE"/>
            </w:tcBorders>
            <w:shd w:val="clear" w:color="auto" w:fill="E5EBEE"/>
          </w:tcPr>
          <w:p>
            <w:pPr>
              <w:spacing w:after="0"/>
              <w:rPr>
                <w:sz w:val="24"/>
                <w:szCs w:val="24"/>
                <w:color w:val="auto"/>
              </w:rPr>
            </w:pPr>
          </w:p>
        </w:tc>
        <w:tc>
          <w:tcPr>
            <w:tcW w:w="2280" w:type="dxa"/>
            <w:vAlign w:val="bottom"/>
            <w:tcBorders>
              <w:bottom w:val="single" w:sz="8" w:color="E5EBEE"/>
            </w:tcBorders>
            <w:shd w:val="clear" w:color="auto" w:fill="E5EBEE"/>
          </w:tcPr>
          <w:p>
            <w:pPr>
              <w:spacing w:after="0"/>
              <w:rPr>
                <w:sz w:val="24"/>
                <w:szCs w:val="24"/>
                <w:color w:val="auto"/>
              </w:rPr>
            </w:pPr>
          </w:p>
        </w:tc>
        <w:tc>
          <w:tcPr>
            <w:tcW w:w="60" w:type="dxa"/>
            <w:vAlign w:val="bottom"/>
            <w:tcBorders>
              <w:bottom w:val="single" w:sz="8" w:color="E5EBEE"/>
            </w:tcBorders>
            <w:shd w:val="clear" w:color="auto" w:fill="E5EBEE"/>
          </w:tcPr>
          <w:p>
            <w:pPr>
              <w:spacing w:after="0"/>
              <w:rPr>
                <w:sz w:val="24"/>
                <w:szCs w:val="24"/>
                <w:color w:val="auto"/>
              </w:rPr>
            </w:pPr>
          </w:p>
        </w:tc>
        <w:tc>
          <w:tcPr>
            <w:tcW w:w="1900" w:type="dxa"/>
            <w:vAlign w:val="bottom"/>
            <w:tcBorders>
              <w:bottom w:val="single" w:sz="8" w:color="E5EBEE"/>
            </w:tcBorders>
            <w:shd w:val="clear" w:color="auto" w:fill="E5EBEE"/>
          </w:tcPr>
          <w:p>
            <w:pPr>
              <w:spacing w:after="0"/>
              <w:rPr>
                <w:sz w:val="24"/>
                <w:szCs w:val="24"/>
                <w:color w:val="auto"/>
              </w:rPr>
            </w:pPr>
          </w:p>
        </w:tc>
      </w:tr>
      <w:tr>
        <w:trPr>
          <w:trHeight w:val="215"/>
        </w:trPr>
        <w:tc>
          <w:tcPr>
            <w:tcW w:w="6620" w:type="dxa"/>
            <w:vAlign w:val="bottom"/>
            <w:tcBorders>
              <w:top w:val="single" w:sz="8" w:color="023C5B"/>
            </w:tcBorders>
            <w:gridSpan w:val="2"/>
          </w:tcPr>
          <w:p>
            <w:pPr>
              <w:ind w:left="100"/>
              <w:spacing w:after="0" w:line="216" w:lineRule="exact"/>
              <w:rPr>
                <w:sz w:val="20"/>
                <w:szCs w:val="20"/>
                <w:color w:val="auto"/>
              </w:rPr>
            </w:pPr>
            <w:r>
              <w:rPr>
                <w:rFonts w:ascii="Arial" w:cs="Arial" w:eastAsia="Arial" w:hAnsi="Arial"/>
                <w:sz w:val="17"/>
                <w:szCs w:val="17"/>
                <w:color w:val="auto"/>
              </w:rPr>
              <w:t>BlackRock, Inc.</w:t>
            </w:r>
            <w:r>
              <w:rPr>
                <w:rFonts w:ascii="Arial" w:cs="Arial" w:eastAsia="Arial" w:hAnsi="Arial"/>
                <w:sz w:val="24"/>
                <w:szCs w:val="24"/>
                <w:color w:val="auto"/>
                <w:vertAlign w:val="superscript"/>
              </w:rPr>
              <w:t>(3)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Borders>
              <w:top w:val="single" w:sz="8" w:color="023C5B"/>
            </w:tcBorders>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Borders>
              <w:top w:val="single" w:sz="8" w:color="023C5B"/>
            </w:tcBorders>
          </w:tcPr>
          <w:p>
            <w:pPr>
              <w:spacing w:after="0"/>
              <w:rPr>
                <w:sz w:val="18"/>
                <w:szCs w:val="18"/>
                <w:color w:val="auto"/>
              </w:rPr>
            </w:pPr>
          </w:p>
        </w:tc>
      </w:tr>
      <w:tr>
        <w:trPr>
          <w:trHeight w:val="201"/>
        </w:trPr>
        <w:tc>
          <w:tcPr>
            <w:tcW w:w="666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55 East 52nd Street</w:t>
            </w:r>
          </w:p>
        </w:tc>
        <w:tc>
          <w:tcPr>
            <w:tcW w:w="2300" w:type="dxa"/>
            <w:vAlign w:val="bottom"/>
            <w:gridSpan w:val="2"/>
          </w:tcPr>
          <w:p>
            <w:pPr>
              <w:jc w:val="center"/>
              <w:ind w:left="71"/>
              <w:spacing w:after="0" w:line="201" w:lineRule="exact"/>
              <w:rPr>
                <w:sz w:val="20"/>
                <w:szCs w:val="20"/>
                <w:color w:val="auto"/>
              </w:rPr>
            </w:pPr>
            <w:r>
              <w:rPr>
                <w:rFonts w:ascii="Arial" w:cs="Arial" w:eastAsia="Arial" w:hAnsi="Arial"/>
                <w:sz w:val="18"/>
                <w:szCs w:val="18"/>
                <w:color w:val="auto"/>
                <w:w w:val="99"/>
              </w:rPr>
              <w:t>44,226,407</w:t>
            </w:r>
          </w:p>
        </w:tc>
        <w:tc>
          <w:tcPr>
            <w:tcW w:w="60" w:type="dxa"/>
            <w:vAlign w:val="bottom"/>
          </w:tcPr>
          <w:p>
            <w:pPr>
              <w:spacing w:after="0"/>
              <w:rPr>
                <w:sz w:val="17"/>
                <w:szCs w:val="17"/>
                <w:color w:val="auto"/>
              </w:rPr>
            </w:pPr>
          </w:p>
        </w:tc>
        <w:tc>
          <w:tcPr>
            <w:tcW w:w="1900" w:type="dxa"/>
            <w:vAlign w:val="bottom"/>
          </w:tcPr>
          <w:p>
            <w:pPr>
              <w:jc w:val="right"/>
              <w:ind w:right="594"/>
              <w:spacing w:after="0" w:line="201" w:lineRule="exact"/>
              <w:rPr>
                <w:sz w:val="20"/>
                <w:szCs w:val="20"/>
                <w:color w:val="auto"/>
              </w:rPr>
            </w:pPr>
            <w:r>
              <w:rPr>
                <w:rFonts w:ascii="Arial" w:cs="Arial" w:eastAsia="Arial" w:hAnsi="Arial"/>
                <w:sz w:val="18"/>
                <w:szCs w:val="18"/>
                <w:color w:val="auto"/>
              </w:rPr>
              <w:t>7.1%</w:t>
            </w:r>
          </w:p>
        </w:tc>
      </w:tr>
      <w:tr>
        <w:trPr>
          <w:trHeight w:val="235"/>
        </w:trPr>
        <w:tc>
          <w:tcPr>
            <w:tcW w:w="6660" w:type="dxa"/>
            <w:vAlign w:val="bottom"/>
            <w:gridSpan w:val="3"/>
          </w:tcPr>
          <w:p>
            <w:pPr>
              <w:ind w:left="100"/>
              <w:spacing w:after="0"/>
              <w:rPr>
                <w:sz w:val="20"/>
                <w:szCs w:val="20"/>
                <w:color w:val="auto"/>
              </w:rPr>
            </w:pPr>
            <w:r>
              <w:rPr>
                <w:rFonts w:ascii="Arial" w:cs="Arial" w:eastAsia="Arial" w:hAnsi="Arial"/>
                <w:sz w:val="18"/>
                <w:szCs w:val="18"/>
                <w:color w:val="auto"/>
              </w:rPr>
              <w:t>New York, NY 10055</w:t>
            </w: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51"/>
        </w:trPr>
        <w:tc>
          <w:tcPr>
            <w:tcW w:w="1220" w:type="dxa"/>
            <w:vAlign w:val="bottom"/>
            <w:tcBorders>
              <w:bottom w:val="single" w:sz="8" w:color="023C5B"/>
            </w:tcBorders>
          </w:tcPr>
          <w:p>
            <w:pPr>
              <w:spacing w:after="0"/>
              <w:rPr>
                <w:sz w:val="4"/>
                <w:szCs w:val="4"/>
                <w:color w:val="auto"/>
              </w:rPr>
            </w:pPr>
          </w:p>
        </w:tc>
        <w:tc>
          <w:tcPr>
            <w:tcW w:w="5400" w:type="dxa"/>
            <w:vAlign w:val="bottom"/>
            <w:tcBorders>
              <w:bottom w:val="single" w:sz="8" w:color="023C5B"/>
            </w:tcBorders>
          </w:tcPr>
          <w:p>
            <w:pPr>
              <w:spacing w:after="0"/>
              <w:rPr>
                <w:sz w:val="4"/>
                <w:szCs w:val="4"/>
                <w:color w:val="auto"/>
              </w:rPr>
            </w:pPr>
          </w:p>
        </w:tc>
        <w:tc>
          <w:tcPr>
            <w:tcW w:w="40" w:type="dxa"/>
            <w:vAlign w:val="bottom"/>
            <w:tcBorders>
              <w:bottom w:val="single" w:sz="8" w:color="023C5B"/>
            </w:tcBorders>
          </w:tcPr>
          <w:p>
            <w:pPr>
              <w:spacing w:after="0"/>
              <w:rPr>
                <w:sz w:val="4"/>
                <w:szCs w:val="4"/>
                <w:color w:val="auto"/>
              </w:rPr>
            </w:pPr>
          </w:p>
        </w:tc>
        <w:tc>
          <w:tcPr>
            <w:tcW w:w="20" w:type="dxa"/>
            <w:vAlign w:val="bottom"/>
            <w:tcBorders>
              <w:bottom w:val="single" w:sz="8" w:color="023C5B"/>
            </w:tcBorders>
          </w:tcPr>
          <w:p>
            <w:pPr>
              <w:spacing w:after="0"/>
              <w:rPr>
                <w:sz w:val="4"/>
                <w:szCs w:val="4"/>
                <w:color w:val="auto"/>
              </w:rPr>
            </w:pPr>
          </w:p>
        </w:tc>
        <w:tc>
          <w:tcPr>
            <w:tcW w:w="2280" w:type="dxa"/>
            <w:vAlign w:val="bottom"/>
            <w:tcBorders>
              <w:bottom w:val="single" w:sz="8" w:color="023C5B"/>
            </w:tcBorders>
          </w:tcPr>
          <w:p>
            <w:pPr>
              <w:spacing w:after="0"/>
              <w:rPr>
                <w:sz w:val="4"/>
                <w:szCs w:val="4"/>
                <w:color w:val="auto"/>
              </w:rPr>
            </w:pPr>
          </w:p>
        </w:tc>
        <w:tc>
          <w:tcPr>
            <w:tcW w:w="60" w:type="dxa"/>
            <w:vAlign w:val="bottom"/>
            <w:tcBorders>
              <w:bottom w:val="single" w:sz="8" w:color="023C5B"/>
            </w:tcBorders>
          </w:tcPr>
          <w:p>
            <w:pPr>
              <w:spacing w:after="0"/>
              <w:rPr>
                <w:sz w:val="4"/>
                <w:szCs w:val="4"/>
                <w:color w:val="auto"/>
              </w:rPr>
            </w:pPr>
          </w:p>
        </w:tc>
        <w:tc>
          <w:tcPr>
            <w:tcW w:w="1900" w:type="dxa"/>
            <w:vAlign w:val="bottom"/>
            <w:tcBorders>
              <w:bottom w:val="single" w:sz="8" w:color="023C5B"/>
            </w:tcBorders>
          </w:tcPr>
          <w:p>
            <w:pPr>
              <w:spacing w:after="0"/>
              <w:rPr>
                <w:sz w:val="4"/>
                <w:szCs w:val="4"/>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5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r>
    </w:tbl>
    <w:p>
      <w:pPr>
        <w:spacing w:after="0" w:line="31" w:lineRule="exact"/>
        <w:rPr>
          <w:sz w:val="20"/>
          <w:szCs w:val="20"/>
          <w:color w:val="auto"/>
        </w:rPr>
      </w:pPr>
    </w:p>
    <w:p>
      <w:pPr>
        <w:jc w:val="both"/>
        <w:ind w:left="600" w:hanging="433"/>
        <w:spacing w:after="0" w:line="253" w:lineRule="auto"/>
        <w:tabs>
          <w:tab w:leader="none" w:pos="60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Upon the consummation of the Discover Transaction, each share of Discover common stock converted into the right to receive 1.0192 shares of common stock of Capital One. The values in the beneficial ownership table represent the combined total of the stockholders’ ownership of Capital One common stock prior to the Discover Transaction plus the number of shares of Capital One common stock corresponding to the number of shares of Discover common stock held prior to the Discover Transaction.</w:t>
      </w:r>
    </w:p>
    <w:p>
      <w:pPr>
        <w:spacing w:after="0" w:line="43" w:lineRule="exact"/>
        <w:rPr>
          <w:rFonts w:ascii="Arial" w:cs="Arial" w:eastAsia="Arial" w:hAnsi="Arial"/>
          <w:sz w:val="14"/>
          <w:szCs w:val="14"/>
          <w:color w:val="auto"/>
        </w:rPr>
      </w:pPr>
    </w:p>
    <w:p>
      <w:pPr>
        <w:jc w:val="both"/>
        <w:ind w:left="600" w:hanging="433"/>
        <w:spacing w:after="0" w:line="249" w:lineRule="auto"/>
        <w:tabs>
          <w:tab w:leader="none" w:pos="60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Based on a Schedule 13G/A (Amendment No. 9) filed on February 13, 2024, with respect to Capital One stock, and a Schedule 13G/A (Amendment No. 10) filed on February 13, 2024, with respect to Discover stock. As of December 29, 2023, for Capital One and for Discover, The Vanguard Group reported sole voting power with respect to no shares, shared voting power with respect to 501,360 shares and 315,916 shares, sole dispositive power over 29,033,786 shares and 31,231,319 shares, and shared dispositive power over 1,632,812 shares and 1,099,477 shares, respectively, totaling 30,666,598 shares of Capital One common stock and 32,330,796 shares of Discover common stock (corresponding to 32,951,547 shares of Capital One common stock).</w:t>
      </w:r>
    </w:p>
    <w:p>
      <w:pPr>
        <w:spacing w:after="0" w:line="47" w:lineRule="exact"/>
        <w:rPr>
          <w:rFonts w:ascii="Arial" w:cs="Arial" w:eastAsia="Arial" w:hAnsi="Arial"/>
          <w:sz w:val="14"/>
          <w:szCs w:val="14"/>
          <w:color w:val="auto"/>
        </w:rPr>
      </w:pPr>
    </w:p>
    <w:p>
      <w:pPr>
        <w:jc w:val="both"/>
        <w:ind w:left="600" w:hanging="433"/>
        <w:spacing w:after="0" w:line="253" w:lineRule="auto"/>
        <w:tabs>
          <w:tab w:leader="none" w:pos="60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Based on a Schedule 13G/A (Amendment No. 11) filed on January 29, 2024, with respect to Capital One stock, and a Schedule 13G/A (Amendment No. 16) filed on April 24, 2025, with respect to Discover stock. As of December 31, 2023, for Capital One and as of March 31, 2025, for Discover, BlackRock, Inc. reported sole voting power with respect to 22,004,562 shares and 17,322,963 shares and sole dispositive power over all shares beneficially owned, respectively, totaling 24,741,893 shares of Capital One common stock and 19,117,459 shares of Discover common stock (corresponding to 19,484,514 shares of Capital One common stock).</w:t>
      </w:r>
    </w:p>
    <w:p>
      <w:pPr>
        <w:spacing w:after="0" w:line="93"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023C5B"/>
        </w:rPr>
        <w:t>Section IX - Security Ownership</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Security Ownership of Directors and Named Executive Officers</w:t>
      </w:r>
    </w:p>
    <w:p>
      <w:pPr>
        <w:spacing w:after="0" w:line="22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following table lists the beneficial ownership of Capital One common stock as of February 18, 2026 by our directors, the NEOs in this proxy statement, and all directors and executive officers as a group. All percentage calculations are based on the number of shares of common stock issued and outstanding on February 18, 2026, which was 621,925,120.</w:t>
      </w:r>
    </w:p>
    <w:p>
      <w:pPr>
        <w:spacing w:after="0" w:line="172"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Except as otherwise indicated below, each director or executive officer had sole voting and dispositive power for the shares of common stock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129540</wp:posOffset>
            </wp:positionV>
            <wp:extent cx="3252470" cy="497649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252470" cy="4976495"/>
                    </a:xfrm>
                    <a:prstGeom prst="rect">
                      <a:avLst/>
                    </a:prstGeom>
                    <a:noFill/>
                  </pic:spPr>
                </pic:pic>
              </a:graphicData>
            </a:graphic>
          </wp:anchor>
        </w:drawing>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220" w:type="dxa"/>
            <w:vAlign w:val="bottom"/>
            <w:shd w:val="clear" w:color="auto" w:fill="023C5B"/>
          </w:tcPr>
          <w:p>
            <w:pPr>
              <w:spacing w:after="0"/>
              <w:rPr>
                <w:sz w:val="22"/>
                <w:szCs w:val="22"/>
                <w:color w:val="auto"/>
              </w:rPr>
            </w:pPr>
          </w:p>
        </w:tc>
        <w:tc>
          <w:tcPr>
            <w:tcW w:w="1000" w:type="dxa"/>
            <w:vAlign w:val="bottom"/>
            <w:shd w:val="clear" w:color="auto" w:fill="023C5B"/>
          </w:tcPr>
          <w:p>
            <w:pPr>
              <w:spacing w:after="0"/>
              <w:rPr>
                <w:sz w:val="22"/>
                <w:szCs w:val="22"/>
                <w:color w:val="auto"/>
              </w:rPr>
            </w:pPr>
          </w:p>
        </w:tc>
        <w:tc>
          <w:tcPr>
            <w:tcW w:w="3540" w:type="dxa"/>
            <w:vAlign w:val="bottom"/>
            <w:shd w:val="clear" w:color="auto" w:fill="023C5B"/>
          </w:tcPr>
          <w:p>
            <w:pPr>
              <w:spacing w:after="0"/>
              <w:rPr>
                <w:sz w:val="22"/>
                <w:szCs w:val="22"/>
                <w:color w:val="auto"/>
              </w:rPr>
            </w:pPr>
          </w:p>
        </w:tc>
        <w:tc>
          <w:tcPr>
            <w:tcW w:w="20" w:type="dxa"/>
            <w:vAlign w:val="bottom"/>
            <w:shd w:val="clear" w:color="auto" w:fill="023C5B"/>
          </w:tcPr>
          <w:p>
            <w:pPr>
              <w:spacing w:after="0"/>
              <w:rPr>
                <w:sz w:val="22"/>
                <w:szCs w:val="22"/>
                <w:color w:val="auto"/>
              </w:rPr>
            </w:pPr>
          </w:p>
        </w:tc>
        <w:tc>
          <w:tcPr>
            <w:tcW w:w="20" w:type="dxa"/>
            <w:vAlign w:val="bottom"/>
            <w:shd w:val="clear" w:color="auto" w:fill="023C5B"/>
          </w:tcPr>
          <w:p>
            <w:pPr>
              <w:spacing w:after="0"/>
              <w:rPr>
                <w:sz w:val="22"/>
                <w:szCs w:val="22"/>
                <w:color w:val="auto"/>
              </w:rPr>
            </w:pPr>
          </w:p>
        </w:tc>
        <w:tc>
          <w:tcPr>
            <w:tcW w:w="4120" w:type="dxa"/>
            <w:vAlign w:val="bottom"/>
            <w:gridSpan w:val="8"/>
            <w:shd w:val="clear" w:color="auto" w:fill="023C5B"/>
          </w:tcPr>
          <w:p>
            <w:pPr>
              <w:ind w:left="380"/>
              <w:spacing w:after="0"/>
              <w:rPr>
                <w:sz w:val="20"/>
                <w:szCs w:val="20"/>
                <w:color w:val="auto"/>
              </w:rPr>
            </w:pPr>
            <w:r>
              <w:rPr>
                <w:rFonts w:ascii="Arial" w:cs="Arial" w:eastAsia="Arial" w:hAnsi="Arial"/>
                <w:sz w:val="16"/>
                <w:szCs w:val="16"/>
                <w:b w:val="1"/>
                <w:bCs w:val="1"/>
                <w:color w:val="FFFFFF"/>
              </w:rPr>
              <w:t>Amount and Nature of Beneficial Ownership</w:t>
            </w:r>
          </w:p>
        </w:tc>
        <w:tc>
          <w:tcPr>
            <w:tcW w:w="40" w:type="dxa"/>
            <w:vAlign w:val="bottom"/>
            <w:shd w:val="clear" w:color="auto" w:fill="023C5B"/>
          </w:tcPr>
          <w:p>
            <w:pPr>
              <w:spacing w:after="0"/>
              <w:rPr>
                <w:sz w:val="22"/>
                <w:szCs w:val="22"/>
                <w:color w:val="auto"/>
              </w:rPr>
            </w:pPr>
          </w:p>
        </w:tc>
        <w:tc>
          <w:tcPr>
            <w:tcW w:w="860" w:type="dxa"/>
            <w:vAlign w:val="bottom"/>
            <w:shd w:val="clear" w:color="auto" w:fill="023C5B"/>
          </w:tcPr>
          <w:p>
            <w:pPr>
              <w:spacing w:after="0"/>
              <w:rPr>
                <w:sz w:val="22"/>
                <w:szCs w:val="22"/>
                <w:color w:val="auto"/>
              </w:rPr>
            </w:pPr>
          </w:p>
        </w:tc>
        <w:tc>
          <w:tcPr>
            <w:tcW w:w="60" w:type="dxa"/>
            <w:vAlign w:val="bottom"/>
            <w:shd w:val="clear" w:color="auto" w:fill="023C5B"/>
          </w:tcPr>
          <w:p>
            <w:pPr>
              <w:spacing w:after="0"/>
              <w:rPr>
                <w:sz w:val="22"/>
                <w:szCs w:val="22"/>
                <w:color w:val="auto"/>
              </w:rPr>
            </w:pPr>
          </w:p>
        </w:tc>
        <w:tc>
          <w:tcPr>
            <w:tcW w:w="1040" w:type="dxa"/>
            <w:vAlign w:val="bottom"/>
            <w:shd w:val="clear" w:color="auto" w:fill="023C5B"/>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220" w:type="dxa"/>
            <w:vAlign w:val="bottom"/>
            <w:shd w:val="clear" w:color="auto" w:fill="023C5B"/>
          </w:tcPr>
          <w:p>
            <w:pPr>
              <w:spacing w:after="0"/>
              <w:rPr>
                <w:sz w:val="24"/>
                <w:szCs w:val="24"/>
                <w:color w:val="auto"/>
              </w:rPr>
            </w:pPr>
          </w:p>
        </w:tc>
        <w:tc>
          <w:tcPr>
            <w:tcW w:w="1000" w:type="dxa"/>
            <w:vAlign w:val="bottom"/>
            <w:shd w:val="clear" w:color="auto" w:fill="023C5B"/>
          </w:tcPr>
          <w:p>
            <w:pPr>
              <w:spacing w:after="0"/>
              <w:rPr>
                <w:sz w:val="24"/>
                <w:szCs w:val="24"/>
                <w:color w:val="auto"/>
              </w:rPr>
            </w:pPr>
          </w:p>
        </w:tc>
        <w:tc>
          <w:tcPr>
            <w:tcW w:w="3540" w:type="dxa"/>
            <w:vAlign w:val="bottom"/>
            <w:shd w:val="clear" w:color="auto" w:fill="023C5B"/>
          </w:tcPr>
          <w:p>
            <w:pPr>
              <w:spacing w:after="0"/>
              <w:rPr>
                <w:sz w:val="24"/>
                <w:szCs w:val="24"/>
                <w:color w:val="auto"/>
              </w:rPr>
            </w:pPr>
          </w:p>
        </w:tc>
        <w:tc>
          <w:tcPr>
            <w:tcW w:w="20" w:type="dxa"/>
            <w:vAlign w:val="bottom"/>
            <w:shd w:val="clear" w:color="auto" w:fill="023C5B"/>
          </w:tcPr>
          <w:p>
            <w:pPr>
              <w:spacing w:after="0"/>
              <w:rPr>
                <w:sz w:val="24"/>
                <w:szCs w:val="24"/>
                <w:color w:val="auto"/>
              </w:rPr>
            </w:pPr>
          </w:p>
        </w:tc>
        <w:tc>
          <w:tcPr>
            <w:tcW w:w="20" w:type="dxa"/>
            <w:vAlign w:val="bottom"/>
            <w:shd w:val="clear" w:color="auto" w:fill="023C5B"/>
          </w:tcPr>
          <w:p>
            <w:pPr>
              <w:spacing w:after="0"/>
              <w:rPr>
                <w:sz w:val="24"/>
                <w:szCs w:val="24"/>
                <w:color w:val="auto"/>
              </w:rPr>
            </w:pPr>
          </w:p>
        </w:tc>
        <w:tc>
          <w:tcPr>
            <w:tcW w:w="1020" w:type="dxa"/>
            <w:vAlign w:val="bottom"/>
            <w:shd w:val="clear" w:color="auto" w:fill="023C5B"/>
          </w:tcPr>
          <w:p>
            <w:pPr>
              <w:spacing w:after="0"/>
              <w:rPr>
                <w:sz w:val="24"/>
                <w:szCs w:val="24"/>
                <w:color w:val="auto"/>
              </w:rPr>
            </w:pPr>
          </w:p>
        </w:tc>
        <w:tc>
          <w:tcPr>
            <w:tcW w:w="60" w:type="dxa"/>
            <w:vAlign w:val="bottom"/>
            <w:shd w:val="clear" w:color="auto" w:fill="023C5B"/>
          </w:tcPr>
          <w:p>
            <w:pPr>
              <w:spacing w:after="0"/>
              <w:rPr>
                <w:sz w:val="24"/>
                <w:szCs w:val="24"/>
                <w:color w:val="auto"/>
              </w:rPr>
            </w:pPr>
          </w:p>
        </w:tc>
        <w:tc>
          <w:tcPr>
            <w:tcW w:w="1000" w:type="dxa"/>
            <w:vAlign w:val="bottom"/>
            <w:gridSpan w:val="2"/>
            <w:shd w:val="clear" w:color="auto" w:fill="023C5B"/>
          </w:tcPr>
          <w:p>
            <w:pPr>
              <w:jc w:val="center"/>
              <w:ind w:right="60"/>
              <w:spacing w:after="0"/>
              <w:rPr>
                <w:sz w:val="20"/>
                <w:szCs w:val="20"/>
                <w:color w:val="auto"/>
              </w:rPr>
            </w:pPr>
            <w:r>
              <w:rPr>
                <w:rFonts w:ascii="Arial" w:cs="Arial" w:eastAsia="Arial" w:hAnsi="Arial"/>
                <w:sz w:val="16"/>
                <w:szCs w:val="16"/>
                <w:b w:val="1"/>
                <w:bCs w:val="1"/>
                <w:color w:val="FFFFFF"/>
              </w:rPr>
              <w:t>Stock that</w:t>
            </w:r>
          </w:p>
        </w:tc>
        <w:tc>
          <w:tcPr>
            <w:tcW w:w="1020" w:type="dxa"/>
            <w:vAlign w:val="bottom"/>
            <w:shd w:val="clear" w:color="auto" w:fill="023C5B"/>
          </w:tcPr>
          <w:p>
            <w:pPr>
              <w:spacing w:after="0"/>
              <w:rPr>
                <w:sz w:val="24"/>
                <w:szCs w:val="24"/>
                <w:color w:val="auto"/>
              </w:rPr>
            </w:pPr>
          </w:p>
        </w:tc>
        <w:tc>
          <w:tcPr>
            <w:tcW w:w="60" w:type="dxa"/>
            <w:vAlign w:val="bottom"/>
            <w:shd w:val="clear" w:color="auto" w:fill="023C5B"/>
          </w:tcPr>
          <w:p>
            <w:pPr>
              <w:spacing w:after="0"/>
              <w:rPr>
                <w:sz w:val="24"/>
                <w:szCs w:val="24"/>
                <w:color w:val="auto"/>
              </w:rPr>
            </w:pPr>
          </w:p>
        </w:tc>
        <w:tc>
          <w:tcPr>
            <w:tcW w:w="940" w:type="dxa"/>
            <w:vAlign w:val="bottom"/>
            <w:shd w:val="clear" w:color="auto" w:fill="023C5B"/>
          </w:tcPr>
          <w:p>
            <w:pPr>
              <w:spacing w:after="0"/>
              <w:rPr>
                <w:sz w:val="24"/>
                <w:szCs w:val="24"/>
                <w:color w:val="auto"/>
              </w:rPr>
            </w:pPr>
          </w:p>
        </w:tc>
        <w:tc>
          <w:tcPr>
            <w:tcW w:w="20" w:type="dxa"/>
            <w:vAlign w:val="bottom"/>
            <w:shd w:val="clear" w:color="auto" w:fill="023C5B"/>
          </w:tcPr>
          <w:p>
            <w:pPr>
              <w:spacing w:after="0"/>
              <w:rPr>
                <w:sz w:val="24"/>
                <w:szCs w:val="24"/>
                <w:color w:val="auto"/>
              </w:rPr>
            </w:pPr>
          </w:p>
        </w:tc>
        <w:tc>
          <w:tcPr>
            <w:tcW w:w="40" w:type="dxa"/>
            <w:vAlign w:val="bottom"/>
            <w:shd w:val="clear" w:color="auto" w:fill="023C5B"/>
          </w:tcPr>
          <w:p>
            <w:pPr>
              <w:spacing w:after="0"/>
              <w:rPr>
                <w:sz w:val="24"/>
                <w:szCs w:val="24"/>
                <w:color w:val="auto"/>
              </w:rPr>
            </w:pPr>
          </w:p>
        </w:tc>
        <w:tc>
          <w:tcPr>
            <w:tcW w:w="860" w:type="dxa"/>
            <w:vAlign w:val="bottom"/>
            <w:shd w:val="clear" w:color="auto" w:fill="023C5B"/>
          </w:tcPr>
          <w:p>
            <w:pPr>
              <w:spacing w:after="0"/>
              <w:rPr>
                <w:sz w:val="24"/>
                <w:szCs w:val="24"/>
                <w:color w:val="auto"/>
              </w:rPr>
            </w:pPr>
          </w:p>
        </w:tc>
        <w:tc>
          <w:tcPr>
            <w:tcW w:w="60" w:type="dxa"/>
            <w:vAlign w:val="bottom"/>
            <w:shd w:val="clear" w:color="auto" w:fill="023C5B"/>
          </w:tcPr>
          <w:p>
            <w:pPr>
              <w:spacing w:after="0"/>
              <w:rPr>
                <w:sz w:val="24"/>
                <w:szCs w:val="24"/>
                <w:color w:val="auto"/>
              </w:rPr>
            </w:pPr>
          </w:p>
        </w:tc>
        <w:tc>
          <w:tcPr>
            <w:tcW w:w="1040" w:type="dxa"/>
            <w:vAlign w:val="bottom"/>
            <w:shd w:val="clear" w:color="auto" w:fill="023C5B"/>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20" w:type="dxa"/>
            <w:vAlign w:val="bottom"/>
            <w:shd w:val="clear" w:color="auto" w:fill="023C5B"/>
          </w:tcPr>
          <w:p>
            <w:pPr>
              <w:spacing w:after="0"/>
              <w:rPr>
                <w:sz w:val="16"/>
                <w:szCs w:val="16"/>
                <w:color w:val="auto"/>
              </w:rPr>
            </w:pPr>
          </w:p>
        </w:tc>
        <w:tc>
          <w:tcPr>
            <w:tcW w:w="1000" w:type="dxa"/>
            <w:vAlign w:val="bottom"/>
            <w:shd w:val="clear" w:color="auto" w:fill="023C5B"/>
          </w:tcPr>
          <w:p>
            <w:pPr>
              <w:spacing w:after="0"/>
              <w:rPr>
                <w:sz w:val="16"/>
                <w:szCs w:val="16"/>
                <w:color w:val="auto"/>
              </w:rPr>
            </w:pPr>
          </w:p>
        </w:tc>
        <w:tc>
          <w:tcPr>
            <w:tcW w:w="354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102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000" w:type="dxa"/>
            <w:vAlign w:val="bottom"/>
            <w:gridSpan w:val="2"/>
            <w:shd w:val="clear" w:color="auto" w:fill="023C5B"/>
          </w:tcPr>
          <w:p>
            <w:pPr>
              <w:jc w:val="center"/>
              <w:ind w:right="40"/>
              <w:spacing w:after="0"/>
              <w:rPr>
                <w:sz w:val="20"/>
                <w:szCs w:val="20"/>
                <w:color w:val="auto"/>
              </w:rPr>
            </w:pPr>
            <w:r>
              <w:rPr>
                <w:rFonts w:ascii="Arial" w:cs="Arial" w:eastAsia="Arial" w:hAnsi="Arial"/>
                <w:sz w:val="16"/>
                <w:szCs w:val="16"/>
                <w:b w:val="1"/>
                <w:bCs w:val="1"/>
                <w:color w:val="FFFFFF"/>
                <w:w w:val="99"/>
              </w:rPr>
              <w:t>May Be</w:t>
            </w:r>
          </w:p>
        </w:tc>
        <w:tc>
          <w:tcPr>
            <w:tcW w:w="102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94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40" w:type="dxa"/>
            <w:vAlign w:val="bottom"/>
            <w:shd w:val="clear" w:color="auto" w:fill="023C5B"/>
          </w:tcPr>
          <w:p>
            <w:pPr>
              <w:spacing w:after="0"/>
              <w:rPr>
                <w:sz w:val="16"/>
                <w:szCs w:val="16"/>
                <w:color w:val="auto"/>
              </w:rPr>
            </w:pPr>
          </w:p>
        </w:tc>
        <w:tc>
          <w:tcPr>
            <w:tcW w:w="86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040" w:type="dxa"/>
            <w:vAlign w:val="bottom"/>
            <w:shd w:val="clear" w:color="auto" w:fill="023C5B"/>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0" w:type="dxa"/>
            <w:vAlign w:val="bottom"/>
            <w:shd w:val="clear" w:color="auto" w:fill="023C5B"/>
          </w:tcPr>
          <w:p>
            <w:pPr>
              <w:spacing w:after="0"/>
              <w:rPr>
                <w:sz w:val="16"/>
                <w:szCs w:val="16"/>
                <w:color w:val="auto"/>
              </w:rPr>
            </w:pPr>
          </w:p>
        </w:tc>
        <w:tc>
          <w:tcPr>
            <w:tcW w:w="1000" w:type="dxa"/>
            <w:vAlign w:val="bottom"/>
            <w:shd w:val="clear" w:color="auto" w:fill="023C5B"/>
          </w:tcPr>
          <w:p>
            <w:pPr>
              <w:spacing w:after="0"/>
              <w:rPr>
                <w:sz w:val="16"/>
                <w:szCs w:val="16"/>
                <w:color w:val="auto"/>
              </w:rPr>
            </w:pPr>
          </w:p>
        </w:tc>
        <w:tc>
          <w:tcPr>
            <w:tcW w:w="354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102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000" w:type="dxa"/>
            <w:vAlign w:val="bottom"/>
            <w:gridSpan w:val="2"/>
            <w:shd w:val="clear" w:color="auto" w:fill="023C5B"/>
          </w:tcPr>
          <w:p>
            <w:pPr>
              <w:jc w:val="center"/>
              <w:ind w:right="60"/>
              <w:spacing w:after="0"/>
              <w:rPr>
                <w:sz w:val="20"/>
                <w:szCs w:val="20"/>
                <w:color w:val="auto"/>
              </w:rPr>
            </w:pPr>
            <w:r>
              <w:rPr>
                <w:rFonts w:ascii="Arial" w:cs="Arial" w:eastAsia="Arial" w:hAnsi="Arial"/>
                <w:sz w:val="16"/>
                <w:szCs w:val="16"/>
                <w:b w:val="1"/>
                <w:bCs w:val="1"/>
                <w:color w:val="FFFFFF"/>
              </w:rPr>
              <w:t>Acquired</w:t>
            </w:r>
          </w:p>
        </w:tc>
        <w:tc>
          <w:tcPr>
            <w:tcW w:w="1080" w:type="dxa"/>
            <w:vAlign w:val="bottom"/>
            <w:gridSpan w:val="2"/>
            <w:shd w:val="clear" w:color="auto" w:fill="023C5B"/>
          </w:tcPr>
          <w:p>
            <w:pPr>
              <w:jc w:val="center"/>
              <w:ind w:right="60"/>
              <w:spacing w:after="0"/>
              <w:rPr>
                <w:sz w:val="20"/>
                <w:szCs w:val="20"/>
                <w:color w:val="auto"/>
              </w:rPr>
            </w:pPr>
            <w:r>
              <w:rPr>
                <w:rFonts w:ascii="Arial" w:cs="Arial" w:eastAsia="Arial" w:hAnsi="Arial"/>
                <w:sz w:val="16"/>
                <w:szCs w:val="16"/>
                <w:b w:val="1"/>
                <w:bCs w:val="1"/>
                <w:color w:val="FFFFFF"/>
                <w:w w:val="99"/>
              </w:rPr>
              <w:t>Total</w:t>
            </w:r>
          </w:p>
        </w:tc>
        <w:tc>
          <w:tcPr>
            <w:tcW w:w="94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40" w:type="dxa"/>
            <w:vAlign w:val="bottom"/>
            <w:shd w:val="clear" w:color="auto" w:fill="023C5B"/>
          </w:tcPr>
          <w:p>
            <w:pPr>
              <w:spacing w:after="0"/>
              <w:rPr>
                <w:sz w:val="16"/>
                <w:szCs w:val="16"/>
                <w:color w:val="auto"/>
              </w:rPr>
            </w:pPr>
          </w:p>
        </w:tc>
        <w:tc>
          <w:tcPr>
            <w:tcW w:w="920" w:type="dxa"/>
            <w:vAlign w:val="bottom"/>
            <w:gridSpan w:val="2"/>
            <w:shd w:val="clear" w:color="auto" w:fill="023C5B"/>
          </w:tcPr>
          <w:p>
            <w:pPr>
              <w:jc w:val="center"/>
              <w:ind w:right="60"/>
              <w:spacing w:after="0"/>
              <w:rPr>
                <w:sz w:val="20"/>
                <w:szCs w:val="20"/>
                <w:color w:val="auto"/>
              </w:rPr>
            </w:pPr>
            <w:r>
              <w:rPr>
                <w:rFonts w:ascii="Arial" w:cs="Arial" w:eastAsia="Arial" w:hAnsi="Arial"/>
                <w:sz w:val="16"/>
                <w:szCs w:val="16"/>
                <w:b w:val="1"/>
                <w:bCs w:val="1"/>
                <w:color w:val="FFFFFF"/>
              </w:rPr>
              <w:t>Stock-</w:t>
            </w:r>
          </w:p>
        </w:tc>
        <w:tc>
          <w:tcPr>
            <w:tcW w:w="1040" w:type="dxa"/>
            <w:vAlign w:val="bottom"/>
            <w:shd w:val="clear" w:color="auto" w:fill="023C5B"/>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0" w:type="dxa"/>
            <w:vAlign w:val="bottom"/>
            <w:shd w:val="clear" w:color="auto" w:fill="023C5B"/>
          </w:tcPr>
          <w:p>
            <w:pPr>
              <w:spacing w:after="0"/>
              <w:rPr>
                <w:sz w:val="16"/>
                <w:szCs w:val="16"/>
                <w:color w:val="auto"/>
              </w:rPr>
            </w:pPr>
          </w:p>
        </w:tc>
        <w:tc>
          <w:tcPr>
            <w:tcW w:w="1000" w:type="dxa"/>
            <w:vAlign w:val="bottom"/>
            <w:shd w:val="clear" w:color="auto" w:fill="023C5B"/>
          </w:tcPr>
          <w:p>
            <w:pPr>
              <w:spacing w:after="0"/>
              <w:rPr>
                <w:sz w:val="16"/>
                <w:szCs w:val="16"/>
                <w:color w:val="auto"/>
              </w:rPr>
            </w:pPr>
          </w:p>
        </w:tc>
        <w:tc>
          <w:tcPr>
            <w:tcW w:w="354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1080" w:type="dxa"/>
            <w:vAlign w:val="bottom"/>
            <w:gridSpan w:val="2"/>
            <w:shd w:val="clear" w:color="auto" w:fill="023C5B"/>
          </w:tcPr>
          <w:p>
            <w:pPr>
              <w:jc w:val="center"/>
              <w:ind w:right="60"/>
              <w:spacing w:after="0"/>
              <w:rPr>
                <w:sz w:val="20"/>
                <w:szCs w:val="20"/>
                <w:color w:val="auto"/>
              </w:rPr>
            </w:pPr>
            <w:r>
              <w:rPr>
                <w:rFonts w:ascii="Arial" w:cs="Arial" w:eastAsia="Arial" w:hAnsi="Arial"/>
                <w:sz w:val="16"/>
                <w:szCs w:val="16"/>
                <w:b w:val="1"/>
                <w:bCs w:val="1"/>
                <w:color w:val="FFFFFF"/>
              </w:rPr>
              <w:t>Common</w:t>
            </w:r>
          </w:p>
        </w:tc>
        <w:tc>
          <w:tcPr>
            <w:tcW w:w="1000" w:type="dxa"/>
            <w:vAlign w:val="bottom"/>
            <w:gridSpan w:val="2"/>
            <w:shd w:val="clear" w:color="auto" w:fill="023C5B"/>
          </w:tcPr>
          <w:p>
            <w:pPr>
              <w:jc w:val="center"/>
              <w:ind w:right="40"/>
              <w:spacing w:after="0"/>
              <w:rPr>
                <w:sz w:val="20"/>
                <w:szCs w:val="20"/>
                <w:color w:val="auto"/>
              </w:rPr>
            </w:pPr>
            <w:r>
              <w:rPr>
                <w:rFonts w:ascii="Arial" w:cs="Arial" w:eastAsia="Arial" w:hAnsi="Arial"/>
                <w:sz w:val="16"/>
                <w:szCs w:val="16"/>
                <w:b w:val="1"/>
                <w:bCs w:val="1"/>
                <w:color w:val="FFFFFF"/>
                <w:w w:val="99"/>
              </w:rPr>
              <w:t>within 60</w:t>
            </w:r>
          </w:p>
        </w:tc>
        <w:tc>
          <w:tcPr>
            <w:tcW w:w="1080" w:type="dxa"/>
            <w:vAlign w:val="bottom"/>
            <w:gridSpan w:val="2"/>
            <w:shd w:val="clear" w:color="auto" w:fill="023C5B"/>
          </w:tcPr>
          <w:p>
            <w:pPr>
              <w:jc w:val="center"/>
              <w:ind w:right="60"/>
              <w:spacing w:after="0"/>
              <w:rPr>
                <w:sz w:val="20"/>
                <w:szCs w:val="20"/>
                <w:color w:val="auto"/>
              </w:rPr>
            </w:pPr>
            <w:r>
              <w:rPr>
                <w:rFonts w:ascii="Arial" w:cs="Arial" w:eastAsia="Arial" w:hAnsi="Arial"/>
                <w:sz w:val="16"/>
                <w:szCs w:val="16"/>
                <w:b w:val="1"/>
                <w:bCs w:val="1"/>
                <w:color w:val="FFFFFF"/>
                <w:w w:val="97"/>
              </w:rPr>
              <w:t>Beneficial</w:t>
            </w:r>
          </w:p>
        </w:tc>
        <w:tc>
          <w:tcPr>
            <w:tcW w:w="960" w:type="dxa"/>
            <w:vAlign w:val="bottom"/>
            <w:gridSpan w:val="2"/>
            <w:shd w:val="clear" w:color="auto" w:fill="023C5B"/>
          </w:tcPr>
          <w:p>
            <w:pPr>
              <w:jc w:val="center"/>
              <w:ind w:right="20"/>
              <w:spacing w:after="0"/>
              <w:rPr>
                <w:sz w:val="20"/>
                <w:szCs w:val="20"/>
                <w:color w:val="auto"/>
              </w:rPr>
            </w:pPr>
            <w:r>
              <w:rPr>
                <w:rFonts w:ascii="Arial" w:cs="Arial" w:eastAsia="Arial" w:hAnsi="Arial"/>
                <w:sz w:val="16"/>
                <w:szCs w:val="16"/>
                <w:b w:val="1"/>
                <w:bCs w:val="1"/>
                <w:color w:val="FFFFFF"/>
                <w:w w:val="99"/>
              </w:rPr>
              <w:t>Percent of</w:t>
            </w:r>
          </w:p>
        </w:tc>
        <w:tc>
          <w:tcPr>
            <w:tcW w:w="40" w:type="dxa"/>
            <w:vAlign w:val="bottom"/>
            <w:shd w:val="clear" w:color="auto" w:fill="023C5B"/>
          </w:tcPr>
          <w:p>
            <w:pPr>
              <w:spacing w:after="0"/>
              <w:rPr>
                <w:sz w:val="16"/>
                <w:szCs w:val="16"/>
                <w:color w:val="auto"/>
              </w:rPr>
            </w:pPr>
          </w:p>
        </w:tc>
        <w:tc>
          <w:tcPr>
            <w:tcW w:w="920" w:type="dxa"/>
            <w:vAlign w:val="bottom"/>
            <w:gridSpan w:val="2"/>
            <w:shd w:val="clear" w:color="auto" w:fill="023C5B"/>
          </w:tcPr>
          <w:p>
            <w:pPr>
              <w:jc w:val="center"/>
              <w:ind w:right="60"/>
              <w:spacing w:after="0"/>
              <w:rPr>
                <w:sz w:val="20"/>
                <w:szCs w:val="20"/>
                <w:color w:val="auto"/>
              </w:rPr>
            </w:pPr>
            <w:r>
              <w:rPr>
                <w:rFonts w:ascii="Arial" w:cs="Arial" w:eastAsia="Arial" w:hAnsi="Arial"/>
                <w:sz w:val="16"/>
                <w:szCs w:val="16"/>
                <w:b w:val="1"/>
                <w:bCs w:val="1"/>
                <w:color w:val="FFFFFF"/>
              </w:rPr>
              <w:t>Settled</w:t>
            </w:r>
          </w:p>
        </w:tc>
        <w:tc>
          <w:tcPr>
            <w:tcW w:w="1040" w:type="dxa"/>
            <w:vAlign w:val="bottom"/>
            <w:shd w:val="clear" w:color="auto" w:fill="023C5B"/>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780" w:type="dxa"/>
            <w:vAlign w:val="bottom"/>
            <w:gridSpan w:val="4"/>
            <w:shd w:val="clear" w:color="auto" w:fill="023C5B"/>
          </w:tcPr>
          <w:p>
            <w:pPr>
              <w:ind w:left="100"/>
              <w:spacing w:after="0"/>
              <w:rPr>
                <w:sz w:val="20"/>
                <w:szCs w:val="20"/>
                <w:color w:val="auto"/>
              </w:rPr>
            </w:pPr>
            <w:r>
              <w:rPr>
                <w:rFonts w:ascii="Arial" w:cs="Arial" w:eastAsia="Arial" w:hAnsi="Arial"/>
                <w:sz w:val="16"/>
                <w:szCs w:val="16"/>
                <w:b w:val="1"/>
                <w:bCs w:val="1"/>
                <w:color w:val="FFFFFF"/>
              </w:rPr>
              <w:t>Name</w:t>
            </w:r>
          </w:p>
        </w:tc>
        <w:tc>
          <w:tcPr>
            <w:tcW w:w="20" w:type="dxa"/>
            <w:vAlign w:val="bottom"/>
            <w:shd w:val="clear" w:color="auto" w:fill="023C5B"/>
          </w:tcPr>
          <w:p>
            <w:pPr>
              <w:spacing w:after="0"/>
              <w:rPr>
                <w:sz w:val="23"/>
                <w:szCs w:val="23"/>
                <w:color w:val="auto"/>
              </w:rPr>
            </w:pPr>
          </w:p>
        </w:tc>
        <w:tc>
          <w:tcPr>
            <w:tcW w:w="1080" w:type="dxa"/>
            <w:vAlign w:val="bottom"/>
            <w:gridSpan w:val="2"/>
            <w:shd w:val="clear" w:color="auto" w:fill="023C5B"/>
          </w:tcPr>
          <w:p>
            <w:pPr>
              <w:jc w:val="center"/>
              <w:ind w:right="40"/>
              <w:spacing w:after="0"/>
              <w:rPr>
                <w:sz w:val="20"/>
                <w:szCs w:val="20"/>
                <w:color w:val="auto"/>
              </w:rPr>
            </w:pPr>
            <w:r>
              <w:rPr>
                <w:rFonts w:ascii="Arial" w:cs="Arial" w:eastAsia="Arial" w:hAnsi="Arial"/>
                <w:sz w:val="16"/>
                <w:szCs w:val="16"/>
                <w:b w:val="1"/>
                <w:bCs w:val="1"/>
                <w:color w:val="FFFFFF"/>
              </w:rPr>
              <w:t>Stock</w:t>
            </w:r>
          </w:p>
        </w:tc>
        <w:tc>
          <w:tcPr>
            <w:tcW w:w="1000" w:type="dxa"/>
            <w:vAlign w:val="bottom"/>
            <w:gridSpan w:val="2"/>
            <w:shd w:val="clear" w:color="auto" w:fill="023C5B"/>
          </w:tcPr>
          <w:p>
            <w:pPr>
              <w:jc w:val="center"/>
              <w:ind w:right="60"/>
              <w:spacing w:after="0" w:line="268" w:lineRule="exact"/>
              <w:rPr>
                <w:sz w:val="20"/>
                <w:szCs w:val="20"/>
                <w:color w:val="auto"/>
              </w:rPr>
            </w:pPr>
            <w:r>
              <w:rPr>
                <w:rFonts w:ascii="Arial" w:cs="Arial" w:eastAsia="Arial" w:hAnsi="Arial"/>
                <w:sz w:val="16"/>
                <w:szCs w:val="16"/>
                <w:b w:val="1"/>
                <w:bCs w:val="1"/>
                <w:color w:val="FFFFFF"/>
                <w:w w:val="93"/>
              </w:rPr>
              <w:t>Days</w:t>
            </w:r>
            <w:r>
              <w:rPr>
                <w:rFonts w:ascii="Arial" w:cs="Arial" w:eastAsia="Arial" w:hAnsi="Arial"/>
                <w:sz w:val="24"/>
                <w:szCs w:val="24"/>
                <w:b w:val="1"/>
                <w:bCs w:val="1"/>
                <w:color w:val="FFFFFF"/>
                <w:w w:val="93"/>
                <w:vertAlign w:val="superscript"/>
              </w:rPr>
              <w:t>(1)</w:t>
            </w:r>
          </w:p>
        </w:tc>
        <w:tc>
          <w:tcPr>
            <w:tcW w:w="1080" w:type="dxa"/>
            <w:vAlign w:val="bottom"/>
            <w:gridSpan w:val="2"/>
            <w:shd w:val="clear" w:color="auto" w:fill="023C5B"/>
          </w:tcPr>
          <w:p>
            <w:pPr>
              <w:jc w:val="center"/>
              <w:ind w:right="60"/>
              <w:spacing w:after="0"/>
              <w:rPr>
                <w:sz w:val="20"/>
                <w:szCs w:val="20"/>
                <w:color w:val="auto"/>
              </w:rPr>
            </w:pPr>
            <w:r>
              <w:rPr>
                <w:rFonts w:ascii="Arial" w:cs="Arial" w:eastAsia="Arial" w:hAnsi="Arial"/>
                <w:sz w:val="16"/>
                <w:szCs w:val="16"/>
                <w:b w:val="1"/>
                <w:bCs w:val="1"/>
                <w:color w:val="FFFFFF"/>
                <w:w w:val="99"/>
              </w:rPr>
              <w:t>Ownership</w:t>
            </w:r>
          </w:p>
        </w:tc>
        <w:tc>
          <w:tcPr>
            <w:tcW w:w="960" w:type="dxa"/>
            <w:vAlign w:val="bottom"/>
            <w:gridSpan w:val="2"/>
            <w:shd w:val="clear" w:color="auto" w:fill="023C5B"/>
          </w:tcPr>
          <w:p>
            <w:pPr>
              <w:jc w:val="center"/>
              <w:ind w:right="20"/>
              <w:spacing w:after="0"/>
              <w:rPr>
                <w:sz w:val="20"/>
                <w:szCs w:val="20"/>
                <w:color w:val="auto"/>
              </w:rPr>
            </w:pPr>
            <w:r>
              <w:rPr>
                <w:rFonts w:ascii="Arial" w:cs="Arial" w:eastAsia="Arial" w:hAnsi="Arial"/>
                <w:sz w:val="16"/>
                <w:szCs w:val="16"/>
                <w:b w:val="1"/>
                <w:bCs w:val="1"/>
                <w:color w:val="FFFFFF"/>
                <w:w w:val="98"/>
              </w:rPr>
              <w:t>Class</w:t>
            </w:r>
          </w:p>
        </w:tc>
        <w:tc>
          <w:tcPr>
            <w:tcW w:w="40" w:type="dxa"/>
            <w:vAlign w:val="bottom"/>
            <w:shd w:val="clear" w:color="auto" w:fill="023C5B"/>
          </w:tcPr>
          <w:p>
            <w:pPr>
              <w:spacing w:after="0"/>
              <w:rPr>
                <w:sz w:val="23"/>
                <w:szCs w:val="23"/>
                <w:color w:val="auto"/>
              </w:rPr>
            </w:pPr>
          </w:p>
        </w:tc>
        <w:tc>
          <w:tcPr>
            <w:tcW w:w="920" w:type="dxa"/>
            <w:vAlign w:val="bottom"/>
            <w:gridSpan w:val="2"/>
            <w:shd w:val="clear" w:color="auto" w:fill="023C5B"/>
          </w:tcPr>
          <w:p>
            <w:pPr>
              <w:jc w:val="center"/>
              <w:ind w:right="60"/>
              <w:spacing w:after="0" w:line="268" w:lineRule="exact"/>
              <w:rPr>
                <w:sz w:val="20"/>
                <w:szCs w:val="20"/>
                <w:color w:val="auto"/>
              </w:rPr>
            </w:pPr>
            <w:r>
              <w:rPr>
                <w:rFonts w:ascii="Arial" w:cs="Arial" w:eastAsia="Arial" w:hAnsi="Arial"/>
                <w:sz w:val="16"/>
                <w:szCs w:val="16"/>
                <w:b w:val="1"/>
                <w:bCs w:val="1"/>
                <w:color w:val="FFFFFF"/>
                <w:w w:val="93"/>
              </w:rPr>
              <w:t>RSUs</w:t>
            </w:r>
            <w:r>
              <w:rPr>
                <w:rFonts w:ascii="Arial" w:cs="Arial" w:eastAsia="Arial" w:hAnsi="Arial"/>
                <w:sz w:val="24"/>
                <w:szCs w:val="24"/>
                <w:b w:val="1"/>
                <w:bCs w:val="1"/>
                <w:color w:val="FFFFFF"/>
                <w:w w:val="93"/>
                <w:vertAlign w:val="superscript"/>
              </w:rPr>
              <w:t>(2)</w:t>
            </w:r>
          </w:p>
        </w:tc>
        <w:tc>
          <w:tcPr>
            <w:tcW w:w="1040" w:type="dxa"/>
            <w:vAlign w:val="bottom"/>
            <w:shd w:val="clear" w:color="auto" w:fill="023C5B"/>
          </w:tcPr>
          <w:p>
            <w:pPr>
              <w:ind w:left="240"/>
              <w:spacing w:after="0" w:line="268" w:lineRule="exact"/>
              <w:rPr>
                <w:sz w:val="20"/>
                <w:szCs w:val="20"/>
                <w:color w:val="auto"/>
              </w:rPr>
            </w:pPr>
            <w:r>
              <w:rPr>
                <w:rFonts w:ascii="Arial" w:cs="Arial" w:eastAsia="Arial" w:hAnsi="Arial"/>
                <w:sz w:val="16"/>
                <w:szCs w:val="16"/>
                <w:b w:val="1"/>
                <w:bCs w:val="1"/>
                <w:color w:val="FFFFFF"/>
              </w:rPr>
              <w:t>Total</w:t>
            </w:r>
            <w:r>
              <w:rPr>
                <w:rFonts w:ascii="Arial" w:cs="Arial" w:eastAsia="Arial" w:hAnsi="Arial"/>
                <w:sz w:val="24"/>
                <w:szCs w:val="24"/>
                <w:b w:val="1"/>
                <w:bCs w:val="1"/>
                <w:color w:val="FFFFFF"/>
                <w:vertAlign w:val="superscript"/>
              </w:rPr>
              <w:t>(3)</w:t>
            </w:r>
          </w:p>
        </w:tc>
        <w:tc>
          <w:tcPr>
            <w:tcW w:w="0" w:type="dxa"/>
            <w:vAlign w:val="bottom"/>
          </w:tcPr>
          <w:p>
            <w:pPr>
              <w:spacing w:after="0"/>
              <w:rPr>
                <w:sz w:val="1"/>
                <w:szCs w:val="1"/>
                <w:color w:val="auto"/>
              </w:rPr>
            </w:pPr>
          </w:p>
        </w:tc>
      </w:tr>
      <w:tr>
        <w:trPr>
          <w:trHeight w:val="67"/>
        </w:trPr>
        <w:tc>
          <w:tcPr>
            <w:tcW w:w="1220" w:type="dxa"/>
            <w:vAlign w:val="bottom"/>
            <w:gridSpan w:val="2"/>
          </w:tcPr>
          <w:p>
            <w:pPr>
              <w:spacing w:after="0"/>
              <w:rPr>
                <w:sz w:val="5"/>
                <w:szCs w:val="5"/>
                <w:color w:val="auto"/>
              </w:rPr>
            </w:pPr>
          </w:p>
        </w:tc>
        <w:tc>
          <w:tcPr>
            <w:tcW w:w="3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8"/>
        </w:trPr>
        <w:tc>
          <w:tcPr>
            <w:tcW w:w="4780" w:type="dxa"/>
            <w:vAlign w:val="bottom"/>
            <w:tcBorders>
              <w:bottom w:val="single" w:sz="8" w:color="E5EBEE"/>
            </w:tcBorders>
            <w:gridSpan w:val="4"/>
            <w:shd w:val="clear" w:color="auto" w:fill="E5EBEE"/>
          </w:tcPr>
          <w:p>
            <w:pPr>
              <w:ind w:left="100"/>
              <w:spacing w:after="0"/>
              <w:rPr>
                <w:sz w:val="20"/>
                <w:szCs w:val="20"/>
                <w:color w:val="auto"/>
              </w:rPr>
            </w:pPr>
            <w:r>
              <w:rPr>
                <w:rFonts w:ascii="Arial" w:cs="Arial" w:eastAsia="Arial" w:hAnsi="Arial"/>
                <w:sz w:val="18"/>
                <w:szCs w:val="18"/>
                <w:color w:val="auto"/>
              </w:rPr>
              <w:t>Richard D. Fairbank</w:t>
            </w:r>
          </w:p>
        </w:tc>
        <w:tc>
          <w:tcPr>
            <w:tcW w:w="10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3,732,088</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323,166</w:t>
            </w:r>
          </w:p>
        </w:tc>
        <w:tc>
          <w:tcPr>
            <w:tcW w:w="60" w:type="dxa"/>
            <w:vAlign w:val="bottom"/>
            <w:tcBorders>
              <w:bottom w:val="single" w:sz="8" w:color="E5EBEE"/>
            </w:tcBorders>
            <w:shd w:val="clear" w:color="auto" w:fill="E5EBEE"/>
          </w:tcPr>
          <w:p>
            <w:pPr>
              <w:spacing w:after="0"/>
              <w:rPr>
                <w:sz w:val="24"/>
                <w:szCs w:val="24"/>
                <w:color w:val="auto"/>
              </w:rPr>
            </w:pPr>
          </w:p>
        </w:tc>
        <w:tc>
          <w:tcPr>
            <w:tcW w:w="1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4,055,254</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BEE"/>
            </w:tcBorders>
            <w:shd w:val="clear" w:color="auto" w:fill="E5EBEE"/>
          </w:tcPr>
          <w:p>
            <w:pPr>
              <w:spacing w:after="0"/>
              <w:rPr>
                <w:sz w:val="24"/>
                <w:szCs w:val="24"/>
                <w:color w:val="auto"/>
              </w:rPr>
            </w:pPr>
          </w:p>
        </w:tc>
        <w:tc>
          <w:tcPr>
            <w:tcW w:w="900" w:type="dxa"/>
            <w:vAlign w:val="bottom"/>
            <w:tcBorders>
              <w:bottom w:val="single" w:sz="8" w:color="E5EBEE"/>
            </w:tcBorders>
            <w:gridSpan w:val="2"/>
            <w:shd w:val="clear" w:color="auto" w:fill="E5EBEE"/>
          </w:tcPr>
          <w:p>
            <w:pPr>
              <w:jc w:val="center"/>
              <w:ind w:left="11"/>
              <w:spacing w:after="0"/>
              <w:rPr>
                <w:sz w:val="20"/>
                <w:szCs w:val="20"/>
                <w:color w:val="auto"/>
              </w:rPr>
            </w:pPr>
            <w:r>
              <w:rPr>
                <w:rFonts w:ascii="Arial" w:cs="Arial" w:eastAsia="Arial" w:hAnsi="Arial"/>
                <w:sz w:val="18"/>
                <w:szCs w:val="18"/>
                <w:color w:val="auto"/>
                <w:w w:val="98"/>
              </w:rPr>
              <w:t>153,351</w:t>
            </w:r>
          </w:p>
        </w:tc>
        <w:tc>
          <w:tcPr>
            <w:tcW w:w="60" w:type="dxa"/>
            <w:vAlign w:val="bottom"/>
            <w:tcBorders>
              <w:bottom w:val="single" w:sz="8" w:color="E5EBEE"/>
            </w:tcBorders>
            <w:shd w:val="clear" w:color="auto" w:fill="E5EBEE"/>
          </w:tcPr>
          <w:p>
            <w:pPr>
              <w:spacing w:after="0"/>
              <w:rPr>
                <w:sz w:val="24"/>
                <w:szCs w:val="24"/>
                <w:color w:val="auto"/>
              </w:rPr>
            </w:pP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7"/>
              </w:rPr>
              <w:t>4,208,605</w:t>
            </w:r>
          </w:p>
        </w:tc>
        <w:tc>
          <w:tcPr>
            <w:tcW w:w="0" w:type="dxa"/>
            <w:vAlign w:val="bottom"/>
          </w:tcPr>
          <w:p>
            <w:pPr>
              <w:spacing w:after="0"/>
              <w:rPr>
                <w:sz w:val="1"/>
                <w:szCs w:val="1"/>
                <w:color w:val="auto"/>
              </w:rPr>
            </w:pPr>
          </w:p>
        </w:tc>
      </w:tr>
      <w:tr>
        <w:trPr>
          <w:trHeight w:val="250"/>
        </w:trPr>
        <w:tc>
          <w:tcPr>
            <w:tcW w:w="4760" w:type="dxa"/>
            <w:vAlign w:val="bottom"/>
            <w:tcBorders>
              <w:top w:val="single" w:sz="8" w:color="023C5B"/>
            </w:tcBorders>
            <w:gridSpan w:val="3"/>
          </w:tcPr>
          <w:p>
            <w:pPr>
              <w:ind w:left="100"/>
              <w:spacing w:after="0"/>
              <w:rPr>
                <w:sz w:val="20"/>
                <w:szCs w:val="20"/>
                <w:color w:val="auto"/>
              </w:rPr>
            </w:pPr>
            <w:r>
              <w:rPr>
                <w:rFonts w:ascii="Arial" w:cs="Arial" w:eastAsia="Arial" w:hAnsi="Arial"/>
                <w:sz w:val="18"/>
                <w:szCs w:val="18"/>
                <w:color w:val="auto"/>
              </w:rPr>
              <w:t>Andrew M. Young</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25,464</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25,464</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29,506</w:t>
            </w:r>
          </w:p>
        </w:tc>
        <w:tc>
          <w:tcPr>
            <w:tcW w:w="60" w:type="dxa"/>
            <w:vAlign w:val="bottom"/>
          </w:tcPr>
          <w:p>
            <w:pPr>
              <w:spacing w:after="0"/>
              <w:rPr>
                <w:sz w:val="21"/>
                <w:szCs w:val="21"/>
                <w:color w:val="auto"/>
              </w:rPr>
            </w:pPr>
          </w:p>
        </w:tc>
        <w:tc>
          <w:tcPr>
            <w:tcW w:w="10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54,970</w:t>
            </w:r>
          </w:p>
        </w:tc>
        <w:tc>
          <w:tcPr>
            <w:tcW w:w="0" w:type="dxa"/>
            <w:vAlign w:val="bottom"/>
          </w:tcPr>
          <w:p>
            <w:pPr>
              <w:spacing w:after="0"/>
              <w:rPr>
                <w:sz w:val="1"/>
                <w:szCs w:val="1"/>
                <w:color w:val="auto"/>
              </w:rPr>
            </w:pPr>
          </w:p>
        </w:tc>
      </w:tr>
      <w:tr>
        <w:trPr>
          <w:trHeight w:val="38"/>
        </w:trPr>
        <w:tc>
          <w:tcPr>
            <w:tcW w:w="1220" w:type="dxa"/>
            <w:vAlign w:val="bottom"/>
            <w:tcBorders>
              <w:bottom w:val="single" w:sz="8" w:color="023C5B"/>
            </w:tcBorders>
            <w:gridSpan w:val="2"/>
          </w:tcPr>
          <w:p>
            <w:pPr>
              <w:spacing w:after="0"/>
              <w:rPr>
                <w:sz w:val="3"/>
                <w:szCs w:val="3"/>
                <w:color w:val="auto"/>
              </w:rPr>
            </w:pPr>
          </w:p>
        </w:tc>
        <w:tc>
          <w:tcPr>
            <w:tcW w:w="35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8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E5EBEE"/>
            </w:tcBorders>
            <w:gridSpan w:val="4"/>
            <w:shd w:val="clear" w:color="auto" w:fill="E5EBEE"/>
          </w:tcPr>
          <w:p>
            <w:pPr>
              <w:ind w:left="100"/>
              <w:spacing w:after="0"/>
              <w:rPr>
                <w:sz w:val="20"/>
                <w:szCs w:val="20"/>
                <w:color w:val="auto"/>
              </w:rPr>
            </w:pPr>
            <w:r>
              <w:rPr>
                <w:rFonts w:ascii="Arial" w:cs="Arial" w:eastAsia="Arial" w:hAnsi="Arial"/>
                <w:sz w:val="18"/>
                <w:szCs w:val="18"/>
                <w:color w:val="auto"/>
              </w:rPr>
              <w:t>Matthew W. Cooper</w:t>
            </w:r>
          </w:p>
        </w:tc>
        <w:tc>
          <w:tcPr>
            <w:tcW w:w="1040" w:type="dxa"/>
            <w:vAlign w:val="bottom"/>
            <w:tcBorders>
              <w:bottom w:val="single" w:sz="8" w:color="E5EBEE"/>
            </w:tcBorders>
            <w:gridSpan w:val="2"/>
            <w:shd w:val="clear" w:color="auto" w:fill="E5EBEE"/>
          </w:tcPr>
          <w:p>
            <w:pPr>
              <w:jc w:val="center"/>
              <w:ind w:left="11"/>
              <w:spacing w:after="0"/>
              <w:rPr>
                <w:sz w:val="20"/>
                <w:szCs w:val="20"/>
                <w:color w:val="auto"/>
              </w:rPr>
            </w:pPr>
            <w:r>
              <w:rPr>
                <w:rFonts w:ascii="Arial" w:cs="Arial" w:eastAsia="Arial" w:hAnsi="Arial"/>
                <w:sz w:val="18"/>
                <w:szCs w:val="18"/>
                <w:color w:val="auto"/>
                <w:w w:val="98"/>
              </w:rPr>
              <w:t>50,717</w:t>
            </w:r>
          </w:p>
        </w:tc>
        <w:tc>
          <w:tcPr>
            <w:tcW w:w="60" w:type="dxa"/>
            <w:vAlign w:val="bottom"/>
            <w:tcBorders>
              <w:bottom w:val="single" w:sz="8" w:color="E5EBEE"/>
            </w:tcBorders>
            <w:shd w:val="clear" w:color="auto" w:fill="E5EBEE"/>
          </w:tcPr>
          <w:p>
            <w:pPr>
              <w:spacing w:after="0"/>
              <w:rPr>
                <w:sz w:val="24"/>
                <w:szCs w:val="24"/>
                <w:color w:val="auto"/>
              </w:rPr>
            </w:pPr>
          </w:p>
        </w:tc>
        <w:tc>
          <w:tcPr>
            <w:tcW w:w="10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88"/>
              </w:rPr>
              <w:t>—</w:t>
            </w:r>
          </w:p>
        </w:tc>
        <w:tc>
          <w:tcPr>
            <w:tcW w:w="1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50,717</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BEE"/>
            </w:tcBorders>
            <w:shd w:val="clear" w:color="auto" w:fill="E5EBEE"/>
          </w:tcPr>
          <w:p>
            <w:pPr>
              <w:spacing w:after="0"/>
              <w:rPr>
                <w:sz w:val="24"/>
                <w:szCs w:val="24"/>
                <w:color w:val="auto"/>
              </w:rPr>
            </w:pPr>
          </w:p>
        </w:tc>
        <w:tc>
          <w:tcPr>
            <w:tcW w:w="9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8"/>
              </w:rPr>
              <w:t>45,534</w:t>
            </w:r>
          </w:p>
        </w:tc>
        <w:tc>
          <w:tcPr>
            <w:tcW w:w="60" w:type="dxa"/>
            <w:vAlign w:val="bottom"/>
            <w:tcBorders>
              <w:bottom w:val="single" w:sz="8" w:color="E5EBEE"/>
            </w:tcBorders>
            <w:shd w:val="clear" w:color="auto" w:fill="E5EBEE"/>
          </w:tcPr>
          <w:p>
            <w:pPr>
              <w:spacing w:after="0"/>
              <w:rPr>
                <w:sz w:val="24"/>
                <w:szCs w:val="24"/>
                <w:color w:val="auto"/>
              </w:rPr>
            </w:pP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96,251</w:t>
            </w:r>
          </w:p>
        </w:tc>
        <w:tc>
          <w:tcPr>
            <w:tcW w:w="0" w:type="dxa"/>
            <w:vAlign w:val="bottom"/>
          </w:tcPr>
          <w:p>
            <w:pPr>
              <w:spacing w:after="0"/>
              <w:rPr>
                <w:sz w:val="1"/>
                <w:szCs w:val="1"/>
                <w:color w:val="auto"/>
              </w:rPr>
            </w:pPr>
          </w:p>
        </w:tc>
      </w:tr>
      <w:tr>
        <w:trPr>
          <w:trHeight w:val="250"/>
        </w:trPr>
        <w:tc>
          <w:tcPr>
            <w:tcW w:w="4760" w:type="dxa"/>
            <w:vAlign w:val="bottom"/>
            <w:tcBorders>
              <w:top w:val="single" w:sz="8" w:color="023C5B"/>
            </w:tcBorders>
            <w:gridSpan w:val="3"/>
          </w:tcPr>
          <w:p>
            <w:pPr>
              <w:ind w:left="100"/>
              <w:spacing w:after="0"/>
              <w:rPr>
                <w:sz w:val="20"/>
                <w:szCs w:val="20"/>
                <w:color w:val="auto"/>
              </w:rPr>
            </w:pPr>
            <w:r>
              <w:rPr>
                <w:rFonts w:ascii="Arial" w:cs="Arial" w:eastAsia="Arial" w:hAnsi="Arial"/>
                <w:sz w:val="18"/>
                <w:szCs w:val="18"/>
                <w:color w:val="auto"/>
              </w:rPr>
              <w:t>Mark Daniel Mouadeb</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14,839</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14,839</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37,646</w:t>
            </w:r>
          </w:p>
        </w:tc>
        <w:tc>
          <w:tcPr>
            <w:tcW w:w="60" w:type="dxa"/>
            <w:vAlign w:val="bottom"/>
          </w:tcPr>
          <w:p>
            <w:pPr>
              <w:spacing w:after="0"/>
              <w:rPr>
                <w:sz w:val="21"/>
                <w:szCs w:val="21"/>
                <w:color w:val="auto"/>
              </w:rPr>
            </w:pPr>
          </w:p>
        </w:tc>
        <w:tc>
          <w:tcPr>
            <w:tcW w:w="10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52,485</w:t>
            </w:r>
          </w:p>
        </w:tc>
        <w:tc>
          <w:tcPr>
            <w:tcW w:w="0" w:type="dxa"/>
            <w:vAlign w:val="bottom"/>
          </w:tcPr>
          <w:p>
            <w:pPr>
              <w:spacing w:after="0"/>
              <w:rPr>
                <w:sz w:val="1"/>
                <w:szCs w:val="1"/>
                <w:color w:val="auto"/>
              </w:rPr>
            </w:pPr>
          </w:p>
        </w:tc>
      </w:tr>
      <w:tr>
        <w:trPr>
          <w:trHeight w:val="38"/>
        </w:trPr>
        <w:tc>
          <w:tcPr>
            <w:tcW w:w="1220" w:type="dxa"/>
            <w:vAlign w:val="bottom"/>
            <w:tcBorders>
              <w:bottom w:val="single" w:sz="8" w:color="023C5B"/>
            </w:tcBorders>
            <w:gridSpan w:val="2"/>
          </w:tcPr>
          <w:p>
            <w:pPr>
              <w:spacing w:after="0"/>
              <w:rPr>
                <w:sz w:val="3"/>
                <w:szCs w:val="3"/>
                <w:color w:val="auto"/>
              </w:rPr>
            </w:pPr>
          </w:p>
        </w:tc>
        <w:tc>
          <w:tcPr>
            <w:tcW w:w="35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8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E5EBEE"/>
            </w:tcBorders>
            <w:gridSpan w:val="4"/>
            <w:shd w:val="clear" w:color="auto" w:fill="E5EBEE"/>
          </w:tcPr>
          <w:p>
            <w:pPr>
              <w:ind w:left="100"/>
              <w:spacing w:after="0"/>
              <w:rPr>
                <w:sz w:val="20"/>
                <w:szCs w:val="20"/>
                <w:color w:val="auto"/>
              </w:rPr>
            </w:pPr>
            <w:r>
              <w:rPr>
                <w:rFonts w:ascii="Arial" w:cs="Arial" w:eastAsia="Arial" w:hAnsi="Arial"/>
                <w:sz w:val="18"/>
                <w:szCs w:val="18"/>
                <w:color w:val="auto"/>
              </w:rPr>
              <w:t>Frank G. LaPrade, III</w:t>
            </w:r>
          </w:p>
        </w:tc>
        <w:tc>
          <w:tcPr>
            <w:tcW w:w="1040" w:type="dxa"/>
            <w:vAlign w:val="bottom"/>
            <w:tcBorders>
              <w:bottom w:val="single" w:sz="8" w:color="E5EBEE"/>
            </w:tcBorders>
            <w:gridSpan w:val="2"/>
            <w:shd w:val="clear" w:color="auto" w:fill="E5EBEE"/>
          </w:tcPr>
          <w:p>
            <w:pPr>
              <w:jc w:val="center"/>
              <w:ind w:left="11"/>
              <w:spacing w:after="0"/>
              <w:rPr>
                <w:sz w:val="20"/>
                <w:szCs w:val="20"/>
                <w:color w:val="auto"/>
              </w:rPr>
            </w:pPr>
            <w:r>
              <w:rPr>
                <w:rFonts w:ascii="Arial" w:cs="Arial" w:eastAsia="Arial" w:hAnsi="Arial"/>
                <w:sz w:val="18"/>
                <w:szCs w:val="18"/>
                <w:color w:val="auto"/>
                <w:w w:val="98"/>
              </w:rPr>
              <w:t>21,514</w:t>
            </w:r>
          </w:p>
        </w:tc>
        <w:tc>
          <w:tcPr>
            <w:tcW w:w="60" w:type="dxa"/>
            <w:vAlign w:val="bottom"/>
            <w:tcBorders>
              <w:bottom w:val="single" w:sz="8" w:color="E5EBEE"/>
            </w:tcBorders>
            <w:shd w:val="clear" w:color="auto" w:fill="E5EBEE"/>
          </w:tcPr>
          <w:p>
            <w:pPr>
              <w:spacing w:after="0"/>
              <w:rPr>
                <w:sz w:val="24"/>
                <w:szCs w:val="24"/>
                <w:color w:val="auto"/>
              </w:rPr>
            </w:pPr>
          </w:p>
        </w:tc>
        <w:tc>
          <w:tcPr>
            <w:tcW w:w="10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88"/>
              </w:rPr>
              <w:t>—</w:t>
            </w:r>
          </w:p>
        </w:tc>
        <w:tc>
          <w:tcPr>
            <w:tcW w:w="1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21,514</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BEE"/>
            </w:tcBorders>
            <w:shd w:val="clear" w:color="auto" w:fill="E5EBEE"/>
          </w:tcPr>
          <w:p>
            <w:pPr>
              <w:spacing w:after="0"/>
              <w:rPr>
                <w:sz w:val="24"/>
                <w:szCs w:val="24"/>
                <w:color w:val="auto"/>
              </w:rPr>
            </w:pPr>
          </w:p>
        </w:tc>
        <w:tc>
          <w:tcPr>
            <w:tcW w:w="9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8"/>
              </w:rPr>
              <w:t>30,878</w:t>
            </w:r>
          </w:p>
        </w:tc>
        <w:tc>
          <w:tcPr>
            <w:tcW w:w="60" w:type="dxa"/>
            <w:vAlign w:val="bottom"/>
            <w:tcBorders>
              <w:bottom w:val="single" w:sz="8" w:color="E5EBEE"/>
            </w:tcBorders>
            <w:shd w:val="clear" w:color="auto" w:fill="E5EBEE"/>
          </w:tcPr>
          <w:p>
            <w:pPr>
              <w:spacing w:after="0"/>
              <w:rPr>
                <w:sz w:val="24"/>
                <w:szCs w:val="24"/>
                <w:color w:val="auto"/>
              </w:rPr>
            </w:pP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52,392</w:t>
            </w:r>
          </w:p>
        </w:tc>
        <w:tc>
          <w:tcPr>
            <w:tcW w:w="0" w:type="dxa"/>
            <w:vAlign w:val="bottom"/>
          </w:tcPr>
          <w:p>
            <w:pPr>
              <w:spacing w:after="0"/>
              <w:rPr>
                <w:sz w:val="1"/>
                <w:szCs w:val="1"/>
                <w:color w:val="auto"/>
              </w:rPr>
            </w:pPr>
          </w:p>
        </w:tc>
      </w:tr>
      <w:tr>
        <w:trPr>
          <w:trHeight w:val="250"/>
        </w:trPr>
        <w:tc>
          <w:tcPr>
            <w:tcW w:w="4760" w:type="dxa"/>
            <w:vAlign w:val="bottom"/>
            <w:tcBorders>
              <w:top w:val="single" w:sz="8" w:color="023C5B"/>
            </w:tcBorders>
            <w:gridSpan w:val="3"/>
          </w:tcPr>
          <w:p>
            <w:pPr>
              <w:ind w:left="100"/>
              <w:spacing w:after="0"/>
              <w:rPr>
                <w:sz w:val="20"/>
                <w:szCs w:val="20"/>
                <w:color w:val="auto"/>
              </w:rPr>
            </w:pPr>
            <w:r>
              <w:rPr>
                <w:rFonts w:ascii="Arial" w:cs="Arial" w:eastAsia="Arial" w:hAnsi="Arial"/>
                <w:sz w:val="18"/>
                <w:szCs w:val="18"/>
                <w:color w:val="auto"/>
              </w:rPr>
              <w:t>Ime Archibong</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7"/>
              </w:rPr>
              <w:t>8,657</w:t>
            </w:r>
          </w:p>
        </w:tc>
        <w:tc>
          <w:tcPr>
            <w:tcW w:w="6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7"/>
              </w:rPr>
              <w:t>8,657</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38"/>
        </w:trPr>
        <w:tc>
          <w:tcPr>
            <w:tcW w:w="1220" w:type="dxa"/>
            <w:vAlign w:val="bottom"/>
            <w:tcBorders>
              <w:bottom w:val="single" w:sz="8" w:color="023C5B"/>
            </w:tcBorders>
            <w:gridSpan w:val="2"/>
          </w:tcPr>
          <w:p>
            <w:pPr>
              <w:spacing w:after="0"/>
              <w:rPr>
                <w:sz w:val="3"/>
                <w:szCs w:val="3"/>
                <w:color w:val="auto"/>
              </w:rPr>
            </w:pPr>
          </w:p>
        </w:tc>
        <w:tc>
          <w:tcPr>
            <w:tcW w:w="35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8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E5EBEE"/>
            </w:tcBorders>
            <w:gridSpan w:val="4"/>
            <w:shd w:val="clear" w:color="auto" w:fill="E5EBEE"/>
          </w:tcPr>
          <w:p>
            <w:pPr>
              <w:ind w:left="100"/>
              <w:spacing w:after="0"/>
              <w:rPr>
                <w:sz w:val="20"/>
                <w:szCs w:val="20"/>
                <w:color w:val="auto"/>
              </w:rPr>
            </w:pPr>
            <w:r>
              <w:rPr>
                <w:rFonts w:ascii="Arial" w:cs="Arial" w:eastAsia="Arial" w:hAnsi="Arial"/>
                <w:sz w:val="18"/>
                <w:szCs w:val="18"/>
                <w:color w:val="auto"/>
              </w:rPr>
              <w:t>Christine Detrick</w:t>
            </w:r>
          </w:p>
        </w:tc>
        <w:tc>
          <w:tcPr>
            <w:tcW w:w="2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7"/>
              </w:rPr>
              <w:t>7,610</w:t>
            </w:r>
          </w:p>
        </w:tc>
        <w:tc>
          <w:tcPr>
            <w:tcW w:w="60" w:type="dxa"/>
            <w:vAlign w:val="bottom"/>
            <w:tcBorders>
              <w:bottom w:val="single" w:sz="8" w:color="E5EBEE"/>
            </w:tcBorders>
            <w:shd w:val="clear" w:color="auto" w:fill="E5EBEE"/>
          </w:tcPr>
          <w:p>
            <w:pPr>
              <w:spacing w:after="0"/>
              <w:rPr>
                <w:sz w:val="24"/>
                <w:szCs w:val="24"/>
                <w:color w:val="auto"/>
              </w:rPr>
            </w:pPr>
          </w:p>
        </w:tc>
        <w:tc>
          <w:tcPr>
            <w:tcW w:w="1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7"/>
              </w:rPr>
              <w:t>7,610</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BEE"/>
            </w:tcBorders>
            <w:shd w:val="clear" w:color="auto" w:fill="E5EBEE"/>
          </w:tcPr>
          <w:p>
            <w:pPr>
              <w:spacing w:after="0"/>
              <w:rPr>
                <w:sz w:val="24"/>
                <w:szCs w:val="24"/>
                <w:color w:val="auto"/>
              </w:rPr>
            </w:pPr>
          </w:p>
        </w:tc>
        <w:tc>
          <w:tcPr>
            <w:tcW w:w="4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gridSpan w:val="2"/>
            <w:shd w:val="clear" w:color="auto" w:fill="E5EBEE"/>
          </w:tcPr>
          <w:p>
            <w:pPr>
              <w:jc w:val="center"/>
              <w:ind w:righ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50"/>
        </w:trPr>
        <w:tc>
          <w:tcPr>
            <w:tcW w:w="4760" w:type="dxa"/>
            <w:vAlign w:val="bottom"/>
            <w:tcBorders>
              <w:top w:val="single" w:sz="8" w:color="023C5B"/>
            </w:tcBorders>
            <w:gridSpan w:val="3"/>
          </w:tcPr>
          <w:p>
            <w:pPr>
              <w:ind w:left="100"/>
              <w:spacing w:after="0"/>
              <w:rPr>
                <w:sz w:val="20"/>
                <w:szCs w:val="20"/>
                <w:color w:val="auto"/>
              </w:rPr>
            </w:pPr>
            <w:r>
              <w:rPr>
                <w:rFonts w:ascii="Arial" w:cs="Arial" w:eastAsia="Arial" w:hAnsi="Arial"/>
                <w:sz w:val="18"/>
                <w:szCs w:val="18"/>
                <w:color w:val="auto"/>
              </w:rPr>
              <w:t>Ann Fritz Hackett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673</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55,571</w:t>
            </w:r>
          </w:p>
        </w:tc>
        <w:tc>
          <w:tcPr>
            <w:tcW w:w="6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56,244</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56,244</w:t>
            </w:r>
          </w:p>
        </w:tc>
        <w:tc>
          <w:tcPr>
            <w:tcW w:w="0" w:type="dxa"/>
            <w:vAlign w:val="bottom"/>
          </w:tcPr>
          <w:p>
            <w:pPr>
              <w:spacing w:after="0"/>
              <w:rPr>
                <w:sz w:val="1"/>
                <w:szCs w:val="1"/>
                <w:color w:val="auto"/>
              </w:rPr>
            </w:pPr>
          </w:p>
        </w:tc>
      </w:tr>
      <w:tr>
        <w:trPr>
          <w:trHeight w:val="38"/>
        </w:trPr>
        <w:tc>
          <w:tcPr>
            <w:tcW w:w="1220" w:type="dxa"/>
            <w:vAlign w:val="bottom"/>
            <w:tcBorders>
              <w:bottom w:val="single" w:sz="8" w:color="023C5B"/>
            </w:tcBorders>
            <w:gridSpan w:val="2"/>
          </w:tcPr>
          <w:p>
            <w:pPr>
              <w:spacing w:after="0"/>
              <w:rPr>
                <w:sz w:val="3"/>
                <w:szCs w:val="3"/>
                <w:color w:val="auto"/>
              </w:rPr>
            </w:pPr>
          </w:p>
        </w:tc>
        <w:tc>
          <w:tcPr>
            <w:tcW w:w="35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8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E5EBEE"/>
            </w:tcBorders>
            <w:gridSpan w:val="4"/>
            <w:shd w:val="clear" w:color="auto" w:fill="E5EBEE"/>
          </w:tcPr>
          <w:p>
            <w:pPr>
              <w:ind w:left="100"/>
              <w:spacing w:after="0"/>
              <w:rPr>
                <w:sz w:val="20"/>
                <w:szCs w:val="20"/>
                <w:color w:val="auto"/>
              </w:rPr>
            </w:pPr>
            <w:r>
              <w:rPr>
                <w:rFonts w:ascii="Arial" w:cs="Arial" w:eastAsia="Arial" w:hAnsi="Arial"/>
                <w:sz w:val="18"/>
                <w:szCs w:val="18"/>
                <w:color w:val="auto"/>
              </w:rPr>
              <w:t>Suni P. Harford</w:t>
            </w:r>
          </w:p>
        </w:tc>
        <w:tc>
          <w:tcPr>
            <w:tcW w:w="2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7"/>
              </w:rPr>
              <w:t>3,020</w:t>
            </w:r>
          </w:p>
        </w:tc>
        <w:tc>
          <w:tcPr>
            <w:tcW w:w="60" w:type="dxa"/>
            <w:vAlign w:val="bottom"/>
            <w:tcBorders>
              <w:bottom w:val="single" w:sz="8" w:color="E5EBEE"/>
            </w:tcBorders>
            <w:shd w:val="clear" w:color="auto" w:fill="E5EBEE"/>
          </w:tcPr>
          <w:p>
            <w:pPr>
              <w:spacing w:after="0"/>
              <w:rPr>
                <w:sz w:val="24"/>
                <w:szCs w:val="24"/>
                <w:color w:val="auto"/>
              </w:rPr>
            </w:pPr>
          </w:p>
        </w:tc>
        <w:tc>
          <w:tcPr>
            <w:tcW w:w="1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7"/>
              </w:rPr>
              <w:t>3,020</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BEE"/>
            </w:tcBorders>
            <w:shd w:val="clear" w:color="auto" w:fill="E5EBEE"/>
          </w:tcPr>
          <w:p>
            <w:pPr>
              <w:spacing w:after="0"/>
              <w:rPr>
                <w:sz w:val="24"/>
                <w:szCs w:val="24"/>
                <w:color w:val="auto"/>
              </w:rPr>
            </w:pPr>
          </w:p>
        </w:tc>
        <w:tc>
          <w:tcPr>
            <w:tcW w:w="4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gridSpan w:val="2"/>
            <w:shd w:val="clear" w:color="auto" w:fill="E5EBEE"/>
          </w:tcPr>
          <w:p>
            <w:pPr>
              <w:jc w:val="center"/>
              <w:ind w:righ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50"/>
        </w:trPr>
        <w:tc>
          <w:tcPr>
            <w:tcW w:w="4760" w:type="dxa"/>
            <w:vAlign w:val="bottom"/>
            <w:tcBorders>
              <w:top w:val="single" w:sz="8" w:color="023C5B"/>
            </w:tcBorders>
            <w:gridSpan w:val="3"/>
          </w:tcPr>
          <w:p>
            <w:pPr>
              <w:ind w:left="100"/>
              <w:spacing w:after="0"/>
              <w:rPr>
                <w:sz w:val="20"/>
                <w:szCs w:val="20"/>
                <w:color w:val="auto"/>
              </w:rPr>
            </w:pPr>
            <w:r>
              <w:rPr>
                <w:rFonts w:ascii="Arial" w:cs="Arial" w:eastAsia="Arial" w:hAnsi="Arial"/>
                <w:sz w:val="18"/>
                <w:szCs w:val="18"/>
                <w:color w:val="auto"/>
              </w:rPr>
              <w:t>Peter Thomas Killalea</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20,058</w:t>
            </w:r>
          </w:p>
        </w:tc>
        <w:tc>
          <w:tcPr>
            <w:tcW w:w="6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20,058</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20,058</w:t>
            </w:r>
          </w:p>
        </w:tc>
        <w:tc>
          <w:tcPr>
            <w:tcW w:w="0" w:type="dxa"/>
            <w:vAlign w:val="bottom"/>
          </w:tcPr>
          <w:p>
            <w:pPr>
              <w:spacing w:after="0"/>
              <w:rPr>
                <w:sz w:val="1"/>
                <w:szCs w:val="1"/>
                <w:color w:val="auto"/>
              </w:rPr>
            </w:pPr>
          </w:p>
        </w:tc>
      </w:tr>
      <w:tr>
        <w:trPr>
          <w:trHeight w:val="38"/>
        </w:trPr>
        <w:tc>
          <w:tcPr>
            <w:tcW w:w="1220" w:type="dxa"/>
            <w:vAlign w:val="bottom"/>
            <w:tcBorders>
              <w:bottom w:val="single" w:sz="8" w:color="023C5B"/>
            </w:tcBorders>
            <w:gridSpan w:val="2"/>
          </w:tcPr>
          <w:p>
            <w:pPr>
              <w:spacing w:after="0"/>
              <w:rPr>
                <w:sz w:val="3"/>
                <w:szCs w:val="3"/>
                <w:color w:val="auto"/>
              </w:rPr>
            </w:pPr>
          </w:p>
        </w:tc>
        <w:tc>
          <w:tcPr>
            <w:tcW w:w="35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8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E5EBEE"/>
            </w:tcBorders>
            <w:gridSpan w:val="4"/>
            <w:shd w:val="clear" w:color="auto" w:fill="E5EBEE"/>
          </w:tcPr>
          <w:p>
            <w:pPr>
              <w:ind w:left="100"/>
              <w:spacing w:after="0"/>
              <w:rPr>
                <w:sz w:val="20"/>
                <w:szCs w:val="20"/>
                <w:color w:val="auto"/>
              </w:rPr>
            </w:pPr>
            <w:r>
              <w:rPr>
                <w:rFonts w:ascii="Arial" w:cs="Arial" w:eastAsia="Arial" w:hAnsi="Arial"/>
                <w:sz w:val="18"/>
                <w:szCs w:val="18"/>
                <w:color w:val="auto"/>
              </w:rPr>
              <w:t>Eli Leenaars</w:t>
            </w:r>
          </w:p>
        </w:tc>
        <w:tc>
          <w:tcPr>
            <w:tcW w:w="2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13,898</w:t>
            </w:r>
          </w:p>
        </w:tc>
        <w:tc>
          <w:tcPr>
            <w:tcW w:w="60" w:type="dxa"/>
            <w:vAlign w:val="bottom"/>
            <w:tcBorders>
              <w:bottom w:val="single" w:sz="8" w:color="E5EBEE"/>
            </w:tcBorders>
            <w:shd w:val="clear" w:color="auto" w:fill="E5EBEE"/>
          </w:tcPr>
          <w:p>
            <w:pPr>
              <w:spacing w:after="0"/>
              <w:rPr>
                <w:sz w:val="24"/>
                <w:szCs w:val="24"/>
                <w:color w:val="auto"/>
              </w:rPr>
            </w:pPr>
          </w:p>
        </w:tc>
        <w:tc>
          <w:tcPr>
            <w:tcW w:w="1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13,898</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BEE"/>
            </w:tcBorders>
            <w:shd w:val="clear" w:color="auto" w:fill="E5EBEE"/>
          </w:tcPr>
          <w:p>
            <w:pPr>
              <w:spacing w:after="0"/>
              <w:rPr>
                <w:sz w:val="24"/>
                <w:szCs w:val="24"/>
                <w:color w:val="auto"/>
              </w:rPr>
            </w:pPr>
          </w:p>
        </w:tc>
        <w:tc>
          <w:tcPr>
            <w:tcW w:w="4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gridSpan w:val="2"/>
            <w:shd w:val="clear" w:color="auto" w:fill="E5EBEE"/>
          </w:tcPr>
          <w:p>
            <w:pPr>
              <w:jc w:val="center"/>
              <w:ind w:righ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13,898</w:t>
            </w:r>
          </w:p>
        </w:tc>
        <w:tc>
          <w:tcPr>
            <w:tcW w:w="0" w:type="dxa"/>
            <w:vAlign w:val="bottom"/>
          </w:tcPr>
          <w:p>
            <w:pPr>
              <w:spacing w:after="0"/>
              <w:rPr>
                <w:sz w:val="1"/>
                <w:szCs w:val="1"/>
                <w:color w:val="auto"/>
              </w:rPr>
            </w:pPr>
          </w:p>
        </w:tc>
      </w:tr>
      <w:tr>
        <w:trPr>
          <w:trHeight w:val="250"/>
        </w:trPr>
        <w:tc>
          <w:tcPr>
            <w:tcW w:w="4760" w:type="dxa"/>
            <w:vAlign w:val="bottom"/>
            <w:tcBorders>
              <w:top w:val="single" w:sz="8" w:color="023C5B"/>
            </w:tcBorders>
            <w:gridSpan w:val="3"/>
          </w:tcPr>
          <w:p>
            <w:pPr>
              <w:ind w:left="100"/>
              <w:spacing w:after="0"/>
              <w:rPr>
                <w:sz w:val="20"/>
                <w:szCs w:val="20"/>
                <w:color w:val="auto"/>
              </w:rPr>
            </w:pPr>
            <w:r>
              <w:rPr>
                <w:rFonts w:ascii="Arial" w:cs="Arial" w:eastAsia="Arial" w:hAnsi="Arial"/>
                <w:sz w:val="18"/>
                <w:szCs w:val="18"/>
                <w:color w:val="auto"/>
              </w:rPr>
              <w:t>François Locoh-Donou</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7"/>
              </w:rPr>
              <w:t>1,681</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4"/>
              </w:rPr>
              <w:t>11,808</w:t>
            </w:r>
          </w:p>
        </w:tc>
        <w:tc>
          <w:tcPr>
            <w:tcW w:w="6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13,489</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13,489</w:t>
            </w:r>
          </w:p>
        </w:tc>
        <w:tc>
          <w:tcPr>
            <w:tcW w:w="0" w:type="dxa"/>
            <w:vAlign w:val="bottom"/>
          </w:tcPr>
          <w:p>
            <w:pPr>
              <w:spacing w:after="0"/>
              <w:rPr>
                <w:sz w:val="1"/>
                <w:szCs w:val="1"/>
                <w:color w:val="auto"/>
              </w:rPr>
            </w:pPr>
          </w:p>
        </w:tc>
      </w:tr>
      <w:tr>
        <w:trPr>
          <w:trHeight w:val="38"/>
        </w:trPr>
        <w:tc>
          <w:tcPr>
            <w:tcW w:w="1220" w:type="dxa"/>
            <w:vAlign w:val="bottom"/>
            <w:tcBorders>
              <w:bottom w:val="single" w:sz="8" w:color="023C5B"/>
            </w:tcBorders>
            <w:gridSpan w:val="2"/>
          </w:tcPr>
          <w:p>
            <w:pPr>
              <w:spacing w:after="0"/>
              <w:rPr>
                <w:sz w:val="3"/>
                <w:szCs w:val="3"/>
                <w:color w:val="auto"/>
              </w:rPr>
            </w:pPr>
          </w:p>
        </w:tc>
        <w:tc>
          <w:tcPr>
            <w:tcW w:w="35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8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E5EBEE"/>
            </w:tcBorders>
            <w:gridSpan w:val="4"/>
            <w:shd w:val="clear" w:color="auto" w:fill="E5EBEE"/>
          </w:tcPr>
          <w:p>
            <w:pPr>
              <w:ind w:left="100"/>
              <w:spacing w:after="0"/>
              <w:rPr>
                <w:sz w:val="20"/>
                <w:szCs w:val="20"/>
                <w:color w:val="auto"/>
              </w:rPr>
            </w:pPr>
            <w:r>
              <w:rPr>
                <w:rFonts w:ascii="Arial" w:cs="Arial" w:eastAsia="Arial" w:hAnsi="Arial"/>
                <w:sz w:val="18"/>
                <w:szCs w:val="18"/>
                <w:color w:val="auto"/>
              </w:rPr>
              <w:t>Thomas G. Maheras</w:t>
            </w:r>
          </w:p>
        </w:tc>
        <w:tc>
          <w:tcPr>
            <w:tcW w:w="1040" w:type="dxa"/>
            <w:vAlign w:val="bottom"/>
            <w:tcBorders>
              <w:bottom w:val="single" w:sz="8" w:color="E5EBEE"/>
            </w:tcBorders>
            <w:gridSpan w:val="2"/>
            <w:shd w:val="clear" w:color="auto" w:fill="E5EBEE"/>
          </w:tcPr>
          <w:p>
            <w:pPr>
              <w:jc w:val="center"/>
              <w:ind w:left="11"/>
              <w:spacing w:after="0"/>
              <w:rPr>
                <w:sz w:val="20"/>
                <w:szCs w:val="20"/>
                <w:color w:val="auto"/>
              </w:rPr>
            </w:pPr>
            <w:r>
              <w:rPr>
                <w:rFonts w:ascii="Arial" w:cs="Arial" w:eastAsia="Arial" w:hAnsi="Arial"/>
                <w:sz w:val="18"/>
                <w:szCs w:val="18"/>
                <w:color w:val="auto"/>
                <w:w w:val="98"/>
              </w:rPr>
              <w:t>14,680</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51,751</w:t>
            </w:r>
          </w:p>
        </w:tc>
        <w:tc>
          <w:tcPr>
            <w:tcW w:w="60" w:type="dxa"/>
            <w:vAlign w:val="bottom"/>
            <w:tcBorders>
              <w:bottom w:val="single" w:sz="8" w:color="E5EBEE"/>
            </w:tcBorders>
            <w:shd w:val="clear" w:color="auto" w:fill="E5EBEE"/>
          </w:tcPr>
          <w:p>
            <w:pPr>
              <w:spacing w:after="0"/>
              <w:rPr>
                <w:sz w:val="24"/>
                <w:szCs w:val="24"/>
                <w:color w:val="auto"/>
              </w:rPr>
            </w:pPr>
          </w:p>
        </w:tc>
        <w:tc>
          <w:tcPr>
            <w:tcW w:w="1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66,431</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BEE"/>
            </w:tcBorders>
            <w:shd w:val="clear" w:color="auto" w:fill="E5EBEE"/>
          </w:tcPr>
          <w:p>
            <w:pPr>
              <w:spacing w:after="0"/>
              <w:rPr>
                <w:sz w:val="24"/>
                <w:szCs w:val="24"/>
                <w:color w:val="auto"/>
              </w:rPr>
            </w:pPr>
          </w:p>
        </w:tc>
        <w:tc>
          <w:tcPr>
            <w:tcW w:w="4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gridSpan w:val="2"/>
            <w:shd w:val="clear" w:color="auto" w:fill="E5EBEE"/>
          </w:tcPr>
          <w:p>
            <w:pPr>
              <w:jc w:val="center"/>
              <w:ind w:righ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66,431</w:t>
            </w:r>
          </w:p>
        </w:tc>
        <w:tc>
          <w:tcPr>
            <w:tcW w:w="0" w:type="dxa"/>
            <w:vAlign w:val="bottom"/>
          </w:tcPr>
          <w:p>
            <w:pPr>
              <w:spacing w:after="0"/>
              <w:rPr>
                <w:sz w:val="1"/>
                <w:szCs w:val="1"/>
                <w:color w:val="auto"/>
              </w:rPr>
            </w:pPr>
          </w:p>
        </w:tc>
      </w:tr>
      <w:tr>
        <w:trPr>
          <w:trHeight w:val="250"/>
        </w:trPr>
        <w:tc>
          <w:tcPr>
            <w:tcW w:w="4760" w:type="dxa"/>
            <w:vAlign w:val="bottom"/>
            <w:tcBorders>
              <w:top w:val="single" w:sz="8" w:color="023C5B"/>
            </w:tcBorders>
            <w:gridSpan w:val="3"/>
          </w:tcPr>
          <w:p>
            <w:pPr>
              <w:ind w:left="100"/>
              <w:spacing w:after="0"/>
              <w:rPr>
                <w:sz w:val="20"/>
                <w:szCs w:val="20"/>
                <w:color w:val="auto"/>
              </w:rPr>
            </w:pPr>
            <w:r>
              <w:rPr>
                <w:rFonts w:ascii="Arial" w:cs="Arial" w:eastAsia="Arial" w:hAnsi="Arial"/>
                <w:sz w:val="18"/>
                <w:szCs w:val="18"/>
                <w:color w:val="auto"/>
              </w:rPr>
              <w:t>Peter E. Raskind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7"/>
              </w:rPr>
              <w:t>3,681</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29,402</w:t>
            </w:r>
          </w:p>
        </w:tc>
        <w:tc>
          <w:tcPr>
            <w:tcW w:w="6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33,083</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33,083</w:t>
            </w:r>
          </w:p>
        </w:tc>
        <w:tc>
          <w:tcPr>
            <w:tcW w:w="0" w:type="dxa"/>
            <w:vAlign w:val="bottom"/>
          </w:tcPr>
          <w:p>
            <w:pPr>
              <w:spacing w:after="0"/>
              <w:rPr>
                <w:sz w:val="1"/>
                <w:szCs w:val="1"/>
                <w:color w:val="auto"/>
              </w:rPr>
            </w:pPr>
          </w:p>
        </w:tc>
      </w:tr>
      <w:tr>
        <w:trPr>
          <w:trHeight w:val="38"/>
        </w:trPr>
        <w:tc>
          <w:tcPr>
            <w:tcW w:w="1220" w:type="dxa"/>
            <w:vAlign w:val="bottom"/>
            <w:tcBorders>
              <w:bottom w:val="single" w:sz="8" w:color="023C5B"/>
            </w:tcBorders>
            <w:gridSpan w:val="2"/>
          </w:tcPr>
          <w:p>
            <w:pPr>
              <w:spacing w:after="0"/>
              <w:rPr>
                <w:sz w:val="3"/>
                <w:szCs w:val="3"/>
                <w:color w:val="auto"/>
              </w:rPr>
            </w:pPr>
          </w:p>
        </w:tc>
        <w:tc>
          <w:tcPr>
            <w:tcW w:w="35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8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E5EBEE"/>
            </w:tcBorders>
            <w:gridSpan w:val="4"/>
            <w:shd w:val="clear" w:color="auto" w:fill="E5EBEE"/>
          </w:tcPr>
          <w:p>
            <w:pPr>
              <w:ind w:left="100"/>
              <w:spacing w:after="0"/>
              <w:rPr>
                <w:sz w:val="20"/>
                <w:szCs w:val="20"/>
                <w:color w:val="auto"/>
              </w:rPr>
            </w:pPr>
            <w:r>
              <w:rPr>
                <w:rFonts w:ascii="Arial" w:cs="Arial" w:eastAsia="Arial" w:hAnsi="Arial"/>
                <w:sz w:val="18"/>
                <w:szCs w:val="18"/>
                <w:color w:val="auto"/>
              </w:rPr>
              <w:t>Eileen Serra</w:t>
            </w:r>
          </w:p>
        </w:tc>
        <w:tc>
          <w:tcPr>
            <w:tcW w:w="104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7"/>
              </w:rPr>
              <w:t>1,681</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7"/>
              </w:rPr>
              <w:t>9,850</w:t>
            </w:r>
          </w:p>
        </w:tc>
        <w:tc>
          <w:tcPr>
            <w:tcW w:w="60" w:type="dxa"/>
            <w:vAlign w:val="bottom"/>
            <w:tcBorders>
              <w:bottom w:val="single" w:sz="8" w:color="E5EBEE"/>
            </w:tcBorders>
            <w:shd w:val="clear" w:color="auto" w:fill="E5EBEE"/>
          </w:tcPr>
          <w:p>
            <w:pPr>
              <w:spacing w:after="0"/>
              <w:rPr>
                <w:sz w:val="24"/>
                <w:szCs w:val="24"/>
                <w:color w:val="auto"/>
              </w:rPr>
            </w:pPr>
          </w:p>
        </w:tc>
        <w:tc>
          <w:tcPr>
            <w:tcW w:w="1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4"/>
              </w:rPr>
              <w:t>11,531</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BEE"/>
            </w:tcBorders>
            <w:shd w:val="clear" w:color="auto" w:fill="E5EBEE"/>
          </w:tcPr>
          <w:p>
            <w:pPr>
              <w:spacing w:after="0"/>
              <w:rPr>
                <w:sz w:val="24"/>
                <w:szCs w:val="24"/>
                <w:color w:val="auto"/>
              </w:rPr>
            </w:pPr>
          </w:p>
        </w:tc>
        <w:tc>
          <w:tcPr>
            <w:tcW w:w="4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gridSpan w:val="2"/>
            <w:shd w:val="clear" w:color="auto" w:fill="E5EBEE"/>
          </w:tcPr>
          <w:p>
            <w:pPr>
              <w:jc w:val="center"/>
              <w:ind w:righ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11,531</w:t>
            </w:r>
          </w:p>
        </w:tc>
        <w:tc>
          <w:tcPr>
            <w:tcW w:w="0" w:type="dxa"/>
            <w:vAlign w:val="bottom"/>
          </w:tcPr>
          <w:p>
            <w:pPr>
              <w:spacing w:after="0"/>
              <w:rPr>
                <w:sz w:val="1"/>
                <w:szCs w:val="1"/>
                <w:color w:val="auto"/>
              </w:rPr>
            </w:pPr>
          </w:p>
        </w:tc>
      </w:tr>
      <w:tr>
        <w:trPr>
          <w:trHeight w:val="250"/>
        </w:trPr>
        <w:tc>
          <w:tcPr>
            <w:tcW w:w="4760" w:type="dxa"/>
            <w:vAlign w:val="bottom"/>
            <w:tcBorders>
              <w:top w:val="single" w:sz="8" w:color="023C5B"/>
            </w:tcBorders>
            <w:gridSpan w:val="3"/>
          </w:tcPr>
          <w:p>
            <w:pPr>
              <w:ind w:left="100"/>
              <w:spacing w:after="0"/>
              <w:rPr>
                <w:sz w:val="20"/>
                <w:szCs w:val="20"/>
                <w:color w:val="auto"/>
              </w:rPr>
            </w:pPr>
            <w:r>
              <w:rPr>
                <w:rFonts w:ascii="Arial" w:cs="Arial" w:eastAsia="Arial" w:hAnsi="Arial"/>
                <w:sz w:val="18"/>
                <w:szCs w:val="18"/>
                <w:color w:val="auto"/>
              </w:rPr>
              <w:t>Mayo A. Shattuck III</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7"/>
              </w:rPr>
              <w:t>8,965</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57,268</w:t>
            </w:r>
          </w:p>
        </w:tc>
        <w:tc>
          <w:tcPr>
            <w:tcW w:w="6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66,233</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66,233</w:t>
            </w:r>
          </w:p>
        </w:tc>
        <w:tc>
          <w:tcPr>
            <w:tcW w:w="0" w:type="dxa"/>
            <w:vAlign w:val="bottom"/>
          </w:tcPr>
          <w:p>
            <w:pPr>
              <w:spacing w:after="0"/>
              <w:rPr>
                <w:sz w:val="1"/>
                <w:szCs w:val="1"/>
                <w:color w:val="auto"/>
              </w:rPr>
            </w:pPr>
          </w:p>
        </w:tc>
      </w:tr>
      <w:tr>
        <w:trPr>
          <w:trHeight w:val="38"/>
        </w:trPr>
        <w:tc>
          <w:tcPr>
            <w:tcW w:w="1220" w:type="dxa"/>
            <w:vAlign w:val="bottom"/>
            <w:tcBorders>
              <w:bottom w:val="single" w:sz="8" w:color="023C5B"/>
            </w:tcBorders>
            <w:gridSpan w:val="2"/>
          </w:tcPr>
          <w:p>
            <w:pPr>
              <w:spacing w:after="0"/>
              <w:rPr>
                <w:sz w:val="3"/>
                <w:szCs w:val="3"/>
                <w:color w:val="auto"/>
              </w:rPr>
            </w:pPr>
          </w:p>
        </w:tc>
        <w:tc>
          <w:tcPr>
            <w:tcW w:w="35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8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E5EBEE"/>
            </w:tcBorders>
            <w:gridSpan w:val="4"/>
            <w:shd w:val="clear" w:color="auto" w:fill="E5EBEE"/>
          </w:tcPr>
          <w:p>
            <w:pPr>
              <w:ind w:left="100"/>
              <w:spacing w:after="0"/>
              <w:rPr>
                <w:sz w:val="20"/>
                <w:szCs w:val="20"/>
                <w:color w:val="auto"/>
              </w:rPr>
            </w:pPr>
            <w:r>
              <w:rPr>
                <w:rFonts w:ascii="Arial" w:cs="Arial" w:eastAsia="Arial" w:hAnsi="Arial"/>
                <w:sz w:val="18"/>
                <w:szCs w:val="18"/>
                <w:color w:val="auto"/>
              </w:rPr>
              <w:t>J. Michael Shepherd</w:t>
            </w:r>
          </w:p>
        </w:tc>
        <w:tc>
          <w:tcPr>
            <w:tcW w:w="1040" w:type="dxa"/>
            <w:vAlign w:val="bottom"/>
            <w:tcBorders>
              <w:bottom w:val="single" w:sz="8" w:color="E5EBEE"/>
            </w:tcBorders>
            <w:gridSpan w:val="2"/>
            <w:shd w:val="clear" w:color="auto" w:fill="E5EBEE"/>
          </w:tcPr>
          <w:p>
            <w:pPr>
              <w:jc w:val="center"/>
              <w:ind w:left="11"/>
              <w:spacing w:after="0"/>
              <w:rPr>
                <w:sz w:val="20"/>
                <w:szCs w:val="20"/>
                <w:color w:val="auto"/>
              </w:rPr>
            </w:pPr>
            <w:r>
              <w:rPr>
                <w:rFonts w:ascii="Arial" w:cs="Arial" w:eastAsia="Arial" w:hAnsi="Arial"/>
                <w:sz w:val="18"/>
                <w:szCs w:val="18"/>
                <w:color w:val="auto"/>
                <w:w w:val="98"/>
              </w:rPr>
              <w:t>24,267</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7"/>
              </w:rPr>
              <w:t>2,426</w:t>
            </w:r>
          </w:p>
        </w:tc>
        <w:tc>
          <w:tcPr>
            <w:tcW w:w="60" w:type="dxa"/>
            <w:vAlign w:val="bottom"/>
            <w:tcBorders>
              <w:bottom w:val="single" w:sz="8" w:color="E5EBEE"/>
            </w:tcBorders>
            <w:shd w:val="clear" w:color="auto" w:fill="E5EBEE"/>
          </w:tcPr>
          <w:p>
            <w:pPr>
              <w:spacing w:after="0"/>
              <w:rPr>
                <w:sz w:val="24"/>
                <w:szCs w:val="24"/>
                <w:color w:val="auto"/>
              </w:rPr>
            </w:pPr>
          </w:p>
        </w:tc>
        <w:tc>
          <w:tcPr>
            <w:tcW w:w="1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26,693</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BEE"/>
            </w:tcBorders>
            <w:shd w:val="clear" w:color="auto" w:fill="E5EBEE"/>
          </w:tcPr>
          <w:p>
            <w:pPr>
              <w:spacing w:after="0"/>
              <w:rPr>
                <w:sz w:val="24"/>
                <w:szCs w:val="24"/>
                <w:color w:val="auto"/>
              </w:rPr>
            </w:pPr>
          </w:p>
        </w:tc>
        <w:tc>
          <w:tcPr>
            <w:tcW w:w="4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gridSpan w:val="2"/>
            <w:shd w:val="clear" w:color="auto" w:fill="E5EBEE"/>
          </w:tcPr>
          <w:p>
            <w:pPr>
              <w:jc w:val="center"/>
              <w:ind w:righ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26,693</w:t>
            </w:r>
          </w:p>
        </w:tc>
        <w:tc>
          <w:tcPr>
            <w:tcW w:w="0" w:type="dxa"/>
            <w:vAlign w:val="bottom"/>
          </w:tcPr>
          <w:p>
            <w:pPr>
              <w:spacing w:after="0"/>
              <w:rPr>
                <w:sz w:val="1"/>
                <w:szCs w:val="1"/>
                <w:color w:val="auto"/>
              </w:rPr>
            </w:pPr>
          </w:p>
        </w:tc>
      </w:tr>
      <w:tr>
        <w:trPr>
          <w:trHeight w:val="250"/>
        </w:trPr>
        <w:tc>
          <w:tcPr>
            <w:tcW w:w="4760" w:type="dxa"/>
            <w:vAlign w:val="bottom"/>
            <w:tcBorders>
              <w:top w:val="single" w:sz="8" w:color="023C5B"/>
            </w:tcBorders>
            <w:gridSpan w:val="3"/>
          </w:tcPr>
          <w:p>
            <w:pPr>
              <w:ind w:left="100"/>
              <w:spacing w:after="0"/>
              <w:rPr>
                <w:sz w:val="20"/>
                <w:szCs w:val="20"/>
                <w:color w:val="auto"/>
              </w:rPr>
            </w:pPr>
            <w:r>
              <w:rPr>
                <w:rFonts w:ascii="Arial" w:cs="Arial" w:eastAsia="Arial" w:hAnsi="Arial"/>
                <w:sz w:val="18"/>
                <w:szCs w:val="18"/>
                <w:color w:val="auto"/>
              </w:rPr>
              <w:t>Craig Anthony Williams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7"/>
              </w:rPr>
              <w:t>1,924</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7"/>
              </w:rPr>
              <w:t>6,960</w:t>
            </w:r>
          </w:p>
        </w:tc>
        <w:tc>
          <w:tcPr>
            <w:tcW w:w="60" w:type="dxa"/>
            <w:vAlign w:val="bottom"/>
          </w:tcPr>
          <w:p>
            <w:pPr>
              <w:spacing w:after="0"/>
              <w:rPr>
                <w:sz w:val="21"/>
                <w:szCs w:val="21"/>
                <w:color w:val="auto"/>
              </w:rPr>
            </w:pPr>
          </w:p>
        </w:tc>
        <w:tc>
          <w:tcPr>
            <w:tcW w:w="10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7"/>
              </w:rPr>
              <w:t>8,884</w:t>
            </w:r>
          </w:p>
        </w:tc>
        <w:tc>
          <w:tcPr>
            <w:tcW w:w="60" w:type="dxa"/>
            <w:vAlign w:val="bottom"/>
          </w:tcPr>
          <w:p>
            <w:pPr>
              <w:spacing w:after="0"/>
              <w:rPr>
                <w:sz w:val="21"/>
                <w:szCs w:val="21"/>
                <w:color w:val="auto"/>
              </w:rPr>
            </w:pPr>
          </w:p>
        </w:tc>
        <w:tc>
          <w:tcPr>
            <w:tcW w:w="9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8,884</w:t>
            </w:r>
          </w:p>
        </w:tc>
        <w:tc>
          <w:tcPr>
            <w:tcW w:w="0" w:type="dxa"/>
            <w:vAlign w:val="bottom"/>
          </w:tcPr>
          <w:p>
            <w:pPr>
              <w:spacing w:after="0"/>
              <w:rPr>
                <w:sz w:val="1"/>
                <w:szCs w:val="1"/>
                <w:color w:val="auto"/>
              </w:rPr>
            </w:pPr>
          </w:p>
        </w:tc>
      </w:tr>
      <w:tr>
        <w:trPr>
          <w:trHeight w:val="38"/>
        </w:trPr>
        <w:tc>
          <w:tcPr>
            <w:tcW w:w="1220" w:type="dxa"/>
            <w:vAlign w:val="bottom"/>
            <w:tcBorders>
              <w:bottom w:val="single" w:sz="8" w:color="023C5B"/>
            </w:tcBorders>
            <w:gridSpan w:val="2"/>
          </w:tcPr>
          <w:p>
            <w:pPr>
              <w:spacing w:after="0"/>
              <w:rPr>
                <w:sz w:val="3"/>
                <w:szCs w:val="3"/>
                <w:color w:val="auto"/>
              </w:rPr>
            </w:pPr>
          </w:p>
        </w:tc>
        <w:tc>
          <w:tcPr>
            <w:tcW w:w="35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86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04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E5EBEE"/>
            </w:tcBorders>
            <w:gridSpan w:val="4"/>
            <w:shd w:val="clear" w:color="auto" w:fill="E5EBEE"/>
          </w:tcPr>
          <w:p>
            <w:pPr>
              <w:ind w:left="100"/>
              <w:spacing w:after="0"/>
              <w:rPr>
                <w:sz w:val="20"/>
                <w:szCs w:val="20"/>
                <w:color w:val="auto"/>
              </w:rPr>
            </w:pPr>
            <w:r>
              <w:rPr>
                <w:rFonts w:ascii="Arial" w:cs="Arial" w:eastAsia="Arial" w:hAnsi="Arial"/>
                <w:sz w:val="18"/>
                <w:szCs w:val="18"/>
                <w:color w:val="auto"/>
              </w:rPr>
              <w:t>Jennifer L. Wong</w:t>
            </w:r>
          </w:p>
        </w:tc>
        <w:tc>
          <w:tcPr>
            <w:tcW w:w="1040" w:type="dxa"/>
            <w:vAlign w:val="bottom"/>
            <w:tcBorders>
              <w:bottom w:val="single" w:sz="8" w:color="E5EBEE"/>
            </w:tcBorders>
            <w:gridSpan w:val="2"/>
            <w:shd w:val="clear" w:color="auto" w:fill="E5EBEE"/>
          </w:tcPr>
          <w:p>
            <w:pPr>
              <w:jc w:val="center"/>
              <w:ind w:left="11"/>
              <w:spacing w:after="0"/>
              <w:rPr>
                <w:sz w:val="20"/>
                <w:szCs w:val="20"/>
                <w:color w:val="auto"/>
              </w:rPr>
            </w:pPr>
            <w:r>
              <w:rPr>
                <w:rFonts w:ascii="Arial" w:cs="Arial" w:eastAsia="Arial" w:hAnsi="Arial"/>
                <w:sz w:val="18"/>
                <w:szCs w:val="18"/>
                <w:color w:val="auto"/>
                <w:w w:val="99"/>
              </w:rPr>
              <w:t>966</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12,966</w:t>
            </w:r>
          </w:p>
        </w:tc>
        <w:tc>
          <w:tcPr>
            <w:tcW w:w="60" w:type="dxa"/>
            <w:vAlign w:val="bottom"/>
            <w:tcBorders>
              <w:bottom w:val="single" w:sz="8" w:color="E5EBEE"/>
            </w:tcBorders>
            <w:shd w:val="clear" w:color="auto" w:fill="E5EBEE"/>
          </w:tcPr>
          <w:p>
            <w:pPr>
              <w:spacing w:after="0"/>
              <w:rPr>
                <w:sz w:val="24"/>
                <w:szCs w:val="24"/>
                <w:color w:val="auto"/>
              </w:rPr>
            </w:pPr>
          </w:p>
        </w:tc>
        <w:tc>
          <w:tcPr>
            <w:tcW w:w="10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13,932</w:t>
            </w:r>
          </w:p>
        </w:tc>
        <w:tc>
          <w:tcPr>
            <w:tcW w:w="60" w:type="dxa"/>
            <w:vAlign w:val="bottom"/>
            <w:tcBorders>
              <w:bottom w:val="single" w:sz="8" w:color="E5EBEE"/>
            </w:tcBorders>
            <w:shd w:val="clear" w:color="auto" w:fill="E5EBEE"/>
          </w:tcPr>
          <w:p>
            <w:pPr>
              <w:spacing w:after="0"/>
              <w:rPr>
                <w:sz w:val="24"/>
                <w:szCs w:val="24"/>
                <w:color w:val="auto"/>
              </w:rPr>
            </w:pPr>
          </w:p>
        </w:tc>
        <w:tc>
          <w:tcPr>
            <w:tcW w:w="9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5EBEE"/>
            </w:tcBorders>
            <w:shd w:val="clear" w:color="auto" w:fill="E5EBEE"/>
          </w:tcPr>
          <w:p>
            <w:pPr>
              <w:spacing w:after="0"/>
              <w:rPr>
                <w:sz w:val="24"/>
                <w:szCs w:val="24"/>
                <w:color w:val="auto"/>
              </w:rPr>
            </w:pPr>
          </w:p>
        </w:tc>
        <w:tc>
          <w:tcPr>
            <w:tcW w:w="40" w:type="dxa"/>
            <w:vAlign w:val="bottom"/>
            <w:tcBorders>
              <w:bottom w:val="single" w:sz="8" w:color="E5EBEE"/>
            </w:tcBorders>
            <w:shd w:val="clear" w:color="auto" w:fill="E5EBEE"/>
          </w:tcPr>
          <w:p>
            <w:pPr>
              <w:spacing w:after="0"/>
              <w:rPr>
                <w:sz w:val="24"/>
                <w:szCs w:val="24"/>
                <w:color w:val="auto"/>
              </w:rPr>
            </w:pPr>
          </w:p>
        </w:tc>
        <w:tc>
          <w:tcPr>
            <w:tcW w:w="920" w:type="dxa"/>
            <w:vAlign w:val="bottom"/>
            <w:tcBorders>
              <w:bottom w:val="single" w:sz="8" w:color="E5EBEE"/>
            </w:tcBorders>
            <w:gridSpan w:val="2"/>
            <w:shd w:val="clear" w:color="auto" w:fill="E5EBEE"/>
          </w:tcPr>
          <w:p>
            <w:pPr>
              <w:jc w:val="center"/>
              <w:ind w:righ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13,932</w:t>
            </w:r>
          </w:p>
        </w:tc>
        <w:tc>
          <w:tcPr>
            <w:tcW w:w="0" w:type="dxa"/>
            <w:vAlign w:val="bottom"/>
          </w:tcPr>
          <w:p>
            <w:pPr>
              <w:spacing w:after="0"/>
              <w:rPr>
                <w:sz w:val="1"/>
                <w:szCs w:val="1"/>
                <w:color w:val="auto"/>
              </w:rPr>
            </w:pPr>
          </w:p>
        </w:tc>
      </w:tr>
      <w:tr>
        <w:trPr>
          <w:trHeight w:val="215"/>
        </w:trPr>
        <w:tc>
          <w:tcPr>
            <w:tcW w:w="4760" w:type="dxa"/>
            <w:vAlign w:val="bottom"/>
            <w:tcBorders>
              <w:top w:val="single" w:sz="8" w:color="023C5B"/>
            </w:tcBorders>
            <w:gridSpan w:val="3"/>
          </w:tcPr>
          <w:p>
            <w:pPr>
              <w:ind w:left="100"/>
              <w:spacing w:after="0"/>
              <w:rPr>
                <w:sz w:val="20"/>
                <w:szCs w:val="20"/>
                <w:color w:val="auto"/>
              </w:rPr>
            </w:pPr>
            <w:r>
              <w:rPr>
                <w:rFonts w:ascii="Arial" w:cs="Arial" w:eastAsia="Arial" w:hAnsi="Arial"/>
                <w:sz w:val="18"/>
                <w:szCs w:val="18"/>
                <w:color w:val="auto"/>
              </w:rPr>
              <w:t>All directors and executive officers as a</w:t>
            </w:r>
          </w:p>
        </w:tc>
        <w:tc>
          <w:tcPr>
            <w:tcW w:w="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020" w:type="dxa"/>
            <w:vAlign w:val="bottom"/>
            <w:tcBorders>
              <w:top w:val="single" w:sz="8" w:color="023C5B"/>
            </w:tcBorders>
            <w:vMerge w:val="restart"/>
          </w:tcPr>
          <w:p>
            <w:pPr>
              <w:jc w:val="center"/>
              <w:spacing w:after="0"/>
              <w:rPr>
                <w:sz w:val="20"/>
                <w:szCs w:val="20"/>
                <w:color w:val="auto"/>
              </w:rPr>
            </w:pPr>
            <w:r>
              <w:rPr>
                <w:rFonts w:ascii="Arial" w:cs="Arial" w:eastAsia="Arial" w:hAnsi="Arial"/>
                <w:sz w:val="18"/>
                <w:szCs w:val="18"/>
                <w:color w:val="auto"/>
                <w:w w:val="99"/>
              </w:rPr>
              <w:t>4,247,299</w:t>
            </w:r>
          </w:p>
        </w:tc>
        <w:tc>
          <w:tcPr>
            <w:tcW w:w="60" w:type="dxa"/>
            <w:vAlign w:val="bottom"/>
          </w:tcPr>
          <w:p>
            <w:pPr>
              <w:spacing w:after="0"/>
              <w:rPr>
                <w:sz w:val="18"/>
                <w:szCs w:val="18"/>
                <w:color w:val="auto"/>
              </w:rPr>
            </w:pPr>
          </w:p>
        </w:tc>
        <w:tc>
          <w:tcPr>
            <w:tcW w:w="940" w:type="dxa"/>
            <w:vAlign w:val="bottom"/>
            <w:tcBorders>
              <w:top w:val="single" w:sz="8" w:color="023C5B"/>
            </w:tcBorders>
            <w:vMerge w:val="restart"/>
          </w:tcPr>
          <w:p>
            <w:pPr>
              <w:jc w:val="center"/>
              <w:spacing w:after="0"/>
              <w:rPr>
                <w:sz w:val="20"/>
                <w:szCs w:val="20"/>
                <w:color w:val="auto"/>
              </w:rPr>
            </w:pPr>
            <w:r>
              <w:rPr>
                <w:rFonts w:ascii="Arial" w:cs="Arial" w:eastAsia="Arial" w:hAnsi="Arial"/>
                <w:sz w:val="18"/>
                <w:szCs w:val="18"/>
                <w:color w:val="auto"/>
                <w:w w:val="98"/>
              </w:rPr>
              <w:t>614,411</w:t>
            </w:r>
          </w:p>
        </w:tc>
        <w:tc>
          <w:tcPr>
            <w:tcW w:w="60" w:type="dxa"/>
            <w:vAlign w:val="bottom"/>
          </w:tcPr>
          <w:p>
            <w:pPr>
              <w:spacing w:after="0"/>
              <w:rPr>
                <w:sz w:val="18"/>
                <w:szCs w:val="18"/>
                <w:color w:val="auto"/>
              </w:rPr>
            </w:pPr>
          </w:p>
        </w:tc>
        <w:tc>
          <w:tcPr>
            <w:tcW w:w="1020" w:type="dxa"/>
            <w:vAlign w:val="bottom"/>
            <w:tcBorders>
              <w:top w:val="single" w:sz="8" w:color="023C5B"/>
            </w:tcBorders>
            <w:vMerge w:val="restart"/>
          </w:tcPr>
          <w:p>
            <w:pPr>
              <w:jc w:val="center"/>
              <w:spacing w:after="0"/>
              <w:rPr>
                <w:sz w:val="20"/>
                <w:szCs w:val="20"/>
                <w:color w:val="auto"/>
              </w:rPr>
            </w:pPr>
            <w:r>
              <w:rPr>
                <w:rFonts w:ascii="Arial" w:cs="Arial" w:eastAsia="Arial" w:hAnsi="Arial"/>
                <w:sz w:val="18"/>
                <w:szCs w:val="18"/>
                <w:color w:val="auto"/>
                <w:w w:val="99"/>
              </w:rPr>
              <w:t>4,861,710</w:t>
            </w:r>
          </w:p>
        </w:tc>
        <w:tc>
          <w:tcPr>
            <w:tcW w:w="60" w:type="dxa"/>
            <w:vAlign w:val="bottom"/>
          </w:tcPr>
          <w:p>
            <w:pPr>
              <w:spacing w:after="0"/>
              <w:rPr>
                <w:sz w:val="18"/>
                <w:szCs w:val="18"/>
                <w:color w:val="auto"/>
              </w:rPr>
            </w:pPr>
          </w:p>
        </w:tc>
        <w:tc>
          <w:tcPr>
            <w:tcW w:w="940" w:type="dxa"/>
            <w:vAlign w:val="bottom"/>
            <w:tcBorders>
              <w:top w:val="single" w:sz="8" w:color="023C5B"/>
            </w:tcBorders>
            <w:vMerge w:val="restart"/>
          </w:tcPr>
          <w:p>
            <w:pPr>
              <w:jc w:val="center"/>
              <w:spacing w:after="0"/>
              <w:rPr>
                <w:sz w:val="20"/>
                <w:szCs w:val="20"/>
                <w:color w:val="auto"/>
              </w:rPr>
            </w:pPr>
            <w:r>
              <w:rPr>
                <w:rFonts w:ascii="Arial" w:cs="Arial" w:eastAsia="Arial" w:hAnsi="Arial"/>
                <w:sz w:val="18"/>
                <w:szCs w:val="18"/>
                <w:color w:val="auto"/>
              </w:rPr>
              <w:t>0.78%</w:t>
            </w:r>
          </w:p>
        </w:tc>
        <w:tc>
          <w:tcPr>
            <w:tcW w:w="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860" w:type="dxa"/>
            <w:vAlign w:val="bottom"/>
            <w:tcBorders>
              <w:top w:val="single" w:sz="8" w:color="023C5B"/>
            </w:tcBorders>
            <w:vMerge w:val="restart"/>
          </w:tcPr>
          <w:p>
            <w:pPr>
              <w:jc w:val="center"/>
              <w:spacing w:after="0"/>
              <w:rPr>
                <w:sz w:val="20"/>
                <w:szCs w:val="20"/>
                <w:color w:val="auto"/>
              </w:rPr>
            </w:pPr>
            <w:r>
              <w:rPr>
                <w:rFonts w:ascii="Arial" w:cs="Arial" w:eastAsia="Arial" w:hAnsi="Arial"/>
                <w:sz w:val="18"/>
                <w:szCs w:val="18"/>
                <w:color w:val="auto"/>
                <w:w w:val="98"/>
              </w:rPr>
              <w:t>586,526</w:t>
            </w:r>
          </w:p>
        </w:tc>
        <w:tc>
          <w:tcPr>
            <w:tcW w:w="60" w:type="dxa"/>
            <w:vAlign w:val="bottom"/>
          </w:tcPr>
          <w:p>
            <w:pPr>
              <w:spacing w:after="0"/>
              <w:rPr>
                <w:sz w:val="18"/>
                <w:szCs w:val="18"/>
                <w:color w:val="auto"/>
              </w:rPr>
            </w:pPr>
          </w:p>
        </w:tc>
        <w:tc>
          <w:tcPr>
            <w:tcW w:w="1040" w:type="dxa"/>
            <w:vAlign w:val="bottom"/>
            <w:tcBorders>
              <w:top w:val="single" w:sz="8" w:color="023C5B"/>
            </w:tcBorders>
            <w:vMerge w:val="restart"/>
          </w:tcPr>
          <w:p>
            <w:pPr>
              <w:jc w:val="center"/>
              <w:spacing w:after="0"/>
              <w:rPr>
                <w:sz w:val="20"/>
                <w:szCs w:val="20"/>
                <w:color w:val="auto"/>
              </w:rPr>
            </w:pPr>
            <w:r>
              <w:rPr>
                <w:rFonts w:ascii="Arial" w:cs="Arial" w:eastAsia="Arial" w:hAnsi="Arial"/>
                <w:sz w:val="18"/>
                <w:szCs w:val="18"/>
                <w:color w:val="auto"/>
                <w:w w:val="97"/>
              </w:rPr>
              <w:t>5,448,236</w:t>
            </w:r>
          </w:p>
        </w:tc>
        <w:tc>
          <w:tcPr>
            <w:tcW w:w="0" w:type="dxa"/>
            <w:vAlign w:val="bottom"/>
          </w:tcPr>
          <w:p>
            <w:pPr>
              <w:spacing w:after="0"/>
              <w:rPr>
                <w:sz w:val="1"/>
                <w:szCs w:val="1"/>
                <w:color w:val="auto"/>
              </w:rPr>
            </w:pPr>
          </w:p>
        </w:tc>
      </w:tr>
      <w:tr>
        <w:trPr>
          <w:trHeight w:val="128"/>
        </w:trPr>
        <w:tc>
          <w:tcPr>
            <w:tcW w:w="220" w:type="dxa"/>
            <w:vAlign w:val="bottom"/>
            <w:vMerge w:val="restart"/>
          </w:tcPr>
          <w:p>
            <w:pPr>
              <w:ind w:left="100"/>
              <w:spacing w:after="0"/>
              <w:rPr>
                <w:sz w:val="20"/>
                <w:szCs w:val="20"/>
                <w:color w:val="auto"/>
              </w:rPr>
            </w:pPr>
            <w:r>
              <w:rPr>
                <w:rFonts w:ascii="Arial" w:cs="Arial" w:eastAsia="Arial" w:hAnsi="Arial"/>
                <w:sz w:val="14"/>
                <w:szCs w:val="14"/>
                <w:color w:val="auto"/>
                <w:w w:val="71"/>
              </w:rPr>
              <w:t> </w:t>
            </w:r>
          </w:p>
        </w:tc>
        <w:tc>
          <w:tcPr>
            <w:tcW w:w="4560" w:type="dxa"/>
            <w:vAlign w:val="bottom"/>
            <w:gridSpan w:val="3"/>
            <w:vMerge w:val="restart"/>
          </w:tcPr>
          <w:p>
            <w:pPr>
              <w:ind w:left="60"/>
              <w:spacing w:after="0"/>
              <w:rPr>
                <w:sz w:val="20"/>
                <w:szCs w:val="20"/>
                <w:color w:val="auto"/>
              </w:rPr>
            </w:pPr>
            <w:r>
              <w:rPr>
                <w:rFonts w:ascii="Arial" w:cs="Arial" w:eastAsia="Arial" w:hAnsi="Arial"/>
                <w:sz w:val="18"/>
                <w:szCs w:val="18"/>
                <w:color w:val="auto"/>
              </w:rPr>
              <w:t>group (29 persons)</w:t>
            </w:r>
          </w:p>
        </w:tc>
        <w:tc>
          <w:tcPr>
            <w:tcW w:w="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45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20" w:type="dxa"/>
            <w:vAlign w:val="bottom"/>
            <w:tcBorders>
              <w:bottom w:val="single" w:sz="8" w:color="023C5B"/>
            </w:tcBorders>
          </w:tcPr>
          <w:p>
            <w:pPr>
              <w:spacing w:after="0"/>
              <w:rPr>
                <w:sz w:val="3"/>
                <w:szCs w:val="3"/>
                <w:color w:val="auto"/>
              </w:rPr>
            </w:pPr>
          </w:p>
        </w:tc>
        <w:tc>
          <w:tcPr>
            <w:tcW w:w="1000" w:type="dxa"/>
            <w:vAlign w:val="bottom"/>
            <w:tcBorders>
              <w:bottom w:val="single" w:sz="8" w:color="023C5B"/>
            </w:tcBorders>
          </w:tcPr>
          <w:p>
            <w:pPr>
              <w:spacing w:after="0"/>
              <w:rPr>
                <w:sz w:val="3"/>
                <w:szCs w:val="3"/>
                <w:color w:val="auto"/>
              </w:rPr>
            </w:pPr>
          </w:p>
        </w:tc>
        <w:tc>
          <w:tcPr>
            <w:tcW w:w="3540" w:type="dxa"/>
            <w:vAlign w:val="bottom"/>
            <w:tcBorders>
              <w:bottom w:val="single" w:sz="8" w:color="023C5B"/>
            </w:tcBorders>
          </w:tcPr>
          <w:p>
            <w:pPr>
              <w:spacing w:after="0"/>
              <w:rPr>
                <w:sz w:val="3"/>
                <w:szCs w:val="3"/>
                <w:color w:val="auto"/>
              </w:rPr>
            </w:pPr>
          </w:p>
        </w:tc>
        <w:tc>
          <w:tcPr>
            <w:tcW w:w="20" w:type="dxa"/>
            <w:vAlign w:val="bottom"/>
            <w:tcBorders>
              <w:bottom w:val="single" w:sz="8" w:color="023C5B"/>
            </w:tcBorders>
          </w:tcPr>
          <w:p>
            <w:pPr>
              <w:spacing w:after="0"/>
              <w:rPr>
                <w:sz w:val="3"/>
                <w:szCs w:val="3"/>
                <w:color w:val="auto"/>
              </w:rPr>
            </w:pPr>
          </w:p>
        </w:tc>
        <w:tc>
          <w:tcPr>
            <w:tcW w:w="20" w:type="dxa"/>
            <w:vAlign w:val="bottom"/>
            <w:tcBorders>
              <w:bottom w:val="single" w:sz="8" w:color="023C5B"/>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023C5B"/>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60" w:type="dxa"/>
            <w:vAlign w:val="bottom"/>
            <w:tcBorders>
              <w:bottom w:val="single" w:sz="8" w:color="023C5B"/>
            </w:tcBorders>
          </w:tcPr>
          <w:p>
            <w:pPr>
              <w:spacing w:after="0"/>
              <w:rPr>
                <w:sz w:val="3"/>
                <w:szCs w:val="3"/>
                <w:color w:val="auto"/>
              </w:rPr>
            </w:pPr>
          </w:p>
        </w:tc>
        <w:tc>
          <w:tcPr>
            <w:tcW w:w="1020" w:type="dxa"/>
            <w:vAlign w:val="bottom"/>
            <w:tcBorders>
              <w:bottom w:val="single" w:sz="8" w:color="023C5B"/>
            </w:tcBorders>
          </w:tcPr>
          <w:p>
            <w:pPr>
              <w:spacing w:after="0"/>
              <w:rPr>
                <w:sz w:val="3"/>
                <w:szCs w:val="3"/>
                <w:color w:val="auto"/>
              </w:rPr>
            </w:pPr>
          </w:p>
        </w:tc>
        <w:tc>
          <w:tcPr>
            <w:tcW w:w="60" w:type="dxa"/>
            <w:vAlign w:val="bottom"/>
            <w:tcBorders>
              <w:bottom w:val="single" w:sz="8" w:color="023C5B"/>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20" w:type="dxa"/>
            <w:vAlign w:val="bottom"/>
            <w:tcBorders>
              <w:bottom w:val="single" w:sz="8" w:color="023C5B"/>
            </w:tcBorders>
          </w:tcPr>
          <w:p>
            <w:pPr>
              <w:spacing w:after="0"/>
              <w:rPr>
                <w:sz w:val="3"/>
                <w:szCs w:val="3"/>
                <w:color w:val="auto"/>
              </w:rPr>
            </w:pPr>
          </w:p>
        </w:tc>
        <w:tc>
          <w:tcPr>
            <w:tcW w:w="40" w:type="dxa"/>
            <w:vAlign w:val="bottom"/>
            <w:tcBorders>
              <w:bottom w:val="single" w:sz="8" w:color="023C5B"/>
            </w:tcBorders>
          </w:tcPr>
          <w:p>
            <w:pPr>
              <w:spacing w:after="0"/>
              <w:rPr>
                <w:sz w:val="3"/>
                <w:szCs w:val="3"/>
                <w:color w:val="auto"/>
              </w:rPr>
            </w:pPr>
          </w:p>
        </w:tc>
        <w:tc>
          <w:tcPr>
            <w:tcW w:w="860" w:type="dxa"/>
            <w:vAlign w:val="bottom"/>
            <w:tcBorders>
              <w:bottom w:val="single" w:sz="8" w:color="023C5B"/>
            </w:tcBorders>
          </w:tcPr>
          <w:p>
            <w:pPr>
              <w:spacing w:after="0"/>
              <w:rPr>
                <w:sz w:val="3"/>
                <w:szCs w:val="3"/>
                <w:color w:val="auto"/>
              </w:rPr>
            </w:pPr>
          </w:p>
        </w:tc>
        <w:tc>
          <w:tcPr>
            <w:tcW w:w="60" w:type="dxa"/>
            <w:vAlign w:val="bottom"/>
            <w:tcBorders>
              <w:bottom w:val="single" w:sz="8" w:color="023C5B"/>
            </w:tcBorders>
          </w:tcPr>
          <w:p>
            <w:pPr>
              <w:spacing w:after="0"/>
              <w:rPr>
                <w:sz w:val="3"/>
                <w:szCs w:val="3"/>
                <w:color w:val="auto"/>
              </w:rPr>
            </w:pPr>
          </w:p>
        </w:tc>
        <w:tc>
          <w:tcPr>
            <w:tcW w:w="104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5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20" w:type="dxa"/>
            <w:vAlign w:val="bottom"/>
          </w:tcPr>
          <w:p>
            <w:pPr>
              <w:spacing w:after="0"/>
              <w:rPr>
                <w:sz w:val="20"/>
                <w:szCs w:val="20"/>
                <w:color w:val="auto"/>
              </w:rPr>
            </w:pPr>
            <w:r>
              <w:rPr>
                <w:rFonts w:ascii="Arial" w:cs="Arial" w:eastAsia="Arial" w:hAnsi="Arial"/>
                <w:sz w:val="14"/>
                <w:szCs w:val="14"/>
                <w:color w:val="auto"/>
              </w:rPr>
              <w:t>*</w:t>
            </w:r>
          </w:p>
        </w:tc>
        <w:tc>
          <w:tcPr>
            <w:tcW w:w="4560" w:type="dxa"/>
            <w:vAlign w:val="bottom"/>
            <w:gridSpan w:val="3"/>
          </w:tcPr>
          <w:p>
            <w:pPr>
              <w:ind w:left="220"/>
              <w:spacing w:after="0"/>
              <w:rPr>
                <w:sz w:val="20"/>
                <w:szCs w:val="20"/>
                <w:color w:val="auto"/>
              </w:rPr>
            </w:pPr>
            <w:r>
              <w:rPr>
                <w:rFonts w:ascii="Arial" w:cs="Arial" w:eastAsia="Arial" w:hAnsi="Arial"/>
                <w:sz w:val="14"/>
                <w:szCs w:val="14"/>
                <w:color w:val="auto"/>
              </w:rPr>
              <w:t>Less than 1% of the outstanding shares of common stock.</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600" w:hanging="433"/>
        <w:spacing w:after="0" w:line="281" w:lineRule="auto"/>
        <w:tabs>
          <w:tab w:leader="none" w:pos="6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This amount includes shares underlying stock options that are exercisable within 60 days after February 18, 2026, and RSUs for which delivery of the shares of common stock underlying the stock units is deferred until the director’s service with the Board ends or, for Mr. Fairbank, his employment with the Company ends.</w:t>
      </w:r>
    </w:p>
    <w:p>
      <w:pPr>
        <w:spacing w:after="0" w:line="24"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RSUs held by our officers, and which are settled in an equivalent number of shares of our common stock upon vesting. Represents unvested stock-settled RSUs as of February 18, 2026.</w:t>
      </w:r>
    </w:p>
    <w:p>
      <w:pPr>
        <w:spacing w:after="0" w:line="24" w:lineRule="exact"/>
        <w:rPr>
          <w:rFonts w:ascii="Arial" w:cs="Arial" w:eastAsia="Arial" w:hAnsi="Arial"/>
          <w:sz w:val="14"/>
          <w:szCs w:val="14"/>
          <w:color w:val="auto"/>
        </w:rPr>
      </w:pPr>
    </w:p>
    <w:p>
      <w:pPr>
        <w:ind w:left="600" w:hanging="433"/>
        <w:spacing w:after="0"/>
        <w:tabs>
          <w:tab w:leader="none" w:pos="6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amount includes the aggregate total of the “Total Beneficial Ownership” column and the “Stock-Settled RSUs” column.</w:t>
      </w:r>
    </w:p>
    <w:p>
      <w:pPr>
        <w:spacing w:after="0" w:line="137" w:lineRule="exact"/>
        <w:rPr>
          <w:sz w:val="20"/>
          <w:szCs w:val="20"/>
          <w:color w:val="auto"/>
        </w:rPr>
      </w:pPr>
    </w:p>
    <w:p>
      <w:pPr>
        <w:ind w:left="5520"/>
        <w:spacing w:after="0"/>
        <w:tabs>
          <w:tab w:leader="none" w:pos="862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-111760</wp:posOffset>
            </wp:positionV>
            <wp:extent cx="8255" cy="1784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IX - Security Ownership</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Some of the shares shown in the preceding table are subject to deferred delivery or not held directly by the director or executive officer.</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Below is a table showing the number of shares subject to such restriction or not held directly by the director or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6929755" cy="46031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929755" cy="4603115"/>
                    </a:xfrm>
                    <a:prstGeom prst="rect">
                      <a:avLst/>
                    </a:prstGeom>
                    <a:noFill/>
                  </pic:spPr>
                </pic:pic>
              </a:graphicData>
            </a:graphic>
          </wp:anchor>
        </w:drawing>
      </w: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7400" w:type="dxa"/>
            <w:vAlign w:val="bottom"/>
            <w:shd w:val="clear" w:color="auto" w:fill="023C5B"/>
          </w:tcPr>
          <w:p>
            <w:pPr>
              <w:spacing w:after="0"/>
              <w:rPr>
                <w:sz w:val="19"/>
                <w:szCs w:val="19"/>
                <w:color w:val="auto"/>
              </w:rPr>
            </w:pPr>
          </w:p>
        </w:tc>
        <w:tc>
          <w:tcPr>
            <w:tcW w:w="20" w:type="dxa"/>
            <w:vAlign w:val="bottom"/>
            <w:shd w:val="clear" w:color="auto" w:fill="023C5B"/>
          </w:tcPr>
          <w:p>
            <w:pPr>
              <w:spacing w:after="0"/>
              <w:rPr>
                <w:sz w:val="19"/>
                <w:szCs w:val="19"/>
                <w:color w:val="auto"/>
              </w:rPr>
            </w:pPr>
          </w:p>
        </w:tc>
        <w:tc>
          <w:tcPr>
            <w:tcW w:w="40" w:type="dxa"/>
            <w:vAlign w:val="bottom"/>
            <w:shd w:val="clear" w:color="auto" w:fill="023C5B"/>
          </w:tcPr>
          <w:p>
            <w:pPr>
              <w:spacing w:after="0"/>
              <w:rPr>
                <w:sz w:val="19"/>
                <w:szCs w:val="19"/>
                <w:color w:val="auto"/>
              </w:rPr>
            </w:pPr>
          </w:p>
        </w:tc>
        <w:tc>
          <w:tcPr>
            <w:tcW w:w="152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188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Stock Held by, or</w:t>
            </w:r>
          </w:p>
        </w:tc>
      </w:tr>
      <w:tr>
        <w:trPr>
          <w:trHeight w:val="187"/>
        </w:trPr>
        <w:tc>
          <w:tcPr>
            <w:tcW w:w="740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40" w:type="dxa"/>
            <w:vAlign w:val="bottom"/>
            <w:shd w:val="clear" w:color="auto" w:fill="023C5B"/>
          </w:tcPr>
          <w:p>
            <w:pPr>
              <w:spacing w:after="0"/>
              <w:rPr>
                <w:sz w:val="16"/>
                <w:szCs w:val="16"/>
                <w:color w:val="auto"/>
              </w:rPr>
            </w:pPr>
          </w:p>
        </w:tc>
        <w:tc>
          <w:tcPr>
            <w:tcW w:w="1520" w:type="dxa"/>
            <w:vAlign w:val="bottom"/>
            <w:shd w:val="clear" w:color="auto" w:fill="023C5B"/>
          </w:tcPr>
          <w:p>
            <w:pPr>
              <w:spacing w:after="0"/>
              <w:rPr>
                <w:sz w:val="16"/>
                <w:szCs w:val="16"/>
                <w:color w:val="auto"/>
              </w:rPr>
            </w:pPr>
          </w:p>
        </w:tc>
        <w:tc>
          <w:tcPr>
            <w:tcW w:w="60" w:type="dxa"/>
            <w:vAlign w:val="bottom"/>
            <w:shd w:val="clear" w:color="auto" w:fill="023C5B"/>
          </w:tcPr>
          <w:p>
            <w:pPr>
              <w:spacing w:after="0"/>
              <w:rPr>
                <w:sz w:val="16"/>
                <w:szCs w:val="16"/>
                <w:color w:val="auto"/>
              </w:rPr>
            </w:pPr>
          </w:p>
        </w:tc>
        <w:tc>
          <w:tcPr>
            <w:tcW w:w="188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8"/>
              </w:rPr>
              <w:t>Tenant in</w:t>
            </w:r>
          </w:p>
        </w:tc>
      </w:tr>
      <w:tr>
        <w:trPr>
          <w:trHeight w:val="187"/>
        </w:trPr>
        <w:tc>
          <w:tcPr>
            <w:tcW w:w="740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40" w:type="dxa"/>
            <w:vAlign w:val="bottom"/>
            <w:shd w:val="clear" w:color="auto" w:fill="023C5B"/>
          </w:tcPr>
          <w:p>
            <w:pPr>
              <w:spacing w:after="0"/>
              <w:rPr>
                <w:sz w:val="16"/>
                <w:szCs w:val="16"/>
                <w:color w:val="auto"/>
              </w:rPr>
            </w:pPr>
          </w:p>
        </w:tc>
        <w:tc>
          <w:tcPr>
            <w:tcW w:w="158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rPr>
              <w:t>RSUs for Which</w:t>
            </w:r>
          </w:p>
        </w:tc>
        <w:tc>
          <w:tcPr>
            <w:tcW w:w="1880" w:type="dxa"/>
            <w:vAlign w:val="bottom"/>
            <w:shd w:val="clear" w:color="auto" w:fill="023C5B"/>
          </w:tcPr>
          <w:p>
            <w:pPr>
              <w:ind w:left="60"/>
              <w:spacing w:after="0"/>
              <w:rPr>
                <w:sz w:val="20"/>
                <w:szCs w:val="20"/>
                <w:color w:val="auto"/>
              </w:rPr>
            </w:pPr>
            <w:r>
              <w:rPr>
                <w:rFonts w:ascii="Arial" w:cs="Arial" w:eastAsia="Arial" w:hAnsi="Arial"/>
                <w:sz w:val="16"/>
                <w:szCs w:val="16"/>
                <w:b w:val="1"/>
                <w:bCs w:val="1"/>
                <w:color w:val="FFFFFF"/>
              </w:rPr>
              <w:t>  Common with, Family</w:t>
            </w:r>
          </w:p>
        </w:tc>
      </w:tr>
      <w:tr>
        <w:trPr>
          <w:trHeight w:val="187"/>
        </w:trPr>
        <w:tc>
          <w:tcPr>
            <w:tcW w:w="740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40" w:type="dxa"/>
            <w:vAlign w:val="bottom"/>
            <w:shd w:val="clear" w:color="auto" w:fill="023C5B"/>
          </w:tcPr>
          <w:p>
            <w:pPr>
              <w:spacing w:after="0"/>
              <w:rPr>
                <w:sz w:val="16"/>
                <w:szCs w:val="16"/>
                <w:color w:val="auto"/>
              </w:rPr>
            </w:pPr>
          </w:p>
        </w:tc>
        <w:tc>
          <w:tcPr>
            <w:tcW w:w="1580" w:type="dxa"/>
            <w:vAlign w:val="bottom"/>
            <w:gridSpan w:val="2"/>
            <w:shd w:val="clear" w:color="auto" w:fill="023C5B"/>
          </w:tcPr>
          <w:p>
            <w:pPr>
              <w:ind w:left="60"/>
              <w:spacing w:after="0"/>
              <w:rPr>
                <w:sz w:val="20"/>
                <w:szCs w:val="20"/>
                <w:color w:val="auto"/>
              </w:rPr>
            </w:pPr>
            <w:r>
              <w:rPr>
                <w:rFonts w:ascii="Arial" w:cs="Arial" w:eastAsia="Arial" w:hAnsi="Arial"/>
                <w:sz w:val="16"/>
                <w:szCs w:val="16"/>
                <w:b w:val="1"/>
                <w:bCs w:val="1"/>
                <w:color w:val="FFFFFF"/>
              </w:rPr>
              <w:t>  Delivery of Stock</w:t>
            </w:r>
          </w:p>
        </w:tc>
        <w:tc>
          <w:tcPr>
            <w:tcW w:w="188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Member, Trust, or</w:t>
            </w:r>
          </w:p>
        </w:tc>
      </w:tr>
      <w:tr>
        <w:trPr>
          <w:trHeight w:val="235"/>
        </w:trPr>
        <w:tc>
          <w:tcPr>
            <w:tcW w:w="7420" w:type="dxa"/>
            <w:vAlign w:val="bottom"/>
            <w:tcBorders>
              <w:bottom w:val="single" w:sz="8" w:color="023C5B"/>
            </w:tcBorders>
            <w:gridSpan w:val="2"/>
            <w:shd w:val="clear" w:color="auto" w:fill="023C5B"/>
          </w:tcPr>
          <w:p>
            <w:pPr>
              <w:ind w:left="100"/>
              <w:spacing w:after="0"/>
              <w:rPr>
                <w:sz w:val="20"/>
                <w:szCs w:val="20"/>
                <w:color w:val="auto"/>
              </w:rPr>
            </w:pPr>
            <w:r>
              <w:rPr>
                <w:rFonts w:ascii="Arial" w:cs="Arial" w:eastAsia="Arial" w:hAnsi="Arial"/>
                <w:sz w:val="16"/>
                <w:szCs w:val="16"/>
                <w:b w:val="1"/>
                <w:bCs w:val="1"/>
                <w:color w:val="FFFFFF"/>
              </w:rPr>
              <w:t>Name</w:t>
            </w:r>
          </w:p>
        </w:tc>
        <w:tc>
          <w:tcPr>
            <w:tcW w:w="40" w:type="dxa"/>
            <w:vAlign w:val="bottom"/>
            <w:tcBorders>
              <w:bottom w:val="single" w:sz="8" w:color="023C5B"/>
            </w:tcBorders>
            <w:shd w:val="clear" w:color="auto" w:fill="023C5B"/>
          </w:tcPr>
          <w:p>
            <w:pPr>
              <w:spacing w:after="0"/>
              <w:rPr>
                <w:sz w:val="20"/>
                <w:szCs w:val="20"/>
                <w:color w:val="auto"/>
              </w:rPr>
            </w:pPr>
          </w:p>
        </w:tc>
        <w:tc>
          <w:tcPr>
            <w:tcW w:w="1580" w:type="dxa"/>
            <w:vAlign w:val="bottom"/>
            <w:tcBorders>
              <w:bottom w:val="single" w:sz="8" w:color="023C5B"/>
            </w:tcBorders>
            <w:gridSpan w:val="2"/>
            <w:shd w:val="clear" w:color="auto" w:fill="023C5B"/>
          </w:tcPr>
          <w:p>
            <w:pPr>
              <w:jc w:val="center"/>
              <w:ind w:right="20"/>
              <w:spacing w:after="0"/>
              <w:rPr>
                <w:sz w:val="20"/>
                <w:szCs w:val="20"/>
                <w:color w:val="auto"/>
              </w:rPr>
            </w:pPr>
            <w:r>
              <w:rPr>
                <w:rFonts w:ascii="Arial" w:cs="Arial" w:eastAsia="Arial" w:hAnsi="Arial"/>
                <w:sz w:val="16"/>
                <w:szCs w:val="16"/>
                <w:b w:val="1"/>
                <w:bCs w:val="1"/>
                <w:color w:val="FFFFFF"/>
              </w:rPr>
              <w:t>Is Deferred</w:t>
            </w:r>
          </w:p>
        </w:tc>
        <w:tc>
          <w:tcPr>
            <w:tcW w:w="1880" w:type="dxa"/>
            <w:vAlign w:val="bottom"/>
            <w:tcBorders>
              <w:bottom w:val="single" w:sz="8" w:color="023C5B"/>
            </w:tcBorders>
            <w:shd w:val="clear" w:color="auto" w:fill="023C5B"/>
          </w:tcPr>
          <w:p>
            <w:pPr>
              <w:jc w:val="center"/>
              <w:spacing w:after="0"/>
              <w:rPr>
                <w:sz w:val="20"/>
                <w:szCs w:val="20"/>
                <w:color w:val="auto"/>
              </w:rPr>
            </w:pPr>
            <w:r>
              <w:rPr>
                <w:rFonts w:ascii="Arial" w:cs="Arial" w:eastAsia="Arial" w:hAnsi="Arial"/>
                <w:sz w:val="16"/>
                <w:szCs w:val="16"/>
                <w:b w:val="1"/>
                <w:bCs w:val="1"/>
                <w:color w:val="FFFFFF"/>
              </w:rPr>
              <w:t>Partnership</w:t>
            </w:r>
          </w:p>
        </w:tc>
      </w:tr>
      <w:tr>
        <w:trPr>
          <w:trHeight w:val="348"/>
        </w:trPr>
        <w:tc>
          <w:tcPr>
            <w:tcW w:w="742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color w:val="auto"/>
              </w:rPr>
              <w:t>Richard D. Fairbank</w:t>
            </w:r>
          </w:p>
        </w:tc>
        <w:tc>
          <w:tcPr>
            <w:tcW w:w="15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8"/>
              </w:rPr>
              <w:t>241,680</w:t>
            </w:r>
          </w:p>
        </w:tc>
        <w:tc>
          <w:tcPr>
            <w:tcW w:w="60" w:type="dxa"/>
            <w:vAlign w:val="bottom"/>
            <w:tcBorders>
              <w:bottom w:val="single" w:sz="8" w:color="E5EBEE"/>
            </w:tcBorders>
            <w:shd w:val="clear" w:color="auto" w:fill="E5EBEE"/>
          </w:tcPr>
          <w:p>
            <w:pPr>
              <w:spacing w:after="0"/>
              <w:rPr>
                <w:sz w:val="24"/>
                <w:szCs w:val="24"/>
                <w:color w:val="auto"/>
              </w:rPr>
            </w:pPr>
          </w:p>
        </w:tc>
        <w:tc>
          <w:tcPr>
            <w:tcW w:w="1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49,212</w:t>
            </w:r>
          </w:p>
        </w:tc>
      </w:tr>
      <w:tr>
        <w:trPr>
          <w:trHeight w:val="250"/>
        </w:trPr>
        <w:tc>
          <w:tcPr>
            <w:tcW w:w="7400" w:type="dxa"/>
            <w:vAlign w:val="bottom"/>
            <w:tcBorders>
              <w:top w:val="single" w:sz="8" w:color="023C5B"/>
            </w:tcBorders>
          </w:tcPr>
          <w:p>
            <w:pPr>
              <w:ind w:left="100"/>
              <w:spacing w:after="0"/>
              <w:rPr>
                <w:sz w:val="20"/>
                <w:szCs w:val="20"/>
                <w:color w:val="auto"/>
              </w:rPr>
            </w:pPr>
            <w:r>
              <w:rPr>
                <w:rFonts w:ascii="Arial" w:cs="Arial" w:eastAsia="Arial" w:hAnsi="Arial"/>
                <w:sz w:val="18"/>
                <w:szCs w:val="18"/>
                <w:color w:val="auto"/>
              </w:rPr>
              <w:t>Andrew M. Young</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8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59</w:t>
            </w:r>
          </w:p>
        </w:tc>
      </w:tr>
      <w:tr>
        <w:trPr>
          <w:trHeight w:val="38"/>
        </w:trPr>
        <w:tc>
          <w:tcPr>
            <w:tcW w:w="740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15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880" w:type="dxa"/>
            <w:vAlign w:val="bottom"/>
            <w:tcBorders>
              <w:bottom w:val="single" w:sz="8" w:color="023C5B"/>
            </w:tcBorders>
          </w:tcPr>
          <w:p>
            <w:pPr>
              <w:spacing w:after="0"/>
              <w:rPr>
                <w:sz w:val="3"/>
                <w:szCs w:val="3"/>
                <w:color w:val="auto"/>
              </w:rPr>
            </w:pPr>
          </w:p>
        </w:tc>
      </w:tr>
      <w:tr>
        <w:trPr>
          <w:trHeight w:val="288"/>
        </w:trPr>
        <w:tc>
          <w:tcPr>
            <w:tcW w:w="742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color w:val="auto"/>
              </w:rPr>
              <w:t>Frank G. LaPrade, III</w:t>
            </w:r>
          </w:p>
        </w:tc>
        <w:tc>
          <w:tcPr>
            <w:tcW w:w="40" w:type="dxa"/>
            <w:vAlign w:val="bottom"/>
            <w:tcBorders>
              <w:bottom w:val="single" w:sz="8" w:color="E5EBEE"/>
            </w:tcBorders>
            <w:shd w:val="clear" w:color="auto" w:fill="E5EBEE"/>
          </w:tcPr>
          <w:p>
            <w:pPr>
              <w:spacing w:after="0"/>
              <w:rPr>
                <w:sz w:val="24"/>
                <w:szCs w:val="24"/>
                <w:color w:val="auto"/>
              </w:rPr>
            </w:pPr>
          </w:p>
        </w:tc>
        <w:tc>
          <w:tcPr>
            <w:tcW w:w="15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7400" w:type="dxa"/>
            <w:vAlign w:val="bottom"/>
            <w:tcBorders>
              <w:top w:val="single" w:sz="8" w:color="023C5B"/>
            </w:tcBorders>
          </w:tcPr>
          <w:p>
            <w:pPr>
              <w:ind w:left="100"/>
              <w:spacing w:after="0"/>
              <w:rPr>
                <w:sz w:val="20"/>
                <w:szCs w:val="20"/>
                <w:color w:val="auto"/>
              </w:rPr>
            </w:pPr>
            <w:r>
              <w:rPr>
                <w:rFonts w:ascii="Arial" w:cs="Arial" w:eastAsia="Arial" w:hAnsi="Arial"/>
                <w:sz w:val="18"/>
                <w:szCs w:val="18"/>
                <w:color w:val="auto"/>
              </w:rPr>
              <w:t>Matthew W. Cooper</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8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740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15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880" w:type="dxa"/>
            <w:vAlign w:val="bottom"/>
            <w:tcBorders>
              <w:bottom w:val="single" w:sz="8" w:color="023C5B"/>
            </w:tcBorders>
          </w:tcPr>
          <w:p>
            <w:pPr>
              <w:spacing w:after="0"/>
              <w:rPr>
                <w:sz w:val="3"/>
                <w:szCs w:val="3"/>
                <w:color w:val="auto"/>
              </w:rPr>
            </w:pPr>
          </w:p>
        </w:tc>
      </w:tr>
      <w:tr>
        <w:trPr>
          <w:trHeight w:val="288"/>
        </w:trPr>
        <w:tc>
          <w:tcPr>
            <w:tcW w:w="742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color w:val="auto"/>
              </w:rPr>
              <w:t>Mark Daniel Mouadeb</w:t>
            </w:r>
          </w:p>
        </w:tc>
        <w:tc>
          <w:tcPr>
            <w:tcW w:w="40" w:type="dxa"/>
            <w:vAlign w:val="bottom"/>
            <w:tcBorders>
              <w:bottom w:val="single" w:sz="8" w:color="E5EBEE"/>
            </w:tcBorders>
            <w:shd w:val="clear" w:color="auto" w:fill="E5EBEE"/>
          </w:tcPr>
          <w:p>
            <w:pPr>
              <w:spacing w:after="0"/>
              <w:rPr>
                <w:sz w:val="24"/>
                <w:szCs w:val="24"/>
                <w:color w:val="auto"/>
              </w:rPr>
            </w:pPr>
          </w:p>
        </w:tc>
        <w:tc>
          <w:tcPr>
            <w:tcW w:w="158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7400" w:type="dxa"/>
            <w:vAlign w:val="bottom"/>
            <w:tcBorders>
              <w:top w:val="single" w:sz="8" w:color="023C5B"/>
            </w:tcBorders>
          </w:tcPr>
          <w:p>
            <w:pPr>
              <w:ind w:left="100"/>
              <w:spacing w:after="0"/>
              <w:rPr>
                <w:sz w:val="20"/>
                <w:szCs w:val="20"/>
                <w:color w:val="auto"/>
              </w:rPr>
            </w:pPr>
            <w:r>
              <w:rPr>
                <w:rFonts w:ascii="Arial" w:cs="Arial" w:eastAsia="Arial" w:hAnsi="Arial"/>
                <w:sz w:val="18"/>
                <w:szCs w:val="18"/>
                <w:color w:val="auto"/>
              </w:rPr>
              <w:t>Ime Archibong</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7"/>
              </w:rPr>
              <w:t>8,657</w:t>
            </w:r>
          </w:p>
        </w:tc>
        <w:tc>
          <w:tcPr>
            <w:tcW w:w="60" w:type="dxa"/>
            <w:vAlign w:val="bottom"/>
          </w:tcPr>
          <w:p>
            <w:pPr>
              <w:spacing w:after="0"/>
              <w:rPr>
                <w:sz w:val="21"/>
                <w:szCs w:val="21"/>
                <w:color w:val="auto"/>
              </w:rPr>
            </w:pPr>
          </w:p>
        </w:tc>
        <w:tc>
          <w:tcPr>
            <w:tcW w:w="18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740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15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880" w:type="dxa"/>
            <w:vAlign w:val="bottom"/>
            <w:tcBorders>
              <w:bottom w:val="single" w:sz="8" w:color="023C5B"/>
            </w:tcBorders>
          </w:tcPr>
          <w:p>
            <w:pPr>
              <w:spacing w:after="0"/>
              <w:rPr>
                <w:sz w:val="3"/>
                <w:szCs w:val="3"/>
                <w:color w:val="auto"/>
              </w:rPr>
            </w:pPr>
          </w:p>
        </w:tc>
      </w:tr>
      <w:tr>
        <w:trPr>
          <w:trHeight w:val="288"/>
        </w:trPr>
        <w:tc>
          <w:tcPr>
            <w:tcW w:w="742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color w:val="auto"/>
              </w:rPr>
              <w:t>Christine Detrick</w:t>
            </w:r>
          </w:p>
        </w:tc>
        <w:tc>
          <w:tcPr>
            <w:tcW w:w="15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7"/>
              </w:rPr>
              <w:t>7,610</w:t>
            </w:r>
          </w:p>
        </w:tc>
        <w:tc>
          <w:tcPr>
            <w:tcW w:w="60" w:type="dxa"/>
            <w:vAlign w:val="bottom"/>
            <w:tcBorders>
              <w:bottom w:val="single" w:sz="8" w:color="E5EBEE"/>
            </w:tcBorders>
            <w:shd w:val="clear" w:color="auto" w:fill="E5EBEE"/>
          </w:tcPr>
          <w:p>
            <w:pPr>
              <w:spacing w:after="0"/>
              <w:rPr>
                <w:sz w:val="24"/>
                <w:szCs w:val="24"/>
                <w:color w:val="auto"/>
              </w:rPr>
            </w:pPr>
          </w:p>
        </w:tc>
        <w:tc>
          <w:tcPr>
            <w:tcW w:w="1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7400" w:type="dxa"/>
            <w:vAlign w:val="bottom"/>
            <w:tcBorders>
              <w:top w:val="single" w:sz="8" w:color="023C5B"/>
            </w:tcBorders>
          </w:tcPr>
          <w:p>
            <w:pPr>
              <w:ind w:left="100"/>
              <w:spacing w:after="0"/>
              <w:rPr>
                <w:sz w:val="20"/>
                <w:szCs w:val="20"/>
                <w:color w:val="auto"/>
              </w:rPr>
            </w:pPr>
            <w:r>
              <w:rPr>
                <w:rFonts w:ascii="Arial" w:cs="Arial" w:eastAsia="Arial" w:hAnsi="Arial"/>
                <w:sz w:val="18"/>
                <w:szCs w:val="18"/>
                <w:color w:val="auto"/>
              </w:rPr>
              <w:t>Ann Fritz Hackett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55,571</w:t>
            </w:r>
          </w:p>
        </w:tc>
        <w:tc>
          <w:tcPr>
            <w:tcW w:w="60" w:type="dxa"/>
            <w:vAlign w:val="bottom"/>
          </w:tcPr>
          <w:p>
            <w:pPr>
              <w:spacing w:after="0"/>
              <w:rPr>
                <w:sz w:val="21"/>
                <w:szCs w:val="21"/>
                <w:color w:val="auto"/>
              </w:rPr>
            </w:pPr>
          </w:p>
        </w:tc>
        <w:tc>
          <w:tcPr>
            <w:tcW w:w="18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740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15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880" w:type="dxa"/>
            <w:vAlign w:val="bottom"/>
            <w:tcBorders>
              <w:bottom w:val="single" w:sz="8" w:color="023C5B"/>
            </w:tcBorders>
          </w:tcPr>
          <w:p>
            <w:pPr>
              <w:spacing w:after="0"/>
              <w:rPr>
                <w:sz w:val="3"/>
                <w:szCs w:val="3"/>
                <w:color w:val="auto"/>
              </w:rPr>
            </w:pPr>
          </w:p>
        </w:tc>
      </w:tr>
      <w:tr>
        <w:trPr>
          <w:trHeight w:val="288"/>
        </w:trPr>
        <w:tc>
          <w:tcPr>
            <w:tcW w:w="742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color w:val="auto"/>
              </w:rPr>
              <w:t>Suni P. Harford</w:t>
            </w:r>
          </w:p>
        </w:tc>
        <w:tc>
          <w:tcPr>
            <w:tcW w:w="15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7"/>
              </w:rPr>
              <w:t>3,020</w:t>
            </w:r>
          </w:p>
        </w:tc>
        <w:tc>
          <w:tcPr>
            <w:tcW w:w="60" w:type="dxa"/>
            <w:vAlign w:val="bottom"/>
            <w:tcBorders>
              <w:bottom w:val="single" w:sz="8" w:color="E5EBEE"/>
            </w:tcBorders>
            <w:shd w:val="clear" w:color="auto" w:fill="E5EBEE"/>
          </w:tcPr>
          <w:p>
            <w:pPr>
              <w:spacing w:after="0"/>
              <w:rPr>
                <w:sz w:val="24"/>
                <w:szCs w:val="24"/>
                <w:color w:val="auto"/>
              </w:rPr>
            </w:pPr>
          </w:p>
        </w:tc>
        <w:tc>
          <w:tcPr>
            <w:tcW w:w="1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7400" w:type="dxa"/>
            <w:vAlign w:val="bottom"/>
            <w:tcBorders>
              <w:top w:val="single" w:sz="8" w:color="023C5B"/>
            </w:tcBorders>
          </w:tcPr>
          <w:p>
            <w:pPr>
              <w:ind w:left="100"/>
              <w:spacing w:after="0"/>
              <w:rPr>
                <w:sz w:val="20"/>
                <w:szCs w:val="20"/>
                <w:color w:val="auto"/>
              </w:rPr>
            </w:pPr>
            <w:r>
              <w:rPr>
                <w:rFonts w:ascii="Arial" w:cs="Arial" w:eastAsia="Arial" w:hAnsi="Arial"/>
                <w:sz w:val="18"/>
                <w:szCs w:val="18"/>
                <w:color w:val="auto"/>
              </w:rPr>
              <w:t>Peter Thomas Killalea</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20,058</w:t>
            </w:r>
          </w:p>
        </w:tc>
        <w:tc>
          <w:tcPr>
            <w:tcW w:w="60" w:type="dxa"/>
            <w:vAlign w:val="bottom"/>
          </w:tcPr>
          <w:p>
            <w:pPr>
              <w:spacing w:after="0"/>
              <w:rPr>
                <w:sz w:val="21"/>
                <w:szCs w:val="21"/>
                <w:color w:val="auto"/>
              </w:rPr>
            </w:pPr>
          </w:p>
        </w:tc>
        <w:tc>
          <w:tcPr>
            <w:tcW w:w="18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740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15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880" w:type="dxa"/>
            <w:vAlign w:val="bottom"/>
            <w:tcBorders>
              <w:bottom w:val="single" w:sz="8" w:color="023C5B"/>
            </w:tcBorders>
          </w:tcPr>
          <w:p>
            <w:pPr>
              <w:spacing w:after="0"/>
              <w:rPr>
                <w:sz w:val="3"/>
                <w:szCs w:val="3"/>
                <w:color w:val="auto"/>
              </w:rPr>
            </w:pPr>
          </w:p>
        </w:tc>
      </w:tr>
      <w:tr>
        <w:trPr>
          <w:trHeight w:val="288"/>
        </w:trPr>
        <w:tc>
          <w:tcPr>
            <w:tcW w:w="742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color w:val="auto"/>
              </w:rPr>
              <w:t>Eli Leenaars</w:t>
            </w:r>
          </w:p>
        </w:tc>
        <w:tc>
          <w:tcPr>
            <w:tcW w:w="1560" w:type="dxa"/>
            <w:vAlign w:val="bottom"/>
            <w:tcBorders>
              <w:bottom w:val="single" w:sz="8" w:color="E5EBEE"/>
            </w:tcBorders>
            <w:gridSpan w:val="2"/>
            <w:shd w:val="clear" w:color="auto" w:fill="E5EBEE"/>
          </w:tcPr>
          <w:p>
            <w:pPr>
              <w:jc w:val="center"/>
              <w:ind w:left="11"/>
              <w:spacing w:after="0"/>
              <w:rPr>
                <w:sz w:val="20"/>
                <w:szCs w:val="20"/>
                <w:color w:val="auto"/>
              </w:rPr>
            </w:pPr>
            <w:r>
              <w:rPr>
                <w:rFonts w:ascii="Arial" w:cs="Arial" w:eastAsia="Arial" w:hAnsi="Arial"/>
                <w:sz w:val="18"/>
                <w:szCs w:val="18"/>
                <w:color w:val="auto"/>
                <w:w w:val="98"/>
              </w:rPr>
              <w:t>13,898</w:t>
            </w:r>
          </w:p>
        </w:tc>
        <w:tc>
          <w:tcPr>
            <w:tcW w:w="60" w:type="dxa"/>
            <w:vAlign w:val="bottom"/>
            <w:tcBorders>
              <w:bottom w:val="single" w:sz="8" w:color="E5EBEE"/>
            </w:tcBorders>
            <w:shd w:val="clear" w:color="auto" w:fill="E5EBEE"/>
          </w:tcPr>
          <w:p>
            <w:pPr>
              <w:spacing w:after="0"/>
              <w:rPr>
                <w:sz w:val="24"/>
                <w:szCs w:val="24"/>
                <w:color w:val="auto"/>
              </w:rPr>
            </w:pPr>
          </w:p>
        </w:tc>
        <w:tc>
          <w:tcPr>
            <w:tcW w:w="1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7400" w:type="dxa"/>
            <w:vAlign w:val="bottom"/>
            <w:tcBorders>
              <w:top w:val="single" w:sz="8" w:color="023C5B"/>
            </w:tcBorders>
          </w:tcPr>
          <w:p>
            <w:pPr>
              <w:ind w:left="100"/>
              <w:spacing w:after="0"/>
              <w:rPr>
                <w:sz w:val="20"/>
                <w:szCs w:val="20"/>
                <w:color w:val="auto"/>
              </w:rPr>
            </w:pPr>
            <w:r>
              <w:rPr>
                <w:rFonts w:ascii="Arial" w:cs="Arial" w:eastAsia="Arial" w:hAnsi="Arial"/>
                <w:sz w:val="18"/>
                <w:szCs w:val="18"/>
                <w:color w:val="auto"/>
              </w:rPr>
              <w:t>François Locoh-Donou</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11,808</w:t>
            </w:r>
          </w:p>
        </w:tc>
        <w:tc>
          <w:tcPr>
            <w:tcW w:w="60" w:type="dxa"/>
            <w:vAlign w:val="bottom"/>
          </w:tcPr>
          <w:p>
            <w:pPr>
              <w:spacing w:after="0"/>
              <w:rPr>
                <w:sz w:val="21"/>
                <w:szCs w:val="21"/>
                <w:color w:val="auto"/>
              </w:rPr>
            </w:pPr>
          </w:p>
        </w:tc>
        <w:tc>
          <w:tcPr>
            <w:tcW w:w="18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740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15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880" w:type="dxa"/>
            <w:vAlign w:val="bottom"/>
            <w:tcBorders>
              <w:bottom w:val="single" w:sz="8" w:color="023C5B"/>
            </w:tcBorders>
          </w:tcPr>
          <w:p>
            <w:pPr>
              <w:spacing w:after="0"/>
              <w:rPr>
                <w:sz w:val="3"/>
                <w:szCs w:val="3"/>
                <w:color w:val="auto"/>
              </w:rPr>
            </w:pPr>
          </w:p>
        </w:tc>
      </w:tr>
      <w:tr>
        <w:trPr>
          <w:trHeight w:val="288"/>
        </w:trPr>
        <w:tc>
          <w:tcPr>
            <w:tcW w:w="742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color w:val="auto"/>
              </w:rPr>
              <w:t>Thomas G. Maheras</w:t>
            </w:r>
          </w:p>
        </w:tc>
        <w:tc>
          <w:tcPr>
            <w:tcW w:w="1560" w:type="dxa"/>
            <w:vAlign w:val="bottom"/>
            <w:tcBorders>
              <w:bottom w:val="single" w:sz="8" w:color="E5EBEE"/>
            </w:tcBorders>
            <w:gridSpan w:val="2"/>
            <w:shd w:val="clear" w:color="auto" w:fill="E5EBEE"/>
          </w:tcPr>
          <w:p>
            <w:pPr>
              <w:jc w:val="center"/>
              <w:ind w:left="11"/>
              <w:spacing w:after="0"/>
              <w:rPr>
                <w:sz w:val="20"/>
                <w:szCs w:val="20"/>
                <w:color w:val="auto"/>
              </w:rPr>
            </w:pPr>
            <w:r>
              <w:rPr>
                <w:rFonts w:ascii="Arial" w:cs="Arial" w:eastAsia="Arial" w:hAnsi="Arial"/>
                <w:sz w:val="18"/>
                <w:szCs w:val="18"/>
                <w:color w:val="auto"/>
                <w:w w:val="98"/>
              </w:rPr>
              <w:t>51,751</w:t>
            </w:r>
          </w:p>
        </w:tc>
        <w:tc>
          <w:tcPr>
            <w:tcW w:w="60" w:type="dxa"/>
            <w:vAlign w:val="bottom"/>
            <w:tcBorders>
              <w:bottom w:val="single" w:sz="8" w:color="E5EBEE"/>
            </w:tcBorders>
            <w:shd w:val="clear" w:color="auto" w:fill="E5EBEE"/>
          </w:tcPr>
          <w:p>
            <w:pPr>
              <w:spacing w:after="0"/>
              <w:rPr>
                <w:sz w:val="24"/>
                <w:szCs w:val="24"/>
                <w:color w:val="auto"/>
              </w:rPr>
            </w:pPr>
          </w:p>
        </w:tc>
        <w:tc>
          <w:tcPr>
            <w:tcW w:w="1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7400" w:type="dxa"/>
            <w:vAlign w:val="bottom"/>
            <w:tcBorders>
              <w:top w:val="single" w:sz="8" w:color="023C5B"/>
            </w:tcBorders>
          </w:tcPr>
          <w:p>
            <w:pPr>
              <w:ind w:left="100"/>
              <w:spacing w:after="0"/>
              <w:rPr>
                <w:sz w:val="20"/>
                <w:szCs w:val="20"/>
                <w:color w:val="auto"/>
              </w:rPr>
            </w:pPr>
            <w:r>
              <w:rPr>
                <w:rFonts w:ascii="Arial" w:cs="Arial" w:eastAsia="Arial" w:hAnsi="Arial"/>
                <w:sz w:val="18"/>
                <w:szCs w:val="18"/>
                <w:color w:val="auto"/>
              </w:rPr>
              <w:t>Peter E. Raskind</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29,402</w:t>
            </w:r>
          </w:p>
        </w:tc>
        <w:tc>
          <w:tcPr>
            <w:tcW w:w="60" w:type="dxa"/>
            <w:vAlign w:val="bottom"/>
          </w:tcPr>
          <w:p>
            <w:pPr>
              <w:spacing w:after="0"/>
              <w:rPr>
                <w:sz w:val="21"/>
                <w:szCs w:val="21"/>
                <w:color w:val="auto"/>
              </w:rPr>
            </w:pPr>
          </w:p>
        </w:tc>
        <w:tc>
          <w:tcPr>
            <w:tcW w:w="18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740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15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880" w:type="dxa"/>
            <w:vAlign w:val="bottom"/>
            <w:tcBorders>
              <w:bottom w:val="single" w:sz="8" w:color="023C5B"/>
            </w:tcBorders>
          </w:tcPr>
          <w:p>
            <w:pPr>
              <w:spacing w:after="0"/>
              <w:rPr>
                <w:sz w:val="3"/>
                <w:szCs w:val="3"/>
                <w:color w:val="auto"/>
              </w:rPr>
            </w:pPr>
          </w:p>
        </w:tc>
      </w:tr>
      <w:tr>
        <w:trPr>
          <w:trHeight w:val="288"/>
        </w:trPr>
        <w:tc>
          <w:tcPr>
            <w:tcW w:w="742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color w:val="auto"/>
              </w:rPr>
              <w:t>Eileen Serra</w:t>
            </w:r>
          </w:p>
        </w:tc>
        <w:tc>
          <w:tcPr>
            <w:tcW w:w="15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7"/>
              </w:rPr>
              <w:t>9,850</w:t>
            </w:r>
          </w:p>
        </w:tc>
        <w:tc>
          <w:tcPr>
            <w:tcW w:w="60" w:type="dxa"/>
            <w:vAlign w:val="bottom"/>
            <w:tcBorders>
              <w:bottom w:val="single" w:sz="8" w:color="E5EBEE"/>
            </w:tcBorders>
            <w:shd w:val="clear" w:color="auto" w:fill="E5EBEE"/>
          </w:tcPr>
          <w:p>
            <w:pPr>
              <w:spacing w:after="0"/>
              <w:rPr>
                <w:sz w:val="24"/>
                <w:szCs w:val="24"/>
                <w:color w:val="auto"/>
              </w:rPr>
            </w:pPr>
          </w:p>
        </w:tc>
        <w:tc>
          <w:tcPr>
            <w:tcW w:w="1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7400" w:type="dxa"/>
            <w:vAlign w:val="bottom"/>
            <w:tcBorders>
              <w:top w:val="single" w:sz="8" w:color="023C5B"/>
            </w:tcBorders>
          </w:tcPr>
          <w:p>
            <w:pPr>
              <w:ind w:left="100"/>
              <w:spacing w:after="0"/>
              <w:rPr>
                <w:sz w:val="20"/>
                <w:szCs w:val="20"/>
                <w:color w:val="auto"/>
              </w:rPr>
            </w:pPr>
            <w:r>
              <w:rPr>
                <w:rFonts w:ascii="Arial" w:cs="Arial" w:eastAsia="Arial" w:hAnsi="Arial"/>
                <w:sz w:val="18"/>
                <w:szCs w:val="18"/>
                <w:color w:val="auto"/>
              </w:rPr>
              <w:t>Mayo A. Shattuck III</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57,268</w:t>
            </w:r>
          </w:p>
        </w:tc>
        <w:tc>
          <w:tcPr>
            <w:tcW w:w="60" w:type="dxa"/>
            <w:vAlign w:val="bottom"/>
          </w:tcPr>
          <w:p>
            <w:pPr>
              <w:spacing w:after="0"/>
              <w:rPr>
                <w:sz w:val="21"/>
                <w:szCs w:val="21"/>
                <w:color w:val="auto"/>
              </w:rPr>
            </w:pPr>
          </w:p>
        </w:tc>
        <w:tc>
          <w:tcPr>
            <w:tcW w:w="18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740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15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880" w:type="dxa"/>
            <w:vAlign w:val="bottom"/>
            <w:tcBorders>
              <w:bottom w:val="single" w:sz="8" w:color="023C5B"/>
            </w:tcBorders>
          </w:tcPr>
          <w:p>
            <w:pPr>
              <w:spacing w:after="0"/>
              <w:rPr>
                <w:sz w:val="3"/>
                <w:szCs w:val="3"/>
                <w:color w:val="auto"/>
              </w:rPr>
            </w:pPr>
          </w:p>
        </w:tc>
      </w:tr>
      <w:tr>
        <w:trPr>
          <w:trHeight w:val="288"/>
        </w:trPr>
        <w:tc>
          <w:tcPr>
            <w:tcW w:w="742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color w:val="auto"/>
              </w:rPr>
              <w:t>J. Michael Shepherd</w:t>
            </w:r>
          </w:p>
        </w:tc>
        <w:tc>
          <w:tcPr>
            <w:tcW w:w="15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7"/>
              </w:rPr>
              <w:t>2,426</w:t>
            </w:r>
          </w:p>
        </w:tc>
        <w:tc>
          <w:tcPr>
            <w:tcW w:w="60" w:type="dxa"/>
            <w:vAlign w:val="bottom"/>
            <w:tcBorders>
              <w:bottom w:val="single" w:sz="8" w:color="E5EBEE"/>
            </w:tcBorders>
            <w:shd w:val="clear" w:color="auto" w:fill="E5EBEE"/>
          </w:tcPr>
          <w:p>
            <w:pPr>
              <w:spacing w:after="0"/>
              <w:rPr>
                <w:sz w:val="24"/>
                <w:szCs w:val="24"/>
                <w:color w:val="auto"/>
              </w:rPr>
            </w:pPr>
          </w:p>
        </w:tc>
        <w:tc>
          <w:tcPr>
            <w:tcW w:w="1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7400" w:type="dxa"/>
            <w:vAlign w:val="bottom"/>
            <w:tcBorders>
              <w:top w:val="single" w:sz="8" w:color="023C5B"/>
            </w:tcBorders>
          </w:tcPr>
          <w:p>
            <w:pPr>
              <w:ind w:left="100"/>
              <w:spacing w:after="0"/>
              <w:rPr>
                <w:sz w:val="20"/>
                <w:szCs w:val="20"/>
                <w:color w:val="auto"/>
              </w:rPr>
            </w:pPr>
            <w:r>
              <w:rPr>
                <w:rFonts w:ascii="Arial" w:cs="Arial" w:eastAsia="Arial" w:hAnsi="Arial"/>
                <w:sz w:val="18"/>
                <w:szCs w:val="18"/>
                <w:color w:val="auto"/>
              </w:rPr>
              <w:t>Craig Anthony Williams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7"/>
              </w:rPr>
              <w:t>6,960</w:t>
            </w:r>
          </w:p>
        </w:tc>
        <w:tc>
          <w:tcPr>
            <w:tcW w:w="60" w:type="dxa"/>
            <w:vAlign w:val="bottom"/>
          </w:tcPr>
          <w:p>
            <w:pPr>
              <w:spacing w:after="0"/>
              <w:rPr>
                <w:sz w:val="21"/>
                <w:szCs w:val="21"/>
                <w:color w:val="auto"/>
              </w:rPr>
            </w:pPr>
          </w:p>
        </w:tc>
        <w:tc>
          <w:tcPr>
            <w:tcW w:w="18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740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152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880" w:type="dxa"/>
            <w:vAlign w:val="bottom"/>
            <w:tcBorders>
              <w:bottom w:val="single" w:sz="8" w:color="023C5B"/>
            </w:tcBorders>
          </w:tcPr>
          <w:p>
            <w:pPr>
              <w:spacing w:after="0"/>
              <w:rPr>
                <w:sz w:val="3"/>
                <w:szCs w:val="3"/>
                <w:color w:val="auto"/>
              </w:rPr>
            </w:pPr>
          </w:p>
        </w:tc>
      </w:tr>
      <w:tr>
        <w:trPr>
          <w:trHeight w:val="288"/>
        </w:trPr>
        <w:tc>
          <w:tcPr>
            <w:tcW w:w="742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color w:val="auto"/>
              </w:rPr>
              <w:t>Jennifer L. Wong</w:t>
            </w:r>
          </w:p>
        </w:tc>
        <w:tc>
          <w:tcPr>
            <w:tcW w:w="1560" w:type="dxa"/>
            <w:vAlign w:val="bottom"/>
            <w:tcBorders>
              <w:bottom w:val="single" w:sz="8" w:color="E5EBEE"/>
            </w:tcBorders>
            <w:gridSpan w:val="2"/>
            <w:shd w:val="clear" w:color="auto" w:fill="E5EBEE"/>
          </w:tcPr>
          <w:p>
            <w:pPr>
              <w:jc w:val="center"/>
              <w:ind w:left="11"/>
              <w:spacing w:after="0"/>
              <w:rPr>
                <w:sz w:val="20"/>
                <w:szCs w:val="20"/>
                <w:color w:val="auto"/>
              </w:rPr>
            </w:pPr>
            <w:r>
              <w:rPr>
                <w:rFonts w:ascii="Arial" w:cs="Arial" w:eastAsia="Arial" w:hAnsi="Arial"/>
                <w:sz w:val="18"/>
                <w:szCs w:val="18"/>
                <w:color w:val="auto"/>
                <w:w w:val="98"/>
              </w:rPr>
              <w:t>12,966</w:t>
            </w:r>
          </w:p>
        </w:tc>
        <w:tc>
          <w:tcPr>
            <w:tcW w:w="60" w:type="dxa"/>
            <w:vAlign w:val="bottom"/>
            <w:tcBorders>
              <w:bottom w:val="single" w:sz="8" w:color="E5EBEE"/>
            </w:tcBorders>
            <w:shd w:val="clear" w:color="auto" w:fill="E5EBEE"/>
          </w:tcPr>
          <w:p>
            <w:pPr>
              <w:spacing w:after="0"/>
              <w:rPr>
                <w:sz w:val="24"/>
                <w:szCs w:val="24"/>
                <w:color w:val="auto"/>
              </w:rPr>
            </w:pPr>
          </w:p>
        </w:tc>
        <w:tc>
          <w:tcPr>
            <w:tcW w:w="18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7400" w:type="dxa"/>
            <w:vAlign w:val="bottom"/>
            <w:tcBorders>
              <w:top w:val="single" w:sz="8" w:color="023C5B"/>
            </w:tcBorders>
          </w:tcPr>
          <w:p>
            <w:pPr>
              <w:ind w:left="100"/>
              <w:spacing w:after="0"/>
              <w:rPr>
                <w:sz w:val="20"/>
                <w:szCs w:val="20"/>
                <w:color w:val="auto"/>
              </w:rPr>
            </w:pPr>
            <w:r>
              <w:rPr>
                <w:rFonts w:ascii="Arial" w:cs="Arial" w:eastAsia="Arial" w:hAnsi="Arial"/>
                <w:sz w:val="18"/>
                <w:szCs w:val="18"/>
                <w:color w:val="auto"/>
              </w:rPr>
              <w:t>All directors and executive officers as a group (29 persons)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532,925</w:t>
            </w:r>
          </w:p>
        </w:tc>
        <w:tc>
          <w:tcPr>
            <w:tcW w:w="60" w:type="dxa"/>
            <w:vAlign w:val="bottom"/>
          </w:tcPr>
          <w:p>
            <w:pPr>
              <w:spacing w:after="0"/>
              <w:rPr>
                <w:sz w:val="21"/>
                <w:szCs w:val="21"/>
                <w:color w:val="auto"/>
              </w:rPr>
            </w:pPr>
          </w:p>
        </w:tc>
        <w:tc>
          <w:tcPr>
            <w:tcW w:w="18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49,373</w:t>
            </w:r>
          </w:p>
        </w:tc>
      </w:tr>
      <w:tr>
        <w:trPr>
          <w:trHeight w:val="38"/>
        </w:trPr>
        <w:tc>
          <w:tcPr>
            <w:tcW w:w="7400" w:type="dxa"/>
            <w:vAlign w:val="bottom"/>
            <w:tcBorders>
              <w:bottom w:val="single" w:sz="8" w:color="023C5B"/>
            </w:tcBorders>
          </w:tcPr>
          <w:p>
            <w:pPr>
              <w:spacing w:after="0"/>
              <w:rPr>
                <w:sz w:val="3"/>
                <w:szCs w:val="3"/>
                <w:color w:val="auto"/>
              </w:rPr>
            </w:pPr>
          </w:p>
        </w:tc>
        <w:tc>
          <w:tcPr>
            <w:tcW w:w="20" w:type="dxa"/>
            <w:vAlign w:val="bottom"/>
            <w:tcBorders>
              <w:bottom w:val="single" w:sz="8" w:color="023C5B"/>
            </w:tcBorders>
          </w:tcPr>
          <w:p>
            <w:pPr>
              <w:spacing w:after="0"/>
              <w:rPr>
                <w:sz w:val="3"/>
                <w:szCs w:val="3"/>
                <w:color w:val="auto"/>
              </w:rPr>
            </w:pPr>
          </w:p>
        </w:tc>
        <w:tc>
          <w:tcPr>
            <w:tcW w:w="40" w:type="dxa"/>
            <w:vAlign w:val="bottom"/>
            <w:tcBorders>
              <w:bottom w:val="single" w:sz="8" w:color="023C5B"/>
            </w:tcBorders>
          </w:tcPr>
          <w:p>
            <w:pPr>
              <w:spacing w:after="0"/>
              <w:rPr>
                <w:sz w:val="3"/>
                <w:szCs w:val="3"/>
                <w:color w:val="auto"/>
              </w:rPr>
            </w:pPr>
          </w:p>
        </w:tc>
        <w:tc>
          <w:tcPr>
            <w:tcW w:w="1520" w:type="dxa"/>
            <w:vAlign w:val="bottom"/>
            <w:tcBorders>
              <w:bottom w:val="single" w:sz="8" w:color="023C5B"/>
            </w:tcBorders>
          </w:tcPr>
          <w:p>
            <w:pPr>
              <w:spacing w:after="0"/>
              <w:rPr>
                <w:sz w:val="3"/>
                <w:szCs w:val="3"/>
                <w:color w:val="auto"/>
              </w:rPr>
            </w:pPr>
          </w:p>
        </w:tc>
        <w:tc>
          <w:tcPr>
            <w:tcW w:w="60" w:type="dxa"/>
            <w:vAlign w:val="bottom"/>
            <w:tcBorders>
              <w:bottom w:val="single" w:sz="8" w:color="023C5B"/>
            </w:tcBorders>
          </w:tcPr>
          <w:p>
            <w:pPr>
              <w:spacing w:after="0"/>
              <w:rPr>
                <w:sz w:val="3"/>
                <w:szCs w:val="3"/>
                <w:color w:val="auto"/>
              </w:rPr>
            </w:pPr>
          </w:p>
        </w:tc>
        <w:tc>
          <w:tcPr>
            <w:tcW w:w="1880" w:type="dxa"/>
            <w:vAlign w:val="bottom"/>
            <w:tcBorders>
              <w:bottom w:val="single" w:sz="8" w:color="023C5B"/>
            </w:tcBorders>
          </w:tcPr>
          <w:p>
            <w:pPr>
              <w:spacing w:after="0"/>
              <w:rPr>
                <w:sz w:val="3"/>
                <w:szCs w:val="3"/>
                <w:color w:val="auto"/>
              </w:rPr>
            </w:pPr>
          </w:p>
        </w:tc>
      </w:tr>
    </w:tbl>
    <w:p>
      <w:pPr>
        <w:spacing w:after="0" w:line="18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Delinquent Section 16(a) Reports</w:t>
      </w:r>
    </w:p>
    <w:p>
      <w:pPr>
        <w:spacing w:after="0" w:line="22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Section 16(a) of the Exchange Act requires that Capital One’s executive officers and directors, and persons that beneficially own more than 10% of Capital One common stock, file certain reports of beneficial ownership of the common stock and changes in such ownership with the SEC and provide copies of these reports to Capital One. As a matter of practice, members of our staff assist our executive officers and directors in preparing initial ownership reports and reporting ownership changes and typically file these reports on their behalf. Based solely on our review of the copies of such forms in our possession and written representations furnished to us, we believe that in 2025 each reporting person complied with these filing requirements, except as follows: (i) for Jason Hanson, an amended Form 4 was filed to report a single transaction relating to the vesting of restricted stock units which was inadvertently omitted from his original timely filed Form 4 reporting the automatic tax withholding following the vesting of those restricted stock units; and (ii) for Timothy Golden, one late filing due to an administrative oversight reporting a single transaction, which related to the grant of restricted stock units. In each such case, the report was promptly filed or amended after the reporting person became aware of the transaction or error.</w:t>
      </w:r>
    </w:p>
    <w:p>
      <w:pPr>
        <w:spacing w:after="0" w:line="110"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9640"/>
        <w:spacing w:after="0"/>
        <w:rPr>
          <w:sz w:val="20"/>
          <w:szCs w:val="20"/>
          <w:color w:val="auto"/>
        </w:rPr>
      </w:pPr>
      <w:r>
        <w:rPr>
          <w:rFonts w:ascii="Arial" w:cs="Arial" w:eastAsia="Arial" w:hAnsi="Arial"/>
          <w:sz w:val="17"/>
          <w:szCs w:val="17"/>
          <w:b w:val="1"/>
          <w:bCs w:val="1"/>
          <w:color w:val="023C5B"/>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57785</wp:posOffset>
            </wp:positionV>
            <wp:extent cx="69297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3" w:lineRule="exact"/>
        <w:rPr>
          <w:sz w:val="20"/>
          <w:szCs w:val="20"/>
          <w:color w:val="auto"/>
        </w:rPr>
      </w:pPr>
    </w:p>
    <w:p>
      <w:pPr>
        <w:ind w:left="160" w:right="440"/>
        <w:spacing w:after="0" w:line="268" w:lineRule="auto"/>
        <w:rPr>
          <w:sz w:val="20"/>
          <w:szCs w:val="20"/>
          <w:color w:val="auto"/>
        </w:rPr>
      </w:pPr>
      <w:r>
        <w:rPr>
          <w:rFonts w:ascii="Arial" w:cs="Arial" w:eastAsia="Arial" w:hAnsi="Arial"/>
          <w:sz w:val="32"/>
          <w:szCs w:val="32"/>
          <w:b w:val="1"/>
          <w:bCs w:val="1"/>
          <w:color w:val="auto"/>
        </w:rPr>
        <w:t>Section X - Ratification of the Selection of Ernst &amp; Young LLP as Our Independent Registered Public Accounting Firm for 2026 (Item 3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8"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The Audit Committee, pursuant to authority granted to it by the Board, is directly responsible for the appointment, compensation, retention, and oversight of Capital One’s independent registered public accounting firm. The Audit Committee evaluates the independent registered public accounting firm’s qualifications, performance, and independence at least annually and periodically considers whether to continue to retain our current independent registered public accounting firm or whether to engage another firm. In connection with applicable partner rotation requirements, the Audit Committee and its Chair are involved in considering the selection of the independent registered public accounting firm’s new lead partner. Additionally, Capital One adheres to the requirements of the Sarbanes-Oxley Act relating to the rotation of partners engaged in Capital One’s audit by the independent registered public accounting firm.</w:t>
      </w:r>
    </w:p>
    <w:p>
      <w:pPr>
        <w:spacing w:after="0" w:line="18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For 2026, the Audit Committee has appointed Ernst &amp; Young LLP (“Ernst &amp; Young”) as Capital One’s independent registered public accounting firm. Ernst &amp; Young has served in this role since 1994. The members of the Audit Committee and the Board believe that the continued retention of Ernst &amp; Young as Capital One’s independent registered public accounting firm is in the best interests of Capital One and its stockholders.</w:t>
      </w:r>
    </w:p>
    <w:p>
      <w:pPr>
        <w:spacing w:after="0" w:line="17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Board is submitting this proposal to the vote of the stockholders as a matter of good corporate governance. If stockholders do not ratify the selection of Ernst &amp; Young, the Audit Committee will reconsider the appointment of Ernst &amp; Young as the Company’s independent registered public accounting firm. Even if the selection is ratified, the Audit Committee may, in its discretion, appoint a different independent registered public accounting firm at any time during the year if the Audit Committee determines that such a change would be in our stockholders’ best interests.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fees billed for professional services provided by Ernst &amp; Young for fiscal years 2025 and 2024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46900" cy="39052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946900" cy="390525"/>
                    </a:xfrm>
                    <a:prstGeom prst="rect">
                      <a:avLst/>
                    </a:prstGeom>
                    <a:noFill/>
                  </pic:spPr>
                </pic:pic>
              </a:graphicData>
            </a:graphic>
          </wp:anchor>
        </w:drawing>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8340" w:type="dxa"/>
            <w:vAlign w:val="bottom"/>
            <w:tcBorders>
              <w:bottom w:val="single" w:sz="8" w:color="023C5B"/>
            </w:tcBorders>
            <w:gridSpan w:val="2"/>
            <w:shd w:val="clear" w:color="auto" w:fill="023C5B"/>
          </w:tcPr>
          <w:p>
            <w:pPr>
              <w:ind w:left="100"/>
              <w:spacing w:after="0"/>
              <w:rPr>
                <w:sz w:val="20"/>
                <w:szCs w:val="20"/>
                <w:color w:val="auto"/>
              </w:rPr>
            </w:pPr>
            <w:r>
              <w:rPr>
                <w:rFonts w:ascii="Arial" w:cs="Arial" w:eastAsia="Arial" w:hAnsi="Arial"/>
                <w:sz w:val="16"/>
                <w:szCs w:val="16"/>
                <w:b w:val="1"/>
                <w:bCs w:val="1"/>
                <w:color w:val="FFFFFF"/>
              </w:rPr>
              <w:t>Fees (dollars in millions)</w:t>
            </w:r>
          </w:p>
        </w:tc>
        <w:tc>
          <w:tcPr>
            <w:tcW w:w="960" w:type="dxa"/>
            <w:vAlign w:val="bottom"/>
            <w:tcBorders>
              <w:bottom w:val="single" w:sz="8" w:color="023C5B"/>
            </w:tcBorders>
            <w:shd w:val="clear" w:color="auto" w:fill="023C5B"/>
          </w:tcPr>
          <w:p>
            <w:pPr>
              <w:ind w:left="460"/>
              <w:spacing w:after="0"/>
              <w:rPr>
                <w:sz w:val="20"/>
                <w:szCs w:val="20"/>
                <w:color w:val="auto"/>
              </w:rPr>
            </w:pPr>
            <w:r>
              <w:rPr>
                <w:rFonts w:ascii="Arial" w:cs="Arial" w:eastAsia="Arial" w:hAnsi="Arial"/>
                <w:sz w:val="16"/>
                <w:szCs w:val="16"/>
                <w:b w:val="1"/>
                <w:bCs w:val="1"/>
                <w:color w:val="FFFFFF"/>
                <w:w w:val="92"/>
              </w:rPr>
              <w:t>2025 </w:t>
            </w:r>
          </w:p>
        </w:tc>
        <w:tc>
          <w:tcPr>
            <w:tcW w:w="360" w:type="dxa"/>
            <w:vAlign w:val="bottom"/>
            <w:tcBorders>
              <w:bottom w:val="single" w:sz="8" w:color="023C5B"/>
            </w:tcBorders>
            <w:gridSpan w:val="2"/>
            <w:shd w:val="clear" w:color="auto" w:fill="023C5B"/>
          </w:tcPr>
          <w:p>
            <w:pPr>
              <w:ind w:left="20"/>
              <w:spacing w:after="0"/>
              <w:rPr>
                <w:sz w:val="20"/>
                <w:szCs w:val="20"/>
                <w:color w:val="auto"/>
              </w:rPr>
            </w:pPr>
            <w:r>
              <w:rPr>
                <w:rFonts w:ascii="Arial" w:cs="Arial" w:eastAsia="Arial" w:hAnsi="Arial"/>
                <w:sz w:val="16"/>
                <w:szCs w:val="16"/>
                <w:b w:val="1"/>
                <w:bCs w:val="1"/>
                <w:color w:val="FFFFFF"/>
              </w:rPr>
              <w:t> </w:t>
            </w:r>
          </w:p>
        </w:tc>
        <w:tc>
          <w:tcPr>
            <w:tcW w:w="940" w:type="dxa"/>
            <w:vAlign w:val="bottom"/>
            <w:tcBorders>
              <w:bottom w:val="single" w:sz="8" w:color="023C5B"/>
            </w:tcBorders>
            <w:shd w:val="clear" w:color="auto" w:fill="023C5B"/>
          </w:tcPr>
          <w:p>
            <w:pPr>
              <w:jc w:val="center"/>
              <w:ind w:left="252"/>
              <w:spacing w:after="0"/>
              <w:rPr>
                <w:sz w:val="20"/>
                <w:szCs w:val="20"/>
                <w:color w:val="auto"/>
              </w:rPr>
            </w:pPr>
            <w:r>
              <w:rPr>
                <w:rFonts w:ascii="Arial" w:cs="Arial" w:eastAsia="Arial" w:hAnsi="Arial"/>
                <w:sz w:val="16"/>
                <w:szCs w:val="16"/>
                <w:b w:val="1"/>
                <w:bCs w:val="1"/>
                <w:color w:val="FFFFFF"/>
                <w:w w:val="77"/>
              </w:rPr>
              <w:t>2024 </w:t>
            </w:r>
          </w:p>
        </w:tc>
        <w:tc>
          <w:tcPr>
            <w:tcW w:w="320" w:type="dxa"/>
            <w:vAlign w:val="bottom"/>
            <w:tcBorders>
              <w:bottom w:val="single" w:sz="8" w:color="023C5B"/>
            </w:tcBorders>
            <w:gridSpan w:val="2"/>
            <w:shd w:val="clear" w:color="auto" w:fill="023C5B"/>
          </w:tcPr>
          <w:p>
            <w:pPr>
              <w:ind w:left="20"/>
              <w:spacing w:after="0"/>
              <w:rPr>
                <w:sz w:val="20"/>
                <w:szCs w:val="20"/>
                <w:color w:val="auto"/>
              </w:rPr>
            </w:pPr>
            <w:r>
              <w:rPr>
                <w:rFonts w:ascii="Arial" w:cs="Arial" w:eastAsia="Arial" w:hAnsi="Arial"/>
                <w:sz w:val="16"/>
                <w:szCs w:val="16"/>
                <w:b w:val="1"/>
                <w:bCs w:val="1"/>
                <w:color w:val="FFFFFF"/>
              </w:rPr>
              <w:t> </w:t>
            </w:r>
          </w:p>
        </w:tc>
      </w:tr>
      <w:tr>
        <w:trPr>
          <w:trHeight w:val="321"/>
        </w:trPr>
        <w:tc>
          <w:tcPr>
            <w:tcW w:w="834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color w:val="auto"/>
              </w:rPr>
              <w:t>Audit Fees</w:t>
            </w:r>
          </w:p>
        </w:tc>
        <w:tc>
          <w:tcPr>
            <w:tcW w:w="960" w:type="dxa"/>
            <w:vAlign w:val="bottom"/>
            <w:tcBorders>
              <w:bottom w:val="single" w:sz="8" w:color="E5EBEE"/>
            </w:tcBorders>
            <w:shd w:val="clear" w:color="auto" w:fill="E5EBEE"/>
          </w:tcPr>
          <w:p>
            <w:pPr>
              <w:jc w:val="center"/>
              <w:ind w:left="272"/>
              <w:spacing w:after="0"/>
              <w:rPr>
                <w:sz w:val="20"/>
                <w:szCs w:val="20"/>
                <w:color w:val="auto"/>
              </w:rPr>
            </w:pPr>
            <w:r>
              <w:rPr>
                <w:rFonts w:ascii="Arial" w:cs="Arial" w:eastAsia="Arial" w:hAnsi="Arial"/>
                <w:sz w:val="18"/>
                <w:szCs w:val="18"/>
                <w:color w:val="auto"/>
                <w:w w:val="82"/>
              </w:rPr>
              <w:t>$23.36 </w:t>
            </w:r>
          </w:p>
        </w:tc>
        <w:tc>
          <w:tcPr>
            <w:tcW w:w="360" w:type="dxa"/>
            <w:vAlign w:val="bottom"/>
            <w:tcBorders>
              <w:bottom w:val="single" w:sz="8" w:color="E5EBEE"/>
            </w:tcBorders>
            <w:gridSpan w:val="2"/>
            <w:shd w:val="clear" w:color="auto" w:fill="E5EBEE"/>
          </w:tcPr>
          <w:p>
            <w:pPr>
              <w:ind w:left="12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E5EBEE"/>
            </w:tcBorders>
            <w:shd w:val="clear" w:color="auto" w:fill="E5EBEE"/>
          </w:tcPr>
          <w:p>
            <w:pPr>
              <w:jc w:val="center"/>
              <w:ind w:left="252"/>
              <w:spacing w:after="0"/>
              <w:rPr>
                <w:sz w:val="20"/>
                <w:szCs w:val="20"/>
                <w:color w:val="auto"/>
              </w:rPr>
            </w:pPr>
            <w:r>
              <w:rPr>
                <w:rFonts w:ascii="Arial" w:cs="Arial" w:eastAsia="Arial" w:hAnsi="Arial"/>
                <w:sz w:val="18"/>
                <w:szCs w:val="18"/>
                <w:color w:val="auto"/>
                <w:w w:val="82"/>
              </w:rPr>
              <w:t>$13.88 </w:t>
            </w:r>
          </w:p>
        </w:tc>
        <w:tc>
          <w:tcPr>
            <w:tcW w:w="320" w:type="dxa"/>
            <w:vAlign w:val="bottom"/>
            <w:tcBorders>
              <w:bottom w:val="single" w:sz="8" w:color="E5EBEE"/>
            </w:tcBorders>
            <w:gridSpan w:val="2"/>
            <w:shd w:val="clear" w:color="auto" w:fill="E5EBEE"/>
          </w:tcPr>
          <w:p>
            <w:pPr>
              <w:ind w:left="120"/>
              <w:spacing w:after="0"/>
              <w:rPr>
                <w:sz w:val="20"/>
                <w:szCs w:val="20"/>
                <w:color w:val="auto"/>
              </w:rPr>
            </w:pPr>
            <w:r>
              <w:rPr>
                <w:rFonts w:ascii="Arial" w:cs="Arial" w:eastAsia="Arial" w:hAnsi="Arial"/>
                <w:sz w:val="18"/>
                <w:szCs w:val="18"/>
                <w:color w:val="auto"/>
              </w:rPr>
              <w:t> </w:t>
            </w:r>
          </w:p>
        </w:tc>
      </w:tr>
      <w:tr>
        <w:trPr>
          <w:trHeight w:val="250"/>
        </w:trPr>
        <w:tc>
          <w:tcPr>
            <w:tcW w:w="8280" w:type="dxa"/>
            <w:vAlign w:val="bottom"/>
            <w:tcBorders>
              <w:top w:val="single" w:sz="8" w:color="023C5B"/>
            </w:tcBorders>
          </w:tcPr>
          <w:p>
            <w:pPr>
              <w:ind w:left="100"/>
              <w:spacing w:after="0"/>
              <w:rPr>
                <w:sz w:val="20"/>
                <w:szCs w:val="20"/>
                <w:color w:val="auto"/>
              </w:rPr>
            </w:pPr>
            <w:r>
              <w:rPr>
                <w:rFonts w:ascii="Arial" w:cs="Arial" w:eastAsia="Arial" w:hAnsi="Arial"/>
                <w:sz w:val="18"/>
                <w:szCs w:val="18"/>
                <w:color w:val="auto"/>
              </w:rPr>
              <w:t>Audit-Related Fees</w:t>
            </w:r>
          </w:p>
        </w:tc>
        <w:tc>
          <w:tcPr>
            <w:tcW w:w="60" w:type="dxa"/>
            <w:vAlign w:val="bottom"/>
          </w:tcPr>
          <w:p>
            <w:pPr>
              <w:spacing w:after="0"/>
              <w:rPr>
                <w:sz w:val="21"/>
                <w:szCs w:val="21"/>
                <w:color w:val="auto"/>
              </w:rPr>
            </w:pPr>
          </w:p>
        </w:tc>
        <w:tc>
          <w:tcPr>
            <w:tcW w:w="960" w:type="dxa"/>
            <w:vAlign w:val="bottom"/>
            <w:tcBorders>
              <w:top w:val="single" w:sz="8" w:color="023C5B"/>
            </w:tcBorders>
          </w:tcPr>
          <w:p>
            <w:pPr>
              <w:jc w:val="center"/>
              <w:ind w:left="252"/>
              <w:spacing w:after="0"/>
              <w:rPr>
                <w:sz w:val="20"/>
                <w:szCs w:val="20"/>
                <w:color w:val="auto"/>
              </w:rPr>
            </w:pPr>
            <w:r>
              <w:rPr>
                <w:rFonts w:ascii="Arial" w:cs="Arial" w:eastAsia="Arial" w:hAnsi="Arial"/>
                <w:sz w:val="18"/>
                <w:szCs w:val="18"/>
                <w:color w:val="auto"/>
                <w:w w:val="79"/>
              </w:rPr>
              <w:t>$3.75 </w:t>
            </w:r>
          </w:p>
        </w:tc>
        <w:tc>
          <w:tcPr>
            <w:tcW w:w="280" w:type="dxa"/>
            <w:vAlign w:val="bottom"/>
            <w:tcBorders>
              <w:top w:val="single" w:sz="8" w:color="023C5B"/>
            </w:tcBorders>
          </w:tcPr>
          <w:p>
            <w:pPr>
              <w:ind w:left="6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1"/>
                <w:szCs w:val="21"/>
                <w:color w:val="auto"/>
              </w:rPr>
            </w:pPr>
          </w:p>
        </w:tc>
        <w:tc>
          <w:tcPr>
            <w:tcW w:w="940" w:type="dxa"/>
            <w:vAlign w:val="bottom"/>
            <w:tcBorders>
              <w:top w:val="single" w:sz="8" w:color="023C5B"/>
            </w:tcBorders>
          </w:tcPr>
          <w:p>
            <w:pPr>
              <w:jc w:val="center"/>
              <w:ind w:left="272"/>
              <w:spacing w:after="0"/>
              <w:rPr>
                <w:sz w:val="20"/>
                <w:szCs w:val="20"/>
                <w:color w:val="auto"/>
              </w:rPr>
            </w:pPr>
            <w:r>
              <w:rPr>
                <w:rFonts w:ascii="Arial" w:cs="Arial" w:eastAsia="Arial" w:hAnsi="Arial"/>
                <w:sz w:val="18"/>
                <w:szCs w:val="18"/>
                <w:color w:val="auto"/>
                <w:w w:val="79"/>
              </w:rPr>
              <w:t>$2.18 </w:t>
            </w:r>
          </w:p>
        </w:tc>
        <w:tc>
          <w:tcPr>
            <w:tcW w:w="300" w:type="dxa"/>
            <w:vAlign w:val="bottom"/>
            <w:tcBorders>
              <w:top w:val="single" w:sz="8" w:color="023C5B"/>
            </w:tcBorders>
          </w:tcPr>
          <w:p>
            <w:pPr>
              <w:ind w:left="8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r>
      <w:tr>
        <w:trPr>
          <w:trHeight w:val="38"/>
        </w:trPr>
        <w:tc>
          <w:tcPr>
            <w:tcW w:w="828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60" w:type="dxa"/>
            <w:vAlign w:val="bottom"/>
            <w:tcBorders>
              <w:bottom w:val="single" w:sz="8" w:color="023C5B"/>
            </w:tcBorders>
          </w:tcPr>
          <w:p>
            <w:pPr>
              <w:spacing w:after="0"/>
              <w:rPr>
                <w:sz w:val="3"/>
                <w:szCs w:val="3"/>
                <w:color w:val="auto"/>
              </w:rPr>
            </w:pPr>
          </w:p>
        </w:tc>
        <w:tc>
          <w:tcPr>
            <w:tcW w:w="28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30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r>
      <w:tr>
        <w:trPr>
          <w:trHeight w:val="288"/>
        </w:trPr>
        <w:tc>
          <w:tcPr>
            <w:tcW w:w="834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color w:val="auto"/>
              </w:rPr>
              <w:t>Tax Fees</w:t>
            </w:r>
          </w:p>
        </w:tc>
        <w:tc>
          <w:tcPr>
            <w:tcW w:w="960" w:type="dxa"/>
            <w:vAlign w:val="bottom"/>
            <w:tcBorders>
              <w:bottom w:val="single" w:sz="8" w:color="E5EBEE"/>
            </w:tcBorders>
            <w:shd w:val="clear" w:color="auto" w:fill="E5EBEE"/>
          </w:tcPr>
          <w:p>
            <w:pPr>
              <w:jc w:val="center"/>
              <w:ind w:left="252"/>
              <w:spacing w:after="0"/>
              <w:rPr>
                <w:sz w:val="20"/>
                <w:szCs w:val="20"/>
                <w:color w:val="auto"/>
              </w:rPr>
            </w:pPr>
            <w:r>
              <w:rPr>
                <w:rFonts w:ascii="Arial" w:cs="Arial" w:eastAsia="Arial" w:hAnsi="Arial"/>
                <w:sz w:val="18"/>
                <w:szCs w:val="18"/>
                <w:color w:val="auto"/>
                <w:w w:val="79"/>
              </w:rPr>
              <w:t>$0.38 </w:t>
            </w:r>
          </w:p>
        </w:tc>
        <w:tc>
          <w:tcPr>
            <w:tcW w:w="360" w:type="dxa"/>
            <w:vAlign w:val="bottom"/>
            <w:tcBorders>
              <w:bottom w:val="single" w:sz="8" w:color="E5EBEE"/>
            </w:tcBorders>
            <w:gridSpan w:val="2"/>
            <w:shd w:val="clear" w:color="auto" w:fill="E5EBEE"/>
          </w:tcPr>
          <w:p>
            <w:pPr>
              <w:ind w:left="60"/>
              <w:spacing w:after="0"/>
              <w:rPr>
                <w:sz w:val="20"/>
                <w:szCs w:val="20"/>
                <w:color w:val="auto"/>
              </w:rPr>
            </w:pPr>
            <w:r>
              <w:rPr>
                <w:rFonts w:ascii="Arial" w:cs="Arial" w:eastAsia="Arial" w:hAnsi="Arial"/>
                <w:sz w:val="18"/>
                <w:szCs w:val="18"/>
                <w:color w:val="auto"/>
              </w:rPr>
              <w:t> </w:t>
            </w:r>
          </w:p>
        </w:tc>
        <w:tc>
          <w:tcPr>
            <w:tcW w:w="940" w:type="dxa"/>
            <w:vAlign w:val="bottom"/>
            <w:tcBorders>
              <w:bottom w:val="single" w:sz="8" w:color="E5EBEE"/>
            </w:tcBorders>
            <w:shd w:val="clear" w:color="auto" w:fill="E5EBEE"/>
          </w:tcPr>
          <w:p>
            <w:pPr>
              <w:jc w:val="center"/>
              <w:ind w:left="272"/>
              <w:spacing w:after="0"/>
              <w:rPr>
                <w:sz w:val="20"/>
                <w:szCs w:val="20"/>
                <w:color w:val="auto"/>
              </w:rPr>
            </w:pPr>
            <w:r>
              <w:rPr>
                <w:rFonts w:ascii="Arial" w:cs="Arial" w:eastAsia="Arial" w:hAnsi="Arial"/>
                <w:sz w:val="18"/>
                <w:szCs w:val="18"/>
                <w:color w:val="auto"/>
                <w:w w:val="79"/>
              </w:rPr>
              <w:t>$0.00 </w:t>
            </w:r>
          </w:p>
        </w:tc>
        <w:tc>
          <w:tcPr>
            <w:tcW w:w="320" w:type="dxa"/>
            <w:vAlign w:val="bottom"/>
            <w:tcBorders>
              <w:bottom w:val="single" w:sz="8" w:color="E5EBEE"/>
            </w:tcBorders>
            <w:gridSpan w:val="2"/>
            <w:shd w:val="clear" w:color="auto" w:fill="E5EBEE"/>
          </w:tcPr>
          <w:p>
            <w:pPr>
              <w:ind w:left="80"/>
              <w:spacing w:after="0"/>
              <w:rPr>
                <w:sz w:val="20"/>
                <w:szCs w:val="20"/>
                <w:color w:val="auto"/>
              </w:rPr>
            </w:pPr>
            <w:r>
              <w:rPr>
                <w:rFonts w:ascii="Arial" w:cs="Arial" w:eastAsia="Arial" w:hAnsi="Arial"/>
                <w:sz w:val="18"/>
                <w:szCs w:val="18"/>
                <w:color w:val="auto"/>
              </w:rPr>
              <w:t> </w:t>
            </w:r>
          </w:p>
        </w:tc>
      </w:tr>
      <w:tr>
        <w:trPr>
          <w:trHeight w:val="250"/>
        </w:trPr>
        <w:tc>
          <w:tcPr>
            <w:tcW w:w="8280" w:type="dxa"/>
            <w:vAlign w:val="bottom"/>
            <w:tcBorders>
              <w:top w:val="single" w:sz="8" w:color="023C5B"/>
            </w:tcBorders>
          </w:tcPr>
          <w:p>
            <w:pPr>
              <w:ind w:left="100"/>
              <w:spacing w:after="0"/>
              <w:rPr>
                <w:sz w:val="20"/>
                <w:szCs w:val="20"/>
                <w:color w:val="auto"/>
              </w:rPr>
            </w:pPr>
            <w:r>
              <w:rPr>
                <w:rFonts w:ascii="Arial" w:cs="Arial" w:eastAsia="Arial" w:hAnsi="Arial"/>
                <w:sz w:val="18"/>
                <w:szCs w:val="18"/>
                <w:color w:val="auto"/>
              </w:rPr>
              <w:t>All Other Fees</w:t>
            </w:r>
          </w:p>
        </w:tc>
        <w:tc>
          <w:tcPr>
            <w:tcW w:w="60" w:type="dxa"/>
            <w:vAlign w:val="bottom"/>
          </w:tcPr>
          <w:p>
            <w:pPr>
              <w:spacing w:after="0"/>
              <w:rPr>
                <w:sz w:val="21"/>
                <w:szCs w:val="21"/>
                <w:color w:val="auto"/>
              </w:rPr>
            </w:pPr>
          </w:p>
        </w:tc>
        <w:tc>
          <w:tcPr>
            <w:tcW w:w="960" w:type="dxa"/>
            <w:vAlign w:val="bottom"/>
            <w:tcBorders>
              <w:top w:val="single" w:sz="8" w:color="023C5B"/>
            </w:tcBorders>
          </w:tcPr>
          <w:p>
            <w:pPr>
              <w:jc w:val="center"/>
              <w:ind w:left="252"/>
              <w:spacing w:after="0"/>
              <w:rPr>
                <w:sz w:val="20"/>
                <w:szCs w:val="20"/>
                <w:color w:val="auto"/>
              </w:rPr>
            </w:pPr>
            <w:r>
              <w:rPr>
                <w:rFonts w:ascii="Arial" w:cs="Arial" w:eastAsia="Arial" w:hAnsi="Arial"/>
                <w:sz w:val="18"/>
                <w:szCs w:val="18"/>
                <w:color w:val="auto"/>
                <w:w w:val="79"/>
              </w:rPr>
              <w:t>$0.00 </w:t>
            </w:r>
          </w:p>
        </w:tc>
        <w:tc>
          <w:tcPr>
            <w:tcW w:w="280" w:type="dxa"/>
            <w:vAlign w:val="bottom"/>
            <w:tcBorders>
              <w:top w:val="single" w:sz="8" w:color="023C5B"/>
            </w:tcBorders>
          </w:tcPr>
          <w:p>
            <w:pPr>
              <w:ind w:left="6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1"/>
                <w:szCs w:val="21"/>
                <w:color w:val="auto"/>
              </w:rPr>
            </w:pPr>
          </w:p>
        </w:tc>
        <w:tc>
          <w:tcPr>
            <w:tcW w:w="940" w:type="dxa"/>
            <w:vAlign w:val="bottom"/>
            <w:tcBorders>
              <w:top w:val="single" w:sz="8" w:color="023C5B"/>
            </w:tcBorders>
          </w:tcPr>
          <w:p>
            <w:pPr>
              <w:jc w:val="center"/>
              <w:ind w:left="272"/>
              <w:spacing w:after="0"/>
              <w:rPr>
                <w:sz w:val="20"/>
                <w:szCs w:val="20"/>
                <w:color w:val="auto"/>
              </w:rPr>
            </w:pPr>
            <w:r>
              <w:rPr>
                <w:rFonts w:ascii="Arial" w:cs="Arial" w:eastAsia="Arial" w:hAnsi="Arial"/>
                <w:sz w:val="18"/>
                <w:szCs w:val="18"/>
                <w:color w:val="auto"/>
                <w:w w:val="79"/>
              </w:rPr>
              <w:t>$0.00 </w:t>
            </w:r>
          </w:p>
        </w:tc>
        <w:tc>
          <w:tcPr>
            <w:tcW w:w="300" w:type="dxa"/>
            <w:vAlign w:val="bottom"/>
            <w:tcBorders>
              <w:top w:val="single" w:sz="8" w:color="023C5B"/>
            </w:tcBorders>
          </w:tcPr>
          <w:p>
            <w:pPr>
              <w:ind w:left="8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r>
      <w:tr>
        <w:trPr>
          <w:trHeight w:val="38"/>
        </w:trPr>
        <w:tc>
          <w:tcPr>
            <w:tcW w:w="828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960" w:type="dxa"/>
            <w:vAlign w:val="bottom"/>
            <w:tcBorders>
              <w:bottom w:val="single" w:sz="8" w:color="023C5B"/>
            </w:tcBorders>
          </w:tcPr>
          <w:p>
            <w:pPr>
              <w:spacing w:after="0"/>
              <w:rPr>
                <w:sz w:val="3"/>
                <w:szCs w:val="3"/>
                <w:color w:val="auto"/>
              </w:rPr>
            </w:pPr>
          </w:p>
        </w:tc>
        <w:tc>
          <w:tcPr>
            <w:tcW w:w="280" w:type="dxa"/>
            <w:vAlign w:val="bottom"/>
            <w:tcBorders>
              <w:bottom w:val="single" w:sz="8" w:color="023C5B"/>
            </w:tcBorders>
          </w:tcPr>
          <w:p>
            <w:pPr>
              <w:spacing w:after="0"/>
              <w:rPr>
                <w:sz w:val="3"/>
                <w:szCs w:val="3"/>
                <w:color w:val="auto"/>
              </w:rPr>
            </w:pPr>
          </w:p>
        </w:tc>
        <w:tc>
          <w:tcPr>
            <w:tcW w:w="80" w:type="dxa"/>
            <w:vAlign w:val="bottom"/>
            <w:tcBorders>
              <w:bottom w:val="single" w:sz="8" w:color="E5EBEE"/>
            </w:tcBorders>
          </w:tcPr>
          <w:p>
            <w:pPr>
              <w:spacing w:after="0"/>
              <w:rPr>
                <w:sz w:val="3"/>
                <w:szCs w:val="3"/>
                <w:color w:val="auto"/>
              </w:rPr>
            </w:pPr>
          </w:p>
        </w:tc>
        <w:tc>
          <w:tcPr>
            <w:tcW w:w="940" w:type="dxa"/>
            <w:vAlign w:val="bottom"/>
            <w:tcBorders>
              <w:bottom w:val="single" w:sz="8" w:color="023C5B"/>
            </w:tcBorders>
          </w:tcPr>
          <w:p>
            <w:pPr>
              <w:spacing w:after="0"/>
              <w:rPr>
                <w:sz w:val="3"/>
                <w:szCs w:val="3"/>
                <w:color w:val="auto"/>
              </w:rPr>
            </w:pPr>
          </w:p>
        </w:tc>
        <w:tc>
          <w:tcPr>
            <w:tcW w:w="300" w:type="dxa"/>
            <w:vAlign w:val="bottom"/>
            <w:tcBorders>
              <w:bottom w:val="single" w:sz="8" w:color="023C5B"/>
            </w:tcBorders>
          </w:tcPr>
          <w:p>
            <w:pPr>
              <w:spacing w:after="0"/>
              <w:rPr>
                <w:sz w:val="3"/>
                <w:szCs w:val="3"/>
                <w:color w:val="auto"/>
              </w:rPr>
            </w:pPr>
          </w:p>
        </w:tc>
        <w:tc>
          <w:tcPr>
            <w:tcW w:w="20" w:type="dxa"/>
            <w:vAlign w:val="bottom"/>
            <w:tcBorders>
              <w:bottom w:val="single" w:sz="8" w:color="E5EBEE"/>
            </w:tcBorders>
          </w:tcPr>
          <w:p>
            <w:pPr>
              <w:spacing w:after="0"/>
              <w:rPr>
                <w:sz w:val="3"/>
                <w:szCs w:val="3"/>
                <w:color w:val="auto"/>
              </w:rPr>
            </w:pPr>
          </w:p>
        </w:tc>
      </w:tr>
      <w:tr>
        <w:trPr>
          <w:trHeight w:val="268"/>
        </w:trPr>
        <w:tc>
          <w:tcPr>
            <w:tcW w:w="834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b w:val="1"/>
                <w:bCs w:val="1"/>
                <w:color w:val="auto"/>
              </w:rPr>
              <w:t>Total Fees</w:t>
            </w:r>
          </w:p>
        </w:tc>
        <w:tc>
          <w:tcPr>
            <w:tcW w:w="960" w:type="dxa"/>
            <w:vAlign w:val="bottom"/>
            <w:tcBorders>
              <w:bottom w:val="single" w:sz="8" w:color="E5EBEE"/>
            </w:tcBorders>
            <w:shd w:val="clear" w:color="auto" w:fill="E5EBEE"/>
          </w:tcPr>
          <w:p>
            <w:pPr>
              <w:jc w:val="center"/>
              <w:ind w:left="272"/>
              <w:spacing w:after="0"/>
              <w:rPr>
                <w:sz w:val="20"/>
                <w:szCs w:val="20"/>
                <w:color w:val="auto"/>
              </w:rPr>
            </w:pPr>
            <w:r>
              <w:rPr>
                <w:rFonts w:ascii="Arial" w:cs="Arial" w:eastAsia="Arial" w:hAnsi="Arial"/>
                <w:sz w:val="18"/>
                <w:szCs w:val="18"/>
                <w:b w:val="1"/>
                <w:bCs w:val="1"/>
                <w:color w:val="auto"/>
                <w:w w:val="82"/>
              </w:rPr>
              <w:t>$27.49 </w:t>
            </w:r>
          </w:p>
        </w:tc>
        <w:tc>
          <w:tcPr>
            <w:tcW w:w="360" w:type="dxa"/>
            <w:vAlign w:val="bottom"/>
            <w:tcBorders>
              <w:bottom w:val="single" w:sz="8" w:color="E5EBEE"/>
            </w:tcBorders>
            <w:gridSpan w:val="2"/>
            <w:shd w:val="clear" w:color="auto" w:fill="E5EBEE"/>
          </w:tcPr>
          <w:p>
            <w:pPr>
              <w:ind w:left="120"/>
              <w:spacing w:after="0"/>
              <w:rPr>
                <w:sz w:val="20"/>
                <w:szCs w:val="20"/>
                <w:color w:val="auto"/>
              </w:rPr>
            </w:pPr>
            <w:r>
              <w:rPr>
                <w:rFonts w:ascii="Arial" w:cs="Arial" w:eastAsia="Arial" w:hAnsi="Arial"/>
                <w:sz w:val="18"/>
                <w:szCs w:val="18"/>
                <w:b w:val="1"/>
                <w:bCs w:val="1"/>
                <w:color w:val="auto"/>
              </w:rPr>
              <w:t> </w:t>
            </w:r>
          </w:p>
        </w:tc>
        <w:tc>
          <w:tcPr>
            <w:tcW w:w="940" w:type="dxa"/>
            <w:vAlign w:val="bottom"/>
            <w:tcBorders>
              <w:bottom w:val="single" w:sz="8" w:color="E5EBEE"/>
            </w:tcBorders>
            <w:shd w:val="clear" w:color="auto" w:fill="E5EBEE"/>
          </w:tcPr>
          <w:p>
            <w:pPr>
              <w:jc w:val="center"/>
              <w:ind w:left="252"/>
              <w:spacing w:after="0"/>
              <w:rPr>
                <w:sz w:val="20"/>
                <w:szCs w:val="20"/>
                <w:color w:val="auto"/>
              </w:rPr>
            </w:pPr>
            <w:r>
              <w:rPr>
                <w:rFonts w:ascii="Arial" w:cs="Arial" w:eastAsia="Arial" w:hAnsi="Arial"/>
                <w:sz w:val="18"/>
                <w:szCs w:val="18"/>
                <w:b w:val="1"/>
                <w:bCs w:val="1"/>
                <w:color w:val="auto"/>
                <w:w w:val="82"/>
              </w:rPr>
              <w:t>$16.06 </w:t>
            </w:r>
          </w:p>
        </w:tc>
        <w:tc>
          <w:tcPr>
            <w:tcW w:w="320" w:type="dxa"/>
            <w:vAlign w:val="bottom"/>
            <w:tcBorders>
              <w:bottom w:val="single" w:sz="8" w:color="E5EBEE"/>
            </w:tcBorders>
            <w:gridSpan w:val="2"/>
            <w:shd w:val="clear" w:color="auto" w:fill="E5EBEE"/>
          </w:tcPr>
          <w:p>
            <w:pPr>
              <w:ind w:left="120"/>
              <w:spacing w:after="0"/>
              <w:rPr>
                <w:sz w:val="20"/>
                <w:szCs w:val="20"/>
                <w:color w:val="auto"/>
              </w:rPr>
            </w:pPr>
            <w:r>
              <w:rPr>
                <w:rFonts w:ascii="Arial" w:cs="Arial" w:eastAsia="Arial" w:hAnsi="Arial"/>
                <w:sz w:val="18"/>
                <w:szCs w:val="18"/>
                <w:b w:val="1"/>
                <w:bCs w:val="1"/>
                <w:color w:val="auto"/>
              </w:rPr>
              <w:t> </w:t>
            </w:r>
          </w:p>
        </w:tc>
      </w:tr>
      <w:tr>
        <w:trPr>
          <w:trHeight w:val="20"/>
        </w:trPr>
        <w:tc>
          <w:tcPr>
            <w:tcW w:w="8280" w:type="dxa"/>
            <w:vAlign w:val="bottom"/>
            <w:shd w:val="clear" w:color="auto" w:fill="023C5B"/>
          </w:tcPr>
          <w:p>
            <w:pPr>
              <w:spacing w:after="0" w:line="20" w:lineRule="exact"/>
              <w:rPr>
                <w:sz w:val="1"/>
                <w:szCs w:val="1"/>
                <w:color w:val="auto"/>
              </w:rPr>
            </w:pPr>
          </w:p>
        </w:tc>
        <w:tc>
          <w:tcPr>
            <w:tcW w:w="60" w:type="dxa"/>
            <w:vAlign w:val="bottom"/>
            <w:shd w:val="clear" w:color="auto" w:fill="023C5B"/>
          </w:tcPr>
          <w:p>
            <w:pPr>
              <w:spacing w:after="0" w:line="20" w:lineRule="exact"/>
              <w:rPr>
                <w:sz w:val="1"/>
                <w:szCs w:val="1"/>
                <w:color w:val="auto"/>
              </w:rPr>
            </w:pPr>
          </w:p>
        </w:tc>
        <w:tc>
          <w:tcPr>
            <w:tcW w:w="960" w:type="dxa"/>
            <w:vAlign w:val="bottom"/>
            <w:shd w:val="clear" w:color="auto" w:fill="023C5B"/>
          </w:tcPr>
          <w:p>
            <w:pPr>
              <w:spacing w:after="0" w:line="20" w:lineRule="exact"/>
              <w:rPr>
                <w:sz w:val="1"/>
                <w:szCs w:val="1"/>
                <w:color w:val="auto"/>
              </w:rPr>
            </w:pPr>
          </w:p>
        </w:tc>
        <w:tc>
          <w:tcPr>
            <w:tcW w:w="280" w:type="dxa"/>
            <w:vAlign w:val="bottom"/>
            <w:shd w:val="clear" w:color="auto" w:fill="023C5B"/>
          </w:tcPr>
          <w:p>
            <w:pPr>
              <w:spacing w:after="0" w:line="20" w:lineRule="exact"/>
              <w:rPr>
                <w:sz w:val="1"/>
                <w:szCs w:val="1"/>
                <w:color w:val="auto"/>
              </w:rPr>
            </w:pPr>
          </w:p>
        </w:tc>
        <w:tc>
          <w:tcPr>
            <w:tcW w:w="80" w:type="dxa"/>
            <w:vAlign w:val="bottom"/>
            <w:shd w:val="clear" w:color="auto" w:fill="023C5B"/>
          </w:tcPr>
          <w:p>
            <w:pPr>
              <w:spacing w:after="0" w:line="20" w:lineRule="exact"/>
              <w:rPr>
                <w:sz w:val="1"/>
                <w:szCs w:val="1"/>
                <w:color w:val="auto"/>
              </w:rPr>
            </w:pPr>
          </w:p>
        </w:tc>
        <w:tc>
          <w:tcPr>
            <w:tcW w:w="940" w:type="dxa"/>
            <w:vAlign w:val="bottom"/>
            <w:shd w:val="clear" w:color="auto" w:fill="023C5B"/>
          </w:tcPr>
          <w:p>
            <w:pPr>
              <w:spacing w:after="0" w:line="20" w:lineRule="exact"/>
              <w:rPr>
                <w:sz w:val="1"/>
                <w:szCs w:val="1"/>
                <w:color w:val="auto"/>
              </w:rPr>
            </w:pPr>
          </w:p>
        </w:tc>
        <w:tc>
          <w:tcPr>
            <w:tcW w:w="300" w:type="dxa"/>
            <w:vAlign w:val="bottom"/>
            <w:shd w:val="clear" w:color="auto" w:fill="023C5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-789305</wp:posOffset>
            </wp:positionV>
            <wp:extent cx="1706880" cy="789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706880" cy="789940"/>
                    </a:xfrm>
                    <a:prstGeom prst="rect">
                      <a:avLst/>
                    </a:prstGeom>
                    <a:noFill/>
                  </pic:spPr>
                </pic:pic>
              </a:graphicData>
            </a:graphic>
          </wp:anchor>
        </w:drawing>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Description of Fees</w:t>
      </w:r>
    </w:p>
    <w:p>
      <w:pPr>
        <w:spacing w:after="0" w:line="22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“Audit Fees” include fees for the audit of our annual financial statements, the review of unaudited interim financial information included in our quarterly reports on Form 10-Q, and services that normally would be provided by the independent registered public accounting firm in connection with statutory and regulatory filings or engagements and that generally only the independent registered public accounting firm can provide. In addition to fees for an audit or review in accordance with generally accepted auditing standards, this category contains fees for comfort letters, statutory and subsidiary audits, consents, and assistance with and review of documents filed with the SEC. “Audit-Related Fees” include fees related to assurance and associated services that are reasonably related to the performance of the audit or review of our financial statements and traditionally are performed by the independent registered public accounting firm, such as: compliance testing and reporting; internal control reviews; attestation services that are not required by statute or regulation; and agreed upon</w:t>
      </w:r>
    </w:p>
    <w:p>
      <w:pPr>
        <w:spacing w:after="0" w:line="113" w:lineRule="exact"/>
        <w:rPr>
          <w:sz w:val="20"/>
          <w:szCs w:val="20"/>
          <w:color w:val="auto"/>
        </w:rPr>
      </w:pPr>
    </w:p>
    <w:p>
      <w:pPr>
        <w:ind w:left="5520"/>
        <w:spacing w:after="0"/>
        <w:tabs>
          <w:tab w:leader="none" w:pos="862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-111760</wp:posOffset>
            </wp:positionV>
            <wp:extent cx="8255" cy="1784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right="3800"/>
        <w:spacing w:after="0" w:line="292" w:lineRule="auto"/>
        <w:rPr>
          <w:sz w:val="20"/>
          <w:szCs w:val="20"/>
          <w:color w:val="auto"/>
        </w:rPr>
      </w:pPr>
      <w:r>
        <w:rPr>
          <w:rFonts w:ascii="Arial" w:cs="Arial" w:eastAsia="Arial" w:hAnsi="Arial"/>
          <w:sz w:val="16"/>
          <w:szCs w:val="16"/>
          <w:b w:val="1"/>
          <w:bCs w:val="1"/>
          <w:color w:val="023C5B"/>
        </w:rPr>
        <w:t>Section X - Ratification of the Selection of Ernst &amp; Young LLP as Our Independent Registered Public Accounting Firm for 2026 (Item 3 on Proxy Card)</w:t>
      </w:r>
    </w:p>
    <w:p>
      <w:pPr>
        <w:spacing w:after="0" w:line="69"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procedure reports. “Tax Fees” include fees for corporate and subsidiary tax compliance services. “All Other Fees” include fees for services that are not defined as Audit, Audit-Related, or Tax and are not specifically prohibited by the SEC. Our increase in fees in 2025 is primarily due to the Discover Transaction.</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Audit Committee Fee Approval Procedures</w:t>
      </w:r>
    </w:p>
    <w:p>
      <w:pPr>
        <w:spacing w:after="0" w:line="22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Audit Committee is responsible for approving all fees and terms of engagement for audit, audit-related, and permissible non-audit services provided by Ernst &amp; Young. The Audit Committee has reviewed the fees paid to Ernst &amp; Young and has considered whether the fees paid for non-Audit services are compatible with maintaining Ernst &amp; Young’s independence. The Audit Committee also adopted policies and procedures to approve services provided by Ernst &amp; Young in accordance with the Sarbanes-Oxley Act and rules of the SEC promulgated thereunder. These policies and procedures involve annual pre-approval by the Audit Committee of the types of services to be provided by Ernst &amp; Young. Any service engagements that exceed these pre-approved limits must be submitted to the Audit Committee for specific pre-approval. If the actual expenditure for pre-approved services is anticipated to exceed, or exceeds, the pre-approved cost levels by more than $50,000, the incremental amount requires separate approval by the Audit Committee. In 2025, all the Audit and Audit-Related Fees and related services were pre-approved by the Audit Committee pursuant to the policies and procedures described above. Under the policy adopted by the Audit Committee, Tax Fees are limited to 25% of combined Audit and Audit-Related Fees, and services that would fall under the category “All Other Fees” are prohibited.</w:t>
      </w:r>
    </w:p>
    <w:p>
      <w:pPr>
        <w:spacing w:after="0" w:line="182"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color w:val="auto"/>
        </w:rPr>
        <w:t>One or more representatives of Ernst &amp; Young are expected to be present at the 2026 Annual Stockholder Meeting. They will have the opportunity to make a statement if they desire to do so and will be available to respond to appropriate questions from stockholders.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p>
      <w:pPr>
        <w:jc w:val="center"/>
        <w:ind w:left="480" w:right="140"/>
        <w:spacing w:after="0" w:line="277" w:lineRule="auto"/>
        <w:rPr>
          <w:sz w:val="20"/>
          <w:szCs w:val="20"/>
          <w:color w:val="auto"/>
        </w:rPr>
      </w:pPr>
      <w:r>
        <w:rPr>
          <w:rFonts w:ascii="Arial" w:cs="Arial" w:eastAsia="Arial" w:hAnsi="Arial"/>
          <w:sz w:val="18"/>
          <w:szCs w:val="18"/>
          <w:b w:val="1"/>
          <w:bCs w:val="1"/>
          <w:color w:val="auto"/>
        </w:rPr>
        <w:t>The Board unanimously recommends that you vote “FOR” the ratification of Ernst &amp; Young LLP as Capital One’s independent registered public accounting firm for 2026.</w:t>
      </w:r>
    </w:p>
    <w:p>
      <w:pPr>
        <w:spacing w:after="0" w:line="63"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0920"/>
        <w:spacing w:after="0"/>
        <w:rPr>
          <w:sz w:val="20"/>
          <w:szCs w:val="20"/>
          <w:color w:val="auto"/>
        </w:rPr>
      </w:pPr>
      <w:r>
        <w:rPr>
          <w:rFonts w:ascii="Arial" w:cs="Arial" w:eastAsia="Arial" w:hAnsi="Arial"/>
          <w:sz w:val="16"/>
          <w:szCs w:val="16"/>
          <w:b w:val="1"/>
          <w:bCs w:val="1"/>
          <w:color w:val="023C5B"/>
        </w:rPr>
        <w:t> </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XI -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69297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76"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Roles and Responsibilities of the Audit Committee</w:t>
      </w:r>
    </w:p>
    <w:p>
      <w:pPr>
        <w:spacing w:after="0" w:line="114"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In accordance with its charter, the Audit Committee assists the Board in fulfilling its obligations with respect to the items listed in “Committee Responsibilities” on page 42. Our Audit Committee is composed of five Board members. Each member of the Audit Committee is “financially literate” in the judgment of the Board. No member of the Audit Committee simultaneously serves on the audit committees of more than three public companies, including that of Capital One.</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Audit Committee Policies and Procedures</w:t>
      </w:r>
    </w:p>
    <w:p>
      <w:pPr>
        <w:spacing w:after="0" w:line="154"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Audit Committee has implemented procedures to enable it to devote the attention it deems appropriate to each of the matters assigned to it under its charter, including candid communications with management and Ernst &amp; Young, Capital One’s independent registered public accounting firm, to discuss new auditing standards and emerging audit-related issues. In carrying out its responsibilities, the Audit Committee met a total of nine times during 2025. Pursuant to Capital One’s Corporate Governance Guidelines and applicable law, the Audit Committee is comprised solely of independent directors.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Required Communications with Ernst &amp; Young</w:t>
      </w:r>
    </w:p>
    <w:p>
      <w:pPr>
        <w:spacing w:after="0" w:line="15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In discharging its oversight responsibility throughout the year, the Audit Committee proactively engaged with management and Ernst &amp; Young on matters relating to Capital One’s financial reporting. The Audit Committee has reviewed and discussed Capital One’s audited financial statements for the fiscal year ended December 31, 2025, and the assessment of the effectiveness of Capital One’s internal control over financial reporting, with management and Ernst &amp; Young. The Audit Committee has also discussed with Ernst &amp; Young the applicable requirements of the Public Company Accounting Oversight Board and the SEC. In addition, the Audit Committee has received the written disclosures and the letter from Ernst &amp; Young required by the Public Company Accounting Oversight Board regarding Ernst &amp; Young’s communications with the Audit Committee concerning independence and has discussed with Ernst &amp; Young their independence from Capital One.</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Audit Committee Recommendations</w:t>
      </w:r>
    </w:p>
    <w:p>
      <w:pPr>
        <w:spacing w:after="0" w:line="14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Based on its review and discussions with management and Ernst &amp; Young, the Audit Committee has recommended to the Board the inclusion of the audited financial statements in Capital One’s Annual Report on Form 10-K for the fiscal year ended December 31, 2025, for filing with the SEC.</w:t>
      </w:r>
    </w:p>
    <w:p>
      <w:pPr>
        <w:spacing w:after="0" w:line="105" w:lineRule="exact"/>
        <w:rPr>
          <w:sz w:val="20"/>
          <w:szCs w:val="20"/>
          <w:color w:val="auto"/>
        </w:rPr>
      </w:pPr>
    </w:p>
    <w:p>
      <w:pPr>
        <w:ind w:left="160"/>
        <w:spacing w:after="0"/>
        <w:tabs>
          <w:tab w:leader="none" w:pos="2100" w:val="left"/>
        </w:tabs>
        <w:rPr>
          <w:sz w:val="20"/>
          <w:szCs w:val="20"/>
          <w:color w:val="auto"/>
        </w:rPr>
      </w:pPr>
      <w:r>
        <w:rPr>
          <w:rFonts w:ascii="Arial" w:cs="Arial" w:eastAsia="Arial" w:hAnsi="Arial"/>
          <w:sz w:val="18"/>
          <w:szCs w:val="18"/>
          <w:color w:val="auto"/>
        </w:rPr>
        <w:t>The Audit Committee:</w:t>
      </w:r>
      <w:r>
        <w:rPr>
          <w:sz w:val="20"/>
          <w:szCs w:val="20"/>
          <w:color w:val="auto"/>
        </w:rPr>
        <w:tab/>
      </w:r>
      <w:r>
        <w:rPr>
          <w:rFonts w:ascii="Arial" w:cs="Arial" w:eastAsia="Arial" w:hAnsi="Arial"/>
          <w:sz w:val="17"/>
          <w:szCs w:val="17"/>
          <w:color w:val="auto"/>
        </w:rPr>
        <w:t>Eileen Serra (Chair and Audit Committee Financial Expert)</w:t>
      </w:r>
    </w:p>
    <w:p>
      <w:pPr>
        <w:spacing w:after="0" w:line="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Eli Leenaars (Audit Committee Financial Expert)</w:t>
      </w:r>
    </w:p>
    <w:p>
      <w:pPr>
        <w:ind w:left="2120"/>
        <w:spacing w:after="0" w:line="232" w:lineRule="auto"/>
        <w:rPr>
          <w:sz w:val="20"/>
          <w:szCs w:val="20"/>
          <w:color w:val="auto"/>
        </w:rPr>
      </w:pPr>
      <w:r>
        <w:rPr>
          <w:rFonts w:ascii="Arial" w:cs="Arial" w:eastAsia="Arial" w:hAnsi="Arial"/>
          <w:sz w:val="18"/>
          <w:szCs w:val="18"/>
          <w:color w:val="auto"/>
        </w:rPr>
        <w:t>Christine Detrick (Audit Committee Financial Expert)</w:t>
      </w:r>
    </w:p>
    <w:p>
      <w:pPr>
        <w:ind w:left="2120"/>
        <w:spacing w:after="0" w:line="233" w:lineRule="auto"/>
        <w:rPr>
          <w:sz w:val="20"/>
          <w:szCs w:val="20"/>
          <w:color w:val="auto"/>
        </w:rPr>
      </w:pPr>
      <w:r>
        <w:rPr>
          <w:rFonts w:ascii="Arial" w:cs="Arial" w:eastAsia="Arial" w:hAnsi="Arial"/>
          <w:sz w:val="18"/>
          <w:szCs w:val="18"/>
          <w:color w:val="auto"/>
        </w:rPr>
        <w:t>Suni P. Harford (Audit Committee Financial Expert)</w:t>
      </w:r>
    </w:p>
    <w:p>
      <w:pPr>
        <w:ind w:left="2120"/>
        <w:spacing w:after="0"/>
        <w:rPr>
          <w:sz w:val="20"/>
          <w:szCs w:val="20"/>
          <w:color w:val="auto"/>
        </w:rPr>
      </w:pPr>
      <w:r>
        <w:rPr>
          <w:rFonts w:ascii="Arial" w:cs="Arial" w:eastAsia="Arial" w:hAnsi="Arial"/>
          <w:sz w:val="18"/>
          <w:szCs w:val="18"/>
          <w:color w:val="auto"/>
        </w:rPr>
        <w:t>J. Michael Shepherd (Audit Committee Financial Expert)</w:t>
      </w:r>
    </w:p>
    <w:p>
      <w:pPr>
        <w:spacing w:after="0" w:line="13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foregoing Report of the Audit Committee shall not be deemed to be soliciting material or filed with the SEC and is not incorporated by reference into any of Capital One’s previous or future filings with the SEC, except as otherwise explicitly specified by Capital One in any such filing.</w:t>
      </w:r>
    </w:p>
    <w:p>
      <w:pPr>
        <w:spacing w:after="0" w:line="105" w:lineRule="exact"/>
        <w:rPr>
          <w:sz w:val="20"/>
          <w:szCs w:val="20"/>
          <w:color w:val="auto"/>
        </w:rPr>
      </w:pPr>
    </w:p>
    <w:p>
      <w:pPr>
        <w:ind w:left="5520"/>
        <w:spacing w:after="0"/>
        <w:tabs>
          <w:tab w:leader="none" w:pos="862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-111760</wp:posOffset>
            </wp:positionV>
            <wp:extent cx="8255" cy="1784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XII - Stockholder Proposal (Item 4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69297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71" w:lineRule="exact"/>
        <w:rPr>
          <w:sz w:val="20"/>
          <w:szCs w:val="20"/>
          <w:color w:val="auto"/>
        </w:rPr>
      </w:pPr>
    </w:p>
    <w:p>
      <w:pPr>
        <w:ind w:left="160" w:right="1000"/>
        <w:spacing w:after="0" w:line="282" w:lineRule="auto"/>
        <w:rPr>
          <w:sz w:val="20"/>
          <w:szCs w:val="20"/>
          <w:color w:val="auto"/>
        </w:rPr>
      </w:pPr>
      <w:r>
        <w:rPr>
          <w:rFonts w:ascii="Arial" w:cs="Arial" w:eastAsia="Arial" w:hAnsi="Arial"/>
          <w:sz w:val="29"/>
          <w:szCs w:val="29"/>
          <w:b w:val="1"/>
          <w:bCs w:val="1"/>
          <w:color w:val="023C5B"/>
        </w:rPr>
        <w:t>Stockholder Proposal Requesting Shareholder Approval Requirement for Excessive Golden Parachutes (Item 4 on Proxy Card)</w:t>
      </w:r>
    </w:p>
    <w:p>
      <w:pPr>
        <w:spacing w:after="0" w:line="114" w:lineRule="exact"/>
        <w:rPr>
          <w:sz w:val="20"/>
          <w:szCs w:val="20"/>
          <w:color w:val="auto"/>
        </w:rPr>
      </w:pPr>
    </w:p>
    <w:p>
      <w:pPr>
        <w:jc w:val="both"/>
        <w:ind w:left="160" w:right="20"/>
        <w:spacing w:after="0" w:line="247" w:lineRule="auto"/>
        <w:rPr>
          <w:sz w:val="20"/>
          <w:szCs w:val="20"/>
          <w:color w:val="auto"/>
        </w:rPr>
      </w:pPr>
      <w:r>
        <w:rPr>
          <w:rFonts w:ascii="Arial" w:cs="Arial" w:eastAsia="Arial" w:hAnsi="Arial"/>
          <w:sz w:val="18"/>
          <w:szCs w:val="18"/>
          <w:i w:val="1"/>
          <w:iCs w:val="1"/>
          <w:color w:val="auto"/>
        </w:rPr>
        <w:t>Capital One has been notified that John Chevedden, 2215 Nelson Avenue, No. 205, Redondo Beach, CA 90278, intends to present a proposal for consideration at the 2026 Annual Stockholder Meeting (“Stockholder Proposal”). Mr. Chevedden has submitted documentation indicating that he is the beneficial owner of no fewer than 100 shares of Capital One common stock.</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Stockholder Proposal</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resolution being submitted by Mr. Chevedden to the stockholders for approval, if properly presented, is as follows:</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4 — Shareholder Approval Requirement for Excessive Golden Parachutes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160655</wp:posOffset>
            </wp:positionV>
            <wp:extent cx="1766570" cy="36512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766570" cy="36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Shareholders request that the Board seek shareholder approval of any senior manager’s new or renewed pay package that provides for severance or termination payments with an estimated value exceeding 2.99 times the sum of the executive’s base salary plus target short-term bonus. This proposal only applies to the Named Executive Officers. This provision shall at least be included in the Governess Guidelines of the Company or similar document.</w:t>
      </w:r>
    </w:p>
    <w:p>
      <w:pPr>
        <w:spacing w:after="0" w:line="17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“Severance or termination payments” include cash, equity or other pay that is paid out or vests due to a senior executive’s termination for any reason. Payments include those provided under employment agreements, severance plans, and change-in-control clauses in long-term equity plans, but not life insurance, pension benefits, or deferred compensation earned and vested prior to termination.</w:t>
      </w:r>
    </w:p>
    <w:p>
      <w:pPr>
        <w:spacing w:after="0" w:line="172"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“Estimated total value” includes: lump-sum payments; payments offsetting tax liabilities, perquisites or benefits not vested under a plan generally available to management employees, post-employment consulting fees or office expense and equity awards if vesting is accelerated, or a performance condition waived, due to termination.</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shall retain the option to seek shareholder approval after material terms are agreed upon.</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This proposal topic received 44%-support at the 2025 Capital One Financial annual meeting without any special effort by the proponent. This 44% support likely represented more than 50% support from the COF shareholders who have access to independent proxy voting advice and who are the most informed COF shareholders to cast ballots. COF has not indicted to the proponent that COF will make even the most minor effort at reform.</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This proposal topic also received between 51% and 65% support at:</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FedEx (FDX)</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Spirit AeroSystems (SPR)</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Alaska Air (ALK)</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AbbVie (ABBV)</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Fiserv (FISV)</w:t>
      </w:r>
    </w:p>
    <w:p>
      <w:pPr>
        <w:spacing w:after="0" w:line="133"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6700"/>
        <w:spacing w:after="0"/>
        <w:rPr>
          <w:sz w:val="20"/>
          <w:szCs w:val="20"/>
          <w:color w:val="auto"/>
        </w:rPr>
      </w:pPr>
      <w:r>
        <w:rPr>
          <w:rFonts w:ascii="Arial" w:cs="Arial" w:eastAsia="Arial" w:hAnsi="Arial"/>
          <w:sz w:val="16"/>
          <w:szCs w:val="16"/>
          <w:b w:val="1"/>
          <w:bCs w:val="1"/>
          <w:color w:val="023C5B"/>
        </w:rPr>
        <w:t>Section XII - Stockholder Proposal (Item 4 on Proxy Card)</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It is especially important for shareholder oversight of executive pay when there are areas of concern regarding COF performance:</w:t>
      </w:r>
    </w:p>
    <w:p>
      <w:pPr>
        <w:spacing w:after="0" w:line="20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U.S. Consumer Financial Protection Bureau (CFPB) sued Capital One, alleging that COF illegally cheated customers out of billions in interest payments on its “high interest” savings accounts.</w:t>
      </w:r>
    </w:p>
    <w:p>
      <w:pPr>
        <w:spacing w:after="0" w:line="15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In October, a coalition of 18 states challenged Capital One’s proposed $425 million settlement with depositors regarding deceptive practices related to savings account interest rates.</w:t>
      </w:r>
    </w:p>
    <w:p>
      <w:pPr>
        <w:spacing w:after="0" w:line="15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Capital One also faced a lawsuit from the New York Attorney General regarding the Zelle app, alleging insufficient safety measures that allowed fraudsters to steal over $1 billion from consumers.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Provisions for credit losses surged by 82% year-over-year in the first nine months of 2025,</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its second-quarter 2025 earnings report, Capital One reported a net loss of -$4 billion</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Capital One anticipated higher integration costs for the Discover acquisition than initially estimated.</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Please vote yes:</w:t>
      </w:r>
    </w:p>
    <w:p>
      <w:pPr>
        <w:spacing w:after="0" w:line="20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Shareholder Approval Requirement for Excessive Golden Parachutes — Proposal 4</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023C5B"/>
        </w:rPr>
        <w:t>Statement in Opposition to the Stockholder Proposal</w:t>
      </w:r>
    </w:p>
    <w:p>
      <w:pPr>
        <w:spacing w:after="0" w:line="14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Our Board has carefully considered this proposal and concluded that its adoption is not necessary and is not in the best interests of our stockholders. The Company has adopted a policy to seek stockholder ratification of cash severance payments in excess of 2.99 times the sum of base salary and annual target bonus, and the Company’s severance and termination practices are reasonable, appropriate, market competitive, and include important stockholder protections. The proposal would harm stockholders by placing the Company at a significant disadvantage in attracting and retaining talented executives, and would limit long-term equity incentive awards that are important to aligning executive compensation to long-term shareholder value. Moreover, our stockholders already have a meaningful voice on executive compensation.</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Accordingly, the Board unanimously recommends that you vote “AGAINST” the Stockholder Proposal.</w:t>
      </w:r>
    </w:p>
    <w:p>
      <w:pPr>
        <w:spacing w:after="0" w:line="208" w:lineRule="exact"/>
        <w:rPr>
          <w:sz w:val="20"/>
          <w:szCs w:val="20"/>
          <w:color w:val="auto"/>
        </w:rPr>
      </w:pPr>
    </w:p>
    <w:p>
      <w:pPr>
        <w:jc w:val="both"/>
        <w:ind w:left="160" w:right="20"/>
        <w:spacing w:after="0" w:line="277" w:lineRule="auto"/>
        <w:rPr>
          <w:sz w:val="20"/>
          <w:szCs w:val="20"/>
          <w:color w:val="auto"/>
        </w:rPr>
      </w:pPr>
      <w:r>
        <w:rPr>
          <w:rFonts w:ascii="Arial" w:cs="Arial" w:eastAsia="Arial" w:hAnsi="Arial"/>
          <w:sz w:val="18"/>
          <w:szCs w:val="18"/>
          <w:b w:val="1"/>
          <w:bCs w:val="1"/>
          <w:color w:val="auto"/>
        </w:rPr>
        <w:t>The Company already has a Cash Severance Policy that requires stockholder ratification of cash severance payments to Named Executive Officers in excess of 2.99 times the sum of base salary and annual target bonus.</w:t>
      </w:r>
    </w:p>
    <w:p>
      <w:pPr>
        <w:spacing w:after="0" w:line="137"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Effective March 1, 2026, the Compensation Committee and the Board adopted the Executive Officer Cash Severance Policy (the “Cash Severance Policy”) requiring stockholder ratification of any new employment, severance, or separation agreement with an NEO, or the establishment of any new severance plan or policy covering NEOs, that provides for “cash severance benefits” exceeding 2.99 times the sum of the NEO’s “base salary” and annual cash “target bonus” (as such terms are defined under the Cash Severance Policy). Cash severance benefits generally include any cash payments in respect of the termination of the NEO’s employment, and exclude payments in connection with equity-based awards, accrued compensation and benefits earned through the date of termination (such as pro-rated short-term incentive compensation), and post-termination benefits. For more details, see “Executive Cash Severance Policy” beginning on page 94, “Change of Control Plan” beginning on page 93 and “Post-Employment Compensation Practices” beginning on page 94.</w:t>
      </w:r>
    </w:p>
    <w:p>
      <w:pPr>
        <w:spacing w:after="0" w:line="184"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terms of the Company’s Cash Severance Policy are more appropriate than the terms requested in the proposal, as the Company’s Cash Severance Policy is thoughtfully tailored to our existing stockholder-approved compensation and equity programs, our business, and the market for talent in which we compete. Our Cash Severance Policy provides reasonable and market-aligned limitations on severance payments, while enabling the</w:t>
      </w:r>
    </w:p>
    <w:p>
      <w:pPr>
        <w:spacing w:after="0" w:line="111" w:lineRule="exact"/>
        <w:rPr>
          <w:sz w:val="20"/>
          <w:szCs w:val="20"/>
          <w:color w:val="auto"/>
        </w:rPr>
      </w:pPr>
    </w:p>
    <w:p>
      <w:pPr>
        <w:ind w:left="5520"/>
        <w:spacing w:after="0"/>
        <w:tabs>
          <w:tab w:leader="none" w:pos="862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-111760</wp:posOffset>
            </wp:positionV>
            <wp:extent cx="8255" cy="1784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XII - Stockholder Proposal (Item 4 on Proxy Card)</w:t>
      </w:r>
    </w:p>
    <w:p>
      <w:pPr>
        <w:spacing w:after="0" w:line="14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Company to attract and retain talent. The Company operates a global enterprise in a highly competitive business environment, and competes for talented executives with many of the world’s largest companies across business sectors. The proposal would harm stockholders by placing the Company at a significant disadvantage in attracting and retaining talented executives.</w:t>
      </w:r>
    </w:p>
    <w:p>
      <w:pPr>
        <w:spacing w:after="0" w:line="172" w:lineRule="exact"/>
        <w:rPr>
          <w:sz w:val="20"/>
          <w:szCs w:val="20"/>
          <w:color w:val="auto"/>
        </w:rPr>
      </w:pPr>
    </w:p>
    <w:p>
      <w:pPr>
        <w:ind w:left="160" w:right="80"/>
        <w:spacing w:after="0" w:line="277" w:lineRule="auto"/>
        <w:rPr>
          <w:sz w:val="20"/>
          <w:szCs w:val="20"/>
          <w:color w:val="auto"/>
        </w:rPr>
      </w:pPr>
      <w:r>
        <w:rPr>
          <w:rFonts w:ascii="Arial" w:cs="Arial" w:eastAsia="Arial" w:hAnsi="Arial"/>
          <w:sz w:val="18"/>
          <w:szCs w:val="18"/>
          <w:b w:val="1"/>
          <w:bCs w:val="1"/>
          <w:color w:val="auto"/>
        </w:rPr>
        <w:t>The Company’s Change of Control Plan and Executive Severance Plan are aligned to our peers and market practice and provide for cash severance below 2.99 times base salary plus annual target bonus.</w:t>
      </w:r>
    </w:p>
    <w:p>
      <w:pPr>
        <w:spacing w:after="0" w:line="137"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Effective March 1, 2026, the Company updated its change of control and severance arrangements, by adopting an Executive Change of Control Severance Plan (the “Change of Control Plan”) to replace individual change of control agreements with our NEOs, and amending its Executive Severance Plan. Both the Change of Control Plan and the Executive Severance Plan now calculate cash benefits in the event of an involuntary termination under specified circumstances using a multiple of base salary plus annual cash target bonus and, in all cases, the cash severance payments would fall below the 2.99 times threshold. These changes have further aligned our change of control and severance practices with those of our peers and the market. The Change of Control Plan applies to all NEOs, and the Executive Severance Plan applies to all NEOs other than the CEO. For more details, see “Change of Control Plan” beginning on page 93 and “Post-Employment Compensation Practices” beginning on page 94.</w:t>
      </w:r>
    </w:p>
    <w:p>
      <w:pPr>
        <w:spacing w:after="0" w:line="184" w:lineRule="exact"/>
        <w:rPr>
          <w:sz w:val="20"/>
          <w:szCs w:val="20"/>
          <w:color w:val="auto"/>
        </w:rPr>
      </w:pPr>
    </w:p>
    <w:p>
      <w:pPr>
        <w:ind w:left="160" w:right="160"/>
        <w:spacing w:after="0" w:line="277" w:lineRule="auto"/>
        <w:rPr>
          <w:sz w:val="20"/>
          <w:szCs w:val="20"/>
          <w:color w:val="auto"/>
        </w:rPr>
      </w:pPr>
      <w:r>
        <w:rPr>
          <w:rFonts w:ascii="Arial" w:cs="Arial" w:eastAsia="Arial" w:hAnsi="Arial"/>
          <w:sz w:val="18"/>
          <w:szCs w:val="18"/>
          <w:b w:val="1"/>
          <w:bCs w:val="1"/>
          <w:color w:val="auto"/>
        </w:rPr>
        <w:t>The proposal seeks to set limits on long-term equity incentive awards that are important to aligning executive compensation to long-term shareholder value.</w:t>
      </w:r>
    </w:p>
    <w:p>
      <w:pPr>
        <w:spacing w:after="0" w:line="137"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stockholder proposal seeks to include the value of outstanding equity awards that accelerate upon a termination event within the limitation on severance payments that can be paid without stockholder approval. Long-term equity compensation serves an important purpose to maintain alignment between management and stockholder interests and is a central part of our pay-for-performance philosophy.</w:t>
      </w:r>
    </w:p>
    <w:p>
      <w:pPr>
        <w:spacing w:after="0" w:line="17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This alignment becomes even more critical in a change of control situation. Our Change of Control Plan is designed to provide the NEOs with some certainty and allows them to remain neutral and consider a full range of strategic decisions that are focused on maximizing stockholder value. The Change of Control Plan provides that equity-based awards are subject to the treatment provided under the applicable award agreements. By retaining NEOs’ current change of control protections for their equity compensation under the approved incentive plans, our Change of Control Plan allows our businesses to operate with minimal disruption by providing the NEOs with an incentive to remain in their leadership roles up to and beyond the transaction date.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severance arrangements include important features that protect stockholder value.</w:t>
      </w:r>
    </w:p>
    <w:p>
      <w:pPr>
        <w:spacing w:after="0" w:line="20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Our Change of Control Plan and the change of control provisions in our NEO equity award agreements protect stockholders by including a “double-trigger” mechanism, meaning that the cash payments and equity vesting would occur only when (i) a change of control is consummated, and (ii) the Company terminates the executive’s employment without cause, or the executive leaves for good reason, within two years following the change of control. In addition, the Change of Control Plan protects stockholder value by not including a provision for the payment of excise taxes that may become due upon the change of control.</w:t>
      </w:r>
    </w:p>
    <w:p>
      <w:pPr>
        <w:spacing w:after="0" w:line="18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Executive Severance Plan likewise includes important protections for stockholders. In order to receive any benefits under the plan, the NEO must execute a valid release of claims against the Company. If the NEO receives severance payments under the plan, the NEO must comply with confidentiality obligations, and would be required to repay a portion of the severance payment if, among other reasons, it is subsequently determined that the NEO’s employment could have been terminated for cause.</w:t>
      </w:r>
    </w:p>
    <w:p>
      <w:pPr>
        <w:spacing w:after="0" w:line="17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Given that the Company’s existing severance and termination practices applicable to NEOs already provide reasonable, appropriate, market-competitive post-termination compensation with important stockholder protections, this proposal is unnecessary.</w:t>
      </w:r>
    </w:p>
    <w:p>
      <w:pPr>
        <w:spacing w:after="0" w:line="83"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130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6700"/>
        <w:spacing w:after="0"/>
        <w:rPr>
          <w:sz w:val="20"/>
          <w:szCs w:val="20"/>
          <w:color w:val="auto"/>
        </w:rPr>
      </w:pPr>
      <w:r>
        <w:rPr>
          <w:rFonts w:ascii="Arial" w:cs="Arial" w:eastAsia="Arial" w:hAnsi="Arial"/>
          <w:sz w:val="16"/>
          <w:szCs w:val="16"/>
          <w:b w:val="1"/>
          <w:bCs w:val="1"/>
          <w:color w:val="023C5B"/>
        </w:rPr>
        <w:t>Section XII - Stockholder Proposal (Item 4 on Proxy Card)</w:t>
      </w:r>
    </w:p>
    <w:p>
      <w:pPr>
        <w:spacing w:after="0" w:line="146" w:lineRule="exact"/>
        <w:rPr>
          <w:sz w:val="20"/>
          <w:szCs w:val="20"/>
          <w:color w:val="auto"/>
        </w:rPr>
      </w:pPr>
    </w:p>
    <w:p>
      <w:pPr>
        <w:ind w:left="160" w:right="360"/>
        <w:spacing w:after="0" w:line="277" w:lineRule="auto"/>
        <w:rPr>
          <w:sz w:val="20"/>
          <w:szCs w:val="20"/>
          <w:color w:val="auto"/>
        </w:rPr>
      </w:pPr>
      <w:r>
        <w:rPr>
          <w:rFonts w:ascii="Arial" w:cs="Arial" w:eastAsia="Arial" w:hAnsi="Arial"/>
          <w:sz w:val="18"/>
          <w:szCs w:val="18"/>
          <w:b w:val="1"/>
          <w:bCs w:val="1"/>
          <w:color w:val="auto"/>
        </w:rPr>
        <w:t>Stockholders already have a meaningful voice on executive pay, including termination and severance arrangements, and the Company has a demonstrated history of responsiveness to stockholders.</w:t>
      </w:r>
    </w:p>
    <w:p>
      <w:pPr>
        <w:spacing w:after="0" w:line="137"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To provide transparency to stockholders, we annually disclose our plans and policies governing post-employment compensation for NEOs and the potential termination benefits that may become payable to NEOs (see page 113). In addition, in each of our last three annual “Say On Pay” votes, the Company’s executive compensation programs were approved by more than 93% of the votes cast. Moreover, our equity compensation plan has been approved by our stockholders. Furthermore, in the event of a potential merger, acquisition, or other similar event, stockholders would have further opportunities to express their views on any compensation to our NEOs in connection with that transaction (including the change of control arrangements).</w:t>
      </w:r>
    </w:p>
    <w:p>
      <w:pPr>
        <w:spacing w:after="0" w:line="18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We also actively engage with our stockholders throughout the year to, among other things, provide visibility and transparency into our compensation practices and to receive feedback from stockholders regarding those practices and other governance matters. We have a demonstrated history of making changes to our compensation practices in response to this stockholder feedback.</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Board unanimously recommends that you vote “AGAINST” this Stockholder Proposal</w:t>
      </w:r>
    </w:p>
    <w:p>
      <w:pPr>
        <w:spacing w:after="0" w:line="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4 on Proxy Card).</w:t>
      </w:r>
    </w:p>
    <w:p>
      <w:pPr>
        <w:spacing w:after="0" w:line="123" w:lineRule="exact"/>
        <w:rPr>
          <w:sz w:val="20"/>
          <w:szCs w:val="20"/>
          <w:color w:val="auto"/>
        </w:rPr>
      </w:pPr>
    </w:p>
    <w:p>
      <w:pPr>
        <w:ind w:left="5520"/>
        <w:spacing w:after="0"/>
        <w:tabs>
          <w:tab w:leader="none" w:pos="862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-111760</wp:posOffset>
            </wp:positionV>
            <wp:extent cx="8255" cy="1784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 </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XIII - 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69297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71"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Other Business</w:t>
      </w:r>
    </w:p>
    <w:p>
      <w:pPr>
        <w:spacing w:after="0" w:line="22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As of the date of this proxy statement, we know of no business that will be presented for consideration at the 2026 Annual Stockholder Meeting other than the items referred to above. If other matters are properly brought before the meeting, the persons named in the accompanying proxy card will vote such proxy at their discretion.</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Annual Report to Stockholders</w:t>
      </w:r>
    </w:p>
    <w:p>
      <w:pPr>
        <w:spacing w:after="0" w:line="22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 xml:space="preserve">Our Annual Report, including consolidated financial statements, is being furnished along with this proxy statement to our stockholders of record. </w:t>
      </w:r>
      <w:r>
        <w:rPr>
          <w:rFonts w:ascii="Arial" w:cs="Arial" w:eastAsia="Arial" w:hAnsi="Arial"/>
          <w:sz w:val="18"/>
          <w:szCs w:val="18"/>
          <w:b w:val="1"/>
          <w:bCs w:val="1"/>
          <w:color w:val="auto"/>
        </w:rPr>
        <w:t>A copy of the Form 10-K may be obtained without charge at the 2026 Annual Stockholder Meeting, at our website 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www.capitalone.com under “Investors” then “Financials” then “SEC Filings,” or by contacting our Investor Relations department at Capital One’s address set forth above in the section “How to Contact Us” on page 48. </w:t>
      </w:r>
      <w:r>
        <w:rPr>
          <w:rFonts w:ascii="Arial" w:cs="Arial" w:eastAsia="Arial" w:hAnsi="Arial"/>
          <w:sz w:val="18"/>
          <w:szCs w:val="18"/>
          <w:color w:val="auto"/>
        </w:rPr>
        <w:t>The Form 10-K, which is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SEC, may also be obtained at the SEC’s website at www.sec.gov.</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23C5B"/>
        </w:rPr>
        <w:t>Stockholder Proposals for 2027 Annual Stockholder Meeting</w:t>
      </w:r>
    </w:p>
    <w:p>
      <w:pPr>
        <w:spacing w:after="0" w:line="22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To be considered for inclusion in the proxy materials for our 2027 Annual Stockholder Meeting, stockholder proposals submitted pursuant to Rule 14a-8 under the Exchange Act and stockholder director nominations submitted pursuant to the proxy access provisions of our Bylaws must be received by our Corporate Secretary at the address set forth above in the section “How to Contact Us” on page 48, no later than November 25, 2026 (and in the case of proxy access director candidates no earlier than October 26, 2026).</w:t>
      </w:r>
    </w:p>
    <w:p>
      <w:pPr>
        <w:spacing w:after="0" w:line="17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In the case of director nominations submitted pursuant to the proxy access provisions of our Bylaws, these deadlines are based on the 150th day and 120th day, respectively, before the one-year anniversary of the date that the Proxy Statement for the 2026 Annual Stockholder Meeting was first sent to stockholders (which date, for purposes of our Bylaws, is March 25, 2027). Stockholders submitting proposals pursuant to Rule 14a-8 or submitting proxy access director candidates must also satisfy other procedural and qualification requirements set forth in Rule 14a-8 and our Bylaws, respectively. The submission of a stockholder proposal or proxy access nomination does not guarantee that it will be included in our proxy statement.</w:t>
      </w:r>
    </w:p>
    <w:p>
      <w:pPr>
        <w:spacing w:after="0" w:line="18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Under our Bylaws, if you wish to present a stockholder proposal other than pursuant to Rule 14a-8 or nominate a director candidate other than pursuant to our proxy access Bylaw provisions, then to be timely for consideration at our 2027 Annual Stockholder Meeting, you must give proper written notice of such proposal and of such nomination to the Corporate Secretary no earlier than January 8, 2027, and no later than February 7, 2027. If our 2027 Annual Stockholder Meeting is held on a date that is not within 30 days before or 60 days after May 8, 2027, the anniversary date of this year’s Annual Stockholder Meeting, notice must be delivered no earlier than the 120th day prior to such annual stockholder meeting and no later than the later of the 90th day prior to such meeting or the tenth day following the day on which public announcement of the date of such meeting is first made. Your notice must include the information specified in our Bylaws concerning the proposal or nominee. Our Bylaws set forth the information that must be furnished to the Corporate Secretary for any such notice to be proper. A copy of our Bylaws may be obtained from the Corporate Secretary at Capital One’s address set forth above in the section “How to Contact Us” on page 48. In addition to complying with the advance notice provisions of our Bylaws, to nominate directors stockholders must give timely notice that complies with the additional requirements of Rule 14a-19, and which must be received no later than March 9, 2027.</w:t>
      </w:r>
    </w:p>
    <w:p>
      <w:pPr>
        <w:spacing w:after="0" w:line="114"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0920"/>
        <w:spacing w:after="0"/>
        <w:rPr>
          <w:sz w:val="20"/>
          <w:szCs w:val="20"/>
          <w:color w:val="auto"/>
        </w:rPr>
      </w:pPr>
      <w:r>
        <w:rPr>
          <w:rFonts w:ascii="Arial" w:cs="Arial" w:eastAsia="Arial" w:hAnsi="Arial"/>
          <w:sz w:val="16"/>
          <w:szCs w:val="16"/>
          <w:b w:val="1"/>
          <w:bCs w:val="1"/>
          <w:color w:val="023C5B"/>
        </w:rPr>
        <w:t> </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XIV - Frequently Asked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47625</wp:posOffset>
            </wp:positionV>
            <wp:extent cx="69297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86" w:lineRule="exact"/>
        <w:rPr>
          <w:sz w:val="20"/>
          <w:szCs w:val="20"/>
          <w:color w:val="auto"/>
        </w:rPr>
      </w:pPr>
    </w:p>
    <w:p>
      <w:pPr>
        <w:jc w:val="both"/>
        <w:ind w:left="160"/>
        <w:spacing w:after="0" w:line="264" w:lineRule="auto"/>
        <w:rPr>
          <w:sz w:val="20"/>
          <w:szCs w:val="20"/>
          <w:color w:val="auto"/>
        </w:rPr>
      </w:pPr>
      <w:r>
        <w:rPr>
          <w:rFonts w:ascii="Arial" w:cs="Arial" w:eastAsia="Arial" w:hAnsi="Arial"/>
          <w:sz w:val="20"/>
          <w:szCs w:val="20"/>
          <w:b w:val="1"/>
          <w:bCs w:val="1"/>
          <w:color w:val="023C5B"/>
        </w:rPr>
        <w:t>Why did I receive a Notice Regarding the Internet Availability of Proxy Materials?</w:t>
      </w:r>
    </w:p>
    <w:p>
      <w:pPr>
        <w:spacing w:after="0" w:line="14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Pursuant to rules of the SEC, we are furnishing the proxy materials to certain of our stockholders via the Internet instead of mailing printed copies. This process allows us to expedite our stockholders’ receipt of proxy materials, lower the costs of printing and mailing the proxy materials, and reduce the environmental impact of our 2026 Annual Stockholder Meeting. Accordingly, on March 25, 2026, we began sending our stockholders a Notice Regarding the Internet Availability of Proxy Materials. If you received a Notice, you will not receive a printed copy of the proxy materials unless you request one. The Notice provides instructions on how to access the proxy materials for the 2026 Annual Stockholder Meeting via the Internet, how to request a printed set of proxy materials, and how to vote your shares.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3C5B"/>
        </w:rPr>
        <w:t>What is the purpose of the proxy materials?</w:t>
      </w:r>
    </w:p>
    <w:p>
      <w:pPr>
        <w:spacing w:after="0" w:line="203"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Board is providing you these materials in connection with the solicitation by the Board of proxies to be voted at the 2026 Annual Stockholder Meeting. All stockholders who held shares of Capital One common stock as of the close of business on the Record Date, March 11, 2026, are entitled to attend the 2026 Annual Stockholder Meeting and to vote on the items of business outlined in this proxy statement. Whether or not you choose to attend the 2026 Annual Stockholder Meeting in person, you may vote your shares via the Internet, by telephone, or by mail.</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3C5B"/>
        </w:rPr>
        <w:t>How do I access the proxy materials?</w:t>
      </w:r>
    </w:p>
    <w:p>
      <w:pPr>
        <w:spacing w:after="0" w:line="203"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Notice provides instructions regarding how to view the proxy materials for the 2026 Annual Stockholder Meeting online. As explained in greater detail in the Notice, to view the proxy materials and to vote, you will need to visit www.proxyvote.com and have available the control number(s) contained in your Notice.</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3C5B"/>
        </w:rPr>
        <w:t>How do I request paper copies of the proxy materials?</w:t>
      </w:r>
    </w:p>
    <w:p>
      <w:pPr>
        <w:spacing w:after="0" w:line="203"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You may request paper copies of the 2026 proxy materials by following the instructions at</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both"/>
        <w:ind w:left="220"/>
        <w:spacing w:after="0" w:line="265" w:lineRule="auto"/>
        <w:rPr>
          <w:sz w:val="20"/>
          <w:szCs w:val="20"/>
          <w:color w:val="auto"/>
        </w:rPr>
      </w:pPr>
      <w:r>
        <w:rPr>
          <w:rFonts w:ascii="Arial" w:cs="Arial" w:eastAsia="Arial" w:hAnsi="Arial"/>
          <w:sz w:val="18"/>
          <w:szCs w:val="18"/>
          <w:color w:val="auto"/>
        </w:rPr>
        <w:t>www.proxyvote.com, by calling 1-800-579-1639 or by sending an e-mail to sendmaterial@proxyvote.com.</w:t>
      </w:r>
    </w:p>
    <w:p>
      <w:pPr>
        <w:spacing w:after="0" w:line="153" w:lineRule="exact"/>
        <w:rPr>
          <w:sz w:val="20"/>
          <w:szCs w:val="20"/>
          <w:color w:val="auto"/>
        </w:rPr>
      </w:pPr>
    </w:p>
    <w:p>
      <w:pPr>
        <w:jc w:val="both"/>
        <w:ind w:left="220"/>
        <w:spacing w:after="0" w:line="264" w:lineRule="auto"/>
        <w:rPr>
          <w:sz w:val="20"/>
          <w:szCs w:val="20"/>
          <w:color w:val="auto"/>
        </w:rPr>
      </w:pPr>
      <w:r>
        <w:rPr>
          <w:rFonts w:ascii="Arial" w:cs="Arial" w:eastAsia="Arial" w:hAnsi="Arial"/>
          <w:sz w:val="20"/>
          <w:szCs w:val="20"/>
          <w:b w:val="1"/>
          <w:bCs w:val="1"/>
          <w:color w:val="023C5B"/>
        </w:rPr>
        <w:t>What is the difference between a record holder and a holder of shares in street name?</w:t>
      </w:r>
    </w:p>
    <w:p>
      <w:pPr>
        <w:spacing w:after="0" w:line="141" w:lineRule="exact"/>
        <w:rPr>
          <w:sz w:val="20"/>
          <w:szCs w:val="20"/>
          <w:color w:val="auto"/>
        </w:rPr>
      </w:pPr>
    </w:p>
    <w:p>
      <w:pPr>
        <w:jc w:val="both"/>
        <w:ind w:left="220"/>
        <w:spacing w:after="0" w:line="249" w:lineRule="auto"/>
        <w:rPr>
          <w:sz w:val="20"/>
          <w:szCs w:val="20"/>
          <w:color w:val="auto"/>
        </w:rPr>
      </w:pPr>
      <w:r>
        <w:rPr>
          <w:rFonts w:ascii="Arial" w:cs="Arial" w:eastAsia="Arial" w:hAnsi="Arial"/>
          <w:sz w:val="18"/>
          <w:szCs w:val="18"/>
          <w:color w:val="auto"/>
        </w:rPr>
        <w:t>You are a record holder if you hold shares of Capital One common stock directly in your name through our transfer agent, Computershare Trust Company, N.A.</w:t>
      </w:r>
    </w:p>
    <w:p>
      <w:pPr>
        <w:spacing w:after="0" w:line="172" w:lineRule="exact"/>
        <w:rPr>
          <w:sz w:val="20"/>
          <w:szCs w:val="20"/>
          <w:color w:val="auto"/>
        </w:rPr>
      </w:pPr>
    </w:p>
    <w:p>
      <w:pPr>
        <w:jc w:val="both"/>
        <w:ind w:left="220"/>
        <w:spacing w:after="0" w:line="238" w:lineRule="auto"/>
        <w:rPr>
          <w:sz w:val="20"/>
          <w:szCs w:val="20"/>
          <w:color w:val="auto"/>
        </w:rPr>
      </w:pPr>
      <w:r>
        <w:rPr>
          <w:rFonts w:ascii="Arial" w:cs="Arial" w:eastAsia="Arial" w:hAnsi="Arial"/>
          <w:sz w:val="18"/>
          <w:szCs w:val="18"/>
          <w:color w:val="auto"/>
        </w:rPr>
        <w:t>If you hold shares of Capital One common stock through a broker, bank, trust, or other nominee, then you are a holder of shares in street name. As a result, you must instruct the broker, bank, trust, or other nominee about how to vote your shares. Under the rules of the NYSE, if you do not provide such instructions, the firm that holds your shares will have discretionary authority to vote your shares only with respect to “routine” matters, as described below.</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023C5B"/>
        </w:rPr>
        <w:t>Can I attend the 2026 Annual Stockholder Meeting?</w:t>
      </w:r>
    </w:p>
    <w:p>
      <w:pPr>
        <w:spacing w:after="0" w:line="203" w:lineRule="exact"/>
        <w:rPr>
          <w:sz w:val="20"/>
          <w:szCs w:val="20"/>
          <w:color w:val="auto"/>
        </w:rPr>
      </w:pPr>
    </w:p>
    <w:p>
      <w:pPr>
        <w:jc w:val="both"/>
        <w:ind w:left="220"/>
        <w:spacing w:after="0" w:line="234" w:lineRule="auto"/>
        <w:rPr>
          <w:sz w:val="20"/>
          <w:szCs w:val="20"/>
          <w:color w:val="auto"/>
        </w:rPr>
      </w:pPr>
      <w:r>
        <w:rPr>
          <w:rFonts w:ascii="Arial" w:cs="Arial" w:eastAsia="Arial" w:hAnsi="Arial"/>
          <w:sz w:val="18"/>
          <w:szCs w:val="18"/>
          <w:color w:val="auto"/>
        </w:rPr>
        <w:t>If you held shares of Capital One common stock as of the Record Date, you may attend the 2026 Annual Stockholder Meeting. Because seating is limited, only you may attend the meeting. Admission to the meeting is on a first-come, first-served basis. Registration begins at 9:00 a.m. You must present a valid government-issued picture identification and proof of Capital One stock ownership as of the Record Date. If you hold Capital One stock in street name, you must also bring a copy of a brokerage statement reflecting your stock ownership as of the Record Date. Stockholders of record also may be represented by another person at the 2026 Annual Stockholder Meeting by executing a legal proxy designating that person as the proxy holder. Each stockholder may appoint only one proxy holder or representative to attend the 2026 Annual Stockholder Meeting on their behalf. Cameras, recording devices, and other electronic devices are not permitted. If you require special assistance at the meeting because of a disability, please contact the Corporate Secretary at Capital One’s address in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310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-111760</wp:posOffset>
            </wp:positionV>
            <wp:extent cx="8255" cy="1784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2">
            <w:col w:w="5400" w:space="120"/>
            <w:col w:w="5560"/>
          </w:cols>
          <w:pgMar w:left="320" w:top="478" w:right="49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XIV - Frequently Asked Questions</w:t>
      </w:r>
    </w:p>
    <w:p>
      <w:pPr>
        <w:sectPr>
          <w:pgSz w:w="11900" w:h="16838" w:orient="portrait"/>
          <w:cols w:equalWidth="0" w:num="1">
            <w:col w:w="11080"/>
          </w:cols>
          <w:pgMar w:left="320" w:top="478" w:right="499" w:bottom="1440" w:gutter="0" w:footer="0" w:header="0"/>
        </w:sectPr>
      </w:pPr>
    </w:p>
    <w:p>
      <w:pPr>
        <w:spacing w:after="0" w:line="19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3C5B"/>
        </w:rPr>
        <w:t>Am I entitled to vote?</w:t>
      </w:r>
    </w:p>
    <w:p>
      <w:pPr>
        <w:spacing w:after="0" w:line="203"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You are entitled to vote if you were the record holder of shares of Capital One common stock as of the Record Date. All stockholders of record are entitled to one vote per share of common stock held for each nominee for director and for each matter submitted for a vote at the meeting.</w:t>
      </w:r>
    </w:p>
    <w:p>
      <w:pPr>
        <w:spacing w:after="0" w:line="182"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If you hold your shares of Capital One common stock in street name, you may instruct your broker regarding voting your shares using the same methods described below under “How do I vote?”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name, follow the voting instructions you receive from your broker, bank, trustee, or other nominee.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Mail</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received your proxy materials by mail, you may vote by mail by completing the enclosed proxy card, dating and signing it, and returning it in the postage-paid envelope provided or returning it to Broadridge Financial Solutions, Inc., Vote Processing, 51 Mercedes Way, Edgewood, NY 11717. If you hold your shares in street name, follow the voting instructions you receive from your broker, bank, trustee, or other nominee.</w:t>
      </w:r>
    </w:p>
    <w:p>
      <w:pPr>
        <w:spacing w:after="0" w:line="2"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ind w:left="160"/>
        <w:spacing w:after="0"/>
        <w:rPr>
          <w:sz w:val="20"/>
          <w:szCs w:val="20"/>
          <w:color w:val="auto"/>
        </w:rPr>
      </w:pPr>
      <w:r>
        <w:rPr>
          <w:rFonts w:ascii="Arial" w:cs="Arial" w:eastAsia="Arial" w:hAnsi="Arial"/>
          <w:sz w:val="20"/>
          <w:szCs w:val="20"/>
          <w:b w:val="1"/>
          <w:bCs w:val="1"/>
          <w:color w:val="023C5B"/>
        </w:rPr>
        <w:t>How many votes can be cast by all stockholders?</w:t>
      </w:r>
    </w:p>
    <w:p>
      <w:pPr>
        <w:spacing w:after="0" w:line="190"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 total of 619,050,950 votes, consisting of one vote for each share of Capital One common stock issued and outstanding on the Record Date.</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3C5B"/>
        </w:rPr>
        <w:t>How do I vote?</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 Person</w:t>
      </w:r>
    </w:p>
    <w:p>
      <w:pPr>
        <w:spacing w:after="0" w:line="206"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In addition to complying with the requirements described under “Can I attend the 2026 Annual Stockholder Meeting?” above, if you are a record holder, you must fill out a ballot at the meeting, and if you are a street name holder, you must obtain a legal proxy from your broker, bank, trust, or other nominee and present it to the inspector of elections with your ballot to be able to vote at the 2026 Annual Stockholder Meeting. To request a legal proxy, please follow the instructions at www.proxyvote.com.</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By Internet</w:t>
      </w:r>
    </w:p>
    <w:p>
      <w:pPr>
        <w:spacing w:after="0" w:line="206" w:lineRule="exact"/>
        <w:rPr>
          <w:sz w:val="20"/>
          <w:szCs w:val="20"/>
          <w:color w:val="auto"/>
        </w:rPr>
      </w:pPr>
    </w:p>
    <w:p>
      <w:pPr>
        <w:jc w:val="both"/>
        <w:ind w:left="160"/>
        <w:spacing w:after="0" w:line="262" w:lineRule="auto"/>
        <w:rPr>
          <w:sz w:val="20"/>
          <w:szCs w:val="20"/>
          <w:color w:val="auto"/>
        </w:rPr>
      </w:pPr>
      <w:r>
        <w:rPr>
          <w:rFonts w:ascii="Arial" w:cs="Arial" w:eastAsia="Arial" w:hAnsi="Arial"/>
          <w:sz w:val="17"/>
          <w:szCs w:val="17"/>
          <w:color w:val="auto"/>
        </w:rPr>
        <w:t>You may vote via the Internet by going to www.proxyvote.com and following the instructions on the screen. Have your Notice, proxy card (for record holders), or voting instruction form (for holders of shares in street name) available when you access the web page.</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By Telephone</w:t>
      </w:r>
    </w:p>
    <w:p>
      <w:pPr>
        <w:spacing w:after="0" w:line="20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If you received a paper copy of the proxy materials, you may vote by telephone by calling the toll-free telephone number on the proxy card (1-800-690-6903), which is available 24 hours a day, and following the prerecorded instructions. Have your proxy card available when you call. If you hold your shares in street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i w:val="1"/>
          <w:iCs w:val="1"/>
          <w:color w:val="auto"/>
        </w:rPr>
        <w:t>Time for Voting Your Shares by Internet, by Telephone, or by Mail Before the 2026 Annual Stockholder Meeting</w:t>
      </w:r>
    </w:p>
    <w:p>
      <w:pPr>
        <w:spacing w:after="0" w:line="14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 may vote via the Internet or by telephone until 11:59 p.m. Eastern Time on May 7, 2026. If you vote by mail, your proxy card or voting instruction form, as applicable, must be received by May 7, 2026. If you own shares of Capital One through the Capital One Associate Savings Plan (Capital One Stock Fund) or Hibernia Corporation Supplemental Stock Plan, see “How do I vote my 401(k) shares?” below for more information.</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023C5B"/>
        </w:rPr>
        <w:t>What if I hold my shares in street name and I do not provide my broker, bank, trustee, or other nominee with instructions about how to vote my shares?</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You may instruct your broker, bank, trustee, or other nominee on how to vote your shares using the methods described above. If you do not vote via the Internet or by telephone and do not return your voting instructions to the firm that holds your shares prior to the 2026 Annual Stockholder Meeting, the firm has discretion to vote your shares only with respect to Item 3 (ratification of selection of independent registered public accounting firm), which is considered a “routine” matter under NYSE rules. All other items to be voted on at the 2026 Annual Stockholder Meeting are not considered “routine” matters, and the firm that holds your shares will not have discretionary authority to vote your shares for these Items if you do not provide instructions using one of the methods described above. Therefore, you are encouraged to return your voting instructions so that your shares are voted for non-routine matters at the 2026 Annual Stockholder Meeting. If you hold shares in several accounts, you</w:t>
      </w:r>
    </w:p>
    <w:p>
      <w:pPr>
        <w:spacing w:after="0" w:line="466"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41"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Section XIV - Frequently Asked Questions</w:t>
      </w:r>
    </w:p>
    <w:p>
      <w:pPr>
        <w:sectPr>
          <w:pgSz w:w="11900" w:h="16838" w:orient="portrait"/>
          <w:cols w:equalWidth="0" w:num="1">
            <w:col w:w="11080"/>
          </w:cols>
          <w:pgMar w:left="320" w:top="478" w:right="499" w:bottom="1440" w:gutter="0" w:footer="0" w:header="0"/>
        </w:sectPr>
      </w:pPr>
    </w:p>
    <w:p>
      <w:pPr>
        <w:spacing w:after="0" w:line="199"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must provide voting instructions for each account to authorize all your shares to be voted.</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3C5B"/>
        </w:rPr>
        <w:t>How do I vote my 401(k) shares?</w:t>
      </w:r>
    </w:p>
    <w:p>
      <w:pPr>
        <w:spacing w:after="0" w:line="203"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If you own shares of Capital One through the Capital One Associate Savings Plan (Capital One Stock Fund) or Hibernia Corporation Supplemental Stock Plan, you may vote the number of shares equivalent to your interest in the Capital One Stock Fund as credited to your account on the Record Date. You will receive instructions on how to vote your shares via e-mail from Broadridge Financial Solutions, Inc. (“Broadridge”). The trustee of the Capital One Associate Savings Plan and the Hibernia Corporation Supplemental Stock Plan will vote your shares in accordance with your duly executed instructions if they are received by 11:59 p.m. Eastern Time on May 5, 2026. If you do not send instructions, the trustee will not vote the share equivalents credited to your account.</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3C5B"/>
        </w:rPr>
        <w:t>Can I revoke my proxy or change my vote?</w:t>
      </w:r>
    </w:p>
    <w:p>
      <w:pPr>
        <w:spacing w:after="0" w:line="203"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Yes, you may revoke any proxy that you previously granted or change your vote by:</w:t>
      </w:r>
    </w:p>
    <w:p>
      <w:pPr>
        <w:spacing w:after="0" w:line="185" w:lineRule="exact"/>
        <w:rPr>
          <w:sz w:val="20"/>
          <w:szCs w:val="20"/>
          <w:color w:val="auto"/>
        </w:rPr>
      </w:pPr>
    </w:p>
    <w:p>
      <w:pPr>
        <w:ind w:left="520" w:right="20" w:hanging="353"/>
        <w:spacing w:after="0" w:line="210" w:lineRule="auto"/>
        <w:tabs>
          <w:tab w:leader="none" w:pos="520" w:val="left"/>
        </w:tabs>
        <w:numPr>
          <w:ilvl w:val="0"/>
          <w:numId w:val="13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submitting another timely vote via the Internet, by telephone, or by mailing a new proxy card or voting instruction form;</w:t>
      </w:r>
    </w:p>
    <w:p>
      <w:pPr>
        <w:spacing w:after="0" w:line="207" w:lineRule="exact"/>
        <w:rPr>
          <w:rFonts w:ascii="MS PGothic" w:cs="MS PGothic" w:eastAsia="MS PGothic" w:hAnsi="MS PGothic"/>
          <w:sz w:val="29"/>
          <w:szCs w:val="29"/>
          <w:color w:val="023C5B"/>
          <w:vertAlign w:val="superscript"/>
        </w:rPr>
      </w:pPr>
    </w:p>
    <w:p>
      <w:pPr>
        <w:ind w:left="520" w:right="20" w:hanging="353"/>
        <w:spacing w:after="0" w:line="210" w:lineRule="auto"/>
        <w:tabs>
          <w:tab w:leader="none" w:pos="520" w:val="left"/>
        </w:tabs>
        <w:numPr>
          <w:ilvl w:val="0"/>
          <w:numId w:val="13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attending the 2026 Annual Stockholder Meeting and voting in person, as indicated above under “How do I vote?”; or</w:t>
      </w:r>
    </w:p>
    <w:p>
      <w:pPr>
        <w:spacing w:after="0" w:line="207" w:lineRule="exact"/>
        <w:rPr>
          <w:rFonts w:ascii="MS PGothic" w:cs="MS PGothic" w:eastAsia="MS PGothic" w:hAnsi="MS PGothic"/>
          <w:sz w:val="29"/>
          <w:szCs w:val="29"/>
          <w:color w:val="023C5B"/>
          <w:vertAlign w:val="superscript"/>
        </w:rPr>
      </w:pPr>
    </w:p>
    <w:p>
      <w:pPr>
        <w:jc w:val="both"/>
        <w:ind w:left="520" w:hanging="353"/>
        <w:spacing w:after="0" w:line="214" w:lineRule="auto"/>
        <w:tabs>
          <w:tab w:leader="none" w:pos="520" w:val="left"/>
        </w:tabs>
        <w:numPr>
          <w:ilvl w:val="0"/>
          <w:numId w:val="133"/>
        </w:numPr>
        <w:rPr>
          <w:rFonts w:ascii="MS PGothic" w:cs="MS PGothic" w:eastAsia="MS PGothic" w:hAnsi="MS PGothic"/>
          <w:sz w:val="29"/>
          <w:szCs w:val="29"/>
          <w:color w:val="023C5B"/>
          <w:vertAlign w:val="superscript"/>
        </w:rPr>
      </w:pPr>
      <w:r>
        <w:rPr>
          <w:rFonts w:ascii="Arial" w:cs="Arial" w:eastAsia="Arial" w:hAnsi="Arial"/>
          <w:sz w:val="18"/>
          <w:szCs w:val="18"/>
          <w:color w:val="auto"/>
        </w:rPr>
        <w:t>if you are a record holder, giving written notice of revocation to the Corporate Secretary, Capital One Financial Corporation, 1600 Capital One Drive, McLean, VA 22102.</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7" w:right="20"/>
        <w:spacing w:after="0" w:line="265" w:lineRule="auto"/>
        <w:rPr>
          <w:sz w:val="20"/>
          <w:szCs w:val="20"/>
          <w:color w:val="auto"/>
        </w:rPr>
      </w:pPr>
      <w:r>
        <w:rPr>
          <w:rFonts w:ascii="Arial" w:cs="Arial" w:eastAsia="Arial" w:hAnsi="Arial"/>
          <w:sz w:val="18"/>
          <w:szCs w:val="18"/>
          <w:color w:val="auto"/>
        </w:rPr>
        <w:t>person or represented by proxy. Solely for purposes of determining whether we have a quorum, we will count:</w:t>
      </w:r>
    </w:p>
    <w:p>
      <w:pPr>
        <w:spacing w:after="0" w:line="185" w:lineRule="exact"/>
        <w:rPr>
          <w:sz w:val="20"/>
          <w:szCs w:val="20"/>
          <w:color w:val="auto"/>
        </w:rPr>
      </w:pPr>
    </w:p>
    <w:p>
      <w:pPr>
        <w:ind w:left="367" w:right="20" w:hanging="367"/>
        <w:spacing w:after="0" w:line="210" w:lineRule="auto"/>
        <w:tabs>
          <w:tab w:leader="none" w:pos="367" w:val="left"/>
        </w:tabs>
        <w:numPr>
          <w:ilvl w:val="0"/>
          <w:numId w:val="134"/>
        </w:numPr>
        <w:rPr>
          <w:rFonts w:ascii="MS PGothic" w:cs="MS PGothic" w:eastAsia="MS PGothic" w:hAnsi="MS PGothic"/>
          <w:sz w:val="29"/>
          <w:szCs w:val="29"/>
          <w:color w:val="023C5B"/>
          <w:vertAlign w:val="superscript"/>
        </w:rPr>
      </w:pPr>
      <w:r>
        <w:rPr>
          <w:rFonts w:ascii="Arial" w:cs="Arial" w:eastAsia="Arial" w:hAnsi="Arial"/>
          <w:sz w:val="18"/>
          <w:szCs w:val="18"/>
          <w:color w:val="auto"/>
        </w:rPr>
        <w:t>Shares represented in person or by proxy and being voted at the meeting;</w:t>
      </w:r>
    </w:p>
    <w:p>
      <w:pPr>
        <w:spacing w:after="0" w:line="207" w:lineRule="exact"/>
        <w:rPr>
          <w:rFonts w:ascii="MS PGothic" w:cs="MS PGothic" w:eastAsia="MS PGothic" w:hAnsi="MS PGothic"/>
          <w:sz w:val="29"/>
          <w:szCs w:val="29"/>
          <w:color w:val="023C5B"/>
          <w:vertAlign w:val="superscript"/>
        </w:rPr>
      </w:pPr>
    </w:p>
    <w:p>
      <w:pPr>
        <w:ind w:left="367" w:right="20" w:hanging="367"/>
        <w:spacing w:after="0" w:line="210" w:lineRule="auto"/>
        <w:tabs>
          <w:tab w:leader="none" w:pos="367" w:val="left"/>
        </w:tabs>
        <w:numPr>
          <w:ilvl w:val="0"/>
          <w:numId w:val="134"/>
        </w:numPr>
        <w:rPr>
          <w:rFonts w:ascii="MS PGothic" w:cs="MS PGothic" w:eastAsia="MS PGothic" w:hAnsi="MS PGothic"/>
          <w:sz w:val="29"/>
          <w:szCs w:val="29"/>
          <w:color w:val="023C5B"/>
          <w:vertAlign w:val="superscript"/>
        </w:rPr>
      </w:pPr>
      <w:r>
        <w:rPr>
          <w:rFonts w:ascii="Arial" w:cs="Arial" w:eastAsia="Arial" w:hAnsi="Arial"/>
          <w:sz w:val="18"/>
          <w:szCs w:val="18"/>
          <w:color w:val="auto"/>
        </w:rPr>
        <w:t>Shares represented in person at the meeting but not being voted; and</w:t>
      </w:r>
    </w:p>
    <w:p>
      <w:pPr>
        <w:spacing w:after="0" w:line="207" w:lineRule="exact"/>
        <w:rPr>
          <w:rFonts w:ascii="MS PGothic" w:cs="MS PGothic" w:eastAsia="MS PGothic" w:hAnsi="MS PGothic"/>
          <w:sz w:val="29"/>
          <w:szCs w:val="29"/>
          <w:color w:val="023C5B"/>
          <w:vertAlign w:val="superscript"/>
        </w:rPr>
      </w:pPr>
    </w:p>
    <w:p>
      <w:pPr>
        <w:jc w:val="both"/>
        <w:ind w:left="367" w:right="20" w:hanging="367"/>
        <w:spacing w:after="0" w:line="217" w:lineRule="auto"/>
        <w:tabs>
          <w:tab w:leader="none" w:pos="367" w:val="left"/>
        </w:tabs>
        <w:numPr>
          <w:ilvl w:val="0"/>
          <w:numId w:val="134"/>
        </w:numPr>
        <w:rPr>
          <w:rFonts w:ascii="MS PGothic" w:cs="MS PGothic" w:eastAsia="MS PGothic" w:hAnsi="MS PGothic"/>
          <w:sz w:val="29"/>
          <w:szCs w:val="29"/>
          <w:color w:val="023C5B"/>
          <w:vertAlign w:val="superscript"/>
        </w:rPr>
      </w:pPr>
      <w:r>
        <w:rPr>
          <w:rFonts w:ascii="Arial" w:cs="Arial" w:eastAsia="Arial" w:hAnsi="Arial"/>
          <w:sz w:val="18"/>
          <w:szCs w:val="18"/>
          <w:color w:val="auto"/>
        </w:rPr>
        <w:t>Shares for which we have received proxies but for which stockholders have abstained from voting or that represent broker non-votes, which are described below.</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23C5B"/>
        </w:rPr>
        <w:t>What is a broker non-vote?</w:t>
      </w:r>
    </w:p>
    <w:p>
      <w:pPr>
        <w:spacing w:after="0" w:line="203" w:lineRule="exact"/>
        <w:rPr>
          <w:sz w:val="20"/>
          <w:szCs w:val="20"/>
          <w:color w:val="auto"/>
        </w:rPr>
      </w:pPr>
    </w:p>
    <w:p>
      <w:pPr>
        <w:jc w:val="both"/>
        <w:ind w:left="7"/>
        <w:spacing w:after="0" w:line="236" w:lineRule="auto"/>
        <w:rPr>
          <w:sz w:val="20"/>
          <w:szCs w:val="20"/>
          <w:color w:val="auto"/>
        </w:rPr>
      </w:pPr>
      <w:r>
        <w:rPr>
          <w:rFonts w:ascii="Arial" w:cs="Arial" w:eastAsia="Arial" w:hAnsi="Arial"/>
          <w:sz w:val="18"/>
          <w:szCs w:val="18"/>
          <w:color w:val="auto"/>
        </w:rPr>
        <w:t>Under NYSE rules, if you hold your shares in street name and you do not submit voting instructions to the firm that holds your shares, the firm has discretionary authority to vote your shares only with respect to “routine” matters. For non-routine matters, which include every item to be voted on other than Item 3 (ratification of selection of independent registered public accounting firm) the firm that holds your shares will not have discretion to vote your shares. When a matter is non-routine, and a firm has not received voting instructions from the beneficial owner, the brokerage firm cannot vote the shares on that matter and the shares will be counted as broker non-votes.</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023C5B"/>
        </w:rPr>
        <w:t>Who will count the vote?</w:t>
      </w:r>
    </w:p>
    <w:p>
      <w:pPr>
        <w:spacing w:after="0" w:line="203" w:lineRule="exact"/>
        <w:rPr>
          <w:sz w:val="20"/>
          <w:szCs w:val="20"/>
          <w:color w:val="auto"/>
        </w:rPr>
      </w:pPr>
    </w:p>
    <w:p>
      <w:pPr>
        <w:jc w:val="both"/>
        <w:ind w:left="7"/>
        <w:spacing w:after="0" w:line="249" w:lineRule="auto"/>
        <w:rPr>
          <w:sz w:val="20"/>
          <w:szCs w:val="20"/>
          <w:color w:val="auto"/>
        </w:rPr>
      </w:pPr>
      <w:r>
        <w:rPr>
          <w:rFonts w:ascii="Arial" w:cs="Arial" w:eastAsia="Arial" w:hAnsi="Arial"/>
          <w:sz w:val="18"/>
          <w:szCs w:val="18"/>
          <w:color w:val="auto"/>
        </w:rPr>
        <w:t>Votes will be tabulated by Broadridge. The Board has appointed a representative of American Election Services, LLC to serve as the Inspector of Elections.</w:t>
      </w:r>
    </w:p>
    <w:p>
      <w:pPr>
        <w:spacing w:after="0" w:line="187" w:lineRule="exact"/>
        <w:rPr>
          <w:sz w:val="20"/>
          <w:szCs w:val="20"/>
          <w:color w:val="auto"/>
        </w:rPr>
      </w:pPr>
    </w:p>
    <w:p>
      <w:pPr>
        <w:sectPr>
          <w:pgSz w:w="11900" w:h="16838" w:orient="portrait"/>
          <w:cols w:equalWidth="0" w:num="2">
            <w:col w:w="5400" w:space="333"/>
            <w:col w:w="5347"/>
          </w:cols>
          <w:pgMar w:left="320" w:top="478" w:right="499" w:bottom="1440" w:gutter="0" w:footer="0" w:header="0"/>
          <w:type w:val="continuous"/>
        </w:sectPr>
      </w:pPr>
    </w:p>
    <w:p>
      <w:pPr>
        <w:spacing w:after="0" w:line="185"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Your new vote or revocation in advance of the meeting must be submitted in accordance with the time frames above under “Time for Voting Your Shares By Internet, By Telephone, or By Mail Before the 2026 Annual Stockholder Meeting.”</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3C5B"/>
        </w:rPr>
        <w:t>What constitutes a quorum?</w:t>
      </w:r>
    </w:p>
    <w:p>
      <w:pPr>
        <w:spacing w:after="0" w:line="203"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A quorum of stockholders is necessary to transact business at the 2026 Annual Stockholder Meeting. A quorum exists if the holders of a majority of the voting power of Capital One’s outstanding shares entitled to vote generally in the election of directors are present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023C5B"/>
        </w:rPr>
        <w:t>Will a list of stockholders be made available?</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will make a list of stockholders available at the 2026 Annual Stockholder Meeting, and for ten days prior to the meeting, which can be obtained by sending a request via email to investorrelations@capitalone.com.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23C5B"/>
        </w:rPr>
        <w:t>How much did the solicitation cost?</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will pay the costs of the solicitation. We have retained Sodali &amp; Co. to assist us in the solicitation of proxies for an aggregate fee of $12,500 plus reasonable out-of-pocket expenses. In addition to Capital One soliciting proxies via the Internet, by telephone, and by mail, our directors, officers, and associates may solicit proxies on our behalf, without additional compensation.</w:t>
      </w:r>
    </w:p>
    <w:p>
      <w:pPr>
        <w:spacing w:after="0" w:line="200"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48" w:lineRule="exact"/>
        <w:rPr>
          <w:sz w:val="20"/>
          <w:szCs w:val="20"/>
          <w:color w:val="auto"/>
        </w:rPr>
      </w:pPr>
    </w:p>
    <w:p>
      <w:pPr>
        <w:ind w:left="5520"/>
        <w:spacing w:after="0"/>
        <w:tabs>
          <w:tab w:leader="none" w:pos="862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-111760</wp:posOffset>
            </wp:positionV>
            <wp:extent cx="8255" cy="17843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Section XIV - Frequently Asked Questions</w:t>
      </w:r>
    </w:p>
    <w:p>
      <w:pPr>
        <w:sectPr>
          <w:pgSz w:w="11900" w:h="16838" w:orient="portrait"/>
          <w:cols w:equalWidth="0" w:num="1">
            <w:col w:w="11080"/>
          </w:cols>
          <w:pgMar w:left="320" w:top="478" w:right="499" w:bottom="1440" w:gutter="0" w:footer="0" w:header="0"/>
        </w:sectPr>
      </w:pPr>
    </w:p>
    <w:p>
      <w:pPr>
        <w:spacing w:after="0" w:line="19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3C5B"/>
        </w:rPr>
        <w:t>What is “householding?”</w:t>
      </w:r>
    </w:p>
    <w:p>
      <w:pPr>
        <w:spacing w:after="0" w:line="203"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Under SEC rules, a single package of Notices may be sent to any household at which two or more stockholders reside if they appear to be members of the same family unless contrary instructions have been received. Each stockholder continues to receive a separate Notice within the package. This procedure, referred to as “householding,” reduces the volume of duplicate materials stockholders receive and reduces mailing expenses. Stockholders may revoke their consent to future householding mailings or enroll in householding by contacting Broadridge toll free at 1-866-540-7095 or by writing to Broadridge Financial Solutions, Inc., Householding Department, 51 Mercedes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Way, Edgewood, NY 11717. We will deliver promptly, upon written or oral request, a separate copy of the proxy materials to any stockholder at a shared address to which a single copy was delivered. Stockholders who wish to receive a separate set of proxy materials now should contact Broadridge at the same phone number or mailing address.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color w:val="023C5B"/>
        </w:rPr>
        <w:t>What vote is necessary to approve each item and what are the Board’s recommendations?</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following table sets forth the voting requirements for each proposal being voted at the meeting and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222885</wp:posOffset>
            </wp:positionV>
            <wp:extent cx="6929755" cy="457708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929755" cy="4577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151"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540" w:type="dxa"/>
            <w:vAlign w:val="bottom"/>
            <w:shd w:val="clear" w:color="auto" w:fill="023C5B"/>
          </w:tcPr>
          <w:p>
            <w:pPr>
              <w:spacing w:after="0"/>
              <w:rPr>
                <w:sz w:val="19"/>
                <w:szCs w:val="19"/>
                <w:color w:val="auto"/>
              </w:rPr>
            </w:pPr>
          </w:p>
        </w:tc>
        <w:tc>
          <w:tcPr>
            <w:tcW w:w="20" w:type="dxa"/>
            <w:vAlign w:val="bottom"/>
            <w:shd w:val="clear" w:color="auto" w:fill="023C5B"/>
          </w:tcPr>
          <w:p>
            <w:pPr>
              <w:spacing w:after="0"/>
              <w:rPr>
                <w:sz w:val="19"/>
                <w:szCs w:val="19"/>
                <w:color w:val="auto"/>
              </w:rPr>
            </w:pPr>
          </w:p>
        </w:tc>
        <w:tc>
          <w:tcPr>
            <w:tcW w:w="40" w:type="dxa"/>
            <w:vAlign w:val="bottom"/>
            <w:shd w:val="clear" w:color="auto" w:fill="023C5B"/>
          </w:tcPr>
          <w:p>
            <w:pPr>
              <w:spacing w:after="0"/>
              <w:rPr>
                <w:sz w:val="19"/>
                <w:szCs w:val="19"/>
                <w:color w:val="auto"/>
              </w:rPr>
            </w:pPr>
          </w:p>
        </w:tc>
        <w:tc>
          <w:tcPr>
            <w:tcW w:w="940" w:type="dxa"/>
            <w:vAlign w:val="bottom"/>
            <w:shd w:val="clear" w:color="auto" w:fill="023C5B"/>
          </w:tcPr>
          <w:p>
            <w:pPr>
              <w:spacing w:after="0"/>
              <w:rPr>
                <w:sz w:val="19"/>
                <w:szCs w:val="19"/>
                <w:color w:val="auto"/>
              </w:rPr>
            </w:pPr>
          </w:p>
        </w:tc>
        <w:tc>
          <w:tcPr>
            <w:tcW w:w="380" w:type="dxa"/>
            <w:vAlign w:val="bottom"/>
            <w:shd w:val="clear" w:color="auto" w:fill="023C5B"/>
          </w:tcPr>
          <w:p>
            <w:pPr>
              <w:spacing w:after="0"/>
              <w:rPr>
                <w:sz w:val="19"/>
                <w:szCs w:val="19"/>
                <w:color w:val="auto"/>
              </w:rPr>
            </w:pPr>
          </w:p>
        </w:tc>
        <w:tc>
          <w:tcPr>
            <w:tcW w:w="460" w:type="dxa"/>
            <w:vAlign w:val="bottom"/>
            <w:shd w:val="clear" w:color="auto" w:fill="023C5B"/>
          </w:tcPr>
          <w:p>
            <w:pPr>
              <w:spacing w:after="0"/>
              <w:rPr>
                <w:sz w:val="19"/>
                <w:szCs w:val="19"/>
                <w:color w:val="auto"/>
              </w:rPr>
            </w:pPr>
          </w:p>
        </w:tc>
        <w:tc>
          <w:tcPr>
            <w:tcW w:w="460" w:type="dxa"/>
            <w:vAlign w:val="bottom"/>
            <w:shd w:val="clear" w:color="auto" w:fill="023C5B"/>
          </w:tcPr>
          <w:p>
            <w:pPr>
              <w:spacing w:after="0"/>
              <w:rPr>
                <w:sz w:val="19"/>
                <w:szCs w:val="19"/>
                <w:color w:val="auto"/>
              </w:rPr>
            </w:pPr>
          </w:p>
        </w:tc>
        <w:tc>
          <w:tcPr>
            <w:tcW w:w="740" w:type="dxa"/>
            <w:vAlign w:val="bottom"/>
            <w:shd w:val="clear" w:color="auto" w:fill="023C5B"/>
          </w:tcPr>
          <w:p>
            <w:pPr>
              <w:spacing w:after="0"/>
              <w:rPr>
                <w:sz w:val="19"/>
                <w:szCs w:val="19"/>
                <w:color w:val="auto"/>
              </w:rPr>
            </w:pPr>
          </w:p>
        </w:tc>
        <w:tc>
          <w:tcPr>
            <w:tcW w:w="40" w:type="dxa"/>
            <w:vAlign w:val="bottom"/>
            <w:tcBorders>
              <w:right w:val="single" w:sz="8" w:color="023C5B"/>
            </w:tcBorders>
            <w:shd w:val="clear" w:color="auto" w:fill="023C5B"/>
          </w:tcPr>
          <w:p>
            <w:pPr>
              <w:spacing w:after="0"/>
              <w:rPr>
                <w:sz w:val="19"/>
                <w:szCs w:val="19"/>
                <w:color w:val="auto"/>
              </w:rPr>
            </w:pPr>
          </w:p>
        </w:tc>
        <w:tc>
          <w:tcPr>
            <w:tcW w:w="20" w:type="dxa"/>
            <w:vAlign w:val="bottom"/>
            <w:shd w:val="clear" w:color="auto" w:fill="023C5B"/>
          </w:tcPr>
          <w:p>
            <w:pPr>
              <w:spacing w:after="0"/>
              <w:rPr>
                <w:sz w:val="19"/>
                <w:szCs w:val="19"/>
                <w:color w:val="auto"/>
              </w:rPr>
            </w:pPr>
          </w:p>
        </w:tc>
        <w:tc>
          <w:tcPr>
            <w:tcW w:w="154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440" w:type="dxa"/>
            <w:vAlign w:val="bottom"/>
            <w:shd w:val="clear" w:color="auto" w:fill="023C5B"/>
          </w:tcPr>
          <w:p>
            <w:pPr>
              <w:spacing w:after="0"/>
              <w:rPr>
                <w:sz w:val="19"/>
                <w:szCs w:val="19"/>
                <w:color w:val="auto"/>
              </w:rPr>
            </w:pPr>
          </w:p>
        </w:tc>
        <w:tc>
          <w:tcPr>
            <w:tcW w:w="740" w:type="dxa"/>
            <w:vAlign w:val="bottom"/>
            <w:shd w:val="clear" w:color="auto" w:fill="023C5B"/>
          </w:tcPr>
          <w:p>
            <w:pPr>
              <w:spacing w:after="0"/>
              <w:rPr>
                <w:sz w:val="19"/>
                <w:szCs w:val="19"/>
                <w:color w:val="auto"/>
              </w:rPr>
            </w:pPr>
          </w:p>
        </w:tc>
        <w:tc>
          <w:tcPr>
            <w:tcW w:w="1020" w:type="dxa"/>
            <w:vAlign w:val="bottom"/>
            <w:shd w:val="clear" w:color="auto" w:fill="023C5B"/>
          </w:tcPr>
          <w:p>
            <w:pPr>
              <w:spacing w:after="0"/>
              <w:rPr>
                <w:sz w:val="19"/>
                <w:szCs w:val="19"/>
                <w:color w:val="auto"/>
              </w:rPr>
            </w:pPr>
          </w:p>
        </w:tc>
        <w:tc>
          <w:tcPr>
            <w:tcW w:w="560" w:type="dxa"/>
            <w:vAlign w:val="bottom"/>
            <w:shd w:val="clear" w:color="auto" w:fill="023C5B"/>
          </w:tcPr>
          <w:p>
            <w:pPr>
              <w:spacing w:after="0"/>
              <w:rPr>
                <w:sz w:val="19"/>
                <w:szCs w:val="19"/>
                <w:color w:val="auto"/>
              </w:rPr>
            </w:pPr>
          </w:p>
        </w:tc>
        <w:tc>
          <w:tcPr>
            <w:tcW w:w="40" w:type="dxa"/>
            <w:vAlign w:val="bottom"/>
            <w:shd w:val="clear" w:color="auto" w:fill="023C5B"/>
          </w:tcPr>
          <w:p>
            <w:pPr>
              <w:spacing w:after="0"/>
              <w:rPr>
                <w:sz w:val="19"/>
                <w:szCs w:val="19"/>
                <w:color w:val="auto"/>
              </w:rPr>
            </w:pPr>
          </w:p>
        </w:tc>
        <w:tc>
          <w:tcPr>
            <w:tcW w:w="1560" w:type="dxa"/>
            <w:vAlign w:val="bottom"/>
            <w:shd w:val="clear" w:color="auto" w:fill="023C5B"/>
          </w:tcPr>
          <w:p>
            <w:pPr>
              <w:spacing w:after="0"/>
              <w:rPr>
                <w:sz w:val="19"/>
                <w:szCs w:val="19"/>
                <w:color w:val="auto"/>
              </w:rPr>
            </w:pPr>
          </w:p>
        </w:tc>
        <w:tc>
          <w:tcPr>
            <w:tcW w:w="60" w:type="dxa"/>
            <w:vAlign w:val="bottom"/>
            <w:shd w:val="clear" w:color="auto" w:fill="023C5B"/>
          </w:tcPr>
          <w:p>
            <w:pPr>
              <w:spacing w:after="0"/>
              <w:rPr>
                <w:sz w:val="19"/>
                <w:szCs w:val="19"/>
                <w:color w:val="auto"/>
              </w:rPr>
            </w:pPr>
          </w:p>
        </w:tc>
        <w:tc>
          <w:tcPr>
            <w:tcW w:w="126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Effect of</w:t>
            </w:r>
          </w:p>
        </w:tc>
        <w:tc>
          <w:tcPr>
            <w:tcW w:w="0" w:type="dxa"/>
            <w:vAlign w:val="bottom"/>
          </w:tcPr>
          <w:p>
            <w:pPr>
              <w:spacing w:after="0"/>
              <w:rPr>
                <w:sz w:val="1"/>
                <w:szCs w:val="1"/>
                <w:color w:val="auto"/>
              </w:rPr>
            </w:pPr>
          </w:p>
        </w:tc>
      </w:tr>
      <w:tr>
        <w:trPr>
          <w:trHeight w:val="187"/>
        </w:trPr>
        <w:tc>
          <w:tcPr>
            <w:tcW w:w="540" w:type="dxa"/>
            <w:vAlign w:val="bottom"/>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40" w:type="dxa"/>
            <w:vAlign w:val="bottom"/>
            <w:shd w:val="clear" w:color="auto" w:fill="023C5B"/>
          </w:tcPr>
          <w:p>
            <w:pPr>
              <w:spacing w:after="0"/>
              <w:rPr>
                <w:sz w:val="16"/>
                <w:szCs w:val="16"/>
                <w:color w:val="auto"/>
              </w:rPr>
            </w:pPr>
          </w:p>
        </w:tc>
        <w:tc>
          <w:tcPr>
            <w:tcW w:w="940" w:type="dxa"/>
            <w:vAlign w:val="bottom"/>
            <w:shd w:val="clear" w:color="auto" w:fill="023C5B"/>
          </w:tcPr>
          <w:p>
            <w:pPr>
              <w:spacing w:after="0"/>
              <w:rPr>
                <w:sz w:val="16"/>
                <w:szCs w:val="16"/>
                <w:color w:val="auto"/>
              </w:rPr>
            </w:pPr>
          </w:p>
        </w:tc>
        <w:tc>
          <w:tcPr>
            <w:tcW w:w="380" w:type="dxa"/>
            <w:vAlign w:val="bottom"/>
            <w:shd w:val="clear" w:color="auto" w:fill="023C5B"/>
          </w:tcPr>
          <w:p>
            <w:pPr>
              <w:spacing w:after="0"/>
              <w:rPr>
                <w:sz w:val="16"/>
                <w:szCs w:val="16"/>
                <w:color w:val="auto"/>
              </w:rPr>
            </w:pPr>
          </w:p>
        </w:tc>
        <w:tc>
          <w:tcPr>
            <w:tcW w:w="460" w:type="dxa"/>
            <w:vAlign w:val="bottom"/>
            <w:shd w:val="clear" w:color="auto" w:fill="023C5B"/>
          </w:tcPr>
          <w:p>
            <w:pPr>
              <w:spacing w:after="0"/>
              <w:rPr>
                <w:sz w:val="16"/>
                <w:szCs w:val="16"/>
                <w:color w:val="auto"/>
              </w:rPr>
            </w:pPr>
          </w:p>
        </w:tc>
        <w:tc>
          <w:tcPr>
            <w:tcW w:w="460" w:type="dxa"/>
            <w:vAlign w:val="bottom"/>
            <w:shd w:val="clear" w:color="auto" w:fill="023C5B"/>
          </w:tcPr>
          <w:p>
            <w:pPr>
              <w:spacing w:after="0"/>
              <w:rPr>
                <w:sz w:val="16"/>
                <w:szCs w:val="16"/>
                <w:color w:val="auto"/>
              </w:rPr>
            </w:pPr>
          </w:p>
        </w:tc>
        <w:tc>
          <w:tcPr>
            <w:tcW w:w="740" w:type="dxa"/>
            <w:vAlign w:val="bottom"/>
            <w:shd w:val="clear" w:color="auto" w:fill="023C5B"/>
          </w:tcPr>
          <w:p>
            <w:pPr>
              <w:spacing w:after="0"/>
              <w:rPr>
                <w:sz w:val="16"/>
                <w:szCs w:val="16"/>
                <w:color w:val="auto"/>
              </w:rPr>
            </w:pPr>
          </w:p>
        </w:tc>
        <w:tc>
          <w:tcPr>
            <w:tcW w:w="40" w:type="dxa"/>
            <w:vAlign w:val="bottom"/>
            <w:tcBorders>
              <w:right w:val="single" w:sz="8" w:color="023C5B"/>
            </w:tcBorders>
            <w:shd w:val="clear" w:color="auto" w:fill="023C5B"/>
          </w:tcPr>
          <w:p>
            <w:pPr>
              <w:spacing w:after="0"/>
              <w:rPr>
                <w:sz w:val="16"/>
                <w:szCs w:val="16"/>
                <w:color w:val="auto"/>
              </w:rPr>
            </w:pPr>
          </w:p>
        </w:tc>
        <w:tc>
          <w:tcPr>
            <w:tcW w:w="20" w:type="dxa"/>
            <w:vAlign w:val="bottom"/>
            <w:shd w:val="clear" w:color="auto" w:fill="023C5B"/>
          </w:tcPr>
          <w:p>
            <w:pPr>
              <w:spacing w:after="0"/>
              <w:rPr>
                <w:sz w:val="16"/>
                <w:szCs w:val="16"/>
                <w:color w:val="auto"/>
              </w:rPr>
            </w:pPr>
          </w:p>
        </w:tc>
        <w:tc>
          <w:tcPr>
            <w:tcW w:w="1600" w:type="dxa"/>
            <w:vAlign w:val="bottom"/>
            <w:gridSpan w:val="2"/>
            <w:shd w:val="clear" w:color="auto" w:fill="023C5B"/>
          </w:tcPr>
          <w:p>
            <w:pPr>
              <w:jc w:val="center"/>
              <w:ind w:right="20"/>
              <w:spacing w:after="0"/>
              <w:rPr>
                <w:sz w:val="20"/>
                <w:szCs w:val="20"/>
                <w:color w:val="auto"/>
              </w:rPr>
            </w:pPr>
            <w:r>
              <w:rPr>
                <w:rFonts w:ascii="Arial" w:cs="Arial" w:eastAsia="Arial" w:hAnsi="Arial"/>
                <w:sz w:val="16"/>
                <w:szCs w:val="16"/>
                <w:b w:val="1"/>
                <w:bCs w:val="1"/>
                <w:color w:val="FFFFFF"/>
                <w:w w:val="99"/>
              </w:rPr>
              <w:t>Board</w:t>
            </w:r>
          </w:p>
        </w:tc>
        <w:tc>
          <w:tcPr>
            <w:tcW w:w="440" w:type="dxa"/>
            <w:vAlign w:val="bottom"/>
            <w:shd w:val="clear" w:color="auto" w:fill="023C5B"/>
          </w:tcPr>
          <w:p>
            <w:pPr>
              <w:spacing w:after="0"/>
              <w:rPr>
                <w:sz w:val="16"/>
                <w:szCs w:val="16"/>
                <w:color w:val="auto"/>
              </w:rPr>
            </w:pPr>
          </w:p>
        </w:tc>
        <w:tc>
          <w:tcPr>
            <w:tcW w:w="740" w:type="dxa"/>
            <w:vAlign w:val="bottom"/>
            <w:shd w:val="clear" w:color="auto" w:fill="023C5B"/>
          </w:tcPr>
          <w:p>
            <w:pPr>
              <w:spacing w:after="0"/>
              <w:rPr>
                <w:sz w:val="16"/>
                <w:szCs w:val="16"/>
                <w:color w:val="auto"/>
              </w:rPr>
            </w:pPr>
          </w:p>
        </w:tc>
        <w:tc>
          <w:tcPr>
            <w:tcW w:w="1020" w:type="dxa"/>
            <w:vAlign w:val="bottom"/>
            <w:shd w:val="clear" w:color="auto" w:fill="023C5B"/>
          </w:tcPr>
          <w:p>
            <w:pPr>
              <w:spacing w:after="0"/>
              <w:rPr>
                <w:sz w:val="16"/>
                <w:szCs w:val="16"/>
                <w:color w:val="auto"/>
              </w:rPr>
            </w:pPr>
          </w:p>
        </w:tc>
        <w:tc>
          <w:tcPr>
            <w:tcW w:w="560" w:type="dxa"/>
            <w:vAlign w:val="bottom"/>
            <w:shd w:val="clear" w:color="auto" w:fill="023C5B"/>
          </w:tcPr>
          <w:p>
            <w:pPr>
              <w:spacing w:after="0"/>
              <w:rPr>
                <w:sz w:val="16"/>
                <w:szCs w:val="16"/>
                <w:color w:val="auto"/>
              </w:rPr>
            </w:pPr>
          </w:p>
        </w:tc>
        <w:tc>
          <w:tcPr>
            <w:tcW w:w="40" w:type="dxa"/>
            <w:vAlign w:val="bottom"/>
            <w:shd w:val="clear" w:color="auto" w:fill="023C5B"/>
          </w:tcPr>
          <w:p>
            <w:pPr>
              <w:spacing w:after="0"/>
              <w:rPr>
                <w:sz w:val="16"/>
                <w:szCs w:val="16"/>
                <w:color w:val="auto"/>
              </w:rPr>
            </w:pPr>
          </w:p>
        </w:tc>
        <w:tc>
          <w:tcPr>
            <w:tcW w:w="162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Effect of</w:t>
            </w:r>
          </w:p>
        </w:tc>
        <w:tc>
          <w:tcPr>
            <w:tcW w:w="126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rPr>
              <w:t>“Broker</w:t>
            </w:r>
          </w:p>
        </w:tc>
        <w:tc>
          <w:tcPr>
            <w:tcW w:w="0" w:type="dxa"/>
            <w:vAlign w:val="bottom"/>
          </w:tcPr>
          <w:p>
            <w:pPr>
              <w:spacing w:after="0"/>
              <w:rPr>
                <w:sz w:val="1"/>
                <w:szCs w:val="1"/>
                <w:color w:val="auto"/>
              </w:rPr>
            </w:pPr>
          </w:p>
        </w:tc>
      </w:tr>
      <w:tr>
        <w:trPr>
          <w:trHeight w:val="235"/>
        </w:trPr>
        <w:tc>
          <w:tcPr>
            <w:tcW w:w="54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4"/>
              </w:rPr>
              <w:t> Item   </w:t>
            </w:r>
          </w:p>
        </w:tc>
        <w:tc>
          <w:tcPr>
            <w:tcW w:w="20" w:type="dxa"/>
            <w:vAlign w:val="bottom"/>
            <w:shd w:val="clear" w:color="auto" w:fill="023C5B"/>
          </w:tcPr>
          <w:p>
            <w:pPr>
              <w:spacing w:after="0"/>
              <w:rPr>
                <w:sz w:val="20"/>
                <w:szCs w:val="20"/>
                <w:color w:val="auto"/>
              </w:rPr>
            </w:pPr>
          </w:p>
        </w:tc>
        <w:tc>
          <w:tcPr>
            <w:tcW w:w="40" w:type="dxa"/>
            <w:vAlign w:val="bottom"/>
            <w:shd w:val="clear" w:color="auto" w:fill="023C5B"/>
          </w:tcPr>
          <w:p>
            <w:pPr>
              <w:spacing w:after="0"/>
              <w:rPr>
                <w:sz w:val="20"/>
                <w:szCs w:val="20"/>
                <w:color w:val="auto"/>
              </w:rPr>
            </w:pPr>
          </w:p>
        </w:tc>
        <w:tc>
          <w:tcPr>
            <w:tcW w:w="3040" w:type="dxa"/>
            <w:vAlign w:val="bottom"/>
            <w:gridSpan w:val="7"/>
            <w:shd w:val="clear" w:color="auto" w:fill="023C5B"/>
          </w:tcPr>
          <w:p>
            <w:pPr>
              <w:ind w:left="680"/>
              <w:spacing w:after="0"/>
              <w:rPr>
                <w:sz w:val="20"/>
                <w:szCs w:val="20"/>
                <w:color w:val="auto"/>
              </w:rPr>
            </w:pPr>
            <w:r>
              <w:rPr>
                <w:rFonts w:ascii="Arial" w:cs="Arial" w:eastAsia="Arial" w:hAnsi="Arial"/>
                <w:sz w:val="16"/>
                <w:szCs w:val="16"/>
                <w:b w:val="1"/>
                <w:bCs w:val="1"/>
                <w:color w:val="FFFFFF"/>
              </w:rPr>
              <w:t>Matter to Be Voted On</w:t>
            </w:r>
          </w:p>
        </w:tc>
        <w:tc>
          <w:tcPr>
            <w:tcW w:w="1600" w:type="dxa"/>
            <w:vAlign w:val="bottom"/>
            <w:gridSpan w:val="2"/>
            <w:shd w:val="clear" w:color="auto" w:fill="023C5B"/>
          </w:tcPr>
          <w:p>
            <w:pPr>
              <w:jc w:val="center"/>
              <w:ind w:right="20"/>
              <w:spacing w:after="0"/>
              <w:rPr>
                <w:sz w:val="20"/>
                <w:szCs w:val="20"/>
                <w:color w:val="auto"/>
              </w:rPr>
            </w:pPr>
            <w:r>
              <w:rPr>
                <w:rFonts w:ascii="Arial" w:cs="Arial" w:eastAsia="Arial" w:hAnsi="Arial"/>
                <w:sz w:val="16"/>
                <w:szCs w:val="16"/>
                <w:b w:val="1"/>
                <w:bCs w:val="1"/>
                <w:color w:val="FFFFFF"/>
                <w:w w:val="99"/>
              </w:rPr>
              <w:t>Recommendation</w:t>
            </w:r>
          </w:p>
        </w:tc>
        <w:tc>
          <w:tcPr>
            <w:tcW w:w="440" w:type="dxa"/>
            <w:vAlign w:val="bottom"/>
            <w:shd w:val="clear" w:color="auto" w:fill="023C5B"/>
          </w:tcPr>
          <w:p>
            <w:pPr>
              <w:spacing w:after="0"/>
              <w:rPr>
                <w:sz w:val="20"/>
                <w:szCs w:val="20"/>
                <w:color w:val="auto"/>
              </w:rPr>
            </w:pPr>
          </w:p>
        </w:tc>
        <w:tc>
          <w:tcPr>
            <w:tcW w:w="1760" w:type="dxa"/>
            <w:vAlign w:val="bottom"/>
            <w:gridSpan w:val="2"/>
            <w:shd w:val="clear" w:color="auto" w:fill="023C5B"/>
          </w:tcPr>
          <w:p>
            <w:pPr>
              <w:ind w:left="200"/>
              <w:spacing w:after="0"/>
              <w:rPr>
                <w:sz w:val="20"/>
                <w:szCs w:val="20"/>
                <w:color w:val="auto"/>
              </w:rPr>
            </w:pPr>
            <w:r>
              <w:rPr>
                <w:rFonts w:ascii="Arial" w:cs="Arial" w:eastAsia="Arial" w:hAnsi="Arial"/>
                <w:sz w:val="16"/>
                <w:szCs w:val="16"/>
                <w:b w:val="1"/>
                <w:bCs w:val="1"/>
                <w:color w:val="FFFFFF"/>
              </w:rPr>
              <w:t>Voting Requirement</w:t>
            </w:r>
          </w:p>
        </w:tc>
        <w:tc>
          <w:tcPr>
            <w:tcW w:w="560" w:type="dxa"/>
            <w:vAlign w:val="bottom"/>
            <w:shd w:val="clear" w:color="auto" w:fill="023C5B"/>
          </w:tcPr>
          <w:p>
            <w:pPr>
              <w:spacing w:after="0"/>
              <w:rPr>
                <w:sz w:val="20"/>
                <w:szCs w:val="20"/>
                <w:color w:val="auto"/>
              </w:rPr>
            </w:pPr>
          </w:p>
        </w:tc>
        <w:tc>
          <w:tcPr>
            <w:tcW w:w="40" w:type="dxa"/>
            <w:vAlign w:val="bottom"/>
            <w:shd w:val="clear" w:color="auto" w:fill="023C5B"/>
          </w:tcPr>
          <w:p>
            <w:pPr>
              <w:spacing w:after="0"/>
              <w:rPr>
                <w:sz w:val="20"/>
                <w:szCs w:val="20"/>
                <w:color w:val="auto"/>
              </w:rPr>
            </w:pPr>
          </w:p>
        </w:tc>
        <w:tc>
          <w:tcPr>
            <w:tcW w:w="1620" w:type="dxa"/>
            <w:vAlign w:val="bottom"/>
            <w:gridSpan w:val="2"/>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Abstentions</w:t>
            </w:r>
          </w:p>
        </w:tc>
        <w:tc>
          <w:tcPr>
            <w:tcW w:w="1260" w:type="dxa"/>
            <w:vAlign w:val="bottom"/>
            <w:shd w:val="clear" w:color="auto" w:fill="023C5B"/>
          </w:tcPr>
          <w:p>
            <w:pPr>
              <w:jc w:val="center"/>
              <w:spacing w:after="0"/>
              <w:rPr>
                <w:sz w:val="20"/>
                <w:szCs w:val="20"/>
                <w:color w:val="auto"/>
              </w:rPr>
            </w:pPr>
            <w:r>
              <w:rPr>
                <w:rFonts w:ascii="Arial" w:cs="Arial" w:eastAsia="Arial" w:hAnsi="Arial"/>
                <w:sz w:val="16"/>
                <w:szCs w:val="16"/>
                <w:b w:val="1"/>
                <w:bCs w:val="1"/>
                <w:color w:val="FFFFFF"/>
                <w:w w:val="97"/>
              </w:rPr>
              <w:t>Non-Votes”</w:t>
            </w:r>
          </w:p>
        </w:tc>
        <w:tc>
          <w:tcPr>
            <w:tcW w:w="0" w:type="dxa"/>
            <w:vAlign w:val="bottom"/>
          </w:tcPr>
          <w:p>
            <w:pPr>
              <w:spacing w:after="0"/>
              <w:rPr>
                <w:sz w:val="1"/>
                <w:szCs w:val="1"/>
                <w:color w:val="auto"/>
              </w:rPr>
            </w:pPr>
          </w:p>
        </w:tc>
      </w:tr>
      <w:tr>
        <w:trPr>
          <w:trHeight w:val="87"/>
        </w:trPr>
        <w:tc>
          <w:tcPr>
            <w:tcW w:w="540" w:type="dxa"/>
            <w:vAlign w:val="bottom"/>
            <w:shd w:val="clear" w:color="auto" w:fill="023C5B"/>
          </w:tcPr>
          <w:p>
            <w:pPr>
              <w:spacing w:after="0"/>
              <w:rPr>
                <w:sz w:val="7"/>
                <w:szCs w:val="7"/>
                <w:color w:val="auto"/>
              </w:rPr>
            </w:pPr>
          </w:p>
        </w:tc>
        <w:tc>
          <w:tcPr>
            <w:tcW w:w="20" w:type="dxa"/>
            <w:vAlign w:val="bottom"/>
            <w:shd w:val="clear" w:color="auto" w:fill="023C5B"/>
          </w:tcPr>
          <w:p>
            <w:pPr>
              <w:spacing w:after="0"/>
              <w:rPr>
                <w:sz w:val="7"/>
                <w:szCs w:val="7"/>
                <w:color w:val="auto"/>
              </w:rPr>
            </w:pPr>
          </w:p>
        </w:tc>
        <w:tc>
          <w:tcPr>
            <w:tcW w:w="40" w:type="dxa"/>
            <w:vAlign w:val="bottom"/>
            <w:shd w:val="clear" w:color="auto" w:fill="023C5B"/>
          </w:tcPr>
          <w:p>
            <w:pPr>
              <w:spacing w:after="0"/>
              <w:rPr>
                <w:sz w:val="7"/>
                <w:szCs w:val="7"/>
                <w:color w:val="auto"/>
              </w:rPr>
            </w:pPr>
          </w:p>
        </w:tc>
        <w:tc>
          <w:tcPr>
            <w:tcW w:w="940" w:type="dxa"/>
            <w:vAlign w:val="bottom"/>
            <w:shd w:val="clear" w:color="auto" w:fill="023C5B"/>
          </w:tcPr>
          <w:p>
            <w:pPr>
              <w:spacing w:after="0"/>
              <w:rPr>
                <w:sz w:val="7"/>
                <w:szCs w:val="7"/>
                <w:color w:val="auto"/>
              </w:rPr>
            </w:pPr>
          </w:p>
        </w:tc>
        <w:tc>
          <w:tcPr>
            <w:tcW w:w="380" w:type="dxa"/>
            <w:vAlign w:val="bottom"/>
            <w:shd w:val="clear" w:color="auto" w:fill="023C5B"/>
          </w:tcPr>
          <w:p>
            <w:pPr>
              <w:spacing w:after="0"/>
              <w:rPr>
                <w:sz w:val="7"/>
                <w:szCs w:val="7"/>
                <w:color w:val="auto"/>
              </w:rPr>
            </w:pPr>
          </w:p>
        </w:tc>
        <w:tc>
          <w:tcPr>
            <w:tcW w:w="460" w:type="dxa"/>
            <w:vAlign w:val="bottom"/>
            <w:shd w:val="clear" w:color="auto" w:fill="023C5B"/>
          </w:tcPr>
          <w:p>
            <w:pPr>
              <w:spacing w:after="0"/>
              <w:rPr>
                <w:sz w:val="7"/>
                <w:szCs w:val="7"/>
                <w:color w:val="auto"/>
              </w:rPr>
            </w:pPr>
          </w:p>
        </w:tc>
        <w:tc>
          <w:tcPr>
            <w:tcW w:w="460" w:type="dxa"/>
            <w:vAlign w:val="bottom"/>
            <w:shd w:val="clear" w:color="auto" w:fill="023C5B"/>
          </w:tcPr>
          <w:p>
            <w:pPr>
              <w:spacing w:after="0"/>
              <w:rPr>
                <w:sz w:val="7"/>
                <w:szCs w:val="7"/>
                <w:color w:val="auto"/>
              </w:rPr>
            </w:pPr>
          </w:p>
        </w:tc>
        <w:tc>
          <w:tcPr>
            <w:tcW w:w="740" w:type="dxa"/>
            <w:vAlign w:val="bottom"/>
            <w:shd w:val="clear" w:color="auto" w:fill="023C5B"/>
          </w:tcPr>
          <w:p>
            <w:pPr>
              <w:spacing w:after="0"/>
              <w:rPr>
                <w:sz w:val="7"/>
                <w:szCs w:val="7"/>
                <w:color w:val="auto"/>
              </w:rPr>
            </w:pPr>
          </w:p>
        </w:tc>
        <w:tc>
          <w:tcPr>
            <w:tcW w:w="40" w:type="dxa"/>
            <w:vAlign w:val="bottom"/>
            <w:tcBorders>
              <w:right w:val="single" w:sz="8" w:color="023C5B"/>
            </w:tcBorders>
            <w:shd w:val="clear" w:color="auto" w:fill="023C5B"/>
          </w:tcPr>
          <w:p>
            <w:pPr>
              <w:spacing w:after="0"/>
              <w:rPr>
                <w:sz w:val="7"/>
                <w:szCs w:val="7"/>
                <w:color w:val="auto"/>
              </w:rPr>
            </w:pPr>
          </w:p>
        </w:tc>
        <w:tc>
          <w:tcPr>
            <w:tcW w:w="20" w:type="dxa"/>
            <w:vAlign w:val="bottom"/>
            <w:shd w:val="clear" w:color="auto" w:fill="023C5B"/>
          </w:tcPr>
          <w:p>
            <w:pPr>
              <w:spacing w:after="0"/>
              <w:rPr>
                <w:sz w:val="7"/>
                <w:szCs w:val="7"/>
                <w:color w:val="auto"/>
              </w:rPr>
            </w:pPr>
          </w:p>
        </w:tc>
        <w:tc>
          <w:tcPr>
            <w:tcW w:w="1540" w:type="dxa"/>
            <w:vAlign w:val="bottom"/>
            <w:shd w:val="clear" w:color="auto" w:fill="023C5B"/>
          </w:tcPr>
          <w:p>
            <w:pPr>
              <w:spacing w:after="0"/>
              <w:rPr>
                <w:sz w:val="7"/>
                <w:szCs w:val="7"/>
                <w:color w:val="auto"/>
              </w:rPr>
            </w:pPr>
          </w:p>
        </w:tc>
        <w:tc>
          <w:tcPr>
            <w:tcW w:w="60" w:type="dxa"/>
            <w:vAlign w:val="bottom"/>
            <w:shd w:val="clear" w:color="auto" w:fill="023C5B"/>
          </w:tcPr>
          <w:p>
            <w:pPr>
              <w:spacing w:after="0"/>
              <w:rPr>
                <w:sz w:val="7"/>
                <w:szCs w:val="7"/>
                <w:color w:val="auto"/>
              </w:rPr>
            </w:pPr>
          </w:p>
        </w:tc>
        <w:tc>
          <w:tcPr>
            <w:tcW w:w="2760" w:type="dxa"/>
            <w:vAlign w:val="bottom"/>
            <w:gridSpan w:val="4"/>
            <w:shd w:val="clear" w:color="auto" w:fill="023C5B"/>
          </w:tcPr>
          <w:p>
            <w:pPr>
              <w:spacing w:after="0"/>
              <w:rPr>
                <w:sz w:val="7"/>
                <w:szCs w:val="7"/>
                <w:color w:val="auto"/>
              </w:rPr>
            </w:pPr>
          </w:p>
        </w:tc>
        <w:tc>
          <w:tcPr>
            <w:tcW w:w="40" w:type="dxa"/>
            <w:vAlign w:val="bottom"/>
            <w:shd w:val="clear" w:color="auto" w:fill="023C5B"/>
          </w:tcPr>
          <w:p>
            <w:pPr>
              <w:spacing w:after="0"/>
              <w:rPr>
                <w:sz w:val="7"/>
                <w:szCs w:val="7"/>
                <w:color w:val="auto"/>
              </w:rPr>
            </w:pPr>
          </w:p>
        </w:tc>
        <w:tc>
          <w:tcPr>
            <w:tcW w:w="1560" w:type="dxa"/>
            <w:vAlign w:val="bottom"/>
            <w:shd w:val="clear" w:color="auto" w:fill="023C5B"/>
          </w:tcPr>
          <w:p>
            <w:pPr>
              <w:spacing w:after="0"/>
              <w:rPr>
                <w:sz w:val="7"/>
                <w:szCs w:val="7"/>
                <w:color w:val="auto"/>
              </w:rPr>
            </w:pPr>
          </w:p>
        </w:tc>
        <w:tc>
          <w:tcPr>
            <w:tcW w:w="60" w:type="dxa"/>
            <w:vAlign w:val="bottom"/>
            <w:shd w:val="clear" w:color="auto" w:fill="023C5B"/>
          </w:tcPr>
          <w:p>
            <w:pPr>
              <w:spacing w:after="0"/>
              <w:rPr>
                <w:sz w:val="7"/>
                <w:szCs w:val="7"/>
                <w:color w:val="auto"/>
              </w:rPr>
            </w:pPr>
          </w:p>
        </w:tc>
        <w:tc>
          <w:tcPr>
            <w:tcW w:w="1260" w:type="dxa"/>
            <w:vAlign w:val="bottom"/>
            <w:shd w:val="clear" w:color="auto" w:fill="023C5B"/>
          </w:tcPr>
          <w:p>
            <w:pPr>
              <w:spacing w:after="0"/>
              <w:rPr>
                <w:sz w:val="7"/>
                <w:szCs w:val="7"/>
                <w:color w:val="auto"/>
              </w:rPr>
            </w:pPr>
          </w:p>
        </w:tc>
        <w:tc>
          <w:tcPr>
            <w:tcW w:w="0" w:type="dxa"/>
            <w:vAlign w:val="bottom"/>
          </w:tcPr>
          <w:p>
            <w:pPr>
              <w:spacing w:after="0"/>
              <w:rPr>
                <w:sz w:val="1"/>
                <w:szCs w:val="1"/>
                <w:color w:val="auto"/>
              </w:rPr>
            </w:pPr>
          </w:p>
        </w:tc>
      </w:tr>
      <w:tr>
        <w:trPr>
          <w:trHeight w:val="356"/>
        </w:trPr>
        <w:tc>
          <w:tcPr>
            <w:tcW w:w="540" w:type="dxa"/>
            <w:vAlign w:val="bottom"/>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940" w:type="dxa"/>
            <w:vAlign w:val="bottom"/>
            <w:shd w:val="clear" w:color="auto" w:fill="E5EBEE"/>
          </w:tcPr>
          <w:p>
            <w:pPr>
              <w:spacing w:after="0"/>
              <w:rPr>
                <w:sz w:val="24"/>
                <w:szCs w:val="24"/>
                <w:color w:val="auto"/>
              </w:rPr>
            </w:pPr>
          </w:p>
        </w:tc>
        <w:tc>
          <w:tcPr>
            <w:tcW w:w="380" w:type="dxa"/>
            <w:vAlign w:val="bottom"/>
            <w:shd w:val="clear" w:color="auto" w:fill="E5EBEE"/>
          </w:tcPr>
          <w:p>
            <w:pPr>
              <w:spacing w:after="0"/>
              <w:rPr>
                <w:sz w:val="24"/>
                <w:szCs w:val="24"/>
                <w:color w:val="auto"/>
              </w:rPr>
            </w:pPr>
          </w:p>
        </w:tc>
        <w:tc>
          <w:tcPr>
            <w:tcW w:w="460" w:type="dxa"/>
            <w:vAlign w:val="bottom"/>
            <w:shd w:val="clear" w:color="auto" w:fill="E5EBEE"/>
          </w:tcPr>
          <w:p>
            <w:pPr>
              <w:spacing w:after="0"/>
              <w:rPr>
                <w:sz w:val="24"/>
                <w:szCs w:val="24"/>
                <w:color w:val="auto"/>
              </w:rPr>
            </w:pPr>
          </w:p>
        </w:tc>
        <w:tc>
          <w:tcPr>
            <w:tcW w:w="460" w:type="dxa"/>
            <w:vAlign w:val="bottom"/>
            <w:shd w:val="clear" w:color="auto" w:fill="E5EBEE"/>
          </w:tcPr>
          <w:p>
            <w:pPr>
              <w:spacing w:after="0"/>
              <w:rPr>
                <w:sz w:val="24"/>
                <w:szCs w:val="24"/>
                <w:color w:val="auto"/>
              </w:rPr>
            </w:pPr>
          </w:p>
        </w:tc>
        <w:tc>
          <w:tcPr>
            <w:tcW w:w="740" w:type="dxa"/>
            <w:vAlign w:val="bottom"/>
            <w:shd w:val="clear" w:color="auto" w:fill="E5EBEE"/>
          </w:tcPr>
          <w:p>
            <w:pPr>
              <w:spacing w:after="0"/>
              <w:rPr>
                <w:sz w:val="24"/>
                <w:szCs w:val="24"/>
                <w:color w:val="auto"/>
              </w:rPr>
            </w:pPr>
          </w:p>
        </w:tc>
        <w:tc>
          <w:tcPr>
            <w:tcW w:w="40" w:type="dxa"/>
            <w:vAlign w:val="bottom"/>
            <w:tcBorders>
              <w:right w:val="single" w:sz="8" w:color="E5EBEE"/>
            </w:tcBorders>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c>
          <w:tcPr>
            <w:tcW w:w="1540" w:type="dxa"/>
            <w:vAlign w:val="bottom"/>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2800" w:type="dxa"/>
            <w:vAlign w:val="bottom"/>
            <w:gridSpan w:val="5"/>
            <w:shd w:val="clear" w:color="auto" w:fill="E5EBEE"/>
          </w:tcPr>
          <w:p>
            <w:pPr>
              <w:ind w:left="60"/>
              <w:spacing w:after="0"/>
              <w:rPr>
                <w:sz w:val="20"/>
                <w:szCs w:val="20"/>
                <w:color w:val="auto"/>
              </w:rPr>
            </w:pPr>
            <w:r>
              <w:rPr>
                <w:rFonts w:ascii="Arial" w:cs="Arial" w:eastAsia="Arial" w:hAnsi="Arial"/>
                <w:sz w:val="18"/>
                <w:szCs w:val="18"/>
                <w:color w:val="auto"/>
              </w:rPr>
              <w:t>Each candidate will be elected as</w:t>
            </w:r>
          </w:p>
        </w:tc>
        <w:tc>
          <w:tcPr>
            <w:tcW w:w="1560" w:type="dxa"/>
            <w:vAlign w:val="bottom"/>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260" w:type="dxa"/>
            <w:vAlign w:val="bottom"/>
            <w:shd w:val="clear" w:color="auto" w:fill="E5EBE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40" w:type="dxa"/>
            <w:vAlign w:val="bottom"/>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940" w:type="dxa"/>
            <w:vAlign w:val="bottom"/>
            <w:shd w:val="clear" w:color="auto" w:fill="E5EBEE"/>
          </w:tcPr>
          <w:p>
            <w:pPr>
              <w:spacing w:after="0"/>
              <w:rPr>
                <w:sz w:val="17"/>
                <w:szCs w:val="17"/>
                <w:color w:val="auto"/>
              </w:rPr>
            </w:pPr>
          </w:p>
        </w:tc>
        <w:tc>
          <w:tcPr>
            <w:tcW w:w="38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740" w:type="dxa"/>
            <w:vAlign w:val="bottom"/>
            <w:shd w:val="clear" w:color="auto" w:fill="E5EBEE"/>
          </w:tcPr>
          <w:p>
            <w:pPr>
              <w:spacing w:after="0"/>
              <w:rPr>
                <w:sz w:val="17"/>
                <w:szCs w:val="17"/>
                <w:color w:val="auto"/>
              </w:rPr>
            </w:pPr>
          </w:p>
        </w:tc>
        <w:tc>
          <w:tcPr>
            <w:tcW w:w="40" w:type="dxa"/>
            <w:vAlign w:val="bottom"/>
            <w:tcBorders>
              <w:right w:val="single" w:sz="8" w:color="E5EBEE"/>
            </w:tcBorders>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154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2800" w:type="dxa"/>
            <w:vAlign w:val="bottom"/>
            <w:gridSpan w:val="5"/>
            <w:shd w:val="clear" w:color="auto" w:fill="E5EBEE"/>
          </w:tcPr>
          <w:p>
            <w:pPr>
              <w:ind w:left="60"/>
              <w:spacing w:after="0" w:line="201" w:lineRule="exact"/>
              <w:rPr>
                <w:sz w:val="20"/>
                <w:szCs w:val="20"/>
                <w:color w:val="auto"/>
              </w:rPr>
            </w:pPr>
            <w:r>
              <w:rPr>
                <w:rFonts w:ascii="Arial" w:cs="Arial" w:eastAsia="Arial" w:hAnsi="Arial"/>
                <w:sz w:val="18"/>
                <w:szCs w:val="18"/>
                <w:color w:val="auto"/>
              </w:rPr>
              <w:t>a  director  of  Capital  One  if  a</w:t>
            </w:r>
          </w:p>
        </w:tc>
        <w:tc>
          <w:tcPr>
            <w:tcW w:w="156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260" w:type="dxa"/>
            <w:vAlign w:val="bottom"/>
            <w:shd w:val="clear" w:color="auto" w:fill="E5EBE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 w:type="dxa"/>
            <w:vAlign w:val="bottom"/>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940" w:type="dxa"/>
            <w:vAlign w:val="bottom"/>
            <w:shd w:val="clear" w:color="auto" w:fill="E5EBEE"/>
          </w:tcPr>
          <w:p>
            <w:pPr>
              <w:spacing w:after="0"/>
              <w:rPr>
                <w:sz w:val="17"/>
                <w:szCs w:val="17"/>
                <w:color w:val="auto"/>
              </w:rPr>
            </w:pPr>
          </w:p>
        </w:tc>
        <w:tc>
          <w:tcPr>
            <w:tcW w:w="38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740" w:type="dxa"/>
            <w:vAlign w:val="bottom"/>
            <w:shd w:val="clear" w:color="auto" w:fill="E5EBEE"/>
          </w:tcPr>
          <w:p>
            <w:pPr>
              <w:spacing w:after="0"/>
              <w:rPr>
                <w:sz w:val="17"/>
                <w:szCs w:val="17"/>
                <w:color w:val="auto"/>
              </w:rPr>
            </w:pPr>
          </w:p>
        </w:tc>
        <w:tc>
          <w:tcPr>
            <w:tcW w:w="40" w:type="dxa"/>
            <w:vAlign w:val="bottom"/>
            <w:tcBorders>
              <w:right w:val="single" w:sz="8" w:color="E5EBEE"/>
            </w:tcBorders>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154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2800" w:type="dxa"/>
            <w:vAlign w:val="bottom"/>
            <w:gridSpan w:val="5"/>
            <w:shd w:val="clear" w:color="auto" w:fill="E5EBEE"/>
          </w:tcPr>
          <w:p>
            <w:pPr>
              <w:ind w:left="60"/>
              <w:spacing w:after="0" w:line="201" w:lineRule="exact"/>
              <w:rPr>
                <w:sz w:val="20"/>
                <w:szCs w:val="20"/>
                <w:color w:val="auto"/>
              </w:rPr>
            </w:pPr>
            <w:r>
              <w:rPr>
                <w:rFonts w:ascii="Arial" w:cs="Arial" w:eastAsia="Arial" w:hAnsi="Arial"/>
                <w:sz w:val="18"/>
                <w:szCs w:val="18"/>
                <w:color w:val="auto"/>
              </w:rPr>
              <w:t>majority of the votes cast in their</w:t>
            </w:r>
          </w:p>
        </w:tc>
        <w:tc>
          <w:tcPr>
            <w:tcW w:w="156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260" w:type="dxa"/>
            <w:vAlign w:val="bottom"/>
            <w:shd w:val="clear" w:color="auto" w:fill="E5EBE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 w:type="dxa"/>
            <w:vAlign w:val="bottom"/>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940" w:type="dxa"/>
            <w:vAlign w:val="bottom"/>
            <w:shd w:val="clear" w:color="auto" w:fill="E5EBEE"/>
          </w:tcPr>
          <w:p>
            <w:pPr>
              <w:spacing w:after="0"/>
              <w:rPr>
                <w:sz w:val="17"/>
                <w:szCs w:val="17"/>
                <w:color w:val="auto"/>
              </w:rPr>
            </w:pPr>
          </w:p>
        </w:tc>
        <w:tc>
          <w:tcPr>
            <w:tcW w:w="38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740" w:type="dxa"/>
            <w:vAlign w:val="bottom"/>
            <w:shd w:val="clear" w:color="auto" w:fill="E5EBEE"/>
          </w:tcPr>
          <w:p>
            <w:pPr>
              <w:spacing w:after="0"/>
              <w:rPr>
                <w:sz w:val="17"/>
                <w:szCs w:val="17"/>
                <w:color w:val="auto"/>
              </w:rPr>
            </w:pPr>
          </w:p>
        </w:tc>
        <w:tc>
          <w:tcPr>
            <w:tcW w:w="40" w:type="dxa"/>
            <w:vAlign w:val="bottom"/>
            <w:tcBorders>
              <w:right w:val="single" w:sz="8" w:color="E5EBEE"/>
            </w:tcBorders>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154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2800" w:type="dxa"/>
            <w:vAlign w:val="bottom"/>
            <w:gridSpan w:val="5"/>
            <w:shd w:val="clear" w:color="auto" w:fill="E5EBEE"/>
          </w:tcPr>
          <w:p>
            <w:pPr>
              <w:ind w:left="60"/>
              <w:spacing w:after="0" w:line="201" w:lineRule="exact"/>
              <w:rPr>
                <w:sz w:val="20"/>
                <w:szCs w:val="20"/>
                <w:color w:val="auto"/>
              </w:rPr>
            </w:pPr>
            <w:r>
              <w:rPr>
                <w:rFonts w:ascii="Arial" w:cs="Arial" w:eastAsia="Arial" w:hAnsi="Arial"/>
                <w:sz w:val="18"/>
                <w:szCs w:val="18"/>
                <w:color w:val="auto"/>
              </w:rPr>
              <w:t>election is voted in favor of such</w:t>
            </w:r>
          </w:p>
        </w:tc>
        <w:tc>
          <w:tcPr>
            <w:tcW w:w="156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260" w:type="dxa"/>
            <w:vAlign w:val="bottom"/>
            <w:shd w:val="clear" w:color="auto" w:fill="E5EBE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 w:type="dxa"/>
            <w:vAlign w:val="bottom"/>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940" w:type="dxa"/>
            <w:vAlign w:val="bottom"/>
            <w:shd w:val="clear" w:color="auto" w:fill="E5EBEE"/>
          </w:tcPr>
          <w:p>
            <w:pPr>
              <w:spacing w:after="0"/>
              <w:rPr>
                <w:sz w:val="17"/>
                <w:szCs w:val="17"/>
                <w:color w:val="auto"/>
              </w:rPr>
            </w:pPr>
          </w:p>
        </w:tc>
        <w:tc>
          <w:tcPr>
            <w:tcW w:w="38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740" w:type="dxa"/>
            <w:vAlign w:val="bottom"/>
            <w:shd w:val="clear" w:color="auto" w:fill="E5EBEE"/>
          </w:tcPr>
          <w:p>
            <w:pPr>
              <w:spacing w:after="0"/>
              <w:rPr>
                <w:sz w:val="17"/>
                <w:szCs w:val="17"/>
                <w:color w:val="auto"/>
              </w:rPr>
            </w:pPr>
          </w:p>
        </w:tc>
        <w:tc>
          <w:tcPr>
            <w:tcW w:w="40" w:type="dxa"/>
            <w:vAlign w:val="bottom"/>
            <w:tcBorders>
              <w:right w:val="single" w:sz="8" w:color="E5EBEE"/>
            </w:tcBorders>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154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2800" w:type="dxa"/>
            <w:vAlign w:val="bottom"/>
            <w:gridSpan w:val="5"/>
            <w:shd w:val="clear" w:color="auto" w:fill="E5EBEE"/>
          </w:tcPr>
          <w:p>
            <w:pPr>
              <w:ind w:left="60"/>
              <w:spacing w:after="0" w:line="201" w:lineRule="exact"/>
              <w:rPr>
                <w:sz w:val="20"/>
                <w:szCs w:val="20"/>
                <w:color w:val="auto"/>
              </w:rPr>
            </w:pPr>
            <w:r>
              <w:rPr>
                <w:rFonts w:ascii="Arial" w:cs="Arial" w:eastAsia="Arial" w:hAnsi="Arial"/>
                <w:sz w:val="18"/>
                <w:szCs w:val="18"/>
                <w:color w:val="auto"/>
              </w:rPr>
              <w:t>election.  We  also  maintain  a</w:t>
            </w:r>
          </w:p>
        </w:tc>
        <w:tc>
          <w:tcPr>
            <w:tcW w:w="156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260" w:type="dxa"/>
            <w:vAlign w:val="bottom"/>
            <w:shd w:val="clear" w:color="auto" w:fill="E5EBE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 w:type="dxa"/>
            <w:vAlign w:val="bottom"/>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3040" w:type="dxa"/>
            <w:vAlign w:val="bottom"/>
            <w:gridSpan w:val="7"/>
            <w:vMerge w:val="restart"/>
            <w:shd w:val="clear" w:color="auto" w:fill="E5EBEE"/>
          </w:tcPr>
          <w:p>
            <w:pPr>
              <w:ind w:left="60"/>
              <w:spacing w:after="0"/>
              <w:rPr>
                <w:sz w:val="20"/>
                <w:szCs w:val="20"/>
                <w:color w:val="auto"/>
              </w:rPr>
            </w:pPr>
            <w:r>
              <w:rPr>
                <w:rFonts w:ascii="Arial" w:cs="Arial" w:eastAsia="Arial" w:hAnsi="Arial"/>
                <w:sz w:val="18"/>
                <w:szCs w:val="18"/>
                <w:color w:val="auto"/>
              </w:rPr>
              <w:t>Election of thirteen candidates for</w:t>
            </w:r>
          </w:p>
        </w:tc>
        <w:tc>
          <w:tcPr>
            <w:tcW w:w="154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180" w:type="dxa"/>
            <w:vAlign w:val="bottom"/>
            <w:gridSpan w:val="2"/>
            <w:shd w:val="clear" w:color="auto" w:fill="E5EBEE"/>
          </w:tcPr>
          <w:p>
            <w:pPr>
              <w:ind w:left="60"/>
              <w:spacing w:after="0" w:line="201" w:lineRule="exact"/>
              <w:rPr>
                <w:sz w:val="20"/>
                <w:szCs w:val="20"/>
                <w:color w:val="auto"/>
              </w:rPr>
            </w:pPr>
            <w:r>
              <w:rPr>
                <w:rFonts w:ascii="Arial" w:cs="Arial" w:eastAsia="Arial" w:hAnsi="Arial"/>
                <w:sz w:val="18"/>
                <w:szCs w:val="18"/>
                <w:color w:val="auto"/>
              </w:rPr>
              <w:t>“resignation”</w:t>
            </w:r>
          </w:p>
        </w:tc>
        <w:tc>
          <w:tcPr>
            <w:tcW w:w="1020" w:type="dxa"/>
            <w:vAlign w:val="bottom"/>
            <w:shd w:val="clear" w:color="auto" w:fill="E5EBEE"/>
          </w:tcPr>
          <w:p>
            <w:pPr>
              <w:ind w:left="220"/>
              <w:spacing w:after="0" w:line="201" w:lineRule="exact"/>
              <w:rPr>
                <w:sz w:val="20"/>
                <w:szCs w:val="20"/>
                <w:color w:val="auto"/>
              </w:rPr>
            </w:pPr>
            <w:r>
              <w:rPr>
                <w:rFonts w:ascii="Arial" w:cs="Arial" w:eastAsia="Arial" w:hAnsi="Arial"/>
                <w:sz w:val="18"/>
                <w:szCs w:val="18"/>
                <w:color w:val="auto"/>
              </w:rPr>
              <w:t>policy,</w:t>
            </w:r>
          </w:p>
        </w:tc>
        <w:tc>
          <w:tcPr>
            <w:tcW w:w="600" w:type="dxa"/>
            <w:vAlign w:val="bottom"/>
            <w:gridSpan w:val="2"/>
            <w:shd w:val="clear" w:color="auto" w:fill="E5EBEE"/>
          </w:tcPr>
          <w:p>
            <w:pPr>
              <w:jc w:val="right"/>
              <w:ind w:right="120"/>
              <w:spacing w:after="0" w:line="201" w:lineRule="exact"/>
              <w:rPr>
                <w:sz w:val="20"/>
                <w:szCs w:val="20"/>
                <w:color w:val="auto"/>
              </w:rPr>
            </w:pPr>
            <w:r>
              <w:rPr>
                <w:rFonts w:ascii="Arial" w:cs="Arial" w:eastAsia="Arial" w:hAnsi="Arial"/>
                <w:sz w:val="18"/>
                <w:szCs w:val="18"/>
                <w:color w:val="auto"/>
                <w:w w:val="99"/>
              </w:rPr>
              <w:t>which</w:t>
            </w:r>
          </w:p>
        </w:tc>
        <w:tc>
          <w:tcPr>
            <w:tcW w:w="156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260" w:type="dxa"/>
            <w:vAlign w:val="bottom"/>
            <w:shd w:val="clear" w:color="auto" w:fill="E5EBEE"/>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540" w:type="dxa"/>
            <w:vAlign w:val="bottom"/>
            <w:vMerge w:val="restart"/>
            <w:shd w:val="clear" w:color="auto" w:fill="E5EBEE"/>
          </w:tcPr>
          <w:p>
            <w:pPr>
              <w:jc w:val="center"/>
              <w:spacing w:after="0" w:line="201" w:lineRule="exact"/>
              <w:rPr>
                <w:sz w:val="20"/>
                <w:szCs w:val="20"/>
                <w:color w:val="auto"/>
              </w:rPr>
            </w:pPr>
            <w:r>
              <w:rPr>
                <w:rFonts w:ascii="Arial" w:cs="Arial" w:eastAsia="Arial" w:hAnsi="Arial"/>
                <w:sz w:val="18"/>
                <w:szCs w:val="18"/>
                <w:color w:val="auto"/>
              </w:rPr>
              <w:t>1.</w:t>
            </w:r>
          </w:p>
        </w:tc>
        <w:tc>
          <w:tcPr>
            <w:tcW w:w="20" w:type="dxa"/>
            <w:vAlign w:val="bottom"/>
            <w:shd w:val="clear" w:color="auto" w:fill="E5EBEE"/>
          </w:tcPr>
          <w:p>
            <w:pPr>
              <w:spacing w:after="0"/>
              <w:rPr>
                <w:sz w:val="9"/>
                <w:szCs w:val="9"/>
                <w:color w:val="auto"/>
              </w:rPr>
            </w:pPr>
          </w:p>
        </w:tc>
        <w:tc>
          <w:tcPr>
            <w:tcW w:w="40" w:type="dxa"/>
            <w:vAlign w:val="bottom"/>
            <w:shd w:val="clear" w:color="auto" w:fill="E5EBEE"/>
          </w:tcPr>
          <w:p>
            <w:pPr>
              <w:spacing w:after="0"/>
              <w:rPr>
                <w:sz w:val="9"/>
                <w:szCs w:val="9"/>
                <w:color w:val="auto"/>
              </w:rPr>
            </w:pPr>
          </w:p>
        </w:tc>
        <w:tc>
          <w:tcPr>
            <w:tcW w:w="3040" w:type="dxa"/>
            <w:vAlign w:val="bottom"/>
            <w:gridSpan w:val="7"/>
            <w:vMerge w:val="continue"/>
            <w:shd w:val="clear" w:color="auto" w:fill="E5EBEE"/>
          </w:tcPr>
          <w:p>
            <w:pPr>
              <w:spacing w:after="0"/>
              <w:rPr>
                <w:sz w:val="9"/>
                <w:szCs w:val="9"/>
                <w:color w:val="auto"/>
              </w:rPr>
            </w:pPr>
          </w:p>
        </w:tc>
        <w:tc>
          <w:tcPr>
            <w:tcW w:w="1600" w:type="dxa"/>
            <w:vAlign w:val="bottom"/>
            <w:gridSpan w:val="2"/>
            <w:vMerge w:val="restart"/>
            <w:shd w:val="clear" w:color="auto" w:fill="E5EBEE"/>
          </w:tcPr>
          <w:p>
            <w:pPr>
              <w:jc w:val="center"/>
              <w:ind w:right="20"/>
              <w:spacing w:after="0" w:line="201" w:lineRule="exact"/>
              <w:rPr>
                <w:sz w:val="20"/>
                <w:szCs w:val="20"/>
                <w:color w:val="auto"/>
              </w:rPr>
            </w:pPr>
            <w:r>
              <w:rPr>
                <w:rFonts w:ascii="Arial" w:cs="Arial" w:eastAsia="Arial" w:hAnsi="Arial"/>
                <w:sz w:val="18"/>
                <w:szCs w:val="18"/>
                <w:b w:val="1"/>
                <w:bCs w:val="1"/>
                <w:color w:val="auto"/>
                <w:w w:val="99"/>
              </w:rPr>
              <w:t>FOR</w:t>
            </w:r>
          </w:p>
        </w:tc>
        <w:tc>
          <w:tcPr>
            <w:tcW w:w="1180" w:type="dxa"/>
            <w:vAlign w:val="bottom"/>
            <w:gridSpan w:val="2"/>
            <w:vMerge w:val="restart"/>
            <w:shd w:val="clear" w:color="auto" w:fill="E5EBEE"/>
          </w:tcPr>
          <w:p>
            <w:pPr>
              <w:ind w:left="60"/>
              <w:spacing w:after="0" w:line="201" w:lineRule="exact"/>
              <w:rPr>
                <w:sz w:val="20"/>
                <w:szCs w:val="20"/>
                <w:color w:val="auto"/>
              </w:rPr>
            </w:pPr>
            <w:r>
              <w:rPr>
                <w:rFonts w:ascii="Arial" w:cs="Arial" w:eastAsia="Arial" w:hAnsi="Arial"/>
                <w:sz w:val="18"/>
                <w:szCs w:val="18"/>
                <w:color w:val="auto"/>
              </w:rPr>
              <w:t>requires  that</w:t>
            </w:r>
          </w:p>
        </w:tc>
        <w:tc>
          <w:tcPr>
            <w:tcW w:w="1620" w:type="dxa"/>
            <w:vAlign w:val="bottom"/>
            <w:gridSpan w:val="3"/>
            <w:vMerge w:val="restart"/>
            <w:shd w:val="clear" w:color="auto" w:fill="E5EBEE"/>
          </w:tcPr>
          <w:p>
            <w:pPr>
              <w:jc w:val="right"/>
              <w:ind w:right="100"/>
              <w:spacing w:after="0" w:line="201" w:lineRule="exact"/>
              <w:rPr>
                <w:sz w:val="20"/>
                <w:szCs w:val="20"/>
                <w:color w:val="auto"/>
              </w:rPr>
            </w:pPr>
            <w:r>
              <w:rPr>
                <w:rFonts w:ascii="Arial" w:cs="Arial" w:eastAsia="Arial" w:hAnsi="Arial"/>
                <w:sz w:val="18"/>
                <w:szCs w:val="18"/>
                <w:color w:val="auto"/>
              </w:rPr>
              <w:t>any  director  who</w:t>
            </w:r>
          </w:p>
        </w:tc>
        <w:tc>
          <w:tcPr>
            <w:tcW w:w="1620" w:type="dxa"/>
            <w:vAlign w:val="bottom"/>
            <w:gridSpan w:val="2"/>
            <w:vMerge w:val="restart"/>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No effect</w:t>
            </w:r>
          </w:p>
        </w:tc>
        <w:tc>
          <w:tcPr>
            <w:tcW w:w="1260" w:type="dxa"/>
            <w:vAlign w:val="bottom"/>
            <w:vMerge w:val="restart"/>
            <w:shd w:val="clear" w:color="auto" w:fill="E5EBEE"/>
          </w:tcPr>
          <w:p>
            <w:pPr>
              <w:jc w:val="center"/>
              <w:spacing w:after="0" w:line="201" w:lineRule="exact"/>
              <w:rPr>
                <w:sz w:val="20"/>
                <w:szCs w:val="20"/>
                <w:color w:val="auto"/>
              </w:rPr>
            </w:pPr>
            <w:r>
              <w:rPr>
                <w:rFonts w:ascii="Arial" w:cs="Arial" w:eastAsia="Arial" w:hAnsi="Arial"/>
                <w:sz w:val="18"/>
                <w:szCs w:val="18"/>
                <w:color w:val="auto"/>
                <w:w w:val="97"/>
              </w:rPr>
              <w:t>No effect</w:t>
            </w:r>
          </w:p>
        </w:tc>
        <w:tc>
          <w:tcPr>
            <w:tcW w:w="0" w:type="dxa"/>
            <w:vAlign w:val="bottom"/>
          </w:tcPr>
          <w:p>
            <w:pPr>
              <w:spacing w:after="0"/>
              <w:rPr>
                <w:sz w:val="1"/>
                <w:szCs w:val="1"/>
                <w:color w:val="auto"/>
              </w:rPr>
            </w:pPr>
          </w:p>
        </w:tc>
      </w:tr>
      <w:tr>
        <w:trPr>
          <w:trHeight w:val="94"/>
        </w:trPr>
        <w:tc>
          <w:tcPr>
            <w:tcW w:w="540" w:type="dxa"/>
            <w:vAlign w:val="bottom"/>
            <w:vMerge w:val="continue"/>
            <w:shd w:val="clear" w:color="auto" w:fill="E5EBEE"/>
          </w:tcPr>
          <w:p>
            <w:pPr>
              <w:spacing w:after="0"/>
              <w:rPr>
                <w:sz w:val="8"/>
                <w:szCs w:val="8"/>
                <w:color w:val="auto"/>
              </w:rPr>
            </w:pPr>
          </w:p>
        </w:tc>
        <w:tc>
          <w:tcPr>
            <w:tcW w:w="20" w:type="dxa"/>
            <w:vAlign w:val="bottom"/>
            <w:shd w:val="clear" w:color="auto" w:fill="E5EBEE"/>
          </w:tcPr>
          <w:p>
            <w:pPr>
              <w:spacing w:after="0"/>
              <w:rPr>
                <w:sz w:val="8"/>
                <w:szCs w:val="8"/>
                <w:color w:val="auto"/>
              </w:rPr>
            </w:pPr>
          </w:p>
        </w:tc>
        <w:tc>
          <w:tcPr>
            <w:tcW w:w="40" w:type="dxa"/>
            <w:vAlign w:val="bottom"/>
            <w:shd w:val="clear" w:color="auto" w:fill="E5EBEE"/>
          </w:tcPr>
          <w:p>
            <w:pPr>
              <w:spacing w:after="0"/>
              <w:rPr>
                <w:sz w:val="8"/>
                <w:szCs w:val="8"/>
                <w:color w:val="auto"/>
              </w:rPr>
            </w:pPr>
          </w:p>
        </w:tc>
        <w:tc>
          <w:tcPr>
            <w:tcW w:w="940" w:type="dxa"/>
            <w:vAlign w:val="bottom"/>
            <w:vMerge w:val="restart"/>
            <w:shd w:val="clear" w:color="auto" w:fill="E5EBEE"/>
          </w:tcPr>
          <w:p>
            <w:pPr>
              <w:ind w:left="60"/>
              <w:spacing w:after="0"/>
              <w:rPr>
                <w:sz w:val="20"/>
                <w:szCs w:val="20"/>
                <w:color w:val="auto"/>
              </w:rPr>
            </w:pPr>
            <w:r>
              <w:rPr>
                <w:rFonts w:ascii="Arial" w:cs="Arial" w:eastAsia="Arial" w:hAnsi="Arial"/>
                <w:sz w:val="18"/>
                <w:szCs w:val="18"/>
                <w:color w:val="auto"/>
              </w:rPr>
              <w:t>director</w:t>
            </w:r>
          </w:p>
        </w:tc>
        <w:tc>
          <w:tcPr>
            <w:tcW w:w="380" w:type="dxa"/>
            <w:vAlign w:val="bottom"/>
            <w:shd w:val="clear" w:color="auto" w:fill="E5EBEE"/>
          </w:tcPr>
          <w:p>
            <w:pPr>
              <w:spacing w:after="0"/>
              <w:rPr>
                <w:sz w:val="8"/>
                <w:szCs w:val="8"/>
                <w:color w:val="auto"/>
              </w:rPr>
            </w:pPr>
          </w:p>
        </w:tc>
        <w:tc>
          <w:tcPr>
            <w:tcW w:w="460" w:type="dxa"/>
            <w:vAlign w:val="bottom"/>
            <w:shd w:val="clear" w:color="auto" w:fill="E5EBEE"/>
          </w:tcPr>
          <w:p>
            <w:pPr>
              <w:spacing w:after="0"/>
              <w:rPr>
                <w:sz w:val="8"/>
                <w:szCs w:val="8"/>
                <w:color w:val="auto"/>
              </w:rPr>
            </w:pPr>
          </w:p>
        </w:tc>
        <w:tc>
          <w:tcPr>
            <w:tcW w:w="460" w:type="dxa"/>
            <w:vAlign w:val="bottom"/>
            <w:shd w:val="clear" w:color="auto" w:fill="E5EBEE"/>
          </w:tcPr>
          <w:p>
            <w:pPr>
              <w:spacing w:after="0"/>
              <w:rPr>
                <w:sz w:val="8"/>
                <w:szCs w:val="8"/>
                <w:color w:val="auto"/>
              </w:rPr>
            </w:pPr>
          </w:p>
        </w:tc>
        <w:tc>
          <w:tcPr>
            <w:tcW w:w="740" w:type="dxa"/>
            <w:vAlign w:val="bottom"/>
            <w:shd w:val="clear" w:color="auto" w:fill="E5EBEE"/>
          </w:tcPr>
          <w:p>
            <w:pPr>
              <w:spacing w:after="0"/>
              <w:rPr>
                <w:sz w:val="8"/>
                <w:szCs w:val="8"/>
                <w:color w:val="auto"/>
              </w:rPr>
            </w:pPr>
          </w:p>
        </w:tc>
        <w:tc>
          <w:tcPr>
            <w:tcW w:w="40" w:type="dxa"/>
            <w:vAlign w:val="bottom"/>
            <w:tcBorders>
              <w:right w:val="single" w:sz="8" w:color="E5EBEE"/>
            </w:tcBorders>
            <w:shd w:val="clear" w:color="auto" w:fill="E5EBEE"/>
          </w:tcPr>
          <w:p>
            <w:pPr>
              <w:spacing w:after="0"/>
              <w:rPr>
                <w:sz w:val="8"/>
                <w:szCs w:val="8"/>
                <w:color w:val="auto"/>
              </w:rPr>
            </w:pPr>
          </w:p>
        </w:tc>
        <w:tc>
          <w:tcPr>
            <w:tcW w:w="20" w:type="dxa"/>
            <w:vAlign w:val="bottom"/>
            <w:shd w:val="clear" w:color="auto" w:fill="E5EBEE"/>
          </w:tcPr>
          <w:p>
            <w:pPr>
              <w:spacing w:after="0"/>
              <w:rPr>
                <w:sz w:val="8"/>
                <w:szCs w:val="8"/>
                <w:color w:val="auto"/>
              </w:rPr>
            </w:pPr>
          </w:p>
        </w:tc>
        <w:tc>
          <w:tcPr>
            <w:tcW w:w="1600" w:type="dxa"/>
            <w:vAlign w:val="bottom"/>
            <w:gridSpan w:val="2"/>
            <w:vMerge w:val="continue"/>
            <w:shd w:val="clear" w:color="auto" w:fill="E5EBEE"/>
          </w:tcPr>
          <w:p>
            <w:pPr>
              <w:spacing w:after="0"/>
              <w:rPr>
                <w:sz w:val="8"/>
                <w:szCs w:val="8"/>
                <w:color w:val="auto"/>
              </w:rPr>
            </w:pPr>
          </w:p>
        </w:tc>
        <w:tc>
          <w:tcPr>
            <w:tcW w:w="1180" w:type="dxa"/>
            <w:vAlign w:val="bottom"/>
            <w:gridSpan w:val="2"/>
            <w:vMerge w:val="continue"/>
            <w:shd w:val="clear" w:color="auto" w:fill="E5EBEE"/>
          </w:tcPr>
          <w:p>
            <w:pPr>
              <w:spacing w:after="0"/>
              <w:rPr>
                <w:sz w:val="8"/>
                <w:szCs w:val="8"/>
                <w:color w:val="auto"/>
              </w:rPr>
            </w:pPr>
          </w:p>
        </w:tc>
        <w:tc>
          <w:tcPr>
            <w:tcW w:w="1620" w:type="dxa"/>
            <w:vAlign w:val="bottom"/>
            <w:gridSpan w:val="3"/>
            <w:vMerge w:val="continue"/>
            <w:shd w:val="clear" w:color="auto" w:fill="E5EBEE"/>
          </w:tcPr>
          <w:p>
            <w:pPr>
              <w:spacing w:after="0"/>
              <w:rPr>
                <w:sz w:val="8"/>
                <w:szCs w:val="8"/>
                <w:color w:val="auto"/>
              </w:rPr>
            </w:pPr>
          </w:p>
        </w:tc>
        <w:tc>
          <w:tcPr>
            <w:tcW w:w="1620" w:type="dxa"/>
            <w:vAlign w:val="bottom"/>
            <w:gridSpan w:val="2"/>
            <w:vMerge w:val="continue"/>
            <w:shd w:val="clear" w:color="auto" w:fill="E5EBEE"/>
          </w:tcPr>
          <w:p>
            <w:pPr>
              <w:spacing w:after="0"/>
              <w:rPr>
                <w:sz w:val="8"/>
                <w:szCs w:val="8"/>
                <w:color w:val="auto"/>
              </w:rPr>
            </w:pPr>
          </w:p>
        </w:tc>
        <w:tc>
          <w:tcPr>
            <w:tcW w:w="1260" w:type="dxa"/>
            <w:vAlign w:val="bottom"/>
            <w:vMerge w:val="continue"/>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40" w:type="dxa"/>
            <w:vAlign w:val="bottom"/>
            <w:shd w:val="clear" w:color="auto" w:fill="E5EBEE"/>
          </w:tcPr>
          <w:p>
            <w:pPr>
              <w:spacing w:after="0"/>
              <w:rPr>
                <w:sz w:val="12"/>
                <w:szCs w:val="12"/>
                <w:color w:val="auto"/>
              </w:rPr>
            </w:pPr>
          </w:p>
        </w:tc>
        <w:tc>
          <w:tcPr>
            <w:tcW w:w="20" w:type="dxa"/>
            <w:vAlign w:val="bottom"/>
            <w:shd w:val="clear" w:color="auto" w:fill="E5EBEE"/>
          </w:tcPr>
          <w:p>
            <w:pPr>
              <w:spacing w:after="0"/>
              <w:rPr>
                <w:sz w:val="12"/>
                <w:szCs w:val="12"/>
                <w:color w:val="auto"/>
              </w:rPr>
            </w:pPr>
          </w:p>
        </w:tc>
        <w:tc>
          <w:tcPr>
            <w:tcW w:w="40" w:type="dxa"/>
            <w:vAlign w:val="bottom"/>
            <w:shd w:val="clear" w:color="auto" w:fill="E5EBEE"/>
          </w:tcPr>
          <w:p>
            <w:pPr>
              <w:spacing w:after="0"/>
              <w:rPr>
                <w:sz w:val="12"/>
                <w:szCs w:val="12"/>
                <w:color w:val="auto"/>
              </w:rPr>
            </w:pPr>
          </w:p>
        </w:tc>
        <w:tc>
          <w:tcPr>
            <w:tcW w:w="940" w:type="dxa"/>
            <w:vAlign w:val="bottom"/>
            <w:vMerge w:val="continue"/>
            <w:shd w:val="clear" w:color="auto" w:fill="E5EBEE"/>
          </w:tcPr>
          <w:p>
            <w:pPr>
              <w:spacing w:after="0"/>
              <w:rPr>
                <w:sz w:val="12"/>
                <w:szCs w:val="12"/>
                <w:color w:val="auto"/>
              </w:rPr>
            </w:pPr>
          </w:p>
        </w:tc>
        <w:tc>
          <w:tcPr>
            <w:tcW w:w="380" w:type="dxa"/>
            <w:vAlign w:val="bottom"/>
            <w:shd w:val="clear" w:color="auto" w:fill="E5EBEE"/>
          </w:tcPr>
          <w:p>
            <w:pPr>
              <w:spacing w:after="0"/>
              <w:rPr>
                <w:sz w:val="12"/>
                <w:szCs w:val="12"/>
                <w:color w:val="auto"/>
              </w:rPr>
            </w:pPr>
          </w:p>
        </w:tc>
        <w:tc>
          <w:tcPr>
            <w:tcW w:w="460" w:type="dxa"/>
            <w:vAlign w:val="bottom"/>
            <w:shd w:val="clear" w:color="auto" w:fill="E5EBEE"/>
          </w:tcPr>
          <w:p>
            <w:pPr>
              <w:spacing w:after="0"/>
              <w:rPr>
                <w:sz w:val="12"/>
                <w:szCs w:val="12"/>
                <w:color w:val="auto"/>
              </w:rPr>
            </w:pPr>
          </w:p>
        </w:tc>
        <w:tc>
          <w:tcPr>
            <w:tcW w:w="460" w:type="dxa"/>
            <w:vAlign w:val="bottom"/>
            <w:shd w:val="clear" w:color="auto" w:fill="E5EBEE"/>
          </w:tcPr>
          <w:p>
            <w:pPr>
              <w:spacing w:after="0"/>
              <w:rPr>
                <w:sz w:val="12"/>
                <w:szCs w:val="12"/>
                <w:color w:val="auto"/>
              </w:rPr>
            </w:pPr>
          </w:p>
        </w:tc>
        <w:tc>
          <w:tcPr>
            <w:tcW w:w="740" w:type="dxa"/>
            <w:vAlign w:val="bottom"/>
            <w:shd w:val="clear" w:color="auto" w:fill="E5EBEE"/>
          </w:tcPr>
          <w:p>
            <w:pPr>
              <w:spacing w:after="0"/>
              <w:rPr>
                <w:sz w:val="12"/>
                <w:szCs w:val="12"/>
                <w:color w:val="auto"/>
              </w:rPr>
            </w:pPr>
          </w:p>
        </w:tc>
        <w:tc>
          <w:tcPr>
            <w:tcW w:w="40" w:type="dxa"/>
            <w:vAlign w:val="bottom"/>
            <w:tcBorders>
              <w:right w:val="single" w:sz="8" w:color="E5EBEE"/>
            </w:tcBorders>
            <w:shd w:val="clear" w:color="auto" w:fill="E5EBEE"/>
          </w:tcPr>
          <w:p>
            <w:pPr>
              <w:spacing w:after="0"/>
              <w:rPr>
                <w:sz w:val="12"/>
                <w:szCs w:val="12"/>
                <w:color w:val="auto"/>
              </w:rPr>
            </w:pPr>
          </w:p>
        </w:tc>
        <w:tc>
          <w:tcPr>
            <w:tcW w:w="20" w:type="dxa"/>
            <w:vAlign w:val="bottom"/>
            <w:shd w:val="clear" w:color="auto" w:fill="E5EBEE"/>
          </w:tcPr>
          <w:p>
            <w:pPr>
              <w:spacing w:after="0"/>
              <w:rPr>
                <w:sz w:val="12"/>
                <w:szCs w:val="12"/>
                <w:color w:val="auto"/>
              </w:rPr>
            </w:pPr>
          </w:p>
        </w:tc>
        <w:tc>
          <w:tcPr>
            <w:tcW w:w="1540" w:type="dxa"/>
            <w:vAlign w:val="bottom"/>
            <w:shd w:val="clear" w:color="auto" w:fill="E5EBEE"/>
          </w:tcPr>
          <w:p>
            <w:pPr>
              <w:spacing w:after="0"/>
              <w:rPr>
                <w:sz w:val="12"/>
                <w:szCs w:val="12"/>
                <w:color w:val="auto"/>
              </w:rPr>
            </w:pPr>
          </w:p>
        </w:tc>
        <w:tc>
          <w:tcPr>
            <w:tcW w:w="60" w:type="dxa"/>
            <w:vAlign w:val="bottom"/>
            <w:shd w:val="clear" w:color="auto" w:fill="E5EBEE"/>
          </w:tcPr>
          <w:p>
            <w:pPr>
              <w:spacing w:after="0"/>
              <w:rPr>
                <w:sz w:val="12"/>
                <w:szCs w:val="12"/>
                <w:color w:val="auto"/>
              </w:rPr>
            </w:pPr>
          </w:p>
        </w:tc>
        <w:tc>
          <w:tcPr>
            <w:tcW w:w="2800" w:type="dxa"/>
            <w:vAlign w:val="bottom"/>
            <w:gridSpan w:val="5"/>
            <w:vMerge w:val="restart"/>
            <w:shd w:val="clear" w:color="auto" w:fill="E5EBEE"/>
          </w:tcPr>
          <w:p>
            <w:pPr>
              <w:ind w:left="60"/>
              <w:spacing w:after="0" w:line="201" w:lineRule="exact"/>
              <w:rPr>
                <w:sz w:val="20"/>
                <w:szCs w:val="20"/>
                <w:color w:val="auto"/>
              </w:rPr>
            </w:pPr>
            <w:r>
              <w:rPr>
                <w:rFonts w:ascii="Arial" w:cs="Arial" w:eastAsia="Arial" w:hAnsi="Arial"/>
                <w:sz w:val="18"/>
                <w:szCs w:val="18"/>
                <w:color w:val="auto"/>
              </w:rPr>
              <w:t>fails to receive a majority of votes</w:t>
            </w:r>
          </w:p>
        </w:tc>
        <w:tc>
          <w:tcPr>
            <w:tcW w:w="1560" w:type="dxa"/>
            <w:vAlign w:val="bottom"/>
            <w:shd w:val="clear" w:color="auto" w:fill="E5EBEE"/>
          </w:tcPr>
          <w:p>
            <w:pPr>
              <w:spacing w:after="0"/>
              <w:rPr>
                <w:sz w:val="12"/>
                <w:szCs w:val="12"/>
                <w:color w:val="auto"/>
              </w:rPr>
            </w:pPr>
          </w:p>
        </w:tc>
        <w:tc>
          <w:tcPr>
            <w:tcW w:w="60" w:type="dxa"/>
            <w:vAlign w:val="bottom"/>
            <w:shd w:val="clear" w:color="auto" w:fill="E5EBEE"/>
          </w:tcPr>
          <w:p>
            <w:pPr>
              <w:spacing w:after="0"/>
              <w:rPr>
                <w:sz w:val="12"/>
                <w:szCs w:val="12"/>
                <w:color w:val="auto"/>
              </w:rPr>
            </w:pPr>
          </w:p>
        </w:tc>
        <w:tc>
          <w:tcPr>
            <w:tcW w:w="1260" w:type="dxa"/>
            <w:vAlign w:val="bottom"/>
            <w:shd w:val="clear" w:color="auto" w:fill="E5EBEE"/>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540" w:type="dxa"/>
            <w:vAlign w:val="bottom"/>
            <w:shd w:val="clear" w:color="auto" w:fill="E5EBEE"/>
          </w:tcPr>
          <w:p>
            <w:pPr>
              <w:spacing w:after="0"/>
              <w:rPr>
                <w:sz w:val="5"/>
                <w:szCs w:val="5"/>
                <w:color w:val="auto"/>
              </w:rPr>
            </w:pPr>
          </w:p>
        </w:tc>
        <w:tc>
          <w:tcPr>
            <w:tcW w:w="20" w:type="dxa"/>
            <w:vAlign w:val="bottom"/>
            <w:shd w:val="clear" w:color="auto" w:fill="E5EBEE"/>
          </w:tcPr>
          <w:p>
            <w:pPr>
              <w:spacing w:after="0"/>
              <w:rPr>
                <w:sz w:val="5"/>
                <w:szCs w:val="5"/>
                <w:color w:val="auto"/>
              </w:rPr>
            </w:pPr>
          </w:p>
        </w:tc>
        <w:tc>
          <w:tcPr>
            <w:tcW w:w="40" w:type="dxa"/>
            <w:vAlign w:val="bottom"/>
            <w:shd w:val="clear" w:color="auto" w:fill="E5EBEE"/>
          </w:tcPr>
          <w:p>
            <w:pPr>
              <w:spacing w:after="0"/>
              <w:rPr>
                <w:sz w:val="5"/>
                <w:szCs w:val="5"/>
                <w:color w:val="auto"/>
              </w:rPr>
            </w:pPr>
          </w:p>
        </w:tc>
        <w:tc>
          <w:tcPr>
            <w:tcW w:w="940" w:type="dxa"/>
            <w:vAlign w:val="bottom"/>
            <w:shd w:val="clear" w:color="auto" w:fill="E5EBEE"/>
          </w:tcPr>
          <w:p>
            <w:pPr>
              <w:spacing w:after="0"/>
              <w:rPr>
                <w:sz w:val="5"/>
                <w:szCs w:val="5"/>
                <w:color w:val="auto"/>
              </w:rPr>
            </w:pPr>
          </w:p>
        </w:tc>
        <w:tc>
          <w:tcPr>
            <w:tcW w:w="380" w:type="dxa"/>
            <w:vAlign w:val="bottom"/>
            <w:shd w:val="clear" w:color="auto" w:fill="E5EBEE"/>
          </w:tcPr>
          <w:p>
            <w:pPr>
              <w:spacing w:after="0"/>
              <w:rPr>
                <w:sz w:val="5"/>
                <w:szCs w:val="5"/>
                <w:color w:val="auto"/>
              </w:rPr>
            </w:pPr>
          </w:p>
        </w:tc>
        <w:tc>
          <w:tcPr>
            <w:tcW w:w="460" w:type="dxa"/>
            <w:vAlign w:val="bottom"/>
            <w:shd w:val="clear" w:color="auto" w:fill="E5EBEE"/>
          </w:tcPr>
          <w:p>
            <w:pPr>
              <w:spacing w:after="0"/>
              <w:rPr>
                <w:sz w:val="5"/>
                <w:szCs w:val="5"/>
                <w:color w:val="auto"/>
              </w:rPr>
            </w:pPr>
          </w:p>
        </w:tc>
        <w:tc>
          <w:tcPr>
            <w:tcW w:w="460" w:type="dxa"/>
            <w:vAlign w:val="bottom"/>
            <w:shd w:val="clear" w:color="auto" w:fill="E5EBEE"/>
          </w:tcPr>
          <w:p>
            <w:pPr>
              <w:spacing w:after="0"/>
              <w:rPr>
                <w:sz w:val="5"/>
                <w:szCs w:val="5"/>
                <w:color w:val="auto"/>
              </w:rPr>
            </w:pPr>
          </w:p>
        </w:tc>
        <w:tc>
          <w:tcPr>
            <w:tcW w:w="740" w:type="dxa"/>
            <w:vAlign w:val="bottom"/>
            <w:shd w:val="clear" w:color="auto" w:fill="E5EBEE"/>
          </w:tcPr>
          <w:p>
            <w:pPr>
              <w:spacing w:after="0"/>
              <w:rPr>
                <w:sz w:val="5"/>
                <w:szCs w:val="5"/>
                <w:color w:val="auto"/>
              </w:rPr>
            </w:pPr>
          </w:p>
        </w:tc>
        <w:tc>
          <w:tcPr>
            <w:tcW w:w="40" w:type="dxa"/>
            <w:vAlign w:val="bottom"/>
            <w:tcBorders>
              <w:right w:val="single" w:sz="8" w:color="E5EBEE"/>
            </w:tcBorders>
            <w:shd w:val="clear" w:color="auto" w:fill="E5EBEE"/>
          </w:tcPr>
          <w:p>
            <w:pPr>
              <w:spacing w:after="0"/>
              <w:rPr>
                <w:sz w:val="5"/>
                <w:szCs w:val="5"/>
                <w:color w:val="auto"/>
              </w:rPr>
            </w:pPr>
          </w:p>
        </w:tc>
        <w:tc>
          <w:tcPr>
            <w:tcW w:w="20" w:type="dxa"/>
            <w:vAlign w:val="bottom"/>
            <w:shd w:val="clear" w:color="auto" w:fill="E5EBEE"/>
          </w:tcPr>
          <w:p>
            <w:pPr>
              <w:spacing w:after="0"/>
              <w:rPr>
                <w:sz w:val="5"/>
                <w:szCs w:val="5"/>
                <w:color w:val="auto"/>
              </w:rPr>
            </w:pPr>
          </w:p>
        </w:tc>
        <w:tc>
          <w:tcPr>
            <w:tcW w:w="154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2800" w:type="dxa"/>
            <w:vAlign w:val="bottom"/>
            <w:gridSpan w:val="5"/>
            <w:vMerge w:val="continue"/>
            <w:shd w:val="clear" w:color="auto" w:fill="E5EBEE"/>
          </w:tcPr>
          <w:p>
            <w:pPr>
              <w:spacing w:after="0"/>
              <w:rPr>
                <w:sz w:val="5"/>
                <w:szCs w:val="5"/>
                <w:color w:val="auto"/>
              </w:rPr>
            </w:pPr>
          </w:p>
        </w:tc>
        <w:tc>
          <w:tcPr>
            <w:tcW w:w="1560" w:type="dxa"/>
            <w:vAlign w:val="bottom"/>
            <w:shd w:val="clear" w:color="auto" w:fill="E5EBEE"/>
          </w:tcPr>
          <w:p>
            <w:pPr>
              <w:spacing w:after="0"/>
              <w:rPr>
                <w:sz w:val="5"/>
                <w:szCs w:val="5"/>
                <w:color w:val="auto"/>
              </w:rPr>
            </w:pPr>
          </w:p>
        </w:tc>
        <w:tc>
          <w:tcPr>
            <w:tcW w:w="60" w:type="dxa"/>
            <w:vAlign w:val="bottom"/>
            <w:shd w:val="clear" w:color="auto" w:fill="E5EBEE"/>
          </w:tcPr>
          <w:p>
            <w:pPr>
              <w:spacing w:after="0"/>
              <w:rPr>
                <w:sz w:val="5"/>
                <w:szCs w:val="5"/>
                <w:color w:val="auto"/>
              </w:rPr>
            </w:pPr>
          </w:p>
        </w:tc>
        <w:tc>
          <w:tcPr>
            <w:tcW w:w="1260" w:type="dxa"/>
            <w:vAlign w:val="bottom"/>
            <w:shd w:val="clear" w:color="auto" w:fill="E5EBE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540" w:type="dxa"/>
            <w:vAlign w:val="bottom"/>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940" w:type="dxa"/>
            <w:vAlign w:val="bottom"/>
            <w:shd w:val="clear" w:color="auto" w:fill="E5EBEE"/>
          </w:tcPr>
          <w:p>
            <w:pPr>
              <w:spacing w:after="0"/>
              <w:rPr>
                <w:sz w:val="17"/>
                <w:szCs w:val="17"/>
                <w:color w:val="auto"/>
              </w:rPr>
            </w:pPr>
          </w:p>
        </w:tc>
        <w:tc>
          <w:tcPr>
            <w:tcW w:w="38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740" w:type="dxa"/>
            <w:vAlign w:val="bottom"/>
            <w:shd w:val="clear" w:color="auto" w:fill="E5EBEE"/>
          </w:tcPr>
          <w:p>
            <w:pPr>
              <w:spacing w:after="0"/>
              <w:rPr>
                <w:sz w:val="17"/>
                <w:szCs w:val="17"/>
                <w:color w:val="auto"/>
              </w:rPr>
            </w:pPr>
          </w:p>
        </w:tc>
        <w:tc>
          <w:tcPr>
            <w:tcW w:w="40" w:type="dxa"/>
            <w:vAlign w:val="bottom"/>
            <w:tcBorders>
              <w:right w:val="single" w:sz="8" w:color="E5EBEE"/>
            </w:tcBorders>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154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2800" w:type="dxa"/>
            <w:vAlign w:val="bottom"/>
            <w:gridSpan w:val="5"/>
            <w:shd w:val="clear" w:color="auto" w:fill="E5EBEE"/>
          </w:tcPr>
          <w:p>
            <w:pPr>
              <w:ind w:left="60"/>
              <w:spacing w:after="0" w:line="201" w:lineRule="exact"/>
              <w:rPr>
                <w:sz w:val="20"/>
                <w:szCs w:val="20"/>
                <w:color w:val="auto"/>
              </w:rPr>
            </w:pPr>
            <w:r>
              <w:rPr>
                <w:rFonts w:ascii="Arial" w:cs="Arial" w:eastAsia="Arial" w:hAnsi="Arial"/>
                <w:sz w:val="18"/>
                <w:szCs w:val="18"/>
                <w:color w:val="auto"/>
              </w:rPr>
              <w:t>cast  in  favor  of  their  election</w:t>
            </w:r>
          </w:p>
        </w:tc>
        <w:tc>
          <w:tcPr>
            <w:tcW w:w="156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260" w:type="dxa"/>
            <w:vAlign w:val="bottom"/>
            <w:shd w:val="clear" w:color="auto" w:fill="E5EBE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 w:type="dxa"/>
            <w:vAlign w:val="bottom"/>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940" w:type="dxa"/>
            <w:vAlign w:val="bottom"/>
            <w:shd w:val="clear" w:color="auto" w:fill="E5EBEE"/>
          </w:tcPr>
          <w:p>
            <w:pPr>
              <w:spacing w:after="0"/>
              <w:rPr>
                <w:sz w:val="17"/>
                <w:szCs w:val="17"/>
                <w:color w:val="auto"/>
              </w:rPr>
            </w:pPr>
          </w:p>
        </w:tc>
        <w:tc>
          <w:tcPr>
            <w:tcW w:w="38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740" w:type="dxa"/>
            <w:vAlign w:val="bottom"/>
            <w:shd w:val="clear" w:color="auto" w:fill="E5EBEE"/>
          </w:tcPr>
          <w:p>
            <w:pPr>
              <w:spacing w:after="0"/>
              <w:rPr>
                <w:sz w:val="17"/>
                <w:szCs w:val="17"/>
                <w:color w:val="auto"/>
              </w:rPr>
            </w:pPr>
          </w:p>
        </w:tc>
        <w:tc>
          <w:tcPr>
            <w:tcW w:w="40" w:type="dxa"/>
            <w:vAlign w:val="bottom"/>
            <w:tcBorders>
              <w:right w:val="single" w:sz="8" w:color="E5EBEE"/>
            </w:tcBorders>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154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2800" w:type="dxa"/>
            <w:vAlign w:val="bottom"/>
            <w:gridSpan w:val="5"/>
            <w:shd w:val="clear" w:color="auto" w:fill="E5EBEE"/>
          </w:tcPr>
          <w:p>
            <w:pPr>
              <w:ind w:left="60"/>
              <w:spacing w:after="0" w:line="201" w:lineRule="exact"/>
              <w:rPr>
                <w:sz w:val="20"/>
                <w:szCs w:val="20"/>
                <w:color w:val="auto"/>
              </w:rPr>
            </w:pPr>
            <w:r>
              <w:rPr>
                <w:rFonts w:ascii="Arial" w:cs="Arial" w:eastAsia="Arial" w:hAnsi="Arial"/>
                <w:sz w:val="18"/>
                <w:szCs w:val="18"/>
                <w:color w:val="auto"/>
              </w:rPr>
              <w:t>must tender a resignation for the</w:t>
            </w:r>
          </w:p>
        </w:tc>
        <w:tc>
          <w:tcPr>
            <w:tcW w:w="156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260" w:type="dxa"/>
            <w:vAlign w:val="bottom"/>
            <w:shd w:val="clear" w:color="auto" w:fill="E5EBE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 w:type="dxa"/>
            <w:vAlign w:val="bottom"/>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940" w:type="dxa"/>
            <w:vAlign w:val="bottom"/>
            <w:shd w:val="clear" w:color="auto" w:fill="E5EBEE"/>
          </w:tcPr>
          <w:p>
            <w:pPr>
              <w:spacing w:after="0"/>
              <w:rPr>
                <w:sz w:val="17"/>
                <w:szCs w:val="17"/>
                <w:color w:val="auto"/>
              </w:rPr>
            </w:pPr>
          </w:p>
        </w:tc>
        <w:tc>
          <w:tcPr>
            <w:tcW w:w="38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740" w:type="dxa"/>
            <w:vAlign w:val="bottom"/>
            <w:shd w:val="clear" w:color="auto" w:fill="E5EBEE"/>
          </w:tcPr>
          <w:p>
            <w:pPr>
              <w:spacing w:after="0"/>
              <w:rPr>
                <w:sz w:val="17"/>
                <w:szCs w:val="17"/>
                <w:color w:val="auto"/>
              </w:rPr>
            </w:pPr>
          </w:p>
        </w:tc>
        <w:tc>
          <w:tcPr>
            <w:tcW w:w="40" w:type="dxa"/>
            <w:vAlign w:val="bottom"/>
            <w:tcBorders>
              <w:right w:val="single" w:sz="8" w:color="E5EBEE"/>
            </w:tcBorders>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154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180" w:type="dxa"/>
            <w:vAlign w:val="bottom"/>
            <w:gridSpan w:val="2"/>
            <w:shd w:val="clear" w:color="auto" w:fill="E5EBEE"/>
          </w:tcPr>
          <w:p>
            <w:pPr>
              <w:ind w:left="60"/>
              <w:spacing w:after="0" w:line="201" w:lineRule="exact"/>
              <w:rPr>
                <w:sz w:val="20"/>
                <w:szCs w:val="20"/>
                <w:color w:val="auto"/>
              </w:rPr>
            </w:pPr>
            <w:r>
              <w:rPr>
                <w:rFonts w:ascii="Arial" w:cs="Arial" w:eastAsia="Arial" w:hAnsi="Arial"/>
                <w:sz w:val="18"/>
                <w:szCs w:val="18"/>
                <w:color w:val="auto"/>
              </w:rPr>
              <w:t>Board’s</w:t>
            </w:r>
          </w:p>
        </w:tc>
        <w:tc>
          <w:tcPr>
            <w:tcW w:w="1620" w:type="dxa"/>
            <w:vAlign w:val="bottom"/>
            <w:gridSpan w:val="3"/>
            <w:shd w:val="clear" w:color="auto" w:fill="E5EBEE"/>
          </w:tcPr>
          <w:p>
            <w:pPr>
              <w:jc w:val="right"/>
              <w:ind w:right="100"/>
              <w:spacing w:after="0" w:line="201" w:lineRule="exact"/>
              <w:rPr>
                <w:sz w:val="20"/>
                <w:szCs w:val="20"/>
                <w:color w:val="auto"/>
              </w:rPr>
            </w:pPr>
            <w:r>
              <w:rPr>
                <w:rFonts w:ascii="Arial" w:cs="Arial" w:eastAsia="Arial" w:hAnsi="Arial"/>
                <w:sz w:val="18"/>
                <w:szCs w:val="18"/>
                <w:color w:val="auto"/>
              </w:rPr>
              <w:t>consideration.</w:t>
            </w:r>
          </w:p>
        </w:tc>
        <w:tc>
          <w:tcPr>
            <w:tcW w:w="156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260" w:type="dxa"/>
            <w:vAlign w:val="bottom"/>
            <w:shd w:val="clear" w:color="auto" w:fill="E5EBE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0" w:type="dxa"/>
            <w:vAlign w:val="bottom"/>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40" w:type="dxa"/>
            <w:vAlign w:val="bottom"/>
            <w:shd w:val="clear" w:color="auto" w:fill="E5EBEE"/>
          </w:tcPr>
          <w:p>
            <w:pPr>
              <w:spacing w:after="0"/>
              <w:rPr>
                <w:sz w:val="17"/>
                <w:szCs w:val="17"/>
                <w:color w:val="auto"/>
              </w:rPr>
            </w:pPr>
          </w:p>
        </w:tc>
        <w:tc>
          <w:tcPr>
            <w:tcW w:w="940" w:type="dxa"/>
            <w:vAlign w:val="bottom"/>
            <w:shd w:val="clear" w:color="auto" w:fill="E5EBEE"/>
          </w:tcPr>
          <w:p>
            <w:pPr>
              <w:spacing w:after="0"/>
              <w:rPr>
                <w:sz w:val="17"/>
                <w:szCs w:val="17"/>
                <w:color w:val="auto"/>
              </w:rPr>
            </w:pPr>
          </w:p>
        </w:tc>
        <w:tc>
          <w:tcPr>
            <w:tcW w:w="38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460" w:type="dxa"/>
            <w:vAlign w:val="bottom"/>
            <w:shd w:val="clear" w:color="auto" w:fill="E5EBEE"/>
          </w:tcPr>
          <w:p>
            <w:pPr>
              <w:spacing w:after="0"/>
              <w:rPr>
                <w:sz w:val="17"/>
                <w:szCs w:val="17"/>
                <w:color w:val="auto"/>
              </w:rPr>
            </w:pPr>
          </w:p>
        </w:tc>
        <w:tc>
          <w:tcPr>
            <w:tcW w:w="740" w:type="dxa"/>
            <w:vAlign w:val="bottom"/>
            <w:shd w:val="clear" w:color="auto" w:fill="E5EBEE"/>
          </w:tcPr>
          <w:p>
            <w:pPr>
              <w:spacing w:after="0"/>
              <w:rPr>
                <w:sz w:val="17"/>
                <w:szCs w:val="17"/>
                <w:color w:val="auto"/>
              </w:rPr>
            </w:pPr>
          </w:p>
        </w:tc>
        <w:tc>
          <w:tcPr>
            <w:tcW w:w="40" w:type="dxa"/>
            <w:vAlign w:val="bottom"/>
            <w:tcBorders>
              <w:right w:val="single" w:sz="8" w:color="E5EBEE"/>
            </w:tcBorders>
            <w:shd w:val="clear" w:color="auto" w:fill="E5EBEE"/>
          </w:tcPr>
          <w:p>
            <w:pPr>
              <w:spacing w:after="0"/>
              <w:rPr>
                <w:sz w:val="17"/>
                <w:szCs w:val="17"/>
                <w:color w:val="auto"/>
              </w:rPr>
            </w:pPr>
          </w:p>
        </w:tc>
        <w:tc>
          <w:tcPr>
            <w:tcW w:w="20" w:type="dxa"/>
            <w:vAlign w:val="bottom"/>
            <w:shd w:val="clear" w:color="auto" w:fill="E5EBEE"/>
          </w:tcPr>
          <w:p>
            <w:pPr>
              <w:spacing w:after="0"/>
              <w:rPr>
                <w:sz w:val="17"/>
                <w:szCs w:val="17"/>
                <w:color w:val="auto"/>
              </w:rPr>
            </w:pPr>
          </w:p>
        </w:tc>
        <w:tc>
          <w:tcPr>
            <w:tcW w:w="154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2800" w:type="dxa"/>
            <w:vAlign w:val="bottom"/>
            <w:gridSpan w:val="5"/>
            <w:shd w:val="clear" w:color="auto" w:fill="E5EBEE"/>
          </w:tcPr>
          <w:p>
            <w:pPr>
              <w:ind w:left="60"/>
              <w:spacing w:after="0" w:line="201" w:lineRule="exact"/>
              <w:rPr>
                <w:sz w:val="20"/>
                <w:szCs w:val="20"/>
                <w:color w:val="auto"/>
              </w:rPr>
            </w:pPr>
            <w:r>
              <w:rPr>
                <w:rFonts w:ascii="Arial" w:cs="Arial" w:eastAsia="Arial" w:hAnsi="Arial"/>
                <w:sz w:val="18"/>
                <w:szCs w:val="18"/>
                <w:color w:val="auto"/>
              </w:rPr>
              <w:t>Cumulative voting for the election</w:t>
            </w:r>
          </w:p>
        </w:tc>
        <w:tc>
          <w:tcPr>
            <w:tcW w:w="1560" w:type="dxa"/>
            <w:vAlign w:val="bottom"/>
            <w:shd w:val="clear" w:color="auto" w:fill="E5EBEE"/>
          </w:tcPr>
          <w:p>
            <w:pPr>
              <w:spacing w:after="0"/>
              <w:rPr>
                <w:sz w:val="17"/>
                <w:szCs w:val="17"/>
                <w:color w:val="auto"/>
              </w:rPr>
            </w:pPr>
          </w:p>
        </w:tc>
        <w:tc>
          <w:tcPr>
            <w:tcW w:w="60" w:type="dxa"/>
            <w:vAlign w:val="bottom"/>
            <w:shd w:val="clear" w:color="auto" w:fill="E5EBEE"/>
          </w:tcPr>
          <w:p>
            <w:pPr>
              <w:spacing w:after="0"/>
              <w:rPr>
                <w:sz w:val="17"/>
                <w:szCs w:val="17"/>
                <w:color w:val="auto"/>
              </w:rPr>
            </w:pPr>
          </w:p>
        </w:tc>
        <w:tc>
          <w:tcPr>
            <w:tcW w:w="1260" w:type="dxa"/>
            <w:vAlign w:val="bottom"/>
            <w:shd w:val="clear" w:color="auto" w:fill="E5EBE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0" w:type="dxa"/>
            <w:vAlign w:val="bottom"/>
            <w:shd w:val="clear" w:color="auto" w:fill="E5EBEE"/>
          </w:tcPr>
          <w:p>
            <w:pPr>
              <w:spacing w:after="0"/>
              <w:rPr>
                <w:sz w:val="20"/>
                <w:szCs w:val="20"/>
                <w:color w:val="auto"/>
              </w:rPr>
            </w:pPr>
          </w:p>
        </w:tc>
        <w:tc>
          <w:tcPr>
            <w:tcW w:w="20" w:type="dxa"/>
            <w:vAlign w:val="bottom"/>
            <w:shd w:val="clear" w:color="auto" w:fill="E5EBEE"/>
          </w:tcPr>
          <w:p>
            <w:pPr>
              <w:spacing w:after="0"/>
              <w:rPr>
                <w:sz w:val="20"/>
                <w:szCs w:val="20"/>
                <w:color w:val="auto"/>
              </w:rPr>
            </w:pPr>
          </w:p>
        </w:tc>
        <w:tc>
          <w:tcPr>
            <w:tcW w:w="40" w:type="dxa"/>
            <w:vAlign w:val="bottom"/>
            <w:shd w:val="clear" w:color="auto" w:fill="E5EBEE"/>
          </w:tcPr>
          <w:p>
            <w:pPr>
              <w:spacing w:after="0"/>
              <w:rPr>
                <w:sz w:val="20"/>
                <w:szCs w:val="20"/>
                <w:color w:val="auto"/>
              </w:rPr>
            </w:pPr>
          </w:p>
        </w:tc>
        <w:tc>
          <w:tcPr>
            <w:tcW w:w="940" w:type="dxa"/>
            <w:vAlign w:val="bottom"/>
            <w:shd w:val="clear" w:color="auto" w:fill="E5EBEE"/>
          </w:tcPr>
          <w:p>
            <w:pPr>
              <w:spacing w:after="0"/>
              <w:rPr>
                <w:sz w:val="20"/>
                <w:szCs w:val="20"/>
                <w:color w:val="auto"/>
              </w:rPr>
            </w:pPr>
          </w:p>
        </w:tc>
        <w:tc>
          <w:tcPr>
            <w:tcW w:w="380" w:type="dxa"/>
            <w:vAlign w:val="bottom"/>
            <w:shd w:val="clear" w:color="auto" w:fill="E5EBEE"/>
          </w:tcPr>
          <w:p>
            <w:pPr>
              <w:spacing w:after="0"/>
              <w:rPr>
                <w:sz w:val="20"/>
                <w:szCs w:val="20"/>
                <w:color w:val="auto"/>
              </w:rPr>
            </w:pPr>
          </w:p>
        </w:tc>
        <w:tc>
          <w:tcPr>
            <w:tcW w:w="460" w:type="dxa"/>
            <w:vAlign w:val="bottom"/>
            <w:shd w:val="clear" w:color="auto" w:fill="E5EBEE"/>
          </w:tcPr>
          <w:p>
            <w:pPr>
              <w:spacing w:after="0"/>
              <w:rPr>
                <w:sz w:val="20"/>
                <w:szCs w:val="20"/>
                <w:color w:val="auto"/>
              </w:rPr>
            </w:pPr>
          </w:p>
        </w:tc>
        <w:tc>
          <w:tcPr>
            <w:tcW w:w="460" w:type="dxa"/>
            <w:vAlign w:val="bottom"/>
            <w:shd w:val="clear" w:color="auto" w:fill="E5EBEE"/>
          </w:tcPr>
          <w:p>
            <w:pPr>
              <w:spacing w:after="0"/>
              <w:rPr>
                <w:sz w:val="20"/>
                <w:szCs w:val="20"/>
                <w:color w:val="auto"/>
              </w:rPr>
            </w:pPr>
          </w:p>
        </w:tc>
        <w:tc>
          <w:tcPr>
            <w:tcW w:w="740" w:type="dxa"/>
            <w:vAlign w:val="bottom"/>
            <w:shd w:val="clear" w:color="auto" w:fill="E5EBEE"/>
          </w:tcPr>
          <w:p>
            <w:pPr>
              <w:spacing w:after="0"/>
              <w:rPr>
                <w:sz w:val="20"/>
                <w:szCs w:val="20"/>
                <w:color w:val="auto"/>
              </w:rPr>
            </w:pPr>
          </w:p>
        </w:tc>
        <w:tc>
          <w:tcPr>
            <w:tcW w:w="40" w:type="dxa"/>
            <w:vAlign w:val="bottom"/>
            <w:tcBorders>
              <w:right w:val="single" w:sz="8" w:color="E5EBEE"/>
            </w:tcBorders>
            <w:shd w:val="clear" w:color="auto" w:fill="E5EBEE"/>
          </w:tcPr>
          <w:p>
            <w:pPr>
              <w:spacing w:after="0"/>
              <w:rPr>
                <w:sz w:val="20"/>
                <w:szCs w:val="20"/>
                <w:color w:val="auto"/>
              </w:rPr>
            </w:pPr>
          </w:p>
        </w:tc>
        <w:tc>
          <w:tcPr>
            <w:tcW w:w="20" w:type="dxa"/>
            <w:vAlign w:val="bottom"/>
            <w:shd w:val="clear" w:color="auto" w:fill="E5EBEE"/>
          </w:tcPr>
          <w:p>
            <w:pPr>
              <w:spacing w:after="0"/>
              <w:rPr>
                <w:sz w:val="20"/>
                <w:szCs w:val="20"/>
                <w:color w:val="auto"/>
              </w:rPr>
            </w:pPr>
          </w:p>
        </w:tc>
        <w:tc>
          <w:tcPr>
            <w:tcW w:w="1540" w:type="dxa"/>
            <w:vAlign w:val="bottom"/>
            <w:shd w:val="clear" w:color="auto" w:fill="E5EBEE"/>
          </w:tcPr>
          <w:p>
            <w:pPr>
              <w:spacing w:after="0"/>
              <w:rPr>
                <w:sz w:val="20"/>
                <w:szCs w:val="20"/>
                <w:color w:val="auto"/>
              </w:rPr>
            </w:pPr>
          </w:p>
        </w:tc>
        <w:tc>
          <w:tcPr>
            <w:tcW w:w="60" w:type="dxa"/>
            <w:vAlign w:val="bottom"/>
            <w:shd w:val="clear" w:color="auto" w:fill="E5EBEE"/>
          </w:tcPr>
          <w:p>
            <w:pPr>
              <w:spacing w:after="0"/>
              <w:rPr>
                <w:sz w:val="20"/>
                <w:szCs w:val="20"/>
                <w:color w:val="auto"/>
              </w:rPr>
            </w:pPr>
          </w:p>
        </w:tc>
        <w:tc>
          <w:tcPr>
            <w:tcW w:w="2800" w:type="dxa"/>
            <w:vAlign w:val="bottom"/>
            <w:gridSpan w:val="5"/>
            <w:shd w:val="clear" w:color="auto" w:fill="E5EBEE"/>
          </w:tcPr>
          <w:p>
            <w:pPr>
              <w:ind w:left="60"/>
              <w:spacing w:after="0"/>
              <w:rPr>
                <w:sz w:val="20"/>
                <w:szCs w:val="20"/>
                <w:color w:val="auto"/>
              </w:rPr>
            </w:pPr>
            <w:r>
              <w:rPr>
                <w:rFonts w:ascii="Arial" w:cs="Arial" w:eastAsia="Arial" w:hAnsi="Arial"/>
                <w:sz w:val="18"/>
                <w:szCs w:val="18"/>
                <w:color w:val="auto"/>
              </w:rPr>
              <w:t>of directors is not permitted.</w:t>
            </w:r>
          </w:p>
        </w:tc>
        <w:tc>
          <w:tcPr>
            <w:tcW w:w="1560" w:type="dxa"/>
            <w:vAlign w:val="bottom"/>
            <w:shd w:val="clear" w:color="auto" w:fill="E5EBEE"/>
          </w:tcPr>
          <w:p>
            <w:pPr>
              <w:spacing w:after="0"/>
              <w:rPr>
                <w:sz w:val="20"/>
                <w:szCs w:val="20"/>
                <w:color w:val="auto"/>
              </w:rPr>
            </w:pPr>
          </w:p>
        </w:tc>
        <w:tc>
          <w:tcPr>
            <w:tcW w:w="60" w:type="dxa"/>
            <w:vAlign w:val="bottom"/>
            <w:shd w:val="clear" w:color="auto" w:fill="E5EBEE"/>
          </w:tcPr>
          <w:p>
            <w:pPr>
              <w:spacing w:after="0"/>
              <w:rPr>
                <w:sz w:val="20"/>
                <w:szCs w:val="20"/>
                <w:color w:val="auto"/>
              </w:rPr>
            </w:pPr>
          </w:p>
        </w:tc>
        <w:tc>
          <w:tcPr>
            <w:tcW w:w="1260" w:type="dxa"/>
            <w:vAlign w:val="bottom"/>
            <w:shd w:val="clear" w:color="auto" w:fill="E5EBEE"/>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40" w:type="dxa"/>
            <w:vAlign w:val="bottom"/>
            <w:tcBorders>
              <w:bottom w:val="single" w:sz="8" w:color="023C5B"/>
            </w:tcBorders>
            <w:shd w:val="clear" w:color="auto" w:fill="E5EBEE"/>
          </w:tcPr>
          <w:p>
            <w:pPr>
              <w:spacing w:after="0"/>
              <w:rPr>
                <w:sz w:val="14"/>
                <w:szCs w:val="14"/>
                <w:color w:val="auto"/>
              </w:rPr>
            </w:pPr>
          </w:p>
        </w:tc>
        <w:tc>
          <w:tcPr>
            <w:tcW w:w="20" w:type="dxa"/>
            <w:vAlign w:val="bottom"/>
            <w:tcBorders>
              <w:bottom w:val="single" w:sz="8" w:color="023C5B"/>
            </w:tcBorders>
            <w:shd w:val="clear" w:color="auto" w:fill="E5EBEE"/>
          </w:tcPr>
          <w:p>
            <w:pPr>
              <w:spacing w:after="0"/>
              <w:rPr>
                <w:sz w:val="14"/>
                <w:szCs w:val="14"/>
                <w:color w:val="auto"/>
              </w:rPr>
            </w:pPr>
          </w:p>
        </w:tc>
        <w:tc>
          <w:tcPr>
            <w:tcW w:w="40" w:type="dxa"/>
            <w:vAlign w:val="bottom"/>
            <w:shd w:val="clear" w:color="auto" w:fill="E5EBEE"/>
          </w:tcPr>
          <w:p>
            <w:pPr>
              <w:spacing w:after="0"/>
              <w:rPr>
                <w:sz w:val="14"/>
                <w:szCs w:val="14"/>
                <w:color w:val="auto"/>
              </w:rPr>
            </w:pPr>
          </w:p>
        </w:tc>
        <w:tc>
          <w:tcPr>
            <w:tcW w:w="940" w:type="dxa"/>
            <w:vAlign w:val="bottom"/>
            <w:tcBorders>
              <w:bottom w:val="single" w:sz="8" w:color="023C5B"/>
            </w:tcBorders>
            <w:shd w:val="clear" w:color="auto" w:fill="E5EBEE"/>
          </w:tcPr>
          <w:p>
            <w:pPr>
              <w:spacing w:after="0"/>
              <w:rPr>
                <w:sz w:val="14"/>
                <w:szCs w:val="14"/>
                <w:color w:val="auto"/>
              </w:rPr>
            </w:pPr>
          </w:p>
        </w:tc>
        <w:tc>
          <w:tcPr>
            <w:tcW w:w="380" w:type="dxa"/>
            <w:vAlign w:val="bottom"/>
            <w:tcBorders>
              <w:bottom w:val="single" w:sz="8" w:color="023C5B"/>
            </w:tcBorders>
            <w:shd w:val="clear" w:color="auto" w:fill="E5EBEE"/>
          </w:tcPr>
          <w:p>
            <w:pPr>
              <w:spacing w:after="0"/>
              <w:rPr>
                <w:sz w:val="14"/>
                <w:szCs w:val="14"/>
                <w:color w:val="auto"/>
              </w:rPr>
            </w:pPr>
          </w:p>
        </w:tc>
        <w:tc>
          <w:tcPr>
            <w:tcW w:w="460" w:type="dxa"/>
            <w:vAlign w:val="bottom"/>
            <w:tcBorders>
              <w:bottom w:val="single" w:sz="8" w:color="023C5B"/>
            </w:tcBorders>
            <w:shd w:val="clear" w:color="auto" w:fill="E5EBEE"/>
          </w:tcPr>
          <w:p>
            <w:pPr>
              <w:spacing w:after="0"/>
              <w:rPr>
                <w:sz w:val="14"/>
                <w:szCs w:val="14"/>
                <w:color w:val="auto"/>
              </w:rPr>
            </w:pPr>
          </w:p>
        </w:tc>
        <w:tc>
          <w:tcPr>
            <w:tcW w:w="460" w:type="dxa"/>
            <w:vAlign w:val="bottom"/>
            <w:tcBorders>
              <w:bottom w:val="single" w:sz="8" w:color="023C5B"/>
            </w:tcBorders>
            <w:shd w:val="clear" w:color="auto" w:fill="E5EBEE"/>
          </w:tcPr>
          <w:p>
            <w:pPr>
              <w:spacing w:after="0"/>
              <w:rPr>
                <w:sz w:val="14"/>
                <w:szCs w:val="14"/>
                <w:color w:val="auto"/>
              </w:rPr>
            </w:pPr>
          </w:p>
        </w:tc>
        <w:tc>
          <w:tcPr>
            <w:tcW w:w="740" w:type="dxa"/>
            <w:vAlign w:val="bottom"/>
            <w:tcBorders>
              <w:bottom w:val="single" w:sz="8" w:color="023C5B"/>
            </w:tcBorders>
            <w:shd w:val="clear" w:color="auto" w:fill="E5EBEE"/>
          </w:tcPr>
          <w:p>
            <w:pPr>
              <w:spacing w:after="0"/>
              <w:rPr>
                <w:sz w:val="14"/>
                <w:szCs w:val="14"/>
                <w:color w:val="auto"/>
              </w:rPr>
            </w:pPr>
          </w:p>
        </w:tc>
        <w:tc>
          <w:tcPr>
            <w:tcW w:w="40" w:type="dxa"/>
            <w:vAlign w:val="bottom"/>
            <w:tcBorders>
              <w:right w:val="single" w:sz="8" w:color="E5EBEE"/>
            </w:tcBorders>
            <w:shd w:val="clear" w:color="auto" w:fill="E5EBEE"/>
          </w:tcPr>
          <w:p>
            <w:pPr>
              <w:spacing w:after="0"/>
              <w:rPr>
                <w:sz w:val="14"/>
                <w:szCs w:val="14"/>
                <w:color w:val="auto"/>
              </w:rPr>
            </w:pPr>
          </w:p>
        </w:tc>
        <w:tc>
          <w:tcPr>
            <w:tcW w:w="20" w:type="dxa"/>
            <w:vAlign w:val="bottom"/>
            <w:shd w:val="clear" w:color="auto" w:fill="E5EBEE"/>
          </w:tcPr>
          <w:p>
            <w:pPr>
              <w:spacing w:after="0"/>
              <w:rPr>
                <w:sz w:val="14"/>
                <w:szCs w:val="14"/>
                <w:color w:val="auto"/>
              </w:rPr>
            </w:pPr>
          </w:p>
        </w:tc>
        <w:tc>
          <w:tcPr>
            <w:tcW w:w="1540" w:type="dxa"/>
            <w:vAlign w:val="bottom"/>
            <w:tcBorders>
              <w:bottom w:val="single" w:sz="8" w:color="023C5B"/>
            </w:tcBorders>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440" w:type="dxa"/>
            <w:vAlign w:val="bottom"/>
            <w:tcBorders>
              <w:bottom w:val="single" w:sz="8" w:color="023C5B"/>
            </w:tcBorders>
            <w:shd w:val="clear" w:color="auto" w:fill="E5EBEE"/>
          </w:tcPr>
          <w:p>
            <w:pPr>
              <w:spacing w:after="0"/>
              <w:rPr>
                <w:sz w:val="14"/>
                <w:szCs w:val="14"/>
                <w:color w:val="auto"/>
              </w:rPr>
            </w:pPr>
          </w:p>
        </w:tc>
        <w:tc>
          <w:tcPr>
            <w:tcW w:w="2320" w:type="dxa"/>
            <w:vAlign w:val="bottom"/>
            <w:tcBorders>
              <w:bottom w:val="single" w:sz="8" w:color="023C5B"/>
            </w:tcBorders>
            <w:gridSpan w:val="3"/>
            <w:shd w:val="clear" w:color="auto" w:fill="E5EBEE"/>
          </w:tcPr>
          <w:p>
            <w:pPr>
              <w:spacing w:after="0"/>
              <w:rPr>
                <w:sz w:val="14"/>
                <w:szCs w:val="14"/>
                <w:color w:val="auto"/>
              </w:rPr>
            </w:pPr>
          </w:p>
        </w:tc>
        <w:tc>
          <w:tcPr>
            <w:tcW w:w="40" w:type="dxa"/>
            <w:vAlign w:val="bottom"/>
            <w:shd w:val="clear" w:color="auto" w:fill="E5EBEE"/>
          </w:tcPr>
          <w:p>
            <w:pPr>
              <w:spacing w:after="0"/>
              <w:rPr>
                <w:sz w:val="14"/>
                <w:szCs w:val="14"/>
                <w:color w:val="auto"/>
              </w:rPr>
            </w:pPr>
          </w:p>
        </w:tc>
        <w:tc>
          <w:tcPr>
            <w:tcW w:w="1560" w:type="dxa"/>
            <w:vAlign w:val="bottom"/>
            <w:tcBorders>
              <w:bottom w:val="single" w:sz="8" w:color="023C5B"/>
            </w:tcBorders>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1260" w:type="dxa"/>
            <w:vAlign w:val="bottom"/>
            <w:tcBorders>
              <w:bottom w:val="single" w:sz="8" w:color="023C5B"/>
            </w:tcBorders>
            <w:shd w:val="clear" w:color="auto" w:fill="E5EBEE"/>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rPr>
              <w:t>Advisory</w:t>
            </w:r>
          </w:p>
        </w:tc>
        <w:tc>
          <w:tcPr>
            <w:tcW w:w="380" w:type="dxa"/>
            <w:vAlign w:val="bottom"/>
            <w:vMerge w:val="restart"/>
          </w:tcPr>
          <w:p>
            <w:pPr>
              <w:spacing w:after="0"/>
              <w:rPr>
                <w:sz w:val="20"/>
                <w:szCs w:val="20"/>
                <w:color w:val="auto"/>
              </w:rPr>
            </w:pPr>
            <w:r>
              <w:rPr>
                <w:rFonts w:ascii="Arial" w:cs="Arial" w:eastAsia="Arial" w:hAnsi="Arial"/>
                <w:sz w:val="18"/>
                <w:szCs w:val="18"/>
                <w:color w:val="auto"/>
              </w:rPr>
              <w:t>vote</w:t>
            </w:r>
          </w:p>
        </w:tc>
        <w:tc>
          <w:tcPr>
            <w:tcW w:w="460" w:type="dxa"/>
            <w:vAlign w:val="bottom"/>
            <w:vMerge w:val="restart"/>
          </w:tcPr>
          <w:p>
            <w:pPr>
              <w:ind w:left="160"/>
              <w:spacing w:after="0"/>
              <w:rPr>
                <w:sz w:val="20"/>
                <w:szCs w:val="20"/>
                <w:color w:val="auto"/>
              </w:rPr>
            </w:pPr>
            <w:r>
              <w:rPr>
                <w:rFonts w:ascii="Arial" w:cs="Arial" w:eastAsia="Arial" w:hAnsi="Arial"/>
                <w:sz w:val="18"/>
                <w:szCs w:val="18"/>
                <w:color w:val="auto"/>
              </w:rPr>
              <w:t>on</w:t>
            </w:r>
          </w:p>
        </w:tc>
        <w:tc>
          <w:tcPr>
            <w:tcW w:w="460" w:type="dxa"/>
            <w:vAlign w:val="bottom"/>
            <w:vMerge w:val="restart"/>
          </w:tcPr>
          <w:p>
            <w:pPr>
              <w:ind w:left="100"/>
              <w:spacing w:after="0"/>
              <w:rPr>
                <w:sz w:val="20"/>
                <w:szCs w:val="20"/>
                <w:color w:val="auto"/>
              </w:rPr>
            </w:pPr>
            <w:r>
              <w:rPr>
                <w:rFonts w:ascii="Arial" w:cs="Arial" w:eastAsia="Arial" w:hAnsi="Arial"/>
                <w:sz w:val="18"/>
                <w:szCs w:val="18"/>
                <w:color w:val="auto"/>
              </w:rPr>
              <w:t>our</w:t>
            </w: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Named</w:t>
            </w: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rPr>
              <w:t>This</w:t>
            </w:r>
          </w:p>
        </w:tc>
        <w:tc>
          <w:tcPr>
            <w:tcW w:w="2360" w:type="dxa"/>
            <w:vAlign w:val="bottom"/>
            <w:gridSpan w:val="4"/>
          </w:tcPr>
          <w:p>
            <w:pPr>
              <w:jc w:val="right"/>
              <w:ind w:right="100"/>
              <w:spacing w:after="0"/>
              <w:rPr>
                <w:sz w:val="20"/>
                <w:szCs w:val="20"/>
                <w:color w:val="auto"/>
              </w:rPr>
            </w:pPr>
            <w:r>
              <w:rPr>
                <w:rFonts w:ascii="Arial" w:cs="Arial" w:eastAsia="Arial" w:hAnsi="Arial"/>
                <w:sz w:val="18"/>
                <w:szCs w:val="18"/>
                <w:color w:val="auto"/>
              </w:rPr>
              <w:t>item will be approved if a</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0" w:type="dxa"/>
            <w:vAlign w:val="bottom"/>
            <w:gridSpan w:val="5"/>
            <w:vMerge w:val="restart"/>
          </w:tcPr>
          <w:p>
            <w:pPr>
              <w:ind w:left="60"/>
              <w:spacing w:after="0" w:line="201" w:lineRule="exact"/>
              <w:rPr>
                <w:sz w:val="20"/>
                <w:szCs w:val="20"/>
                <w:color w:val="auto"/>
              </w:rPr>
            </w:pPr>
            <w:r>
              <w:rPr>
                <w:rFonts w:ascii="Arial" w:cs="Arial" w:eastAsia="Arial" w:hAnsi="Arial"/>
                <w:sz w:val="18"/>
                <w:szCs w:val="18"/>
                <w:color w:val="auto"/>
              </w:rPr>
              <w:t>majority of the votes cast on the</w:t>
            </w:r>
          </w:p>
        </w:tc>
        <w:tc>
          <w:tcPr>
            <w:tcW w:w="1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4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vMerge w:val="restart"/>
          </w:tcPr>
          <w:p>
            <w:pPr>
              <w:ind w:left="60"/>
              <w:spacing w:after="0" w:line="201" w:lineRule="exact"/>
              <w:rPr>
                <w:sz w:val="20"/>
                <w:szCs w:val="20"/>
                <w:color w:val="auto"/>
              </w:rPr>
            </w:pPr>
            <w:r>
              <w:rPr>
                <w:rFonts w:ascii="Arial" w:cs="Arial" w:eastAsia="Arial" w:hAnsi="Arial"/>
                <w:sz w:val="18"/>
                <w:szCs w:val="18"/>
                <w:color w:val="auto"/>
              </w:rPr>
              <w:t>Executive</w:t>
            </w:r>
          </w:p>
        </w:tc>
        <w:tc>
          <w:tcPr>
            <w:tcW w:w="840" w:type="dxa"/>
            <w:vAlign w:val="bottom"/>
            <w:gridSpan w:val="2"/>
            <w:vMerge w:val="restart"/>
          </w:tcPr>
          <w:p>
            <w:pPr>
              <w:ind w:left="120"/>
              <w:spacing w:after="0" w:line="201" w:lineRule="exact"/>
              <w:rPr>
                <w:sz w:val="20"/>
                <w:szCs w:val="20"/>
                <w:color w:val="auto"/>
              </w:rPr>
            </w:pPr>
            <w:r>
              <w:rPr>
                <w:rFonts w:ascii="Arial" w:cs="Arial" w:eastAsia="Arial" w:hAnsi="Arial"/>
                <w:sz w:val="18"/>
                <w:szCs w:val="18"/>
                <w:color w:val="auto"/>
              </w:rPr>
              <w:t>Officer</w:t>
            </w:r>
          </w:p>
        </w:tc>
        <w:tc>
          <w:tcPr>
            <w:tcW w:w="1260" w:type="dxa"/>
            <w:vAlign w:val="bottom"/>
            <w:gridSpan w:val="4"/>
            <w:vMerge w:val="restart"/>
          </w:tcPr>
          <w:p>
            <w:pPr>
              <w:jc w:val="right"/>
              <w:ind w:right="120"/>
              <w:spacing w:after="0" w:line="201" w:lineRule="exact"/>
              <w:rPr>
                <w:sz w:val="20"/>
                <w:szCs w:val="20"/>
                <w:color w:val="auto"/>
              </w:rPr>
            </w:pPr>
            <w:r>
              <w:rPr>
                <w:rFonts w:ascii="Arial" w:cs="Arial" w:eastAsia="Arial" w:hAnsi="Arial"/>
                <w:sz w:val="18"/>
                <w:szCs w:val="18"/>
                <w:color w:val="auto"/>
                <w:w w:val="99"/>
              </w:rPr>
              <w:t>compensation</w:t>
            </w:r>
          </w:p>
        </w:tc>
        <w:tc>
          <w:tcPr>
            <w:tcW w:w="1600" w:type="dxa"/>
            <w:vAlign w:val="bottom"/>
            <w:gridSpan w:val="2"/>
            <w:vMerge w:val="restart"/>
          </w:tcPr>
          <w:p>
            <w:pPr>
              <w:jc w:val="center"/>
              <w:ind w:right="20"/>
              <w:spacing w:after="0" w:line="201" w:lineRule="exact"/>
              <w:rPr>
                <w:sz w:val="20"/>
                <w:szCs w:val="20"/>
                <w:color w:val="auto"/>
              </w:rPr>
            </w:pPr>
            <w:r>
              <w:rPr>
                <w:rFonts w:ascii="Arial" w:cs="Arial" w:eastAsia="Arial" w:hAnsi="Arial"/>
                <w:sz w:val="18"/>
                <w:szCs w:val="18"/>
                <w:b w:val="1"/>
                <w:bCs w:val="1"/>
                <w:color w:val="auto"/>
                <w:w w:val="99"/>
              </w:rPr>
              <w:t>FOR</w:t>
            </w:r>
          </w:p>
        </w:tc>
        <w:tc>
          <w:tcPr>
            <w:tcW w:w="2800" w:type="dxa"/>
            <w:vAlign w:val="bottom"/>
            <w:gridSpan w:val="5"/>
            <w:vMerge w:val="continue"/>
          </w:tcPr>
          <w:p>
            <w:pPr>
              <w:spacing w:after="0"/>
              <w:rPr>
                <w:sz w:val="8"/>
                <w:szCs w:val="8"/>
                <w:color w:val="auto"/>
              </w:rPr>
            </w:pPr>
          </w:p>
        </w:tc>
        <w:tc>
          <w:tcPr>
            <w:tcW w:w="1620" w:type="dxa"/>
            <w:vAlign w:val="bottom"/>
            <w:gridSpan w:val="2"/>
            <w:vMerge w:val="restart"/>
          </w:tcPr>
          <w:p>
            <w:pPr>
              <w:jc w:val="center"/>
              <w:spacing w:after="0" w:line="201" w:lineRule="exact"/>
              <w:rPr>
                <w:sz w:val="20"/>
                <w:szCs w:val="20"/>
                <w:color w:val="auto"/>
              </w:rPr>
            </w:pPr>
            <w:r>
              <w:rPr>
                <w:rFonts w:ascii="Arial" w:cs="Arial" w:eastAsia="Arial" w:hAnsi="Arial"/>
                <w:sz w:val="18"/>
                <w:szCs w:val="18"/>
                <w:color w:val="auto"/>
                <w:w w:val="99"/>
              </w:rPr>
              <w:t>No effect</w:t>
            </w:r>
          </w:p>
        </w:tc>
        <w:tc>
          <w:tcPr>
            <w:tcW w:w="126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7"/>
              </w:rPr>
              <w:t>No effect</w:t>
            </w:r>
          </w:p>
        </w:tc>
        <w:tc>
          <w:tcPr>
            <w:tcW w:w="0" w:type="dxa"/>
            <w:vAlign w:val="bottom"/>
          </w:tcPr>
          <w:p>
            <w:pPr>
              <w:spacing w:after="0"/>
              <w:rPr>
                <w:sz w:val="1"/>
                <w:szCs w:val="1"/>
                <w:color w:val="auto"/>
              </w:rPr>
            </w:pPr>
          </w:p>
        </w:tc>
      </w:tr>
      <w:tr>
        <w:trPr>
          <w:trHeight w:val="107"/>
        </w:trPr>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2800" w:type="dxa"/>
            <w:vAlign w:val="bottom"/>
            <w:gridSpan w:val="5"/>
            <w:vMerge w:val="restart"/>
          </w:tcPr>
          <w:p>
            <w:pPr>
              <w:ind w:left="60"/>
              <w:spacing w:after="0" w:line="201" w:lineRule="exact"/>
              <w:rPr>
                <w:sz w:val="20"/>
                <w:szCs w:val="20"/>
                <w:color w:val="auto"/>
              </w:rPr>
            </w:pPr>
            <w:r>
              <w:rPr>
                <w:rFonts w:ascii="Arial" w:cs="Arial" w:eastAsia="Arial" w:hAnsi="Arial"/>
                <w:sz w:val="18"/>
                <w:szCs w:val="18"/>
                <w:color w:val="auto"/>
              </w:rPr>
              <w:t>proposal are voted in favor of the</w:t>
            </w:r>
          </w:p>
        </w:tc>
        <w:tc>
          <w:tcPr>
            <w:tcW w:w="162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8"/>
                <w:szCs w:val="18"/>
                <w:color w:val="auto"/>
              </w:rPr>
              <w:t>(“Say on Pay”)</w:t>
            </w: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0" w:type="dxa"/>
            <w:vAlign w:val="bottom"/>
            <w:gridSpan w:val="5"/>
            <w:vMerge w:val="continue"/>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8"/>
                <w:szCs w:val="18"/>
                <w:color w:val="auto"/>
              </w:rPr>
              <w:t>proposal.</w:t>
            </w: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540" w:type="dxa"/>
            <w:vAlign w:val="bottom"/>
            <w:tcBorders>
              <w:bottom w:val="single" w:sz="8" w:color="023C5B"/>
            </w:tcBorders>
          </w:tcPr>
          <w:p>
            <w:pPr>
              <w:spacing w:after="0"/>
              <w:rPr>
                <w:sz w:val="14"/>
                <w:szCs w:val="14"/>
                <w:color w:val="auto"/>
              </w:rPr>
            </w:pPr>
          </w:p>
        </w:tc>
        <w:tc>
          <w:tcPr>
            <w:tcW w:w="20" w:type="dxa"/>
            <w:vAlign w:val="bottom"/>
            <w:tcBorders>
              <w:bottom w:val="single" w:sz="8" w:color="023C5B"/>
            </w:tcBorders>
          </w:tcPr>
          <w:p>
            <w:pPr>
              <w:spacing w:after="0"/>
              <w:rPr>
                <w:sz w:val="14"/>
                <w:szCs w:val="14"/>
                <w:color w:val="auto"/>
              </w:rPr>
            </w:pPr>
          </w:p>
        </w:tc>
        <w:tc>
          <w:tcPr>
            <w:tcW w:w="40" w:type="dxa"/>
            <w:vAlign w:val="bottom"/>
            <w:tcBorders>
              <w:bottom w:val="single" w:sz="8" w:color="E5EBEE"/>
            </w:tcBorders>
          </w:tcPr>
          <w:p>
            <w:pPr>
              <w:spacing w:after="0"/>
              <w:rPr>
                <w:sz w:val="14"/>
                <w:szCs w:val="14"/>
                <w:color w:val="auto"/>
              </w:rPr>
            </w:pPr>
          </w:p>
        </w:tc>
        <w:tc>
          <w:tcPr>
            <w:tcW w:w="940" w:type="dxa"/>
            <w:vAlign w:val="bottom"/>
            <w:tcBorders>
              <w:bottom w:val="single" w:sz="8" w:color="023C5B"/>
            </w:tcBorders>
          </w:tcPr>
          <w:p>
            <w:pPr>
              <w:spacing w:after="0"/>
              <w:rPr>
                <w:sz w:val="14"/>
                <w:szCs w:val="14"/>
                <w:color w:val="auto"/>
              </w:rPr>
            </w:pPr>
          </w:p>
        </w:tc>
        <w:tc>
          <w:tcPr>
            <w:tcW w:w="380" w:type="dxa"/>
            <w:vAlign w:val="bottom"/>
            <w:tcBorders>
              <w:bottom w:val="single" w:sz="8" w:color="023C5B"/>
            </w:tcBorders>
          </w:tcPr>
          <w:p>
            <w:pPr>
              <w:spacing w:after="0"/>
              <w:rPr>
                <w:sz w:val="14"/>
                <w:szCs w:val="14"/>
                <w:color w:val="auto"/>
              </w:rPr>
            </w:pPr>
          </w:p>
        </w:tc>
        <w:tc>
          <w:tcPr>
            <w:tcW w:w="460" w:type="dxa"/>
            <w:vAlign w:val="bottom"/>
            <w:tcBorders>
              <w:bottom w:val="single" w:sz="8" w:color="023C5B"/>
            </w:tcBorders>
          </w:tcPr>
          <w:p>
            <w:pPr>
              <w:spacing w:after="0"/>
              <w:rPr>
                <w:sz w:val="14"/>
                <w:szCs w:val="14"/>
                <w:color w:val="auto"/>
              </w:rPr>
            </w:pPr>
          </w:p>
        </w:tc>
        <w:tc>
          <w:tcPr>
            <w:tcW w:w="460" w:type="dxa"/>
            <w:vAlign w:val="bottom"/>
            <w:tcBorders>
              <w:bottom w:val="single" w:sz="8" w:color="023C5B"/>
            </w:tcBorders>
          </w:tcPr>
          <w:p>
            <w:pPr>
              <w:spacing w:after="0"/>
              <w:rPr>
                <w:sz w:val="14"/>
                <w:szCs w:val="14"/>
                <w:color w:val="auto"/>
              </w:rPr>
            </w:pPr>
          </w:p>
        </w:tc>
        <w:tc>
          <w:tcPr>
            <w:tcW w:w="740" w:type="dxa"/>
            <w:vAlign w:val="bottom"/>
            <w:tcBorders>
              <w:bottom w:val="single" w:sz="8" w:color="023C5B"/>
            </w:tcBorders>
          </w:tcPr>
          <w:p>
            <w:pPr>
              <w:spacing w:after="0"/>
              <w:rPr>
                <w:sz w:val="14"/>
                <w:szCs w:val="14"/>
                <w:color w:val="auto"/>
              </w:rPr>
            </w:pPr>
          </w:p>
        </w:tc>
        <w:tc>
          <w:tcPr>
            <w:tcW w:w="40" w:type="dxa"/>
            <w:vAlign w:val="bottom"/>
            <w:tcBorders>
              <w:bottom w:val="single" w:sz="8" w:color="E5EBEE"/>
            </w:tcBorders>
          </w:tcPr>
          <w:p>
            <w:pPr>
              <w:spacing w:after="0"/>
              <w:rPr>
                <w:sz w:val="14"/>
                <w:szCs w:val="14"/>
                <w:color w:val="auto"/>
              </w:rPr>
            </w:pPr>
          </w:p>
        </w:tc>
        <w:tc>
          <w:tcPr>
            <w:tcW w:w="20" w:type="dxa"/>
            <w:vAlign w:val="bottom"/>
            <w:tcBorders>
              <w:bottom w:val="single" w:sz="8" w:color="E5EBEE"/>
            </w:tcBorders>
          </w:tcPr>
          <w:p>
            <w:pPr>
              <w:spacing w:after="0"/>
              <w:rPr>
                <w:sz w:val="14"/>
                <w:szCs w:val="14"/>
                <w:color w:val="auto"/>
              </w:rPr>
            </w:pPr>
          </w:p>
        </w:tc>
        <w:tc>
          <w:tcPr>
            <w:tcW w:w="1540" w:type="dxa"/>
            <w:vAlign w:val="bottom"/>
            <w:tcBorders>
              <w:bottom w:val="single" w:sz="8" w:color="023C5B"/>
            </w:tcBorders>
          </w:tcPr>
          <w:p>
            <w:pPr>
              <w:spacing w:after="0"/>
              <w:rPr>
                <w:sz w:val="14"/>
                <w:szCs w:val="14"/>
                <w:color w:val="auto"/>
              </w:rPr>
            </w:pPr>
          </w:p>
        </w:tc>
        <w:tc>
          <w:tcPr>
            <w:tcW w:w="60" w:type="dxa"/>
            <w:vAlign w:val="bottom"/>
            <w:tcBorders>
              <w:bottom w:val="single" w:sz="8" w:color="E5EBEE"/>
            </w:tcBorders>
          </w:tcPr>
          <w:p>
            <w:pPr>
              <w:spacing w:after="0"/>
              <w:rPr>
                <w:sz w:val="14"/>
                <w:szCs w:val="14"/>
                <w:color w:val="auto"/>
              </w:rPr>
            </w:pPr>
          </w:p>
        </w:tc>
        <w:tc>
          <w:tcPr>
            <w:tcW w:w="440" w:type="dxa"/>
            <w:vAlign w:val="bottom"/>
            <w:tcBorders>
              <w:bottom w:val="single" w:sz="8" w:color="023C5B"/>
            </w:tcBorders>
          </w:tcPr>
          <w:p>
            <w:pPr>
              <w:spacing w:after="0"/>
              <w:rPr>
                <w:sz w:val="14"/>
                <w:szCs w:val="14"/>
                <w:color w:val="auto"/>
              </w:rPr>
            </w:pPr>
          </w:p>
        </w:tc>
        <w:tc>
          <w:tcPr>
            <w:tcW w:w="2320" w:type="dxa"/>
            <w:vAlign w:val="bottom"/>
            <w:tcBorders>
              <w:bottom w:val="single" w:sz="8" w:color="023C5B"/>
            </w:tcBorders>
            <w:gridSpan w:val="3"/>
          </w:tcPr>
          <w:p>
            <w:pPr>
              <w:spacing w:after="0"/>
              <w:rPr>
                <w:sz w:val="14"/>
                <w:szCs w:val="14"/>
                <w:color w:val="auto"/>
              </w:rPr>
            </w:pPr>
          </w:p>
        </w:tc>
        <w:tc>
          <w:tcPr>
            <w:tcW w:w="40" w:type="dxa"/>
            <w:vAlign w:val="bottom"/>
            <w:tcBorders>
              <w:bottom w:val="single" w:sz="8" w:color="E5EBEE"/>
            </w:tcBorders>
          </w:tcPr>
          <w:p>
            <w:pPr>
              <w:spacing w:after="0"/>
              <w:rPr>
                <w:sz w:val="14"/>
                <w:szCs w:val="14"/>
                <w:color w:val="auto"/>
              </w:rPr>
            </w:pPr>
          </w:p>
        </w:tc>
        <w:tc>
          <w:tcPr>
            <w:tcW w:w="1560" w:type="dxa"/>
            <w:vAlign w:val="bottom"/>
            <w:tcBorders>
              <w:bottom w:val="single" w:sz="8" w:color="023C5B"/>
            </w:tcBorders>
          </w:tcPr>
          <w:p>
            <w:pPr>
              <w:spacing w:after="0"/>
              <w:rPr>
                <w:sz w:val="14"/>
                <w:szCs w:val="14"/>
                <w:color w:val="auto"/>
              </w:rPr>
            </w:pPr>
          </w:p>
        </w:tc>
        <w:tc>
          <w:tcPr>
            <w:tcW w:w="60" w:type="dxa"/>
            <w:vAlign w:val="bottom"/>
            <w:tcBorders>
              <w:bottom w:val="single" w:sz="8" w:color="E5EBEE"/>
            </w:tcBorders>
          </w:tcPr>
          <w:p>
            <w:pPr>
              <w:spacing w:after="0"/>
              <w:rPr>
                <w:sz w:val="14"/>
                <w:szCs w:val="14"/>
                <w:color w:val="auto"/>
              </w:rPr>
            </w:pPr>
          </w:p>
        </w:tc>
        <w:tc>
          <w:tcPr>
            <w:tcW w:w="1260" w:type="dxa"/>
            <w:vAlign w:val="bottom"/>
            <w:tcBorders>
              <w:bottom w:val="single" w:sz="8" w:color="023C5B"/>
            </w:tcBorders>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540" w:type="dxa"/>
            <w:vAlign w:val="bottom"/>
            <w:shd w:val="clear" w:color="auto" w:fill="E5EBEE"/>
          </w:tcPr>
          <w:p>
            <w:pPr>
              <w:spacing w:after="0"/>
              <w:rPr>
                <w:sz w:val="24"/>
                <w:szCs w:val="24"/>
                <w:color w:val="auto"/>
              </w:rPr>
            </w:pPr>
          </w:p>
        </w:tc>
        <w:tc>
          <w:tcPr>
            <w:tcW w:w="20" w:type="dxa"/>
            <w:vAlign w:val="bottom"/>
            <w:shd w:val="clear" w:color="auto" w:fill="E5EBEE"/>
          </w:tcPr>
          <w:p>
            <w:pPr>
              <w:spacing w:after="0"/>
              <w:rPr>
                <w:sz w:val="24"/>
                <w:szCs w:val="24"/>
                <w:color w:val="auto"/>
              </w:rPr>
            </w:pPr>
          </w:p>
        </w:tc>
        <w:tc>
          <w:tcPr>
            <w:tcW w:w="40" w:type="dxa"/>
            <w:vAlign w:val="bottom"/>
            <w:shd w:val="clear" w:color="auto" w:fill="E5EBEE"/>
          </w:tcPr>
          <w:p>
            <w:pPr>
              <w:spacing w:after="0"/>
              <w:rPr>
                <w:sz w:val="24"/>
                <w:szCs w:val="24"/>
                <w:color w:val="auto"/>
              </w:rPr>
            </w:pPr>
          </w:p>
        </w:tc>
        <w:tc>
          <w:tcPr>
            <w:tcW w:w="940" w:type="dxa"/>
            <w:vAlign w:val="bottom"/>
            <w:vMerge w:val="restart"/>
            <w:shd w:val="clear" w:color="auto" w:fill="E5EBEE"/>
          </w:tcPr>
          <w:p>
            <w:pPr>
              <w:ind w:left="60"/>
              <w:spacing w:after="0"/>
              <w:rPr>
                <w:sz w:val="20"/>
                <w:szCs w:val="20"/>
                <w:color w:val="auto"/>
              </w:rPr>
            </w:pPr>
            <w:r>
              <w:rPr>
                <w:rFonts w:ascii="Arial" w:cs="Arial" w:eastAsia="Arial" w:hAnsi="Arial"/>
                <w:sz w:val="18"/>
                <w:szCs w:val="18"/>
                <w:color w:val="auto"/>
                <w:w w:val="96"/>
              </w:rPr>
              <w:t>Ratification</w:t>
            </w:r>
          </w:p>
        </w:tc>
        <w:tc>
          <w:tcPr>
            <w:tcW w:w="380" w:type="dxa"/>
            <w:vAlign w:val="bottom"/>
            <w:vMerge w:val="restart"/>
            <w:shd w:val="clear" w:color="auto" w:fill="E5EBEE"/>
          </w:tcPr>
          <w:p>
            <w:pPr>
              <w:ind w:left="180"/>
              <w:spacing w:after="0"/>
              <w:rPr>
                <w:sz w:val="20"/>
                <w:szCs w:val="20"/>
                <w:color w:val="auto"/>
              </w:rPr>
            </w:pPr>
            <w:r>
              <w:rPr>
                <w:rFonts w:ascii="Arial" w:cs="Arial" w:eastAsia="Arial" w:hAnsi="Arial"/>
                <w:sz w:val="18"/>
                <w:szCs w:val="18"/>
                <w:color w:val="auto"/>
              </w:rPr>
              <w:t>of</w:t>
            </w:r>
          </w:p>
        </w:tc>
        <w:tc>
          <w:tcPr>
            <w:tcW w:w="920" w:type="dxa"/>
            <w:vAlign w:val="bottom"/>
            <w:gridSpan w:val="2"/>
            <w:vMerge w:val="restart"/>
            <w:shd w:val="clear" w:color="auto" w:fill="E5EBEE"/>
          </w:tcPr>
          <w:p>
            <w:pPr>
              <w:ind w:left="140"/>
              <w:spacing w:after="0"/>
              <w:rPr>
                <w:sz w:val="20"/>
                <w:szCs w:val="20"/>
                <w:color w:val="auto"/>
              </w:rPr>
            </w:pPr>
            <w:r>
              <w:rPr>
                <w:rFonts w:ascii="Arial" w:cs="Arial" w:eastAsia="Arial" w:hAnsi="Arial"/>
                <w:sz w:val="18"/>
                <w:szCs w:val="18"/>
                <w:color w:val="auto"/>
              </w:rPr>
              <w:t>selection</w:t>
            </w:r>
          </w:p>
        </w:tc>
        <w:tc>
          <w:tcPr>
            <w:tcW w:w="800" w:type="dxa"/>
            <w:vAlign w:val="bottom"/>
            <w:gridSpan w:val="3"/>
            <w:vMerge w:val="restart"/>
            <w:shd w:val="clear" w:color="auto" w:fill="E5EBEE"/>
          </w:tcPr>
          <w:p>
            <w:pPr>
              <w:jc w:val="right"/>
              <w:ind w:right="120"/>
              <w:spacing w:after="0"/>
              <w:rPr>
                <w:sz w:val="20"/>
                <w:szCs w:val="20"/>
                <w:color w:val="auto"/>
              </w:rPr>
            </w:pPr>
            <w:r>
              <w:rPr>
                <w:rFonts w:ascii="Arial" w:cs="Arial" w:eastAsia="Arial" w:hAnsi="Arial"/>
                <w:sz w:val="18"/>
                <w:szCs w:val="18"/>
                <w:color w:val="auto"/>
              </w:rPr>
              <w:t>of  our</w:t>
            </w:r>
          </w:p>
        </w:tc>
        <w:tc>
          <w:tcPr>
            <w:tcW w:w="1540" w:type="dxa"/>
            <w:vAlign w:val="bottom"/>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440" w:type="dxa"/>
            <w:vAlign w:val="bottom"/>
            <w:shd w:val="clear" w:color="auto" w:fill="E5EBEE"/>
          </w:tcPr>
          <w:p>
            <w:pPr>
              <w:ind w:left="60"/>
              <w:spacing w:after="0"/>
              <w:rPr>
                <w:sz w:val="20"/>
                <w:szCs w:val="20"/>
                <w:color w:val="auto"/>
              </w:rPr>
            </w:pPr>
            <w:r>
              <w:rPr>
                <w:rFonts w:ascii="Arial" w:cs="Arial" w:eastAsia="Arial" w:hAnsi="Arial"/>
                <w:sz w:val="18"/>
                <w:szCs w:val="18"/>
                <w:color w:val="auto"/>
              </w:rPr>
              <w:t>This</w:t>
            </w:r>
          </w:p>
        </w:tc>
        <w:tc>
          <w:tcPr>
            <w:tcW w:w="2360" w:type="dxa"/>
            <w:vAlign w:val="bottom"/>
            <w:gridSpan w:val="4"/>
            <w:shd w:val="clear" w:color="auto" w:fill="E5EBEE"/>
          </w:tcPr>
          <w:p>
            <w:pPr>
              <w:jc w:val="right"/>
              <w:ind w:right="100"/>
              <w:spacing w:after="0"/>
              <w:rPr>
                <w:sz w:val="20"/>
                <w:szCs w:val="20"/>
                <w:color w:val="auto"/>
              </w:rPr>
            </w:pPr>
            <w:r>
              <w:rPr>
                <w:rFonts w:ascii="Arial" w:cs="Arial" w:eastAsia="Arial" w:hAnsi="Arial"/>
                <w:sz w:val="18"/>
                <w:szCs w:val="18"/>
                <w:color w:val="auto"/>
              </w:rPr>
              <w:t>item will be approved if a</w:t>
            </w:r>
          </w:p>
        </w:tc>
        <w:tc>
          <w:tcPr>
            <w:tcW w:w="1560" w:type="dxa"/>
            <w:vAlign w:val="bottom"/>
            <w:shd w:val="clear" w:color="auto" w:fill="E5EBEE"/>
          </w:tcPr>
          <w:p>
            <w:pPr>
              <w:spacing w:after="0"/>
              <w:rPr>
                <w:sz w:val="24"/>
                <w:szCs w:val="24"/>
                <w:color w:val="auto"/>
              </w:rPr>
            </w:pPr>
          </w:p>
        </w:tc>
        <w:tc>
          <w:tcPr>
            <w:tcW w:w="60" w:type="dxa"/>
            <w:vAlign w:val="bottom"/>
            <w:shd w:val="clear" w:color="auto" w:fill="E5EBEE"/>
          </w:tcPr>
          <w:p>
            <w:pPr>
              <w:spacing w:after="0"/>
              <w:rPr>
                <w:sz w:val="24"/>
                <w:szCs w:val="24"/>
                <w:color w:val="auto"/>
              </w:rPr>
            </w:pPr>
          </w:p>
        </w:tc>
        <w:tc>
          <w:tcPr>
            <w:tcW w:w="1260" w:type="dxa"/>
            <w:vAlign w:val="bottom"/>
            <w:shd w:val="clear" w:color="auto" w:fill="E5EBEE"/>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40" w:type="dxa"/>
            <w:vAlign w:val="bottom"/>
            <w:shd w:val="clear" w:color="auto" w:fill="E5EBEE"/>
          </w:tcPr>
          <w:p>
            <w:pPr>
              <w:spacing w:after="0"/>
              <w:rPr>
                <w:sz w:val="9"/>
                <w:szCs w:val="9"/>
                <w:color w:val="auto"/>
              </w:rPr>
            </w:pPr>
          </w:p>
        </w:tc>
        <w:tc>
          <w:tcPr>
            <w:tcW w:w="20" w:type="dxa"/>
            <w:vAlign w:val="bottom"/>
            <w:shd w:val="clear" w:color="auto" w:fill="E5EBEE"/>
          </w:tcPr>
          <w:p>
            <w:pPr>
              <w:spacing w:after="0"/>
              <w:rPr>
                <w:sz w:val="9"/>
                <w:szCs w:val="9"/>
                <w:color w:val="auto"/>
              </w:rPr>
            </w:pPr>
          </w:p>
        </w:tc>
        <w:tc>
          <w:tcPr>
            <w:tcW w:w="40" w:type="dxa"/>
            <w:vAlign w:val="bottom"/>
            <w:shd w:val="clear" w:color="auto" w:fill="E5EBEE"/>
          </w:tcPr>
          <w:p>
            <w:pPr>
              <w:spacing w:after="0"/>
              <w:rPr>
                <w:sz w:val="9"/>
                <w:szCs w:val="9"/>
                <w:color w:val="auto"/>
              </w:rPr>
            </w:pPr>
          </w:p>
        </w:tc>
        <w:tc>
          <w:tcPr>
            <w:tcW w:w="940" w:type="dxa"/>
            <w:vAlign w:val="bottom"/>
            <w:vMerge w:val="continue"/>
            <w:shd w:val="clear" w:color="auto" w:fill="E5EBEE"/>
          </w:tcPr>
          <w:p>
            <w:pPr>
              <w:spacing w:after="0"/>
              <w:rPr>
                <w:sz w:val="9"/>
                <w:szCs w:val="9"/>
                <w:color w:val="auto"/>
              </w:rPr>
            </w:pPr>
          </w:p>
        </w:tc>
        <w:tc>
          <w:tcPr>
            <w:tcW w:w="380" w:type="dxa"/>
            <w:vAlign w:val="bottom"/>
            <w:vMerge w:val="continue"/>
            <w:shd w:val="clear" w:color="auto" w:fill="E5EBEE"/>
          </w:tcPr>
          <w:p>
            <w:pPr>
              <w:spacing w:after="0"/>
              <w:rPr>
                <w:sz w:val="9"/>
                <w:szCs w:val="9"/>
                <w:color w:val="auto"/>
              </w:rPr>
            </w:pPr>
          </w:p>
        </w:tc>
        <w:tc>
          <w:tcPr>
            <w:tcW w:w="920" w:type="dxa"/>
            <w:vAlign w:val="bottom"/>
            <w:gridSpan w:val="2"/>
            <w:vMerge w:val="continue"/>
            <w:shd w:val="clear" w:color="auto" w:fill="E5EBEE"/>
          </w:tcPr>
          <w:p>
            <w:pPr>
              <w:spacing w:after="0"/>
              <w:rPr>
                <w:sz w:val="9"/>
                <w:szCs w:val="9"/>
                <w:color w:val="auto"/>
              </w:rPr>
            </w:pPr>
          </w:p>
        </w:tc>
        <w:tc>
          <w:tcPr>
            <w:tcW w:w="800" w:type="dxa"/>
            <w:vAlign w:val="bottom"/>
            <w:gridSpan w:val="3"/>
            <w:vMerge w:val="continue"/>
            <w:shd w:val="clear" w:color="auto" w:fill="E5EBEE"/>
          </w:tcPr>
          <w:p>
            <w:pPr>
              <w:spacing w:after="0"/>
              <w:rPr>
                <w:sz w:val="9"/>
                <w:szCs w:val="9"/>
                <w:color w:val="auto"/>
              </w:rPr>
            </w:pPr>
          </w:p>
        </w:tc>
        <w:tc>
          <w:tcPr>
            <w:tcW w:w="1540" w:type="dxa"/>
            <w:vAlign w:val="bottom"/>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2800" w:type="dxa"/>
            <w:vAlign w:val="bottom"/>
            <w:gridSpan w:val="5"/>
            <w:vMerge w:val="restart"/>
            <w:shd w:val="clear" w:color="auto" w:fill="E5EBEE"/>
          </w:tcPr>
          <w:p>
            <w:pPr>
              <w:ind w:left="60"/>
              <w:spacing w:after="0" w:line="201" w:lineRule="exact"/>
              <w:rPr>
                <w:sz w:val="20"/>
                <w:szCs w:val="20"/>
                <w:color w:val="auto"/>
              </w:rPr>
            </w:pPr>
            <w:r>
              <w:rPr>
                <w:rFonts w:ascii="Arial" w:cs="Arial" w:eastAsia="Arial" w:hAnsi="Arial"/>
                <w:sz w:val="18"/>
                <w:szCs w:val="18"/>
                <w:color w:val="auto"/>
              </w:rPr>
              <w:t>majority of the votes cast on the</w:t>
            </w:r>
          </w:p>
        </w:tc>
        <w:tc>
          <w:tcPr>
            <w:tcW w:w="1560" w:type="dxa"/>
            <w:vAlign w:val="bottom"/>
            <w:shd w:val="clear" w:color="auto" w:fill="E5EBEE"/>
          </w:tcPr>
          <w:p>
            <w:pPr>
              <w:spacing w:after="0"/>
              <w:rPr>
                <w:sz w:val="9"/>
                <w:szCs w:val="9"/>
                <w:color w:val="auto"/>
              </w:rPr>
            </w:pPr>
          </w:p>
        </w:tc>
        <w:tc>
          <w:tcPr>
            <w:tcW w:w="60" w:type="dxa"/>
            <w:vAlign w:val="bottom"/>
            <w:shd w:val="clear" w:color="auto" w:fill="E5EBEE"/>
          </w:tcPr>
          <w:p>
            <w:pPr>
              <w:spacing w:after="0"/>
              <w:rPr>
                <w:sz w:val="9"/>
                <w:szCs w:val="9"/>
                <w:color w:val="auto"/>
              </w:rPr>
            </w:pPr>
          </w:p>
        </w:tc>
        <w:tc>
          <w:tcPr>
            <w:tcW w:w="1260" w:type="dxa"/>
            <w:vAlign w:val="bottom"/>
            <w:shd w:val="clear" w:color="auto" w:fill="E5EBE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40" w:type="dxa"/>
            <w:vAlign w:val="bottom"/>
            <w:vMerge w:val="restart"/>
            <w:shd w:val="clear" w:color="auto" w:fill="E5EBEE"/>
          </w:tcPr>
          <w:p>
            <w:pPr>
              <w:jc w:val="center"/>
              <w:spacing w:after="0" w:line="201" w:lineRule="exact"/>
              <w:rPr>
                <w:sz w:val="20"/>
                <w:szCs w:val="20"/>
                <w:color w:val="auto"/>
              </w:rPr>
            </w:pPr>
            <w:r>
              <w:rPr>
                <w:rFonts w:ascii="Arial" w:cs="Arial" w:eastAsia="Arial" w:hAnsi="Arial"/>
                <w:sz w:val="18"/>
                <w:szCs w:val="18"/>
                <w:color w:val="auto"/>
              </w:rPr>
              <w:t>3.</w:t>
            </w:r>
          </w:p>
        </w:tc>
        <w:tc>
          <w:tcPr>
            <w:tcW w:w="20" w:type="dxa"/>
            <w:vAlign w:val="bottom"/>
            <w:shd w:val="clear" w:color="auto" w:fill="E5EBEE"/>
          </w:tcPr>
          <w:p>
            <w:pPr>
              <w:spacing w:after="0"/>
              <w:rPr>
                <w:sz w:val="8"/>
                <w:szCs w:val="8"/>
                <w:color w:val="auto"/>
              </w:rPr>
            </w:pPr>
          </w:p>
        </w:tc>
        <w:tc>
          <w:tcPr>
            <w:tcW w:w="40" w:type="dxa"/>
            <w:vAlign w:val="bottom"/>
            <w:shd w:val="clear" w:color="auto" w:fill="E5EBEE"/>
          </w:tcPr>
          <w:p>
            <w:pPr>
              <w:spacing w:after="0"/>
              <w:rPr>
                <w:sz w:val="8"/>
                <w:szCs w:val="8"/>
                <w:color w:val="auto"/>
              </w:rPr>
            </w:pPr>
          </w:p>
        </w:tc>
        <w:tc>
          <w:tcPr>
            <w:tcW w:w="1320" w:type="dxa"/>
            <w:vAlign w:val="bottom"/>
            <w:gridSpan w:val="2"/>
            <w:vMerge w:val="restart"/>
            <w:shd w:val="clear" w:color="auto" w:fill="E5EBEE"/>
          </w:tcPr>
          <w:p>
            <w:pPr>
              <w:ind w:left="60"/>
              <w:spacing w:after="0" w:line="201" w:lineRule="exact"/>
              <w:rPr>
                <w:sz w:val="20"/>
                <w:szCs w:val="20"/>
                <w:color w:val="auto"/>
              </w:rPr>
            </w:pPr>
            <w:r>
              <w:rPr>
                <w:rFonts w:ascii="Arial" w:cs="Arial" w:eastAsia="Arial" w:hAnsi="Arial"/>
                <w:sz w:val="18"/>
                <w:szCs w:val="18"/>
                <w:color w:val="auto"/>
              </w:rPr>
              <w:t>independent</w:t>
            </w:r>
          </w:p>
        </w:tc>
        <w:tc>
          <w:tcPr>
            <w:tcW w:w="920" w:type="dxa"/>
            <w:vAlign w:val="bottom"/>
            <w:gridSpan w:val="2"/>
            <w:vMerge w:val="restart"/>
            <w:shd w:val="clear" w:color="auto" w:fill="E5EBEE"/>
          </w:tcPr>
          <w:p>
            <w:pPr>
              <w:ind w:left="40"/>
              <w:spacing w:after="0" w:line="201" w:lineRule="exact"/>
              <w:rPr>
                <w:sz w:val="20"/>
                <w:szCs w:val="20"/>
                <w:color w:val="auto"/>
              </w:rPr>
            </w:pPr>
            <w:r>
              <w:rPr>
                <w:rFonts w:ascii="Arial" w:cs="Arial" w:eastAsia="Arial" w:hAnsi="Arial"/>
                <w:sz w:val="18"/>
                <w:szCs w:val="18"/>
                <w:color w:val="auto"/>
              </w:rPr>
              <w:t>registered</w:t>
            </w:r>
          </w:p>
        </w:tc>
        <w:tc>
          <w:tcPr>
            <w:tcW w:w="800" w:type="dxa"/>
            <w:vAlign w:val="bottom"/>
            <w:gridSpan w:val="3"/>
            <w:vMerge w:val="restart"/>
            <w:shd w:val="clear" w:color="auto" w:fill="E5EBEE"/>
          </w:tcPr>
          <w:p>
            <w:pPr>
              <w:jc w:val="right"/>
              <w:ind w:right="120"/>
              <w:spacing w:after="0" w:line="201" w:lineRule="exact"/>
              <w:rPr>
                <w:sz w:val="20"/>
                <w:szCs w:val="20"/>
                <w:color w:val="auto"/>
              </w:rPr>
            </w:pPr>
            <w:r>
              <w:rPr>
                <w:rFonts w:ascii="Arial" w:cs="Arial" w:eastAsia="Arial" w:hAnsi="Arial"/>
                <w:sz w:val="18"/>
                <w:szCs w:val="18"/>
                <w:color w:val="auto"/>
              </w:rPr>
              <w:t>public</w:t>
            </w:r>
          </w:p>
        </w:tc>
        <w:tc>
          <w:tcPr>
            <w:tcW w:w="1600" w:type="dxa"/>
            <w:vAlign w:val="bottom"/>
            <w:gridSpan w:val="2"/>
            <w:vMerge w:val="restart"/>
            <w:shd w:val="clear" w:color="auto" w:fill="E5EBEE"/>
          </w:tcPr>
          <w:p>
            <w:pPr>
              <w:jc w:val="center"/>
              <w:ind w:right="20"/>
              <w:spacing w:after="0" w:line="201" w:lineRule="exact"/>
              <w:rPr>
                <w:sz w:val="20"/>
                <w:szCs w:val="20"/>
                <w:color w:val="auto"/>
              </w:rPr>
            </w:pPr>
            <w:r>
              <w:rPr>
                <w:rFonts w:ascii="Arial" w:cs="Arial" w:eastAsia="Arial" w:hAnsi="Arial"/>
                <w:sz w:val="18"/>
                <w:szCs w:val="18"/>
                <w:b w:val="1"/>
                <w:bCs w:val="1"/>
                <w:color w:val="auto"/>
                <w:w w:val="99"/>
              </w:rPr>
              <w:t>FOR</w:t>
            </w:r>
          </w:p>
        </w:tc>
        <w:tc>
          <w:tcPr>
            <w:tcW w:w="2800" w:type="dxa"/>
            <w:vAlign w:val="bottom"/>
            <w:gridSpan w:val="5"/>
            <w:vMerge w:val="continue"/>
            <w:shd w:val="clear" w:color="auto" w:fill="E5EBEE"/>
          </w:tcPr>
          <w:p>
            <w:pPr>
              <w:spacing w:after="0"/>
              <w:rPr>
                <w:sz w:val="8"/>
                <w:szCs w:val="8"/>
                <w:color w:val="auto"/>
              </w:rPr>
            </w:pPr>
          </w:p>
        </w:tc>
        <w:tc>
          <w:tcPr>
            <w:tcW w:w="1620" w:type="dxa"/>
            <w:vAlign w:val="bottom"/>
            <w:gridSpan w:val="2"/>
            <w:vMerge w:val="restart"/>
            <w:shd w:val="clear" w:color="auto" w:fill="E5EBEE"/>
          </w:tcPr>
          <w:p>
            <w:pPr>
              <w:jc w:val="center"/>
              <w:spacing w:after="0" w:line="201" w:lineRule="exact"/>
              <w:rPr>
                <w:sz w:val="20"/>
                <w:szCs w:val="20"/>
                <w:color w:val="auto"/>
              </w:rPr>
            </w:pPr>
            <w:r>
              <w:rPr>
                <w:rFonts w:ascii="Arial" w:cs="Arial" w:eastAsia="Arial" w:hAnsi="Arial"/>
                <w:sz w:val="18"/>
                <w:szCs w:val="18"/>
                <w:color w:val="auto"/>
                <w:w w:val="99"/>
              </w:rPr>
              <w:t>No effect</w:t>
            </w:r>
          </w:p>
        </w:tc>
        <w:tc>
          <w:tcPr>
            <w:tcW w:w="1260" w:type="dxa"/>
            <w:vAlign w:val="bottom"/>
            <w:vMerge w:val="restart"/>
            <w:shd w:val="clear" w:color="auto" w:fill="E5EBEE"/>
          </w:tcPr>
          <w:p>
            <w:pPr>
              <w:jc w:val="center"/>
              <w:spacing w:after="0" w:line="201" w:lineRule="exact"/>
              <w:rPr>
                <w:sz w:val="20"/>
                <w:szCs w:val="20"/>
                <w:color w:val="auto"/>
              </w:rPr>
            </w:pPr>
            <w:r>
              <w:rPr>
                <w:rFonts w:ascii="Arial" w:cs="Arial" w:eastAsia="Arial" w:hAnsi="Arial"/>
                <w:sz w:val="18"/>
                <w:szCs w:val="18"/>
                <w:color w:val="auto"/>
                <w:w w:val="98"/>
              </w:rPr>
              <w:t>Not Applicable</w:t>
            </w:r>
          </w:p>
        </w:tc>
        <w:tc>
          <w:tcPr>
            <w:tcW w:w="0" w:type="dxa"/>
            <w:vAlign w:val="bottom"/>
          </w:tcPr>
          <w:p>
            <w:pPr>
              <w:spacing w:after="0"/>
              <w:rPr>
                <w:sz w:val="1"/>
                <w:szCs w:val="1"/>
                <w:color w:val="auto"/>
              </w:rPr>
            </w:pPr>
          </w:p>
        </w:tc>
      </w:tr>
      <w:tr>
        <w:trPr>
          <w:trHeight w:val="107"/>
        </w:trPr>
        <w:tc>
          <w:tcPr>
            <w:tcW w:w="540" w:type="dxa"/>
            <w:vAlign w:val="bottom"/>
            <w:vMerge w:val="continue"/>
            <w:shd w:val="clear" w:color="auto" w:fill="E5EBEE"/>
          </w:tcPr>
          <w:p>
            <w:pPr>
              <w:spacing w:after="0"/>
              <w:rPr>
                <w:sz w:val="9"/>
                <w:szCs w:val="9"/>
                <w:color w:val="auto"/>
              </w:rPr>
            </w:pPr>
          </w:p>
        </w:tc>
        <w:tc>
          <w:tcPr>
            <w:tcW w:w="20" w:type="dxa"/>
            <w:vAlign w:val="bottom"/>
            <w:shd w:val="clear" w:color="auto" w:fill="E5EBEE"/>
          </w:tcPr>
          <w:p>
            <w:pPr>
              <w:spacing w:after="0"/>
              <w:rPr>
                <w:sz w:val="9"/>
                <w:szCs w:val="9"/>
                <w:color w:val="auto"/>
              </w:rPr>
            </w:pPr>
          </w:p>
        </w:tc>
        <w:tc>
          <w:tcPr>
            <w:tcW w:w="40" w:type="dxa"/>
            <w:vAlign w:val="bottom"/>
            <w:shd w:val="clear" w:color="auto" w:fill="E5EBEE"/>
          </w:tcPr>
          <w:p>
            <w:pPr>
              <w:spacing w:after="0"/>
              <w:rPr>
                <w:sz w:val="9"/>
                <w:szCs w:val="9"/>
                <w:color w:val="auto"/>
              </w:rPr>
            </w:pPr>
          </w:p>
        </w:tc>
        <w:tc>
          <w:tcPr>
            <w:tcW w:w="1320" w:type="dxa"/>
            <w:vAlign w:val="bottom"/>
            <w:gridSpan w:val="2"/>
            <w:vMerge w:val="continue"/>
            <w:shd w:val="clear" w:color="auto" w:fill="E5EBEE"/>
          </w:tcPr>
          <w:p>
            <w:pPr>
              <w:spacing w:after="0"/>
              <w:rPr>
                <w:sz w:val="9"/>
                <w:szCs w:val="9"/>
                <w:color w:val="auto"/>
              </w:rPr>
            </w:pPr>
          </w:p>
        </w:tc>
        <w:tc>
          <w:tcPr>
            <w:tcW w:w="920" w:type="dxa"/>
            <w:vAlign w:val="bottom"/>
            <w:gridSpan w:val="2"/>
            <w:vMerge w:val="continue"/>
            <w:shd w:val="clear" w:color="auto" w:fill="E5EBEE"/>
          </w:tcPr>
          <w:p>
            <w:pPr>
              <w:spacing w:after="0"/>
              <w:rPr>
                <w:sz w:val="9"/>
                <w:szCs w:val="9"/>
                <w:color w:val="auto"/>
              </w:rPr>
            </w:pPr>
          </w:p>
        </w:tc>
        <w:tc>
          <w:tcPr>
            <w:tcW w:w="800" w:type="dxa"/>
            <w:vAlign w:val="bottom"/>
            <w:gridSpan w:val="3"/>
            <w:vMerge w:val="continue"/>
            <w:shd w:val="clear" w:color="auto" w:fill="E5EBEE"/>
          </w:tcPr>
          <w:p>
            <w:pPr>
              <w:spacing w:after="0"/>
              <w:rPr>
                <w:sz w:val="9"/>
                <w:szCs w:val="9"/>
                <w:color w:val="auto"/>
              </w:rPr>
            </w:pPr>
          </w:p>
        </w:tc>
        <w:tc>
          <w:tcPr>
            <w:tcW w:w="1600" w:type="dxa"/>
            <w:vAlign w:val="bottom"/>
            <w:gridSpan w:val="2"/>
            <w:vMerge w:val="continue"/>
            <w:shd w:val="clear" w:color="auto" w:fill="E5EBEE"/>
          </w:tcPr>
          <w:p>
            <w:pPr>
              <w:spacing w:after="0"/>
              <w:rPr>
                <w:sz w:val="9"/>
                <w:szCs w:val="9"/>
                <w:color w:val="auto"/>
              </w:rPr>
            </w:pPr>
          </w:p>
        </w:tc>
        <w:tc>
          <w:tcPr>
            <w:tcW w:w="2800" w:type="dxa"/>
            <w:vAlign w:val="bottom"/>
            <w:gridSpan w:val="5"/>
            <w:vMerge w:val="restart"/>
            <w:shd w:val="clear" w:color="auto" w:fill="E5EBEE"/>
          </w:tcPr>
          <w:p>
            <w:pPr>
              <w:ind w:left="60"/>
              <w:spacing w:after="0" w:line="201" w:lineRule="exact"/>
              <w:rPr>
                <w:sz w:val="20"/>
                <w:szCs w:val="20"/>
                <w:color w:val="auto"/>
              </w:rPr>
            </w:pPr>
            <w:r>
              <w:rPr>
                <w:rFonts w:ascii="Arial" w:cs="Arial" w:eastAsia="Arial" w:hAnsi="Arial"/>
                <w:sz w:val="18"/>
                <w:szCs w:val="18"/>
                <w:color w:val="auto"/>
              </w:rPr>
              <w:t>proposal are voted in favor of the</w:t>
            </w:r>
          </w:p>
        </w:tc>
        <w:tc>
          <w:tcPr>
            <w:tcW w:w="1620" w:type="dxa"/>
            <w:vAlign w:val="bottom"/>
            <w:gridSpan w:val="2"/>
            <w:vMerge w:val="continue"/>
            <w:shd w:val="clear" w:color="auto" w:fill="E5EBEE"/>
          </w:tcPr>
          <w:p>
            <w:pPr>
              <w:spacing w:after="0"/>
              <w:rPr>
                <w:sz w:val="9"/>
                <w:szCs w:val="9"/>
                <w:color w:val="auto"/>
              </w:rPr>
            </w:pPr>
          </w:p>
        </w:tc>
        <w:tc>
          <w:tcPr>
            <w:tcW w:w="1260" w:type="dxa"/>
            <w:vAlign w:val="bottom"/>
            <w:vMerge w:val="continue"/>
            <w:shd w:val="clear" w:color="auto" w:fill="E5EBE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40" w:type="dxa"/>
            <w:vAlign w:val="bottom"/>
            <w:shd w:val="clear" w:color="auto" w:fill="E5EBEE"/>
          </w:tcPr>
          <w:p>
            <w:pPr>
              <w:spacing w:after="0"/>
              <w:rPr>
                <w:sz w:val="8"/>
                <w:szCs w:val="8"/>
                <w:color w:val="auto"/>
              </w:rPr>
            </w:pPr>
          </w:p>
        </w:tc>
        <w:tc>
          <w:tcPr>
            <w:tcW w:w="20" w:type="dxa"/>
            <w:vAlign w:val="bottom"/>
            <w:shd w:val="clear" w:color="auto" w:fill="E5EBEE"/>
          </w:tcPr>
          <w:p>
            <w:pPr>
              <w:spacing w:after="0"/>
              <w:rPr>
                <w:sz w:val="8"/>
                <w:szCs w:val="8"/>
                <w:color w:val="auto"/>
              </w:rPr>
            </w:pPr>
          </w:p>
        </w:tc>
        <w:tc>
          <w:tcPr>
            <w:tcW w:w="40" w:type="dxa"/>
            <w:vAlign w:val="bottom"/>
            <w:shd w:val="clear" w:color="auto" w:fill="E5EBEE"/>
          </w:tcPr>
          <w:p>
            <w:pPr>
              <w:spacing w:after="0"/>
              <w:rPr>
                <w:sz w:val="8"/>
                <w:szCs w:val="8"/>
                <w:color w:val="auto"/>
              </w:rPr>
            </w:pPr>
          </w:p>
        </w:tc>
        <w:tc>
          <w:tcPr>
            <w:tcW w:w="1320" w:type="dxa"/>
            <w:vAlign w:val="bottom"/>
            <w:gridSpan w:val="2"/>
            <w:vMerge w:val="restart"/>
            <w:shd w:val="clear" w:color="auto" w:fill="E5EBEE"/>
          </w:tcPr>
          <w:p>
            <w:pPr>
              <w:ind w:left="60"/>
              <w:spacing w:after="0"/>
              <w:rPr>
                <w:sz w:val="20"/>
                <w:szCs w:val="20"/>
                <w:color w:val="auto"/>
              </w:rPr>
            </w:pPr>
            <w:r>
              <w:rPr>
                <w:rFonts w:ascii="Arial" w:cs="Arial" w:eastAsia="Arial" w:hAnsi="Arial"/>
                <w:sz w:val="18"/>
                <w:szCs w:val="18"/>
                <w:color w:val="auto"/>
              </w:rPr>
              <w:t>accounting firm</w:t>
            </w:r>
          </w:p>
        </w:tc>
        <w:tc>
          <w:tcPr>
            <w:tcW w:w="460" w:type="dxa"/>
            <w:vAlign w:val="bottom"/>
            <w:shd w:val="clear" w:color="auto" w:fill="E5EBEE"/>
          </w:tcPr>
          <w:p>
            <w:pPr>
              <w:spacing w:after="0"/>
              <w:rPr>
                <w:sz w:val="8"/>
                <w:szCs w:val="8"/>
                <w:color w:val="auto"/>
              </w:rPr>
            </w:pPr>
          </w:p>
        </w:tc>
        <w:tc>
          <w:tcPr>
            <w:tcW w:w="460" w:type="dxa"/>
            <w:vAlign w:val="bottom"/>
            <w:shd w:val="clear" w:color="auto" w:fill="E5EBEE"/>
          </w:tcPr>
          <w:p>
            <w:pPr>
              <w:spacing w:after="0"/>
              <w:rPr>
                <w:sz w:val="8"/>
                <w:szCs w:val="8"/>
                <w:color w:val="auto"/>
              </w:rPr>
            </w:pPr>
          </w:p>
        </w:tc>
        <w:tc>
          <w:tcPr>
            <w:tcW w:w="740" w:type="dxa"/>
            <w:vAlign w:val="bottom"/>
            <w:shd w:val="clear" w:color="auto" w:fill="E5EBEE"/>
          </w:tcPr>
          <w:p>
            <w:pPr>
              <w:spacing w:after="0"/>
              <w:rPr>
                <w:sz w:val="8"/>
                <w:szCs w:val="8"/>
                <w:color w:val="auto"/>
              </w:rPr>
            </w:pPr>
          </w:p>
        </w:tc>
        <w:tc>
          <w:tcPr>
            <w:tcW w:w="40" w:type="dxa"/>
            <w:vAlign w:val="bottom"/>
            <w:tcBorders>
              <w:right w:val="single" w:sz="8" w:color="E5EBEE"/>
            </w:tcBorders>
            <w:shd w:val="clear" w:color="auto" w:fill="E5EBEE"/>
          </w:tcPr>
          <w:p>
            <w:pPr>
              <w:spacing w:after="0"/>
              <w:rPr>
                <w:sz w:val="8"/>
                <w:szCs w:val="8"/>
                <w:color w:val="auto"/>
              </w:rPr>
            </w:pPr>
          </w:p>
        </w:tc>
        <w:tc>
          <w:tcPr>
            <w:tcW w:w="20" w:type="dxa"/>
            <w:vAlign w:val="bottom"/>
            <w:shd w:val="clear" w:color="auto" w:fill="E5EBEE"/>
          </w:tcPr>
          <w:p>
            <w:pPr>
              <w:spacing w:after="0"/>
              <w:rPr>
                <w:sz w:val="8"/>
                <w:szCs w:val="8"/>
                <w:color w:val="auto"/>
              </w:rPr>
            </w:pPr>
          </w:p>
        </w:tc>
        <w:tc>
          <w:tcPr>
            <w:tcW w:w="1540" w:type="dxa"/>
            <w:vAlign w:val="bottom"/>
            <w:shd w:val="clear" w:color="auto" w:fill="E5EBEE"/>
          </w:tcPr>
          <w:p>
            <w:pPr>
              <w:spacing w:after="0"/>
              <w:rPr>
                <w:sz w:val="8"/>
                <w:szCs w:val="8"/>
                <w:color w:val="auto"/>
              </w:rPr>
            </w:pPr>
          </w:p>
        </w:tc>
        <w:tc>
          <w:tcPr>
            <w:tcW w:w="60" w:type="dxa"/>
            <w:vAlign w:val="bottom"/>
            <w:shd w:val="clear" w:color="auto" w:fill="E5EBEE"/>
          </w:tcPr>
          <w:p>
            <w:pPr>
              <w:spacing w:after="0"/>
              <w:rPr>
                <w:sz w:val="8"/>
                <w:szCs w:val="8"/>
                <w:color w:val="auto"/>
              </w:rPr>
            </w:pPr>
          </w:p>
        </w:tc>
        <w:tc>
          <w:tcPr>
            <w:tcW w:w="2800" w:type="dxa"/>
            <w:vAlign w:val="bottom"/>
            <w:gridSpan w:val="5"/>
            <w:vMerge w:val="continue"/>
            <w:shd w:val="clear" w:color="auto" w:fill="E5EBEE"/>
          </w:tcPr>
          <w:p>
            <w:pPr>
              <w:spacing w:after="0"/>
              <w:rPr>
                <w:sz w:val="8"/>
                <w:szCs w:val="8"/>
                <w:color w:val="auto"/>
              </w:rPr>
            </w:pPr>
          </w:p>
        </w:tc>
        <w:tc>
          <w:tcPr>
            <w:tcW w:w="1560" w:type="dxa"/>
            <w:vAlign w:val="bottom"/>
            <w:shd w:val="clear" w:color="auto" w:fill="E5EBEE"/>
          </w:tcPr>
          <w:p>
            <w:pPr>
              <w:spacing w:after="0"/>
              <w:rPr>
                <w:sz w:val="8"/>
                <w:szCs w:val="8"/>
                <w:color w:val="auto"/>
              </w:rPr>
            </w:pPr>
          </w:p>
        </w:tc>
        <w:tc>
          <w:tcPr>
            <w:tcW w:w="60" w:type="dxa"/>
            <w:vAlign w:val="bottom"/>
            <w:shd w:val="clear" w:color="auto" w:fill="E5EBEE"/>
          </w:tcPr>
          <w:p>
            <w:pPr>
              <w:spacing w:after="0"/>
              <w:rPr>
                <w:sz w:val="8"/>
                <w:szCs w:val="8"/>
                <w:color w:val="auto"/>
              </w:rPr>
            </w:pPr>
          </w:p>
        </w:tc>
        <w:tc>
          <w:tcPr>
            <w:tcW w:w="1260" w:type="dxa"/>
            <w:vAlign w:val="bottom"/>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40" w:type="dxa"/>
            <w:vAlign w:val="bottom"/>
            <w:shd w:val="clear" w:color="auto" w:fill="E5EBEE"/>
          </w:tcPr>
          <w:p>
            <w:pPr>
              <w:spacing w:after="0"/>
              <w:rPr>
                <w:sz w:val="12"/>
                <w:szCs w:val="12"/>
                <w:color w:val="auto"/>
              </w:rPr>
            </w:pPr>
          </w:p>
        </w:tc>
        <w:tc>
          <w:tcPr>
            <w:tcW w:w="20" w:type="dxa"/>
            <w:vAlign w:val="bottom"/>
            <w:shd w:val="clear" w:color="auto" w:fill="E5EBEE"/>
          </w:tcPr>
          <w:p>
            <w:pPr>
              <w:spacing w:after="0"/>
              <w:rPr>
                <w:sz w:val="12"/>
                <w:szCs w:val="12"/>
                <w:color w:val="auto"/>
              </w:rPr>
            </w:pPr>
          </w:p>
        </w:tc>
        <w:tc>
          <w:tcPr>
            <w:tcW w:w="40" w:type="dxa"/>
            <w:vAlign w:val="bottom"/>
            <w:shd w:val="clear" w:color="auto" w:fill="E5EBEE"/>
          </w:tcPr>
          <w:p>
            <w:pPr>
              <w:spacing w:after="0"/>
              <w:rPr>
                <w:sz w:val="12"/>
                <w:szCs w:val="12"/>
                <w:color w:val="auto"/>
              </w:rPr>
            </w:pPr>
          </w:p>
        </w:tc>
        <w:tc>
          <w:tcPr>
            <w:tcW w:w="1320" w:type="dxa"/>
            <w:vAlign w:val="bottom"/>
            <w:gridSpan w:val="2"/>
            <w:vMerge w:val="continue"/>
            <w:shd w:val="clear" w:color="auto" w:fill="E5EBEE"/>
          </w:tcPr>
          <w:p>
            <w:pPr>
              <w:spacing w:after="0"/>
              <w:rPr>
                <w:sz w:val="12"/>
                <w:szCs w:val="12"/>
                <w:color w:val="auto"/>
              </w:rPr>
            </w:pPr>
          </w:p>
        </w:tc>
        <w:tc>
          <w:tcPr>
            <w:tcW w:w="460" w:type="dxa"/>
            <w:vAlign w:val="bottom"/>
            <w:shd w:val="clear" w:color="auto" w:fill="E5EBEE"/>
          </w:tcPr>
          <w:p>
            <w:pPr>
              <w:spacing w:after="0"/>
              <w:rPr>
                <w:sz w:val="12"/>
                <w:szCs w:val="12"/>
                <w:color w:val="auto"/>
              </w:rPr>
            </w:pPr>
          </w:p>
        </w:tc>
        <w:tc>
          <w:tcPr>
            <w:tcW w:w="460" w:type="dxa"/>
            <w:vAlign w:val="bottom"/>
            <w:shd w:val="clear" w:color="auto" w:fill="E5EBEE"/>
          </w:tcPr>
          <w:p>
            <w:pPr>
              <w:spacing w:after="0"/>
              <w:rPr>
                <w:sz w:val="12"/>
                <w:szCs w:val="12"/>
                <w:color w:val="auto"/>
              </w:rPr>
            </w:pPr>
          </w:p>
        </w:tc>
        <w:tc>
          <w:tcPr>
            <w:tcW w:w="740" w:type="dxa"/>
            <w:vAlign w:val="bottom"/>
            <w:shd w:val="clear" w:color="auto" w:fill="E5EBEE"/>
          </w:tcPr>
          <w:p>
            <w:pPr>
              <w:spacing w:after="0"/>
              <w:rPr>
                <w:sz w:val="12"/>
                <w:szCs w:val="12"/>
                <w:color w:val="auto"/>
              </w:rPr>
            </w:pPr>
          </w:p>
        </w:tc>
        <w:tc>
          <w:tcPr>
            <w:tcW w:w="40" w:type="dxa"/>
            <w:vAlign w:val="bottom"/>
            <w:tcBorders>
              <w:right w:val="single" w:sz="8" w:color="E5EBEE"/>
            </w:tcBorders>
            <w:shd w:val="clear" w:color="auto" w:fill="E5EBEE"/>
          </w:tcPr>
          <w:p>
            <w:pPr>
              <w:spacing w:after="0"/>
              <w:rPr>
                <w:sz w:val="12"/>
                <w:szCs w:val="12"/>
                <w:color w:val="auto"/>
              </w:rPr>
            </w:pPr>
          </w:p>
        </w:tc>
        <w:tc>
          <w:tcPr>
            <w:tcW w:w="20" w:type="dxa"/>
            <w:vAlign w:val="bottom"/>
            <w:shd w:val="clear" w:color="auto" w:fill="E5EBEE"/>
          </w:tcPr>
          <w:p>
            <w:pPr>
              <w:spacing w:after="0"/>
              <w:rPr>
                <w:sz w:val="12"/>
                <w:szCs w:val="12"/>
                <w:color w:val="auto"/>
              </w:rPr>
            </w:pPr>
          </w:p>
        </w:tc>
        <w:tc>
          <w:tcPr>
            <w:tcW w:w="1540" w:type="dxa"/>
            <w:vAlign w:val="bottom"/>
            <w:shd w:val="clear" w:color="auto" w:fill="E5EBEE"/>
          </w:tcPr>
          <w:p>
            <w:pPr>
              <w:spacing w:after="0"/>
              <w:rPr>
                <w:sz w:val="12"/>
                <w:szCs w:val="12"/>
                <w:color w:val="auto"/>
              </w:rPr>
            </w:pPr>
          </w:p>
        </w:tc>
        <w:tc>
          <w:tcPr>
            <w:tcW w:w="60" w:type="dxa"/>
            <w:vAlign w:val="bottom"/>
            <w:shd w:val="clear" w:color="auto" w:fill="E5EBEE"/>
          </w:tcPr>
          <w:p>
            <w:pPr>
              <w:spacing w:after="0"/>
              <w:rPr>
                <w:sz w:val="12"/>
                <w:szCs w:val="12"/>
                <w:color w:val="auto"/>
              </w:rPr>
            </w:pPr>
          </w:p>
        </w:tc>
        <w:tc>
          <w:tcPr>
            <w:tcW w:w="1180" w:type="dxa"/>
            <w:vAlign w:val="bottom"/>
            <w:gridSpan w:val="2"/>
            <w:vMerge w:val="restart"/>
            <w:shd w:val="clear" w:color="auto" w:fill="E5EBEE"/>
          </w:tcPr>
          <w:p>
            <w:pPr>
              <w:ind w:left="60"/>
              <w:spacing w:after="0"/>
              <w:rPr>
                <w:sz w:val="20"/>
                <w:szCs w:val="20"/>
                <w:color w:val="auto"/>
              </w:rPr>
            </w:pPr>
            <w:r>
              <w:rPr>
                <w:rFonts w:ascii="Arial" w:cs="Arial" w:eastAsia="Arial" w:hAnsi="Arial"/>
                <w:sz w:val="18"/>
                <w:szCs w:val="18"/>
                <w:color w:val="auto"/>
              </w:rPr>
              <w:t>proposal.</w:t>
            </w:r>
          </w:p>
        </w:tc>
        <w:tc>
          <w:tcPr>
            <w:tcW w:w="1020" w:type="dxa"/>
            <w:vAlign w:val="bottom"/>
            <w:shd w:val="clear" w:color="auto" w:fill="E5EBEE"/>
          </w:tcPr>
          <w:p>
            <w:pPr>
              <w:spacing w:after="0"/>
              <w:rPr>
                <w:sz w:val="12"/>
                <w:szCs w:val="12"/>
                <w:color w:val="auto"/>
              </w:rPr>
            </w:pPr>
          </w:p>
        </w:tc>
        <w:tc>
          <w:tcPr>
            <w:tcW w:w="560" w:type="dxa"/>
            <w:vAlign w:val="bottom"/>
            <w:shd w:val="clear" w:color="auto" w:fill="E5EBEE"/>
          </w:tcPr>
          <w:p>
            <w:pPr>
              <w:spacing w:after="0"/>
              <w:rPr>
                <w:sz w:val="12"/>
                <w:szCs w:val="12"/>
                <w:color w:val="auto"/>
              </w:rPr>
            </w:pPr>
          </w:p>
        </w:tc>
        <w:tc>
          <w:tcPr>
            <w:tcW w:w="40" w:type="dxa"/>
            <w:vAlign w:val="bottom"/>
            <w:shd w:val="clear" w:color="auto" w:fill="E5EBEE"/>
          </w:tcPr>
          <w:p>
            <w:pPr>
              <w:spacing w:after="0"/>
              <w:rPr>
                <w:sz w:val="12"/>
                <w:szCs w:val="12"/>
                <w:color w:val="auto"/>
              </w:rPr>
            </w:pPr>
          </w:p>
        </w:tc>
        <w:tc>
          <w:tcPr>
            <w:tcW w:w="1560" w:type="dxa"/>
            <w:vAlign w:val="bottom"/>
            <w:shd w:val="clear" w:color="auto" w:fill="E5EBEE"/>
          </w:tcPr>
          <w:p>
            <w:pPr>
              <w:spacing w:after="0"/>
              <w:rPr>
                <w:sz w:val="12"/>
                <w:szCs w:val="12"/>
                <w:color w:val="auto"/>
              </w:rPr>
            </w:pPr>
          </w:p>
        </w:tc>
        <w:tc>
          <w:tcPr>
            <w:tcW w:w="60" w:type="dxa"/>
            <w:vAlign w:val="bottom"/>
            <w:shd w:val="clear" w:color="auto" w:fill="E5EBEE"/>
          </w:tcPr>
          <w:p>
            <w:pPr>
              <w:spacing w:after="0"/>
              <w:rPr>
                <w:sz w:val="12"/>
                <w:szCs w:val="12"/>
                <w:color w:val="auto"/>
              </w:rPr>
            </w:pPr>
          </w:p>
        </w:tc>
        <w:tc>
          <w:tcPr>
            <w:tcW w:w="1260" w:type="dxa"/>
            <w:vAlign w:val="bottom"/>
            <w:shd w:val="clear" w:color="auto" w:fill="E5EBE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40" w:type="dxa"/>
            <w:vAlign w:val="bottom"/>
            <w:shd w:val="clear" w:color="auto" w:fill="E5EBEE"/>
          </w:tcPr>
          <w:p>
            <w:pPr>
              <w:spacing w:after="0"/>
              <w:rPr>
                <w:sz w:val="8"/>
                <w:szCs w:val="8"/>
                <w:color w:val="auto"/>
              </w:rPr>
            </w:pPr>
          </w:p>
        </w:tc>
        <w:tc>
          <w:tcPr>
            <w:tcW w:w="20" w:type="dxa"/>
            <w:vAlign w:val="bottom"/>
            <w:shd w:val="clear" w:color="auto" w:fill="E5EBEE"/>
          </w:tcPr>
          <w:p>
            <w:pPr>
              <w:spacing w:after="0"/>
              <w:rPr>
                <w:sz w:val="8"/>
                <w:szCs w:val="8"/>
                <w:color w:val="auto"/>
              </w:rPr>
            </w:pPr>
          </w:p>
        </w:tc>
        <w:tc>
          <w:tcPr>
            <w:tcW w:w="40" w:type="dxa"/>
            <w:vAlign w:val="bottom"/>
            <w:shd w:val="clear" w:color="auto" w:fill="E5EBEE"/>
          </w:tcPr>
          <w:p>
            <w:pPr>
              <w:spacing w:after="0"/>
              <w:rPr>
                <w:sz w:val="8"/>
                <w:szCs w:val="8"/>
                <w:color w:val="auto"/>
              </w:rPr>
            </w:pPr>
          </w:p>
        </w:tc>
        <w:tc>
          <w:tcPr>
            <w:tcW w:w="940" w:type="dxa"/>
            <w:vAlign w:val="bottom"/>
            <w:shd w:val="clear" w:color="auto" w:fill="E5EBEE"/>
          </w:tcPr>
          <w:p>
            <w:pPr>
              <w:spacing w:after="0"/>
              <w:rPr>
                <w:sz w:val="8"/>
                <w:szCs w:val="8"/>
                <w:color w:val="auto"/>
              </w:rPr>
            </w:pPr>
          </w:p>
        </w:tc>
        <w:tc>
          <w:tcPr>
            <w:tcW w:w="380" w:type="dxa"/>
            <w:vAlign w:val="bottom"/>
            <w:shd w:val="clear" w:color="auto" w:fill="E5EBEE"/>
          </w:tcPr>
          <w:p>
            <w:pPr>
              <w:spacing w:after="0"/>
              <w:rPr>
                <w:sz w:val="8"/>
                <w:szCs w:val="8"/>
                <w:color w:val="auto"/>
              </w:rPr>
            </w:pPr>
          </w:p>
        </w:tc>
        <w:tc>
          <w:tcPr>
            <w:tcW w:w="460" w:type="dxa"/>
            <w:vAlign w:val="bottom"/>
            <w:shd w:val="clear" w:color="auto" w:fill="E5EBEE"/>
          </w:tcPr>
          <w:p>
            <w:pPr>
              <w:spacing w:after="0"/>
              <w:rPr>
                <w:sz w:val="8"/>
                <w:szCs w:val="8"/>
                <w:color w:val="auto"/>
              </w:rPr>
            </w:pPr>
          </w:p>
        </w:tc>
        <w:tc>
          <w:tcPr>
            <w:tcW w:w="460" w:type="dxa"/>
            <w:vAlign w:val="bottom"/>
            <w:shd w:val="clear" w:color="auto" w:fill="E5EBEE"/>
          </w:tcPr>
          <w:p>
            <w:pPr>
              <w:spacing w:after="0"/>
              <w:rPr>
                <w:sz w:val="8"/>
                <w:szCs w:val="8"/>
                <w:color w:val="auto"/>
              </w:rPr>
            </w:pPr>
          </w:p>
        </w:tc>
        <w:tc>
          <w:tcPr>
            <w:tcW w:w="740" w:type="dxa"/>
            <w:vAlign w:val="bottom"/>
            <w:shd w:val="clear" w:color="auto" w:fill="E5EBEE"/>
          </w:tcPr>
          <w:p>
            <w:pPr>
              <w:spacing w:after="0"/>
              <w:rPr>
                <w:sz w:val="8"/>
                <w:szCs w:val="8"/>
                <w:color w:val="auto"/>
              </w:rPr>
            </w:pPr>
          </w:p>
        </w:tc>
        <w:tc>
          <w:tcPr>
            <w:tcW w:w="40" w:type="dxa"/>
            <w:vAlign w:val="bottom"/>
            <w:tcBorders>
              <w:right w:val="single" w:sz="8" w:color="E5EBEE"/>
            </w:tcBorders>
            <w:shd w:val="clear" w:color="auto" w:fill="E5EBEE"/>
          </w:tcPr>
          <w:p>
            <w:pPr>
              <w:spacing w:after="0"/>
              <w:rPr>
                <w:sz w:val="8"/>
                <w:szCs w:val="8"/>
                <w:color w:val="auto"/>
              </w:rPr>
            </w:pPr>
          </w:p>
        </w:tc>
        <w:tc>
          <w:tcPr>
            <w:tcW w:w="20" w:type="dxa"/>
            <w:vAlign w:val="bottom"/>
            <w:shd w:val="clear" w:color="auto" w:fill="E5EBEE"/>
          </w:tcPr>
          <w:p>
            <w:pPr>
              <w:spacing w:after="0"/>
              <w:rPr>
                <w:sz w:val="8"/>
                <w:szCs w:val="8"/>
                <w:color w:val="auto"/>
              </w:rPr>
            </w:pPr>
          </w:p>
        </w:tc>
        <w:tc>
          <w:tcPr>
            <w:tcW w:w="1540" w:type="dxa"/>
            <w:vAlign w:val="bottom"/>
            <w:shd w:val="clear" w:color="auto" w:fill="E5EBEE"/>
          </w:tcPr>
          <w:p>
            <w:pPr>
              <w:spacing w:after="0"/>
              <w:rPr>
                <w:sz w:val="8"/>
                <w:szCs w:val="8"/>
                <w:color w:val="auto"/>
              </w:rPr>
            </w:pPr>
          </w:p>
        </w:tc>
        <w:tc>
          <w:tcPr>
            <w:tcW w:w="60" w:type="dxa"/>
            <w:vAlign w:val="bottom"/>
            <w:shd w:val="clear" w:color="auto" w:fill="E5EBEE"/>
          </w:tcPr>
          <w:p>
            <w:pPr>
              <w:spacing w:after="0"/>
              <w:rPr>
                <w:sz w:val="8"/>
                <w:szCs w:val="8"/>
                <w:color w:val="auto"/>
              </w:rPr>
            </w:pPr>
          </w:p>
        </w:tc>
        <w:tc>
          <w:tcPr>
            <w:tcW w:w="1180" w:type="dxa"/>
            <w:vAlign w:val="bottom"/>
            <w:gridSpan w:val="2"/>
            <w:vMerge w:val="continue"/>
            <w:shd w:val="clear" w:color="auto" w:fill="E5EBEE"/>
          </w:tcPr>
          <w:p>
            <w:pPr>
              <w:spacing w:after="0"/>
              <w:rPr>
                <w:sz w:val="8"/>
                <w:szCs w:val="8"/>
                <w:color w:val="auto"/>
              </w:rPr>
            </w:pPr>
          </w:p>
        </w:tc>
        <w:tc>
          <w:tcPr>
            <w:tcW w:w="1020" w:type="dxa"/>
            <w:vAlign w:val="bottom"/>
            <w:shd w:val="clear" w:color="auto" w:fill="E5EBEE"/>
          </w:tcPr>
          <w:p>
            <w:pPr>
              <w:spacing w:after="0"/>
              <w:rPr>
                <w:sz w:val="8"/>
                <w:szCs w:val="8"/>
                <w:color w:val="auto"/>
              </w:rPr>
            </w:pPr>
          </w:p>
        </w:tc>
        <w:tc>
          <w:tcPr>
            <w:tcW w:w="560" w:type="dxa"/>
            <w:vAlign w:val="bottom"/>
            <w:shd w:val="clear" w:color="auto" w:fill="E5EBEE"/>
          </w:tcPr>
          <w:p>
            <w:pPr>
              <w:spacing w:after="0"/>
              <w:rPr>
                <w:sz w:val="8"/>
                <w:szCs w:val="8"/>
                <w:color w:val="auto"/>
              </w:rPr>
            </w:pPr>
          </w:p>
        </w:tc>
        <w:tc>
          <w:tcPr>
            <w:tcW w:w="40" w:type="dxa"/>
            <w:vAlign w:val="bottom"/>
            <w:shd w:val="clear" w:color="auto" w:fill="E5EBEE"/>
          </w:tcPr>
          <w:p>
            <w:pPr>
              <w:spacing w:after="0"/>
              <w:rPr>
                <w:sz w:val="8"/>
                <w:szCs w:val="8"/>
                <w:color w:val="auto"/>
              </w:rPr>
            </w:pPr>
          </w:p>
        </w:tc>
        <w:tc>
          <w:tcPr>
            <w:tcW w:w="1560" w:type="dxa"/>
            <w:vAlign w:val="bottom"/>
            <w:shd w:val="clear" w:color="auto" w:fill="E5EBEE"/>
          </w:tcPr>
          <w:p>
            <w:pPr>
              <w:spacing w:after="0"/>
              <w:rPr>
                <w:sz w:val="8"/>
                <w:szCs w:val="8"/>
                <w:color w:val="auto"/>
              </w:rPr>
            </w:pPr>
          </w:p>
        </w:tc>
        <w:tc>
          <w:tcPr>
            <w:tcW w:w="60" w:type="dxa"/>
            <w:vAlign w:val="bottom"/>
            <w:shd w:val="clear" w:color="auto" w:fill="E5EBEE"/>
          </w:tcPr>
          <w:p>
            <w:pPr>
              <w:spacing w:after="0"/>
              <w:rPr>
                <w:sz w:val="8"/>
                <w:szCs w:val="8"/>
                <w:color w:val="auto"/>
              </w:rPr>
            </w:pPr>
          </w:p>
        </w:tc>
        <w:tc>
          <w:tcPr>
            <w:tcW w:w="1260" w:type="dxa"/>
            <w:vAlign w:val="bottom"/>
            <w:shd w:val="clear" w:color="auto" w:fill="E5EBE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540" w:type="dxa"/>
            <w:vAlign w:val="bottom"/>
            <w:tcBorders>
              <w:bottom w:val="single" w:sz="8" w:color="023C5B"/>
            </w:tcBorders>
            <w:shd w:val="clear" w:color="auto" w:fill="E5EBEE"/>
          </w:tcPr>
          <w:p>
            <w:pPr>
              <w:spacing w:after="0"/>
              <w:rPr>
                <w:sz w:val="14"/>
                <w:szCs w:val="14"/>
                <w:color w:val="auto"/>
              </w:rPr>
            </w:pPr>
          </w:p>
        </w:tc>
        <w:tc>
          <w:tcPr>
            <w:tcW w:w="20" w:type="dxa"/>
            <w:vAlign w:val="bottom"/>
            <w:tcBorders>
              <w:bottom w:val="single" w:sz="8" w:color="023C5B"/>
            </w:tcBorders>
            <w:shd w:val="clear" w:color="auto" w:fill="E5EBEE"/>
          </w:tcPr>
          <w:p>
            <w:pPr>
              <w:spacing w:after="0"/>
              <w:rPr>
                <w:sz w:val="14"/>
                <w:szCs w:val="14"/>
                <w:color w:val="auto"/>
              </w:rPr>
            </w:pPr>
          </w:p>
        </w:tc>
        <w:tc>
          <w:tcPr>
            <w:tcW w:w="40" w:type="dxa"/>
            <w:vAlign w:val="bottom"/>
            <w:shd w:val="clear" w:color="auto" w:fill="E5EBEE"/>
          </w:tcPr>
          <w:p>
            <w:pPr>
              <w:spacing w:after="0"/>
              <w:rPr>
                <w:sz w:val="14"/>
                <w:szCs w:val="14"/>
                <w:color w:val="auto"/>
              </w:rPr>
            </w:pPr>
          </w:p>
        </w:tc>
        <w:tc>
          <w:tcPr>
            <w:tcW w:w="940" w:type="dxa"/>
            <w:vAlign w:val="bottom"/>
            <w:tcBorders>
              <w:bottom w:val="single" w:sz="8" w:color="023C5B"/>
            </w:tcBorders>
            <w:shd w:val="clear" w:color="auto" w:fill="E5EBEE"/>
          </w:tcPr>
          <w:p>
            <w:pPr>
              <w:spacing w:after="0"/>
              <w:rPr>
                <w:sz w:val="14"/>
                <w:szCs w:val="14"/>
                <w:color w:val="auto"/>
              </w:rPr>
            </w:pPr>
          </w:p>
        </w:tc>
        <w:tc>
          <w:tcPr>
            <w:tcW w:w="380" w:type="dxa"/>
            <w:vAlign w:val="bottom"/>
            <w:tcBorders>
              <w:bottom w:val="single" w:sz="8" w:color="023C5B"/>
            </w:tcBorders>
            <w:shd w:val="clear" w:color="auto" w:fill="E5EBEE"/>
          </w:tcPr>
          <w:p>
            <w:pPr>
              <w:spacing w:after="0"/>
              <w:rPr>
                <w:sz w:val="14"/>
                <w:szCs w:val="14"/>
                <w:color w:val="auto"/>
              </w:rPr>
            </w:pPr>
          </w:p>
        </w:tc>
        <w:tc>
          <w:tcPr>
            <w:tcW w:w="460" w:type="dxa"/>
            <w:vAlign w:val="bottom"/>
            <w:tcBorders>
              <w:bottom w:val="single" w:sz="8" w:color="023C5B"/>
            </w:tcBorders>
            <w:shd w:val="clear" w:color="auto" w:fill="E5EBEE"/>
          </w:tcPr>
          <w:p>
            <w:pPr>
              <w:spacing w:after="0"/>
              <w:rPr>
                <w:sz w:val="14"/>
                <w:szCs w:val="14"/>
                <w:color w:val="auto"/>
              </w:rPr>
            </w:pPr>
          </w:p>
        </w:tc>
        <w:tc>
          <w:tcPr>
            <w:tcW w:w="460" w:type="dxa"/>
            <w:vAlign w:val="bottom"/>
            <w:tcBorders>
              <w:bottom w:val="single" w:sz="8" w:color="023C5B"/>
            </w:tcBorders>
            <w:shd w:val="clear" w:color="auto" w:fill="E5EBEE"/>
          </w:tcPr>
          <w:p>
            <w:pPr>
              <w:spacing w:after="0"/>
              <w:rPr>
                <w:sz w:val="14"/>
                <w:szCs w:val="14"/>
                <w:color w:val="auto"/>
              </w:rPr>
            </w:pPr>
          </w:p>
        </w:tc>
        <w:tc>
          <w:tcPr>
            <w:tcW w:w="740" w:type="dxa"/>
            <w:vAlign w:val="bottom"/>
            <w:tcBorders>
              <w:bottom w:val="single" w:sz="8" w:color="023C5B"/>
            </w:tcBorders>
            <w:shd w:val="clear" w:color="auto" w:fill="E5EBEE"/>
          </w:tcPr>
          <w:p>
            <w:pPr>
              <w:spacing w:after="0"/>
              <w:rPr>
                <w:sz w:val="14"/>
                <w:szCs w:val="14"/>
                <w:color w:val="auto"/>
              </w:rPr>
            </w:pPr>
          </w:p>
        </w:tc>
        <w:tc>
          <w:tcPr>
            <w:tcW w:w="40" w:type="dxa"/>
            <w:vAlign w:val="bottom"/>
            <w:tcBorders>
              <w:right w:val="single" w:sz="8" w:color="E5EBEE"/>
            </w:tcBorders>
            <w:shd w:val="clear" w:color="auto" w:fill="E5EBEE"/>
          </w:tcPr>
          <w:p>
            <w:pPr>
              <w:spacing w:after="0"/>
              <w:rPr>
                <w:sz w:val="14"/>
                <w:szCs w:val="14"/>
                <w:color w:val="auto"/>
              </w:rPr>
            </w:pPr>
          </w:p>
        </w:tc>
        <w:tc>
          <w:tcPr>
            <w:tcW w:w="20" w:type="dxa"/>
            <w:vAlign w:val="bottom"/>
            <w:shd w:val="clear" w:color="auto" w:fill="E5EBEE"/>
          </w:tcPr>
          <w:p>
            <w:pPr>
              <w:spacing w:after="0"/>
              <w:rPr>
                <w:sz w:val="14"/>
                <w:szCs w:val="14"/>
                <w:color w:val="auto"/>
              </w:rPr>
            </w:pPr>
          </w:p>
        </w:tc>
        <w:tc>
          <w:tcPr>
            <w:tcW w:w="1540" w:type="dxa"/>
            <w:vAlign w:val="bottom"/>
            <w:tcBorders>
              <w:bottom w:val="single" w:sz="8" w:color="023C5B"/>
            </w:tcBorders>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2760" w:type="dxa"/>
            <w:vAlign w:val="bottom"/>
            <w:tcBorders>
              <w:bottom w:val="single" w:sz="8" w:color="023C5B"/>
            </w:tcBorders>
            <w:gridSpan w:val="4"/>
            <w:shd w:val="clear" w:color="auto" w:fill="E5EBEE"/>
          </w:tcPr>
          <w:p>
            <w:pPr>
              <w:spacing w:after="0"/>
              <w:rPr>
                <w:sz w:val="14"/>
                <w:szCs w:val="14"/>
                <w:color w:val="auto"/>
              </w:rPr>
            </w:pPr>
          </w:p>
        </w:tc>
        <w:tc>
          <w:tcPr>
            <w:tcW w:w="40" w:type="dxa"/>
            <w:vAlign w:val="bottom"/>
            <w:shd w:val="clear" w:color="auto" w:fill="E5EBEE"/>
          </w:tcPr>
          <w:p>
            <w:pPr>
              <w:spacing w:after="0"/>
              <w:rPr>
                <w:sz w:val="14"/>
                <w:szCs w:val="14"/>
                <w:color w:val="auto"/>
              </w:rPr>
            </w:pPr>
          </w:p>
        </w:tc>
        <w:tc>
          <w:tcPr>
            <w:tcW w:w="1560" w:type="dxa"/>
            <w:vAlign w:val="bottom"/>
            <w:tcBorders>
              <w:bottom w:val="single" w:sz="8" w:color="023C5B"/>
            </w:tcBorders>
            <w:shd w:val="clear" w:color="auto" w:fill="E5EBEE"/>
          </w:tcPr>
          <w:p>
            <w:pPr>
              <w:spacing w:after="0"/>
              <w:rPr>
                <w:sz w:val="14"/>
                <w:szCs w:val="14"/>
                <w:color w:val="auto"/>
              </w:rPr>
            </w:pPr>
          </w:p>
        </w:tc>
        <w:tc>
          <w:tcPr>
            <w:tcW w:w="60" w:type="dxa"/>
            <w:vAlign w:val="bottom"/>
            <w:shd w:val="clear" w:color="auto" w:fill="E5EBEE"/>
          </w:tcPr>
          <w:p>
            <w:pPr>
              <w:spacing w:after="0"/>
              <w:rPr>
                <w:sz w:val="14"/>
                <w:szCs w:val="14"/>
                <w:color w:val="auto"/>
              </w:rPr>
            </w:pPr>
          </w:p>
        </w:tc>
        <w:tc>
          <w:tcPr>
            <w:tcW w:w="1260" w:type="dxa"/>
            <w:vAlign w:val="bottom"/>
            <w:tcBorders>
              <w:bottom w:val="single" w:sz="8" w:color="023C5B"/>
            </w:tcBorders>
            <w:shd w:val="clear" w:color="auto" w:fill="E5EBEE"/>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gridSpan w:val="5"/>
          </w:tcPr>
          <w:p>
            <w:pPr>
              <w:ind w:left="60"/>
              <w:spacing w:after="0"/>
              <w:rPr>
                <w:sz w:val="20"/>
                <w:szCs w:val="20"/>
                <w:color w:val="auto"/>
              </w:rPr>
            </w:pPr>
            <w:r>
              <w:rPr>
                <w:rFonts w:ascii="Arial" w:cs="Arial" w:eastAsia="Arial" w:hAnsi="Arial"/>
                <w:sz w:val="18"/>
                <w:szCs w:val="18"/>
                <w:color w:val="auto"/>
              </w:rPr>
              <w:t>This item will be approved if a</w:t>
            </w: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40" w:type="dxa"/>
            <w:vAlign w:val="bottom"/>
            <w:vMerge w:val="restart"/>
          </w:tcPr>
          <w:p>
            <w:pPr>
              <w:jc w:val="center"/>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3"/>
            <w:vMerge w:val="restart"/>
          </w:tcPr>
          <w:p>
            <w:pPr>
              <w:ind w:left="60"/>
              <w:spacing w:after="0"/>
              <w:rPr>
                <w:sz w:val="20"/>
                <w:szCs w:val="20"/>
                <w:color w:val="auto"/>
              </w:rPr>
            </w:pPr>
            <w:r>
              <w:rPr>
                <w:rFonts w:ascii="Arial" w:cs="Arial" w:eastAsia="Arial" w:hAnsi="Arial"/>
                <w:sz w:val="18"/>
                <w:szCs w:val="18"/>
                <w:color w:val="auto"/>
              </w:rPr>
              <w:t>Stockholder proposal</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2800" w:type="dxa"/>
            <w:vAlign w:val="bottom"/>
            <w:gridSpan w:val="5"/>
          </w:tcPr>
          <w:p>
            <w:pPr>
              <w:ind w:left="60"/>
              <w:spacing w:after="0" w:line="201" w:lineRule="exact"/>
              <w:rPr>
                <w:sz w:val="20"/>
                <w:szCs w:val="20"/>
                <w:color w:val="auto"/>
              </w:rPr>
            </w:pPr>
            <w:r>
              <w:rPr>
                <w:rFonts w:ascii="Arial" w:cs="Arial" w:eastAsia="Arial" w:hAnsi="Arial"/>
                <w:sz w:val="18"/>
                <w:szCs w:val="18"/>
                <w:color w:val="auto"/>
              </w:rPr>
              <w:t>majority of the votes cast on the</w:t>
            </w:r>
          </w:p>
        </w:tc>
        <w:tc>
          <w:tcPr>
            <w:tcW w:w="16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No effect</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7"/>
              </w:rPr>
              <w:t>No effect</w:t>
            </w:r>
          </w:p>
        </w:tc>
        <w:tc>
          <w:tcPr>
            <w:tcW w:w="0" w:type="dxa"/>
            <w:vAlign w:val="bottom"/>
          </w:tcPr>
          <w:p>
            <w:pPr>
              <w:spacing w:after="0"/>
              <w:rPr>
                <w:sz w:val="1"/>
                <w:szCs w:val="1"/>
                <w:color w:val="auto"/>
              </w:rPr>
            </w:pPr>
          </w:p>
        </w:tc>
      </w:tr>
      <w:tr>
        <w:trPr>
          <w:trHeight w:val="152"/>
        </w:trPr>
        <w:tc>
          <w:tcPr>
            <w:tcW w:w="5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8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2800" w:type="dxa"/>
            <w:vAlign w:val="bottom"/>
            <w:gridSpan w:val="5"/>
            <w:vMerge w:val="restart"/>
          </w:tcPr>
          <w:p>
            <w:pPr>
              <w:ind w:left="60"/>
              <w:spacing w:after="0" w:line="201" w:lineRule="exact"/>
              <w:rPr>
                <w:sz w:val="20"/>
                <w:szCs w:val="20"/>
                <w:color w:val="auto"/>
              </w:rPr>
            </w:pPr>
            <w:r>
              <w:rPr>
                <w:rFonts w:ascii="Arial" w:cs="Arial" w:eastAsia="Arial" w:hAnsi="Arial"/>
                <w:sz w:val="18"/>
                <w:szCs w:val="18"/>
                <w:color w:val="auto"/>
              </w:rPr>
              <w:t>proposal is voted in favor of the</w:t>
            </w:r>
          </w:p>
        </w:tc>
        <w:tc>
          <w:tcPr>
            <w:tcW w:w="162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0" w:type="dxa"/>
            <w:vAlign w:val="bottom"/>
            <w:gridSpan w:val="5"/>
            <w:vMerge w:val="continue"/>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proposal.</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40" w:type="dxa"/>
            <w:vAlign w:val="bottom"/>
            <w:tcBorders>
              <w:bottom w:val="single" w:sz="8" w:color="023C5B"/>
            </w:tcBorders>
          </w:tcPr>
          <w:p>
            <w:pPr>
              <w:spacing w:after="0"/>
              <w:rPr>
                <w:sz w:val="14"/>
                <w:szCs w:val="14"/>
                <w:color w:val="auto"/>
              </w:rPr>
            </w:pPr>
          </w:p>
        </w:tc>
        <w:tc>
          <w:tcPr>
            <w:tcW w:w="20" w:type="dxa"/>
            <w:vAlign w:val="bottom"/>
            <w:tcBorders>
              <w:bottom w:val="single" w:sz="8" w:color="023C5B"/>
            </w:tcBorders>
          </w:tcPr>
          <w:p>
            <w:pPr>
              <w:spacing w:after="0"/>
              <w:rPr>
                <w:sz w:val="14"/>
                <w:szCs w:val="14"/>
                <w:color w:val="auto"/>
              </w:rPr>
            </w:pPr>
          </w:p>
        </w:tc>
        <w:tc>
          <w:tcPr>
            <w:tcW w:w="40" w:type="dxa"/>
            <w:vAlign w:val="bottom"/>
            <w:tcBorders>
              <w:bottom w:val="single" w:sz="8" w:color="023C5B"/>
            </w:tcBorders>
          </w:tcPr>
          <w:p>
            <w:pPr>
              <w:spacing w:after="0"/>
              <w:rPr>
                <w:sz w:val="14"/>
                <w:szCs w:val="14"/>
                <w:color w:val="auto"/>
              </w:rPr>
            </w:pPr>
          </w:p>
        </w:tc>
        <w:tc>
          <w:tcPr>
            <w:tcW w:w="2980" w:type="dxa"/>
            <w:vAlign w:val="bottom"/>
            <w:tcBorders>
              <w:bottom w:val="single" w:sz="8" w:color="023C5B"/>
            </w:tcBorders>
            <w:gridSpan w:val="5"/>
          </w:tcPr>
          <w:p>
            <w:pPr>
              <w:spacing w:after="0"/>
              <w:rPr>
                <w:sz w:val="14"/>
                <w:szCs w:val="14"/>
                <w:color w:val="auto"/>
              </w:rPr>
            </w:pPr>
          </w:p>
        </w:tc>
        <w:tc>
          <w:tcPr>
            <w:tcW w:w="40" w:type="dxa"/>
            <w:vAlign w:val="bottom"/>
            <w:tcBorders>
              <w:bottom w:val="single" w:sz="8" w:color="023C5B"/>
            </w:tcBorders>
          </w:tcPr>
          <w:p>
            <w:pPr>
              <w:spacing w:after="0"/>
              <w:rPr>
                <w:sz w:val="14"/>
                <w:szCs w:val="14"/>
                <w:color w:val="auto"/>
              </w:rPr>
            </w:pPr>
          </w:p>
        </w:tc>
        <w:tc>
          <w:tcPr>
            <w:tcW w:w="20" w:type="dxa"/>
            <w:vAlign w:val="bottom"/>
            <w:tcBorders>
              <w:bottom w:val="single" w:sz="8" w:color="023C5B"/>
            </w:tcBorders>
          </w:tcPr>
          <w:p>
            <w:pPr>
              <w:spacing w:after="0"/>
              <w:rPr>
                <w:sz w:val="14"/>
                <w:szCs w:val="14"/>
                <w:color w:val="auto"/>
              </w:rPr>
            </w:pPr>
          </w:p>
        </w:tc>
        <w:tc>
          <w:tcPr>
            <w:tcW w:w="1540" w:type="dxa"/>
            <w:vAlign w:val="bottom"/>
            <w:tcBorders>
              <w:bottom w:val="single" w:sz="8" w:color="023C5B"/>
            </w:tcBorders>
          </w:tcPr>
          <w:p>
            <w:pPr>
              <w:spacing w:after="0"/>
              <w:rPr>
                <w:sz w:val="14"/>
                <w:szCs w:val="14"/>
                <w:color w:val="auto"/>
              </w:rPr>
            </w:pPr>
          </w:p>
        </w:tc>
        <w:tc>
          <w:tcPr>
            <w:tcW w:w="500" w:type="dxa"/>
            <w:vAlign w:val="bottom"/>
            <w:tcBorders>
              <w:bottom w:val="single" w:sz="8" w:color="023C5B"/>
            </w:tcBorders>
            <w:gridSpan w:val="2"/>
          </w:tcPr>
          <w:p>
            <w:pPr>
              <w:spacing w:after="0"/>
              <w:rPr>
                <w:sz w:val="14"/>
                <w:szCs w:val="14"/>
                <w:color w:val="auto"/>
              </w:rPr>
            </w:pPr>
          </w:p>
        </w:tc>
        <w:tc>
          <w:tcPr>
            <w:tcW w:w="740" w:type="dxa"/>
            <w:vAlign w:val="bottom"/>
            <w:tcBorders>
              <w:bottom w:val="single" w:sz="8" w:color="023C5B"/>
            </w:tcBorders>
          </w:tcPr>
          <w:p>
            <w:pPr>
              <w:spacing w:after="0"/>
              <w:rPr>
                <w:sz w:val="14"/>
                <w:szCs w:val="14"/>
                <w:color w:val="auto"/>
              </w:rPr>
            </w:pPr>
          </w:p>
        </w:tc>
        <w:tc>
          <w:tcPr>
            <w:tcW w:w="1020" w:type="dxa"/>
            <w:vAlign w:val="bottom"/>
            <w:tcBorders>
              <w:bottom w:val="single" w:sz="8" w:color="023C5B"/>
            </w:tcBorders>
          </w:tcPr>
          <w:p>
            <w:pPr>
              <w:spacing w:after="0"/>
              <w:rPr>
                <w:sz w:val="14"/>
                <w:szCs w:val="14"/>
                <w:color w:val="auto"/>
              </w:rPr>
            </w:pPr>
          </w:p>
        </w:tc>
        <w:tc>
          <w:tcPr>
            <w:tcW w:w="560" w:type="dxa"/>
            <w:vAlign w:val="bottom"/>
            <w:tcBorders>
              <w:bottom w:val="single" w:sz="8" w:color="023C5B"/>
            </w:tcBorders>
          </w:tcPr>
          <w:p>
            <w:pPr>
              <w:spacing w:after="0"/>
              <w:rPr>
                <w:sz w:val="14"/>
                <w:szCs w:val="14"/>
                <w:color w:val="auto"/>
              </w:rPr>
            </w:pPr>
          </w:p>
        </w:tc>
        <w:tc>
          <w:tcPr>
            <w:tcW w:w="40" w:type="dxa"/>
            <w:vAlign w:val="bottom"/>
            <w:tcBorders>
              <w:bottom w:val="single" w:sz="8" w:color="023C5B"/>
            </w:tcBorders>
          </w:tcPr>
          <w:p>
            <w:pPr>
              <w:spacing w:after="0"/>
              <w:rPr>
                <w:sz w:val="14"/>
                <w:szCs w:val="14"/>
                <w:color w:val="auto"/>
              </w:rPr>
            </w:pPr>
          </w:p>
        </w:tc>
        <w:tc>
          <w:tcPr>
            <w:tcW w:w="1560" w:type="dxa"/>
            <w:vAlign w:val="bottom"/>
            <w:tcBorders>
              <w:bottom w:val="single" w:sz="8" w:color="023C5B"/>
            </w:tcBorders>
          </w:tcPr>
          <w:p>
            <w:pPr>
              <w:spacing w:after="0"/>
              <w:rPr>
                <w:sz w:val="14"/>
                <w:szCs w:val="14"/>
                <w:color w:val="auto"/>
              </w:rPr>
            </w:pPr>
          </w:p>
        </w:tc>
        <w:tc>
          <w:tcPr>
            <w:tcW w:w="60" w:type="dxa"/>
            <w:vAlign w:val="bottom"/>
            <w:tcBorders>
              <w:bottom w:val="single" w:sz="8" w:color="023C5B"/>
            </w:tcBorders>
          </w:tcPr>
          <w:p>
            <w:pPr>
              <w:spacing w:after="0"/>
              <w:rPr>
                <w:sz w:val="14"/>
                <w:szCs w:val="14"/>
                <w:color w:val="auto"/>
              </w:rPr>
            </w:pPr>
          </w:p>
        </w:tc>
        <w:tc>
          <w:tcPr>
            <w:tcW w:w="1260" w:type="dxa"/>
            <w:vAlign w:val="bottom"/>
            <w:tcBorders>
              <w:bottom w:val="single" w:sz="8" w:color="023C5B"/>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4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93"/>
              </w:rPr>
              <w:t>136</w:t>
            </w:r>
          </w:p>
        </w:tc>
        <w:tc>
          <w:tcPr>
            <w:tcW w:w="3100" w:type="dxa"/>
            <w:vAlign w:val="bottom"/>
            <w:gridSpan w:val="9"/>
          </w:tcPr>
          <w:p>
            <w:pPr>
              <w:spacing w:after="0"/>
              <w:rPr>
                <w:sz w:val="12"/>
                <w:szCs w:val="12"/>
                <w:color w:val="auto"/>
              </w:rPr>
            </w:pPr>
          </w:p>
        </w:tc>
        <w:tc>
          <w:tcPr>
            <w:tcW w:w="2040" w:type="dxa"/>
            <w:vAlign w:val="bottom"/>
            <w:gridSpan w:val="3"/>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40" w:type="dxa"/>
            <w:vAlign w:val="bottom"/>
            <w:vMerge w:val="continue"/>
          </w:tcPr>
          <w:p>
            <w:pPr>
              <w:spacing w:after="0"/>
              <w:rPr>
                <w:sz w:val="19"/>
                <w:szCs w:val="19"/>
                <w:color w:val="auto"/>
              </w:rPr>
            </w:pPr>
          </w:p>
        </w:tc>
        <w:tc>
          <w:tcPr>
            <w:tcW w:w="3080" w:type="dxa"/>
            <w:vAlign w:val="bottom"/>
            <w:tcBorders>
              <w:right w:val="single" w:sz="8" w:color="023C5B"/>
            </w:tcBorders>
            <w:gridSpan w:val="8"/>
          </w:tcPr>
          <w:p>
            <w:pPr>
              <w:jc w:val="right"/>
              <w:ind w:right="100"/>
              <w:spacing w:after="0"/>
              <w:rPr>
                <w:sz w:val="20"/>
                <w:szCs w:val="20"/>
                <w:color w:val="auto"/>
              </w:rPr>
            </w:pPr>
            <w:r>
              <w:rPr>
                <w:rFonts w:ascii="Arial" w:cs="Arial" w:eastAsia="Arial" w:hAnsi="Arial"/>
                <w:sz w:val="15"/>
                <w:szCs w:val="15"/>
                <w:color w:val="023C5B"/>
                <w:w w:val="99"/>
              </w:rPr>
              <w:t>CAPITAL ONE FINANCIAL CORPORATION</w:t>
            </w:r>
          </w:p>
        </w:tc>
        <w:tc>
          <w:tcPr>
            <w:tcW w:w="20" w:type="dxa"/>
            <w:vAlign w:val="bottom"/>
          </w:tcPr>
          <w:p>
            <w:pPr>
              <w:spacing w:after="0"/>
              <w:rPr>
                <w:sz w:val="19"/>
                <w:szCs w:val="19"/>
                <w:color w:val="auto"/>
              </w:rPr>
            </w:pPr>
          </w:p>
        </w:tc>
        <w:tc>
          <w:tcPr>
            <w:tcW w:w="2040" w:type="dxa"/>
            <w:vAlign w:val="bottom"/>
            <w:gridSpan w:val="3"/>
          </w:tcPr>
          <w:p>
            <w:pPr>
              <w:ind w:left="40"/>
              <w:spacing w:after="0"/>
              <w:rPr>
                <w:sz w:val="20"/>
                <w:szCs w:val="20"/>
                <w:color w:val="auto"/>
              </w:rPr>
            </w:pPr>
            <w:r>
              <w:rPr>
                <w:rFonts w:ascii="Arial" w:cs="Arial" w:eastAsia="Arial" w:hAnsi="Arial"/>
                <w:sz w:val="15"/>
                <w:szCs w:val="15"/>
                <w:b w:val="1"/>
                <w:bCs w:val="1"/>
                <w:color w:val="023C5B"/>
              </w:rPr>
              <w:t>  2026 PROXY STATEMENT</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Borders>
              <w:right w:val="single" w:sz="8" w:color="023C5B"/>
            </w:tcBorders>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78" w:right="49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0920"/>
        <w:spacing w:after="0"/>
        <w:rPr>
          <w:sz w:val="20"/>
          <w:szCs w:val="20"/>
          <w:color w:val="auto"/>
        </w:rPr>
      </w:pPr>
      <w:r>
        <w:rPr>
          <w:rFonts w:ascii="Arial" w:cs="Arial" w:eastAsia="Arial" w:hAnsi="Arial"/>
          <w:sz w:val="16"/>
          <w:szCs w:val="16"/>
          <w:b w:val="1"/>
          <w:bCs w:val="1"/>
          <w:color w:val="023C5B"/>
        </w:rPr>
        <w:t> </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Appendix A - Information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98425</wp:posOffset>
            </wp:positionV>
            <wp:extent cx="69297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4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Our Compensation Committee believes that certain measures not defined by U.S. generally accepted accounting principles (“GAAP”), including adjusted diluted earnings per share, adjusted operating efficiency ratio and adjusted efficiency ratio, help investors and users of our financial information to understand the effect of adjusting items on our selected reported results. In addition, these non-GAAP measures are reviewed by the Compensation Committee and the other independent members of our Board as part of their assessment of the Company’s performance. These measures may not be comparable to similarly titled measures reported by other companies. These adjusted results provide alternate measurements of our operating performance, both for the current period and trends across multiple periods. The following tables present reconciliations of these non-GAAP measures to the applicable amounts measured in accordance with GAAP.</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Table 1: Reconciliation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29755" cy="33972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929755" cy="3397250"/>
                    </a:xfrm>
                    <a:prstGeom prst="rect">
                      <a:avLst/>
                    </a:prstGeom>
                    <a:noFill/>
                  </pic:spPr>
                </pic:pic>
              </a:graphicData>
            </a:graphic>
          </wp:anchor>
        </w:drawing>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7300" w:type="dxa"/>
            <w:vAlign w:val="bottom"/>
            <w:shd w:val="clear" w:color="auto" w:fill="023C5B"/>
          </w:tcPr>
          <w:p>
            <w:pPr>
              <w:spacing w:after="0"/>
              <w:rPr>
                <w:sz w:val="22"/>
                <w:szCs w:val="22"/>
                <w:color w:val="auto"/>
              </w:rPr>
            </w:pPr>
          </w:p>
        </w:tc>
        <w:tc>
          <w:tcPr>
            <w:tcW w:w="40" w:type="dxa"/>
            <w:vAlign w:val="bottom"/>
            <w:shd w:val="clear" w:color="auto" w:fill="023C5B"/>
          </w:tcPr>
          <w:p>
            <w:pPr>
              <w:spacing w:after="0"/>
              <w:rPr>
                <w:sz w:val="22"/>
                <w:szCs w:val="22"/>
                <w:color w:val="auto"/>
              </w:rPr>
            </w:pPr>
          </w:p>
        </w:tc>
        <w:tc>
          <w:tcPr>
            <w:tcW w:w="3580" w:type="dxa"/>
            <w:vAlign w:val="bottom"/>
            <w:gridSpan w:val="7"/>
            <w:shd w:val="clear" w:color="auto" w:fill="023C5B"/>
          </w:tcPr>
          <w:p>
            <w:pPr>
              <w:ind w:left="900"/>
              <w:spacing w:after="0"/>
              <w:rPr>
                <w:sz w:val="20"/>
                <w:szCs w:val="20"/>
                <w:color w:val="auto"/>
              </w:rPr>
            </w:pPr>
            <w:r>
              <w:rPr>
                <w:rFonts w:ascii="Arial" w:cs="Arial" w:eastAsia="Arial" w:hAnsi="Arial"/>
                <w:sz w:val="16"/>
                <w:szCs w:val="16"/>
                <w:b w:val="1"/>
                <w:bCs w:val="1"/>
                <w:color w:val="FFFFFF"/>
              </w:rPr>
              <w:t>Year Ended December 31,</w:t>
            </w:r>
          </w:p>
        </w:tc>
        <w:tc>
          <w:tcPr>
            <w:tcW w:w="0" w:type="dxa"/>
            <w:vAlign w:val="bottom"/>
          </w:tcPr>
          <w:p>
            <w:pPr>
              <w:spacing w:after="0"/>
              <w:rPr>
                <w:sz w:val="1"/>
                <w:szCs w:val="1"/>
                <w:color w:val="auto"/>
              </w:rPr>
            </w:pPr>
          </w:p>
        </w:tc>
      </w:tr>
      <w:tr>
        <w:trPr>
          <w:trHeight w:val="401"/>
        </w:trPr>
        <w:tc>
          <w:tcPr>
            <w:tcW w:w="7300" w:type="dxa"/>
            <w:vAlign w:val="bottom"/>
            <w:tcBorders>
              <w:bottom w:val="single" w:sz="8" w:color="023C5B"/>
            </w:tcBorders>
            <w:shd w:val="clear" w:color="auto" w:fill="023C5B"/>
          </w:tcPr>
          <w:p>
            <w:pPr>
              <w:ind w:left="100"/>
              <w:spacing w:after="0"/>
              <w:rPr>
                <w:sz w:val="20"/>
                <w:szCs w:val="20"/>
                <w:color w:val="auto"/>
              </w:rPr>
            </w:pPr>
            <w:r>
              <w:rPr>
                <w:rFonts w:ascii="Arial" w:cs="Arial" w:eastAsia="Arial" w:hAnsi="Arial"/>
                <w:sz w:val="16"/>
                <w:szCs w:val="16"/>
                <w:b w:val="1"/>
                <w:bCs w:val="1"/>
                <w:color w:val="FFFFFF"/>
              </w:rPr>
              <w:t>(Dollars in millions, except per share data and as noted)</w:t>
            </w:r>
          </w:p>
        </w:tc>
        <w:tc>
          <w:tcPr>
            <w:tcW w:w="1100" w:type="dxa"/>
            <w:vAlign w:val="bottom"/>
            <w:tcBorders>
              <w:bottom w:val="single" w:sz="8" w:color="023C5B"/>
            </w:tcBorders>
            <w:gridSpan w:val="2"/>
            <w:shd w:val="clear" w:color="auto" w:fill="023C5B"/>
          </w:tcPr>
          <w:p>
            <w:pPr>
              <w:jc w:val="center"/>
              <w:ind w:left="332"/>
              <w:spacing w:after="0"/>
              <w:rPr>
                <w:sz w:val="20"/>
                <w:szCs w:val="20"/>
                <w:color w:val="auto"/>
              </w:rPr>
            </w:pPr>
            <w:r>
              <w:rPr>
                <w:rFonts w:ascii="Arial" w:cs="Arial" w:eastAsia="Arial" w:hAnsi="Arial"/>
                <w:sz w:val="16"/>
                <w:szCs w:val="16"/>
                <w:b w:val="1"/>
                <w:bCs w:val="1"/>
                <w:color w:val="FFFFFF"/>
              </w:rPr>
              <w:t>2025</w:t>
            </w:r>
          </w:p>
        </w:tc>
        <w:tc>
          <w:tcPr>
            <w:tcW w:w="1380" w:type="dxa"/>
            <w:vAlign w:val="bottom"/>
            <w:tcBorders>
              <w:bottom w:val="single" w:sz="8" w:color="023C5B"/>
            </w:tcBorders>
            <w:gridSpan w:val="4"/>
            <w:shd w:val="clear" w:color="auto" w:fill="023C5B"/>
          </w:tcPr>
          <w:p>
            <w:pPr>
              <w:jc w:val="center"/>
              <w:ind w:left="352"/>
              <w:spacing w:after="0"/>
              <w:rPr>
                <w:sz w:val="20"/>
                <w:szCs w:val="20"/>
                <w:color w:val="auto"/>
              </w:rPr>
            </w:pPr>
            <w:r>
              <w:rPr>
                <w:rFonts w:ascii="Arial" w:cs="Arial" w:eastAsia="Arial" w:hAnsi="Arial"/>
                <w:sz w:val="16"/>
                <w:szCs w:val="16"/>
                <w:b w:val="1"/>
                <w:bCs w:val="1"/>
                <w:color w:val="FFFFFF"/>
                <w:w w:val="95"/>
              </w:rPr>
              <w:t>2024</w:t>
            </w:r>
          </w:p>
        </w:tc>
        <w:tc>
          <w:tcPr>
            <w:tcW w:w="40" w:type="dxa"/>
            <w:vAlign w:val="bottom"/>
            <w:tcBorders>
              <w:bottom w:val="single" w:sz="8" w:color="023C5B"/>
            </w:tcBorders>
            <w:shd w:val="clear" w:color="auto" w:fill="023C5B"/>
          </w:tcPr>
          <w:p>
            <w:pPr>
              <w:spacing w:after="0"/>
              <w:rPr>
                <w:sz w:val="24"/>
                <w:szCs w:val="24"/>
                <w:color w:val="auto"/>
              </w:rPr>
            </w:pPr>
          </w:p>
        </w:tc>
        <w:tc>
          <w:tcPr>
            <w:tcW w:w="1100" w:type="dxa"/>
            <w:vAlign w:val="bottom"/>
            <w:tcBorders>
              <w:bottom w:val="single" w:sz="8" w:color="023C5B"/>
            </w:tcBorders>
            <w:shd w:val="clear" w:color="auto" w:fill="023C5B"/>
          </w:tcPr>
          <w:p>
            <w:pPr>
              <w:jc w:val="center"/>
              <w:ind w:left="91"/>
              <w:spacing w:after="0"/>
              <w:rPr>
                <w:sz w:val="20"/>
                <w:szCs w:val="20"/>
                <w:color w:val="auto"/>
              </w:rPr>
            </w:pPr>
            <w:r>
              <w:rPr>
                <w:rFonts w:ascii="Arial" w:cs="Arial" w:eastAsia="Arial" w:hAnsi="Arial"/>
                <w:sz w:val="16"/>
                <w:szCs w:val="16"/>
                <w:b w:val="1"/>
                <w:bCs w:val="1"/>
                <w:color w:val="FFFFFF"/>
              </w:rPr>
              <w:t>2023</w:t>
            </w:r>
          </w:p>
        </w:tc>
        <w:tc>
          <w:tcPr>
            <w:tcW w:w="0" w:type="dxa"/>
            <w:vAlign w:val="bottom"/>
          </w:tcPr>
          <w:p>
            <w:pPr>
              <w:spacing w:after="0"/>
              <w:rPr>
                <w:sz w:val="1"/>
                <w:szCs w:val="1"/>
                <w:color w:val="auto"/>
              </w:rPr>
            </w:pPr>
          </w:p>
        </w:tc>
      </w:tr>
      <w:tr>
        <w:trPr>
          <w:trHeight w:val="288"/>
        </w:trPr>
        <w:tc>
          <w:tcPr>
            <w:tcW w:w="730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b w:val="1"/>
                <w:bCs w:val="1"/>
                <w:color w:val="auto"/>
              </w:rPr>
              <w:t>Adjusted net income available to common stockholders:</w:t>
            </w:r>
          </w:p>
        </w:tc>
        <w:tc>
          <w:tcPr>
            <w:tcW w:w="40" w:type="dxa"/>
            <w:vAlign w:val="bottom"/>
            <w:tcBorders>
              <w:bottom w:val="single" w:sz="8" w:color="E5EBEE"/>
            </w:tcBorders>
            <w:shd w:val="clear" w:color="auto" w:fill="E5EBEE"/>
          </w:tcPr>
          <w:p>
            <w:pPr>
              <w:spacing w:after="0"/>
              <w:rPr>
                <w:sz w:val="24"/>
                <w:szCs w:val="24"/>
                <w:color w:val="auto"/>
              </w:rPr>
            </w:pPr>
          </w:p>
        </w:tc>
        <w:tc>
          <w:tcPr>
            <w:tcW w:w="1060" w:type="dxa"/>
            <w:vAlign w:val="bottom"/>
            <w:tcBorders>
              <w:bottom w:val="single" w:sz="8" w:color="E5EBEE"/>
            </w:tcBorders>
            <w:shd w:val="clear" w:color="auto" w:fill="E5EBEE"/>
          </w:tcPr>
          <w:p>
            <w:pPr>
              <w:spacing w:after="0"/>
              <w:rPr>
                <w:sz w:val="24"/>
                <w:szCs w:val="24"/>
                <w:color w:val="auto"/>
              </w:rPr>
            </w:pPr>
          </w:p>
        </w:tc>
        <w:tc>
          <w:tcPr>
            <w:tcW w:w="20" w:type="dxa"/>
            <w:vAlign w:val="bottom"/>
            <w:tcBorders>
              <w:bottom w:val="single" w:sz="8" w:color="E5EBEE"/>
            </w:tcBorders>
            <w:shd w:val="clear" w:color="auto" w:fill="E5EBEE"/>
          </w:tcPr>
          <w:p>
            <w:pPr>
              <w:spacing w:after="0"/>
              <w:rPr>
                <w:sz w:val="24"/>
                <w:szCs w:val="24"/>
                <w:color w:val="auto"/>
              </w:rPr>
            </w:pPr>
          </w:p>
        </w:tc>
        <w:tc>
          <w:tcPr>
            <w:tcW w:w="180" w:type="dxa"/>
            <w:vAlign w:val="bottom"/>
            <w:tcBorders>
              <w:bottom w:val="single" w:sz="8" w:color="E5EBEE"/>
            </w:tcBorders>
            <w:shd w:val="clear" w:color="auto" w:fill="E5EBEE"/>
          </w:tcPr>
          <w:p>
            <w:pPr>
              <w:spacing w:after="0"/>
              <w:rPr>
                <w:sz w:val="24"/>
                <w:szCs w:val="24"/>
                <w:color w:val="auto"/>
              </w:rPr>
            </w:pPr>
          </w:p>
        </w:tc>
        <w:tc>
          <w:tcPr>
            <w:tcW w:w="60" w:type="dxa"/>
            <w:vAlign w:val="bottom"/>
            <w:tcBorders>
              <w:bottom w:val="single" w:sz="8" w:color="E5EBEE"/>
            </w:tcBorders>
            <w:shd w:val="clear" w:color="auto" w:fill="E5EBEE"/>
          </w:tcPr>
          <w:p>
            <w:pPr>
              <w:spacing w:after="0"/>
              <w:rPr>
                <w:sz w:val="24"/>
                <w:szCs w:val="24"/>
                <w:color w:val="auto"/>
              </w:rPr>
            </w:pPr>
          </w:p>
        </w:tc>
        <w:tc>
          <w:tcPr>
            <w:tcW w:w="1120" w:type="dxa"/>
            <w:vAlign w:val="bottom"/>
            <w:tcBorders>
              <w:bottom w:val="single" w:sz="8" w:color="E5EBEE"/>
            </w:tcBorders>
            <w:shd w:val="clear" w:color="auto" w:fill="E5EBEE"/>
          </w:tcPr>
          <w:p>
            <w:pPr>
              <w:spacing w:after="0"/>
              <w:rPr>
                <w:sz w:val="24"/>
                <w:szCs w:val="24"/>
                <w:color w:val="auto"/>
              </w:rPr>
            </w:pPr>
          </w:p>
        </w:tc>
        <w:tc>
          <w:tcPr>
            <w:tcW w:w="4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00" w:type="dxa"/>
            <w:vAlign w:val="bottom"/>
          </w:tcPr>
          <w:p>
            <w:pPr>
              <w:ind w:left="100"/>
              <w:spacing w:after="0"/>
              <w:rPr>
                <w:sz w:val="20"/>
                <w:szCs w:val="20"/>
                <w:color w:val="auto"/>
              </w:rPr>
            </w:pPr>
            <w:r>
              <w:rPr>
                <w:rFonts w:ascii="Arial" w:cs="Arial" w:eastAsia="Arial" w:hAnsi="Arial"/>
                <w:sz w:val="18"/>
                <w:szCs w:val="18"/>
                <w:color w:val="auto"/>
              </w:rPr>
              <w:t>Net income available to common stockholders (GAAP)</w:t>
            </w:r>
          </w:p>
        </w:tc>
        <w:tc>
          <w:tcPr>
            <w:tcW w:w="1100" w:type="dxa"/>
            <w:vAlign w:val="bottom"/>
            <w:gridSpan w:val="2"/>
          </w:tcPr>
          <w:p>
            <w:pPr>
              <w:jc w:val="center"/>
              <w:ind w:left="352"/>
              <w:spacing w:after="0"/>
              <w:rPr>
                <w:sz w:val="20"/>
                <w:szCs w:val="20"/>
                <w:color w:val="auto"/>
              </w:rPr>
            </w:pPr>
            <w:r>
              <w:rPr>
                <w:rFonts w:ascii="Arial" w:cs="Arial" w:eastAsia="Arial" w:hAnsi="Arial"/>
                <w:sz w:val="18"/>
                <w:szCs w:val="18"/>
                <w:color w:val="auto"/>
                <w:w w:val="98"/>
              </w:rPr>
              <w:t>$2,181</w:t>
            </w:r>
          </w:p>
        </w:tc>
        <w:tc>
          <w:tcPr>
            <w:tcW w:w="1380" w:type="dxa"/>
            <w:vAlign w:val="bottom"/>
            <w:gridSpan w:val="4"/>
          </w:tcPr>
          <w:p>
            <w:pPr>
              <w:jc w:val="center"/>
              <w:ind w:left="352"/>
              <w:spacing w:after="0"/>
              <w:rPr>
                <w:sz w:val="20"/>
                <w:szCs w:val="20"/>
                <w:color w:val="auto"/>
              </w:rPr>
            </w:pPr>
            <w:r>
              <w:rPr>
                <w:rFonts w:ascii="Arial" w:cs="Arial" w:eastAsia="Arial" w:hAnsi="Arial"/>
                <w:sz w:val="18"/>
                <w:szCs w:val="18"/>
                <w:color w:val="auto"/>
                <w:w w:val="98"/>
              </w:rPr>
              <w:t>$4,445</w:t>
            </w:r>
          </w:p>
        </w:tc>
        <w:tc>
          <w:tcPr>
            <w:tcW w:w="40" w:type="dxa"/>
            <w:vAlign w:val="bottom"/>
          </w:tcPr>
          <w:p>
            <w:pPr>
              <w:spacing w:after="0"/>
              <w:rPr>
                <w:sz w:val="23"/>
                <w:szCs w:val="23"/>
                <w:color w:val="auto"/>
              </w:rPr>
            </w:pPr>
          </w:p>
        </w:tc>
        <w:tc>
          <w:tcPr>
            <w:tcW w:w="1100" w:type="dxa"/>
            <w:vAlign w:val="bottom"/>
          </w:tcPr>
          <w:p>
            <w:pPr>
              <w:jc w:val="center"/>
              <w:ind w:left="111"/>
              <w:spacing w:after="0"/>
              <w:rPr>
                <w:sz w:val="20"/>
                <w:szCs w:val="20"/>
                <w:color w:val="auto"/>
              </w:rPr>
            </w:pPr>
            <w:r>
              <w:rPr>
                <w:rFonts w:ascii="Arial" w:cs="Arial" w:eastAsia="Arial" w:hAnsi="Arial"/>
                <w:sz w:val="18"/>
                <w:szCs w:val="18"/>
                <w:color w:val="auto"/>
                <w:w w:val="98"/>
              </w:rPr>
              <w:t>$4,582</w:t>
            </w:r>
          </w:p>
        </w:tc>
        <w:tc>
          <w:tcPr>
            <w:tcW w:w="0" w:type="dxa"/>
            <w:vAlign w:val="bottom"/>
          </w:tcPr>
          <w:p>
            <w:pPr>
              <w:spacing w:after="0"/>
              <w:rPr>
                <w:sz w:val="1"/>
                <w:szCs w:val="1"/>
                <w:color w:val="auto"/>
              </w:rPr>
            </w:pP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730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Initial allowance build for Discover non-purchased credit deteriorated (“non-PCD”) loans</w:t>
            </w:r>
          </w:p>
        </w:tc>
        <w:tc>
          <w:tcPr>
            <w:tcW w:w="1100" w:type="dxa"/>
            <w:vAlign w:val="bottom"/>
            <w:tcBorders>
              <w:bottom w:val="single" w:sz="8" w:color="E5EBEE"/>
            </w:tcBorders>
            <w:gridSpan w:val="2"/>
            <w:shd w:val="clear" w:color="auto" w:fill="E5EBEE"/>
          </w:tcPr>
          <w:p>
            <w:pPr>
              <w:jc w:val="center"/>
              <w:ind w:left="332"/>
              <w:spacing w:after="0"/>
              <w:rPr>
                <w:sz w:val="20"/>
                <w:szCs w:val="20"/>
                <w:color w:val="auto"/>
              </w:rPr>
            </w:pPr>
            <w:r>
              <w:rPr>
                <w:rFonts w:ascii="Arial" w:cs="Arial" w:eastAsia="Arial" w:hAnsi="Arial"/>
                <w:sz w:val="18"/>
                <w:szCs w:val="18"/>
                <w:color w:val="auto"/>
                <w:w w:val="97"/>
              </w:rPr>
              <w:t>8,767</w:t>
            </w:r>
          </w:p>
        </w:tc>
        <w:tc>
          <w:tcPr>
            <w:tcW w:w="20" w:type="dxa"/>
            <w:vAlign w:val="bottom"/>
            <w:tcBorders>
              <w:bottom w:val="single" w:sz="8" w:color="E5EBEE"/>
            </w:tcBorders>
            <w:shd w:val="clear" w:color="auto" w:fill="E5EBEE"/>
          </w:tcPr>
          <w:p>
            <w:pPr>
              <w:spacing w:after="0"/>
              <w:rPr>
                <w:sz w:val="24"/>
                <w:szCs w:val="24"/>
                <w:color w:val="auto"/>
              </w:rPr>
            </w:pPr>
          </w:p>
        </w:tc>
        <w:tc>
          <w:tcPr>
            <w:tcW w:w="180" w:type="dxa"/>
            <w:vAlign w:val="bottom"/>
            <w:tcBorders>
              <w:bottom w:val="single" w:sz="8" w:color="E5EBEE"/>
            </w:tcBorders>
            <w:shd w:val="clear" w:color="auto" w:fill="E5EBEE"/>
          </w:tcPr>
          <w:p>
            <w:pPr>
              <w:spacing w:after="0"/>
              <w:rPr>
                <w:sz w:val="24"/>
                <w:szCs w:val="24"/>
                <w:color w:val="auto"/>
              </w:rPr>
            </w:pPr>
          </w:p>
        </w:tc>
        <w:tc>
          <w:tcPr>
            <w:tcW w:w="60" w:type="dxa"/>
            <w:vAlign w:val="bottom"/>
            <w:tcBorders>
              <w:bottom w:val="single" w:sz="8" w:color="E5EBEE"/>
            </w:tcBorders>
            <w:shd w:val="clear" w:color="auto" w:fill="E5EBEE"/>
          </w:tcPr>
          <w:p>
            <w:pPr>
              <w:spacing w:after="0"/>
              <w:rPr>
                <w:sz w:val="24"/>
                <w:szCs w:val="24"/>
                <w:color w:val="auto"/>
              </w:rPr>
            </w:pPr>
          </w:p>
        </w:tc>
        <w:tc>
          <w:tcPr>
            <w:tcW w:w="1160" w:type="dxa"/>
            <w:vAlign w:val="bottom"/>
            <w:tcBorders>
              <w:bottom w:val="single" w:sz="8" w:color="E5EBEE"/>
            </w:tcBorders>
            <w:gridSpan w:val="2"/>
            <w:shd w:val="clear" w:color="auto" w:fill="E5EBEE"/>
          </w:tcPr>
          <w:p>
            <w:pPr>
              <w:jc w:val="center"/>
              <w:ind w:left="5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300" w:type="dxa"/>
            <w:vAlign w:val="bottom"/>
          </w:tcPr>
          <w:p>
            <w:pPr>
              <w:ind w:left="280"/>
              <w:spacing w:after="0"/>
              <w:rPr>
                <w:sz w:val="20"/>
                <w:szCs w:val="20"/>
                <w:color w:val="auto"/>
              </w:rPr>
            </w:pPr>
            <w:r>
              <w:rPr>
                <w:rFonts w:ascii="Arial" w:cs="Arial" w:eastAsia="Arial" w:hAnsi="Arial"/>
                <w:sz w:val="18"/>
                <w:szCs w:val="18"/>
                <w:color w:val="auto"/>
              </w:rPr>
              <w:t>Discover intangible amortization expense</w:t>
            </w:r>
          </w:p>
        </w:tc>
        <w:tc>
          <w:tcPr>
            <w:tcW w:w="1100" w:type="dxa"/>
            <w:vAlign w:val="bottom"/>
            <w:gridSpan w:val="2"/>
          </w:tcPr>
          <w:p>
            <w:pPr>
              <w:jc w:val="center"/>
              <w:ind w:left="332"/>
              <w:spacing w:after="0"/>
              <w:rPr>
                <w:sz w:val="20"/>
                <w:szCs w:val="20"/>
                <w:color w:val="auto"/>
              </w:rPr>
            </w:pPr>
            <w:r>
              <w:rPr>
                <w:rFonts w:ascii="Arial" w:cs="Arial" w:eastAsia="Arial" w:hAnsi="Arial"/>
                <w:sz w:val="18"/>
                <w:szCs w:val="18"/>
                <w:color w:val="auto"/>
                <w:w w:val="97"/>
              </w:rPr>
              <w:t>1,262</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1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730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Discover loan and deposit fair value mark amortization</w:t>
            </w:r>
          </w:p>
        </w:tc>
        <w:tc>
          <w:tcPr>
            <w:tcW w:w="1100" w:type="dxa"/>
            <w:vAlign w:val="bottom"/>
            <w:tcBorders>
              <w:bottom w:val="single" w:sz="8" w:color="E5EBEE"/>
            </w:tcBorders>
            <w:gridSpan w:val="2"/>
            <w:shd w:val="clear" w:color="auto" w:fill="E5EBEE"/>
          </w:tcPr>
          <w:p>
            <w:pPr>
              <w:jc w:val="center"/>
              <w:ind w:left="352"/>
              <w:spacing w:after="0"/>
              <w:rPr>
                <w:sz w:val="20"/>
                <w:szCs w:val="20"/>
                <w:color w:val="auto"/>
              </w:rPr>
            </w:pPr>
            <w:r>
              <w:rPr>
                <w:rFonts w:ascii="Arial" w:cs="Arial" w:eastAsia="Arial" w:hAnsi="Arial"/>
                <w:sz w:val="18"/>
                <w:szCs w:val="18"/>
                <w:color w:val="auto"/>
                <w:w w:val="99"/>
              </w:rPr>
              <w:t>227</w:t>
            </w:r>
          </w:p>
        </w:tc>
        <w:tc>
          <w:tcPr>
            <w:tcW w:w="20" w:type="dxa"/>
            <w:vAlign w:val="bottom"/>
            <w:tcBorders>
              <w:bottom w:val="single" w:sz="8" w:color="E5EBEE"/>
            </w:tcBorders>
            <w:shd w:val="clear" w:color="auto" w:fill="E5EBEE"/>
          </w:tcPr>
          <w:p>
            <w:pPr>
              <w:spacing w:after="0"/>
              <w:rPr>
                <w:sz w:val="24"/>
                <w:szCs w:val="24"/>
                <w:color w:val="auto"/>
              </w:rPr>
            </w:pPr>
          </w:p>
        </w:tc>
        <w:tc>
          <w:tcPr>
            <w:tcW w:w="180" w:type="dxa"/>
            <w:vAlign w:val="bottom"/>
            <w:tcBorders>
              <w:bottom w:val="single" w:sz="8" w:color="E5EBEE"/>
            </w:tcBorders>
            <w:shd w:val="clear" w:color="auto" w:fill="E5EBEE"/>
          </w:tcPr>
          <w:p>
            <w:pPr>
              <w:spacing w:after="0"/>
              <w:rPr>
                <w:sz w:val="24"/>
                <w:szCs w:val="24"/>
                <w:color w:val="auto"/>
              </w:rPr>
            </w:pPr>
          </w:p>
        </w:tc>
        <w:tc>
          <w:tcPr>
            <w:tcW w:w="60" w:type="dxa"/>
            <w:vAlign w:val="bottom"/>
            <w:tcBorders>
              <w:bottom w:val="single" w:sz="8" w:color="E5EBEE"/>
            </w:tcBorders>
            <w:shd w:val="clear" w:color="auto" w:fill="E5EBEE"/>
          </w:tcPr>
          <w:p>
            <w:pPr>
              <w:spacing w:after="0"/>
              <w:rPr>
                <w:sz w:val="24"/>
                <w:szCs w:val="24"/>
                <w:color w:val="auto"/>
              </w:rPr>
            </w:pPr>
          </w:p>
        </w:tc>
        <w:tc>
          <w:tcPr>
            <w:tcW w:w="1160" w:type="dxa"/>
            <w:vAlign w:val="bottom"/>
            <w:tcBorders>
              <w:bottom w:val="single" w:sz="8" w:color="E5EBEE"/>
            </w:tcBorders>
            <w:gridSpan w:val="2"/>
            <w:shd w:val="clear" w:color="auto" w:fill="E5EBEE"/>
          </w:tcPr>
          <w:p>
            <w:pPr>
              <w:jc w:val="center"/>
              <w:ind w:left="5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300" w:type="dxa"/>
            <w:vAlign w:val="bottom"/>
          </w:tcPr>
          <w:p>
            <w:pPr>
              <w:ind w:left="280"/>
              <w:spacing w:after="0"/>
              <w:rPr>
                <w:sz w:val="20"/>
                <w:szCs w:val="20"/>
                <w:color w:val="auto"/>
              </w:rPr>
            </w:pPr>
            <w:r>
              <w:rPr>
                <w:rFonts w:ascii="Arial" w:cs="Arial" w:eastAsia="Arial" w:hAnsi="Arial"/>
                <w:sz w:val="18"/>
                <w:szCs w:val="18"/>
                <w:color w:val="auto"/>
              </w:rPr>
              <w:t>Discover integration expenses</w:t>
            </w:r>
          </w:p>
        </w:tc>
        <w:tc>
          <w:tcPr>
            <w:tcW w:w="1100" w:type="dxa"/>
            <w:vAlign w:val="bottom"/>
            <w:gridSpan w:val="2"/>
          </w:tcPr>
          <w:p>
            <w:pPr>
              <w:jc w:val="center"/>
              <w:ind w:left="332"/>
              <w:spacing w:after="0"/>
              <w:rPr>
                <w:sz w:val="20"/>
                <w:szCs w:val="20"/>
                <w:color w:val="auto"/>
              </w:rPr>
            </w:pPr>
            <w:r>
              <w:rPr>
                <w:rFonts w:ascii="Arial" w:cs="Arial" w:eastAsia="Arial" w:hAnsi="Arial"/>
                <w:sz w:val="18"/>
                <w:szCs w:val="18"/>
                <w:color w:val="auto"/>
                <w:w w:val="97"/>
              </w:rPr>
              <w:t>1,109</w:t>
            </w:r>
          </w:p>
        </w:tc>
        <w:tc>
          <w:tcPr>
            <w:tcW w:w="1380" w:type="dxa"/>
            <w:vAlign w:val="bottom"/>
            <w:gridSpan w:val="4"/>
          </w:tcPr>
          <w:p>
            <w:pPr>
              <w:jc w:val="center"/>
              <w:ind w:left="352"/>
              <w:spacing w:after="0"/>
              <w:rPr>
                <w:sz w:val="20"/>
                <w:szCs w:val="20"/>
                <w:color w:val="auto"/>
              </w:rPr>
            </w:pPr>
            <w:r>
              <w:rPr>
                <w:rFonts w:ascii="Arial" w:cs="Arial" w:eastAsia="Arial" w:hAnsi="Arial"/>
                <w:sz w:val="18"/>
                <w:szCs w:val="18"/>
                <w:color w:val="auto"/>
                <w:w w:val="99"/>
              </w:rPr>
              <w:t>234</w:t>
            </w:r>
          </w:p>
        </w:tc>
        <w:tc>
          <w:tcPr>
            <w:tcW w:w="40" w:type="dxa"/>
            <w:vAlign w:val="bottom"/>
          </w:tcPr>
          <w:p>
            <w:pPr>
              <w:spacing w:after="0"/>
              <w:rPr>
                <w:sz w:val="23"/>
                <w:szCs w:val="23"/>
                <w:color w:val="auto"/>
              </w:rPr>
            </w:pPr>
          </w:p>
        </w:tc>
        <w:tc>
          <w:tcPr>
            <w:tcW w:w="1100" w:type="dxa"/>
            <w:vAlign w:val="bottom"/>
          </w:tcPr>
          <w:p>
            <w:pPr>
              <w:jc w:val="center"/>
              <w:ind w:left="1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730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Legal reserve activities</w:t>
            </w:r>
          </w:p>
        </w:tc>
        <w:tc>
          <w:tcPr>
            <w:tcW w:w="1100" w:type="dxa"/>
            <w:vAlign w:val="bottom"/>
            <w:tcBorders>
              <w:bottom w:val="single" w:sz="8" w:color="E5EBEE"/>
            </w:tcBorders>
            <w:gridSpan w:val="2"/>
            <w:shd w:val="clear" w:color="auto" w:fill="E5EBEE"/>
          </w:tcPr>
          <w:p>
            <w:pPr>
              <w:jc w:val="center"/>
              <w:ind w:left="352"/>
              <w:spacing w:after="0"/>
              <w:rPr>
                <w:sz w:val="20"/>
                <w:szCs w:val="20"/>
                <w:color w:val="auto"/>
              </w:rPr>
            </w:pPr>
            <w:r>
              <w:rPr>
                <w:rFonts w:ascii="Arial" w:cs="Arial" w:eastAsia="Arial" w:hAnsi="Arial"/>
                <w:sz w:val="18"/>
                <w:szCs w:val="18"/>
                <w:color w:val="auto"/>
                <w:w w:val="99"/>
              </w:rPr>
              <w:t>356</w:t>
            </w:r>
          </w:p>
        </w:tc>
        <w:tc>
          <w:tcPr>
            <w:tcW w:w="1380" w:type="dxa"/>
            <w:vAlign w:val="bottom"/>
            <w:tcBorders>
              <w:bottom w:val="single" w:sz="8" w:color="E5EBEE"/>
            </w:tcBorders>
            <w:gridSpan w:val="4"/>
            <w:shd w:val="clear" w:color="auto" w:fill="E5EBEE"/>
          </w:tcPr>
          <w:p>
            <w:pPr>
              <w:jc w:val="center"/>
              <w:ind w:left="352"/>
              <w:spacing w:after="0"/>
              <w:rPr>
                <w:sz w:val="20"/>
                <w:szCs w:val="20"/>
                <w:color w:val="auto"/>
              </w:rPr>
            </w:pPr>
            <w:r>
              <w:rPr>
                <w:rFonts w:ascii="Arial" w:cs="Arial" w:eastAsia="Arial" w:hAnsi="Arial"/>
                <w:sz w:val="18"/>
                <w:szCs w:val="18"/>
                <w:color w:val="auto"/>
                <w:w w:val="89"/>
              </w:rPr>
              <w:t>75</w:t>
            </w:r>
          </w:p>
        </w:tc>
        <w:tc>
          <w:tcPr>
            <w:tcW w:w="4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7300" w:type="dxa"/>
            <w:vAlign w:val="bottom"/>
          </w:tcPr>
          <w:p>
            <w:pPr>
              <w:ind w:left="280"/>
              <w:spacing w:after="0"/>
              <w:rPr>
                <w:sz w:val="20"/>
                <w:szCs w:val="20"/>
                <w:color w:val="auto"/>
              </w:rPr>
            </w:pPr>
            <w:r>
              <w:rPr>
                <w:rFonts w:ascii="Arial" w:cs="Arial" w:eastAsia="Arial" w:hAnsi="Arial"/>
                <w:sz w:val="18"/>
                <w:szCs w:val="18"/>
                <w:color w:val="auto"/>
              </w:rPr>
              <w:t>Gain on sale of home loan portfolio</w:t>
            </w:r>
          </w:p>
        </w:tc>
        <w:tc>
          <w:tcPr>
            <w:tcW w:w="1100" w:type="dxa"/>
            <w:vAlign w:val="bottom"/>
            <w:gridSpan w:val="2"/>
          </w:tcPr>
          <w:p>
            <w:pPr>
              <w:jc w:val="center"/>
              <w:ind w:left="352"/>
              <w:spacing w:after="0"/>
              <w:rPr>
                <w:sz w:val="20"/>
                <w:szCs w:val="20"/>
                <w:color w:val="auto"/>
              </w:rPr>
            </w:pPr>
            <w:r>
              <w:rPr>
                <w:rFonts w:ascii="Arial" w:cs="Arial" w:eastAsia="Arial" w:hAnsi="Arial"/>
                <w:sz w:val="18"/>
                <w:szCs w:val="18"/>
                <w:color w:val="auto"/>
                <w:w w:val="99"/>
              </w:rPr>
              <w:t>(483)</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1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730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FDIC special assessment</w:t>
            </w:r>
          </w:p>
        </w:tc>
        <w:tc>
          <w:tcPr>
            <w:tcW w:w="1100" w:type="dxa"/>
            <w:vAlign w:val="bottom"/>
            <w:tcBorders>
              <w:bottom w:val="single" w:sz="8" w:color="E5EBEE"/>
            </w:tcBorders>
            <w:gridSpan w:val="2"/>
            <w:shd w:val="clear" w:color="auto" w:fill="E5EBEE"/>
          </w:tcPr>
          <w:p>
            <w:pPr>
              <w:jc w:val="center"/>
              <w:ind w:left="332"/>
              <w:spacing w:after="0"/>
              <w:rPr>
                <w:sz w:val="20"/>
                <w:szCs w:val="20"/>
                <w:color w:val="auto"/>
              </w:rPr>
            </w:pPr>
            <w:r>
              <w:rPr>
                <w:rFonts w:ascii="Arial" w:cs="Arial" w:eastAsia="Arial" w:hAnsi="Arial"/>
                <w:sz w:val="18"/>
                <w:szCs w:val="18"/>
                <w:color w:val="auto"/>
                <w:w w:val="99"/>
              </w:rPr>
              <w:t>(29)</w:t>
            </w:r>
          </w:p>
        </w:tc>
        <w:tc>
          <w:tcPr>
            <w:tcW w:w="1380" w:type="dxa"/>
            <w:vAlign w:val="bottom"/>
            <w:tcBorders>
              <w:bottom w:val="single" w:sz="8" w:color="E5EBEE"/>
            </w:tcBorders>
            <w:gridSpan w:val="4"/>
            <w:shd w:val="clear" w:color="auto" w:fill="E5EBEE"/>
          </w:tcPr>
          <w:p>
            <w:pPr>
              <w:jc w:val="center"/>
              <w:ind w:left="352"/>
              <w:spacing w:after="0"/>
              <w:rPr>
                <w:sz w:val="20"/>
                <w:szCs w:val="20"/>
                <w:color w:val="auto"/>
              </w:rPr>
            </w:pPr>
            <w:r>
              <w:rPr>
                <w:rFonts w:ascii="Arial" w:cs="Arial" w:eastAsia="Arial" w:hAnsi="Arial"/>
                <w:sz w:val="18"/>
                <w:szCs w:val="18"/>
                <w:color w:val="auto"/>
                <w:w w:val="89"/>
              </w:rPr>
              <w:t>41</w:t>
            </w:r>
          </w:p>
        </w:tc>
        <w:tc>
          <w:tcPr>
            <w:tcW w:w="4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289</w:t>
            </w:r>
          </w:p>
        </w:tc>
        <w:tc>
          <w:tcPr>
            <w:tcW w:w="0" w:type="dxa"/>
            <w:vAlign w:val="bottom"/>
          </w:tcPr>
          <w:p>
            <w:pPr>
              <w:spacing w:after="0"/>
              <w:rPr>
                <w:sz w:val="1"/>
                <w:szCs w:val="1"/>
                <w:color w:val="auto"/>
              </w:rPr>
            </w:pPr>
          </w:p>
        </w:tc>
      </w:tr>
      <w:tr>
        <w:trPr>
          <w:trHeight w:val="270"/>
        </w:trPr>
        <w:tc>
          <w:tcPr>
            <w:tcW w:w="7300" w:type="dxa"/>
            <w:vAlign w:val="bottom"/>
          </w:tcPr>
          <w:p>
            <w:pPr>
              <w:ind w:left="280"/>
              <w:spacing w:after="0"/>
              <w:rPr>
                <w:sz w:val="20"/>
                <w:szCs w:val="20"/>
                <w:color w:val="auto"/>
              </w:rPr>
            </w:pPr>
            <w:r>
              <w:rPr>
                <w:rFonts w:ascii="Arial" w:cs="Arial" w:eastAsia="Arial" w:hAnsi="Arial"/>
                <w:sz w:val="18"/>
                <w:szCs w:val="18"/>
                <w:color w:val="auto"/>
              </w:rPr>
              <w:t>Allowance build for Walmart program agreement loss sharing termination</w:t>
            </w:r>
          </w:p>
        </w:tc>
        <w:tc>
          <w:tcPr>
            <w:tcW w:w="40" w:type="dxa"/>
            <w:vAlign w:val="bottom"/>
          </w:tcPr>
          <w:p>
            <w:pPr>
              <w:spacing w:after="0"/>
              <w:rPr>
                <w:sz w:val="23"/>
                <w:szCs w:val="23"/>
                <w:color w:val="auto"/>
              </w:rPr>
            </w:pPr>
          </w:p>
        </w:tc>
        <w:tc>
          <w:tcPr>
            <w:tcW w:w="1060" w:type="dxa"/>
            <w:vAlign w:val="bottom"/>
          </w:tcPr>
          <w:p>
            <w:pPr>
              <w:jc w:val="center"/>
              <w:ind w:left="312"/>
              <w:spacing w:after="0"/>
              <w:rPr>
                <w:sz w:val="20"/>
                <w:szCs w:val="20"/>
                <w:color w:val="auto"/>
              </w:rPr>
            </w:pPr>
            <w:r>
              <w:rPr>
                <w:rFonts w:ascii="Arial" w:cs="Arial" w:eastAsia="Arial" w:hAnsi="Arial"/>
                <w:sz w:val="18"/>
                <w:szCs w:val="18"/>
                <w:color w:val="auto"/>
                <w:w w:val="99"/>
              </w:rPr>
              <w:t>—</w:t>
            </w:r>
          </w:p>
        </w:tc>
        <w:tc>
          <w:tcPr>
            <w:tcW w:w="1380" w:type="dxa"/>
            <w:vAlign w:val="bottom"/>
            <w:gridSpan w:val="4"/>
          </w:tcPr>
          <w:p>
            <w:pPr>
              <w:jc w:val="center"/>
              <w:ind w:left="352"/>
              <w:spacing w:after="0"/>
              <w:rPr>
                <w:sz w:val="20"/>
                <w:szCs w:val="20"/>
                <w:color w:val="auto"/>
              </w:rPr>
            </w:pPr>
            <w:r>
              <w:rPr>
                <w:rFonts w:ascii="Arial" w:cs="Arial" w:eastAsia="Arial" w:hAnsi="Arial"/>
                <w:sz w:val="18"/>
                <w:szCs w:val="18"/>
                <w:color w:val="auto"/>
                <w:w w:val="99"/>
              </w:rPr>
              <w:t>826</w:t>
            </w:r>
          </w:p>
        </w:tc>
        <w:tc>
          <w:tcPr>
            <w:tcW w:w="40" w:type="dxa"/>
            <w:vAlign w:val="bottom"/>
          </w:tcPr>
          <w:p>
            <w:pPr>
              <w:spacing w:after="0"/>
              <w:rPr>
                <w:sz w:val="23"/>
                <w:szCs w:val="23"/>
                <w:color w:val="auto"/>
              </w:rPr>
            </w:pPr>
          </w:p>
        </w:tc>
        <w:tc>
          <w:tcPr>
            <w:tcW w:w="1100" w:type="dxa"/>
            <w:vAlign w:val="bottom"/>
          </w:tcPr>
          <w:p>
            <w:pPr>
              <w:jc w:val="center"/>
              <w:ind w:left="1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730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Walmart program agreement termination contra revenue impact</w:t>
            </w:r>
          </w:p>
        </w:tc>
        <w:tc>
          <w:tcPr>
            <w:tcW w:w="40" w:type="dxa"/>
            <w:vAlign w:val="bottom"/>
            <w:tcBorders>
              <w:bottom w:val="single" w:sz="8" w:color="E5EBEE"/>
            </w:tcBorders>
            <w:shd w:val="clear" w:color="auto" w:fill="E5EBEE"/>
          </w:tcPr>
          <w:p>
            <w:pPr>
              <w:spacing w:after="0"/>
              <w:rPr>
                <w:sz w:val="24"/>
                <w:szCs w:val="24"/>
                <w:color w:val="auto"/>
              </w:rPr>
            </w:pPr>
          </w:p>
        </w:tc>
        <w:tc>
          <w:tcPr>
            <w:tcW w:w="1060" w:type="dxa"/>
            <w:vAlign w:val="bottom"/>
            <w:tcBorders>
              <w:bottom w:val="single" w:sz="8" w:color="E5EBEE"/>
            </w:tcBorders>
            <w:shd w:val="clear" w:color="auto" w:fill="E5EBEE"/>
          </w:tcPr>
          <w:p>
            <w:pPr>
              <w:jc w:val="center"/>
              <w:ind w:left="312"/>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E5EBEE"/>
            </w:tcBorders>
            <w:gridSpan w:val="4"/>
            <w:shd w:val="clear" w:color="auto" w:fill="E5EBEE"/>
          </w:tcPr>
          <w:p>
            <w:pPr>
              <w:jc w:val="center"/>
              <w:ind w:left="352"/>
              <w:spacing w:after="0"/>
              <w:rPr>
                <w:sz w:val="20"/>
                <w:szCs w:val="20"/>
                <w:color w:val="auto"/>
              </w:rPr>
            </w:pPr>
            <w:r>
              <w:rPr>
                <w:rFonts w:ascii="Arial" w:cs="Arial" w:eastAsia="Arial" w:hAnsi="Arial"/>
                <w:sz w:val="18"/>
                <w:szCs w:val="18"/>
                <w:color w:val="auto"/>
                <w:w w:val="89"/>
              </w:rPr>
              <w:t>27</w:t>
            </w:r>
          </w:p>
        </w:tc>
        <w:tc>
          <w:tcPr>
            <w:tcW w:w="4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2"/>
        </w:trPr>
        <w:tc>
          <w:tcPr>
            <w:tcW w:w="7300" w:type="dxa"/>
            <w:vAlign w:val="bottom"/>
          </w:tcPr>
          <w:p>
            <w:pPr>
              <w:ind w:left="100"/>
              <w:spacing w:after="0"/>
              <w:rPr>
                <w:sz w:val="20"/>
                <w:szCs w:val="20"/>
                <w:color w:val="auto"/>
              </w:rPr>
            </w:pPr>
            <w:r>
              <w:rPr>
                <w:rFonts w:ascii="Arial" w:cs="Arial" w:eastAsia="Arial" w:hAnsi="Arial"/>
                <w:sz w:val="18"/>
                <w:szCs w:val="18"/>
                <w:color w:val="auto"/>
              </w:rPr>
              <w:t>Adjusted net income available to common stockholders before income tax impacts (non-</w:t>
            </w:r>
          </w:p>
        </w:tc>
        <w:tc>
          <w:tcPr>
            <w:tcW w:w="40" w:type="dxa"/>
            <w:vAlign w:val="bottom"/>
            <w:vMerge w:val="restart"/>
          </w:tcPr>
          <w:p>
            <w:pPr>
              <w:spacing w:after="0"/>
              <w:rPr>
                <w:sz w:val="21"/>
                <w:szCs w:val="21"/>
                <w:color w:val="auto"/>
              </w:rPr>
            </w:pPr>
          </w:p>
        </w:tc>
        <w:tc>
          <w:tcPr>
            <w:tcW w:w="1060" w:type="dxa"/>
            <w:vAlign w:val="bottom"/>
            <w:tcBorders>
              <w:top w:val="single" w:sz="8" w:color="023C5B"/>
            </w:tcBorders>
            <w:vMerge w:val="restart"/>
          </w:tcPr>
          <w:p>
            <w:pPr>
              <w:jc w:val="center"/>
              <w:ind w:left="312"/>
              <w:spacing w:after="0"/>
              <w:rPr>
                <w:sz w:val="20"/>
                <w:szCs w:val="20"/>
                <w:color w:val="auto"/>
              </w:rPr>
            </w:pPr>
            <w:r>
              <w:rPr>
                <w:rFonts w:ascii="Arial" w:cs="Arial" w:eastAsia="Arial" w:hAnsi="Arial"/>
                <w:sz w:val="18"/>
                <w:szCs w:val="18"/>
                <w:color w:val="auto"/>
                <w:w w:val="98"/>
              </w:rPr>
              <w:t>13,390</w:t>
            </w:r>
          </w:p>
        </w:tc>
        <w:tc>
          <w:tcPr>
            <w:tcW w:w="200" w:type="dxa"/>
            <w:vAlign w:val="bottom"/>
            <w:tcBorders>
              <w:top w:val="single" w:sz="8" w:color="023C5B"/>
            </w:tcBorders>
            <w:gridSpan w:val="2"/>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1120" w:type="dxa"/>
            <w:vAlign w:val="bottom"/>
            <w:tcBorders>
              <w:top w:val="single" w:sz="8" w:color="023C5B"/>
            </w:tcBorders>
            <w:vMerge w:val="restart"/>
          </w:tcPr>
          <w:p>
            <w:pPr>
              <w:jc w:val="center"/>
              <w:ind w:left="91"/>
              <w:spacing w:after="0"/>
              <w:rPr>
                <w:sz w:val="20"/>
                <w:szCs w:val="20"/>
                <w:color w:val="auto"/>
              </w:rPr>
            </w:pPr>
            <w:r>
              <w:rPr>
                <w:rFonts w:ascii="Arial" w:cs="Arial" w:eastAsia="Arial" w:hAnsi="Arial"/>
                <w:sz w:val="18"/>
                <w:szCs w:val="18"/>
                <w:color w:val="auto"/>
              </w:rPr>
              <w:t>5,648</w:t>
            </w:r>
          </w:p>
        </w:tc>
        <w:tc>
          <w:tcPr>
            <w:tcW w:w="40" w:type="dxa"/>
            <w:vAlign w:val="bottom"/>
          </w:tcPr>
          <w:p>
            <w:pPr>
              <w:spacing w:after="0"/>
              <w:rPr>
                <w:sz w:val="21"/>
                <w:szCs w:val="21"/>
                <w:color w:val="auto"/>
              </w:rPr>
            </w:pPr>
          </w:p>
        </w:tc>
        <w:tc>
          <w:tcPr>
            <w:tcW w:w="1100" w:type="dxa"/>
            <w:vAlign w:val="bottom"/>
            <w:tcBorders>
              <w:top w:val="single" w:sz="8" w:color="023C5B"/>
            </w:tcBorders>
            <w:vMerge w:val="restart"/>
          </w:tcPr>
          <w:p>
            <w:pPr>
              <w:jc w:val="center"/>
              <w:ind w:left="91"/>
              <w:spacing w:after="0"/>
              <w:rPr>
                <w:sz w:val="20"/>
                <w:szCs w:val="20"/>
                <w:color w:val="auto"/>
              </w:rPr>
            </w:pPr>
            <w:r>
              <w:rPr>
                <w:rFonts w:ascii="Arial" w:cs="Arial" w:eastAsia="Arial" w:hAnsi="Arial"/>
                <w:sz w:val="18"/>
                <w:szCs w:val="18"/>
                <w:color w:val="auto"/>
                <w:w w:val="97"/>
              </w:rPr>
              <w:t>4,871</w:t>
            </w:r>
          </w:p>
        </w:tc>
        <w:tc>
          <w:tcPr>
            <w:tcW w:w="0" w:type="dxa"/>
            <w:vAlign w:val="bottom"/>
          </w:tcPr>
          <w:p>
            <w:pPr>
              <w:spacing w:after="0"/>
              <w:rPr>
                <w:sz w:val="1"/>
                <w:szCs w:val="1"/>
                <w:color w:val="auto"/>
              </w:rPr>
            </w:pPr>
          </w:p>
        </w:tc>
      </w:tr>
      <w:tr>
        <w:trPr>
          <w:trHeight w:val="128"/>
        </w:trPr>
        <w:tc>
          <w:tcPr>
            <w:tcW w:w="7300" w:type="dxa"/>
            <w:vAlign w:val="bottom"/>
            <w:vMerge w:val="restart"/>
          </w:tcPr>
          <w:p>
            <w:pPr>
              <w:ind w:left="280"/>
              <w:spacing w:after="0"/>
              <w:rPr>
                <w:sz w:val="20"/>
                <w:szCs w:val="20"/>
                <w:color w:val="auto"/>
              </w:rPr>
            </w:pPr>
            <w:r>
              <w:rPr>
                <w:rFonts w:ascii="Arial" w:cs="Arial" w:eastAsia="Arial" w:hAnsi="Arial"/>
                <w:sz w:val="18"/>
                <w:szCs w:val="18"/>
                <w:color w:val="auto"/>
              </w:rPr>
              <w:t>GAAP)</w:t>
            </w:r>
          </w:p>
        </w:tc>
        <w:tc>
          <w:tcPr>
            <w:tcW w:w="4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730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Income tax impacts</w:t>
            </w:r>
          </w:p>
        </w:tc>
        <w:tc>
          <w:tcPr>
            <w:tcW w:w="40" w:type="dxa"/>
            <w:vAlign w:val="bottom"/>
            <w:tcBorders>
              <w:bottom w:val="single" w:sz="8" w:color="E5EBEE"/>
            </w:tcBorders>
            <w:shd w:val="clear" w:color="auto" w:fill="E5EBEE"/>
          </w:tcPr>
          <w:p>
            <w:pPr>
              <w:spacing w:after="0"/>
              <w:rPr>
                <w:sz w:val="24"/>
                <w:szCs w:val="24"/>
                <w:color w:val="auto"/>
              </w:rPr>
            </w:pPr>
          </w:p>
        </w:tc>
        <w:tc>
          <w:tcPr>
            <w:tcW w:w="1060" w:type="dxa"/>
            <w:vAlign w:val="bottom"/>
            <w:tcBorders>
              <w:bottom w:val="single" w:sz="8" w:color="E5EBEE"/>
            </w:tcBorders>
            <w:shd w:val="clear" w:color="auto" w:fill="E5EBEE"/>
          </w:tcPr>
          <w:p>
            <w:pPr>
              <w:jc w:val="center"/>
              <w:ind w:left="292"/>
              <w:spacing w:after="0"/>
              <w:rPr>
                <w:sz w:val="20"/>
                <w:szCs w:val="20"/>
                <w:color w:val="auto"/>
              </w:rPr>
            </w:pPr>
            <w:r>
              <w:rPr>
                <w:rFonts w:ascii="Arial" w:cs="Arial" w:eastAsia="Arial" w:hAnsi="Arial"/>
                <w:sz w:val="18"/>
                <w:szCs w:val="18"/>
                <w:color w:val="auto"/>
                <w:w w:val="98"/>
              </w:rPr>
              <w:t>(2,775)</w:t>
            </w:r>
          </w:p>
        </w:tc>
        <w:tc>
          <w:tcPr>
            <w:tcW w:w="1380" w:type="dxa"/>
            <w:vAlign w:val="bottom"/>
            <w:tcBorders>
              <w:bottom w:val="single" w:sz="8" w:color="E5EBEE"/>
            </w:tcBorders>
            <w:gridSpan w:val="4"/>
            <w:shd w:val="clear" w:color="auto" w:fill="E5EBEE"/>
          </w:tcPr>
          <w:p>
            <w:pPr>
              <w:jc w:val="center"/>
              <w:ind w:left="352"/>
              <w:spacing w:after="0"/>
              <w:rPr>
                <w:sz w:val="20"/>
                <w:szCs w:val="20"/>
                <w:color w:val="auto"/>
              </w:rPr>
            </w:pPr>
            <w:r>
              <w:rPr>
                <w:rFonts w:ascii="Arial" w:cs="Arial" w:eastAsia="Arial" w:hAnsi="Arial"/>
                <w:sz w:val="18"/>
                <w:szCs w:val="18"/>
                <w:color w:val="auto"/>
                <w:w w:val="99"/>
              </w:rPr>
              <w:t>(293)</w:t>
            </w:r>
          </w:p>
        </w:tc>
        <w:tc>
          <w:tcPr>
            <w:tcW w:w="4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9"/>
              </w:rPr>
              <w:t>(70)</w:t>
            </w:r>
          </w:p>
        </w:tc>
        <w:tc>
          <w:tcPr>
            <w:tcW w:w="0" w:type="dxa"/>
            <w:vAlign w:val="bottom"/>
          </w:tcPr>
          <w:p>
            <w:pPr>
              <w:spacing w:after="0"/>
              <w:rPr>
                <w:sz w:val="1"/>
                <w:szCs w:val="1"/>
                <w:color w:val="auto"/>
              </w:rPr>
            </w:pPr>
          </w:p>
        </w:tc>
      </w:tr>
      <w:tr>
        <w:trPr>
          <w:trHeight w:val="300"/>
        </w:trPr>
        <w:tc>
          <w:tcPr>
            <w:tcW w:w="7300" w:type="dxa"/>
            <w:vAlign w:val="bottom"/>
          </w:tcPr>
          <w:p>
            <w:pPr>
              <w:ind w:left="100"/>
              <w:spacing w:after="0"/>
              <w:rPr>
                <w:sz w:val="20"/>
                <w:szCs w:val="20"/>
                <w:color w:val="auto"/>
              </w:rPr>
            </w:pPr>
            <w:r>
              <w:rPr>
                <w:rFonts w:ascii="Arial" w:cs="Arial" w:eastAsia="Arial" w:hAnsi="Arial"/>
                <w:sz w:val="18"/>
                <w:szCs w:val="18"/>
                <w:b w:val="1"/>
                <w:bCs w:val="1"/>
                <w:color w:val="auto"/>
              </w:rPr>
              <w:t>Adjusted net income available to common stockholders (non-GAAP)</w:t>
            </w:r>
          </w:p>
        </w:tc>
        <w:tc>
          <w:tcPr>
            <w:tcW w:w="40" w:type="dxa"/>
            <w:vAlign w:val="bottom"/>
          </w:tcPr>
          <w:p>
            <w:pPr>
              <w:spacing w:after="0"/>
              <w:rPr>
                <w:sz w:val="24"/>
                <w:szCs w:val="24"/>
                <w:color w:val="auto"/>
              </w:rPr>
            </w:pPr>
          </w:p>
        </w:tc>
        <w:tc>
          <w:tcPr>
            <w:tcW w:w="1060" w:type="dxa"/>
            <w:vAlign w:val="bottom"/>
            <w:tcBorders>
              <w:top w:val="single" w:sz="8" w:color="023C5B"/>
            </w:tcBorders>
          </w:tcPr>
          <w:p>
            <w:pPr>
              <w:jc w:val="center"/>
              <w:ind w:left="292"/>
              <w:spacing w:after="0"/>
              <w:rPr>
                <w:sz w:val="20"/>
                <w:szCs w:val="20"/>
                <w:color w:val="auto"/>
              </w:rPr>
            </w:pPr>
            <w:r>
              <w:rPr>
                <w:rFonts w:ascii="Arial" w:cs="Arial" w:eastAsia="Arial" w:hAnsi="Arial"/>
                <w:sz w:val="18"/>
                <w:szCs w:val="18"/>
                <w:color w:val="auto"/>
                <w:w w:val="98"/>
              </w:rPr>
              <w:t>$10,615</w:t>
            </w:r>
          </w:p>
        </w:tc>
        <w:tc>
          <w:tcPr>
            <w:tcW w:w="200" w:type="dxa"/>
            <w:vAlign w:val="bottom"/>
            <w:tcBorders>
              <w:top w:val="single" w:sz="8" w:color="023C5B"/>
            </w:tcBorders>
            <w:gridSpan w:val="2"/>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Borders>
              <w:top w:val="single" w:sz="8" w:color="023C5B"/>
            </w:tcBorders>
          </w:tcPr>
          <w:p>
            <w:pPr>
              <w:jc w:val="center"/>
              <w:ind w:left="91"/>
              <w:spacing w:after="0"/>
              <w:rPr>
                <w:sz w:val="20"/>
                <w:szCs w:val="20"/>
                <w:color w:val="auto"/>
              </w:rPr>
            </w:pPr>
            <w:r>
              <w:rPr>
                <w:rFonts w:ascii="Arial" w:cs="Arial" w:eastAsia="Arial" w:hAnsi="Arial"/>
                <w:sz w:val="18"/>
                <w:szCs w:val="18"/>
                <w:color w:val="auto"/>
                <w:w w:val="98"/>
              </w:rPr>
              <w:t>$5,355</w:t>
            </w:r>
          </w:p>
        </w:tc>
        <w:tc>
          <w:tcPr>
            <w:tcW w:w="40" w:type="dxa"/>
            <w:vAlign w:val="bottom"/>
          </w:tcPr>
          <w:p>
            <w:pPr>
              <w:spacing w:after="0"/>
              <w:rPr>
                <w:sz w:val="24"/>
                <w:szCs w:val="24"/>
                <w:color w:val="auto"/>
              </w:rPr>
            </w:pPr>
          </w:p>
        </w:tc>
        <w:tc>
          <w:tcPr>
            <w:tcW w:w="1100" w:type="dxa"/>
            <w:vAlign w:val="bottom"/>
            <w:tcBorders>
              <w:top w:val="single" w:sz="8" w:color="023C5B"/>
            </w:tcBorders>
          </w:tcPr>
          <w:p>
            <w:pPr>
              <w:jc w:val="center"/>
              <w:ind w:left="111"/>
              <w:spacing w:after="0"/>
              <w:rPr>
                <w:sz w:val="20"/>
                <w:szCs w:val="20"/>
                <w:color w:val="auto"/>
              </w:rPr>
            </w:pPr>
            <w:r>
              <w:rPr>
                <w:rFonts w:ascii="Arial" w:cs="Arial" w:eastAsia="Arial" w:hAnsi="Arial"/>
                <w:sz w:val="18"/>
                <w:szCs w:val="18"/>
                <w:color w:val="auto"/>
                <w:w w:val="98"/>
              </w:rPr>
              <w:t>$4,801</w:t>
            </w:r>
          </w:p>
        </w:tc>
        <w:tc>
          <w:tcPr>
            <w:tcW w:w="0" w:type="dxa"/>
            <w:vAlign w:val="bottom"/>
          </w:tcPr>
          <w:p>
            <w:pPr>
              <w:spacing w:after="0"/>
              <w:rPr>
                <w:sz w:val="1"/>
                <w:szCs w:val="1"/>
                <w:color w:val="auto"/>
              </w:rPr>
            </w:pPr>
          </w:p>
        </w:tc>
      </w:tr>
      <w:tr>
        <w:trPr>
          <w:trHeight w:val="54"/>
        </w:trPr>
        <w:tc>
          <w:tcPr>
            <w:tcW w:w="734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023C5B"/>
              <w:bottom w:val="single" w:sz="8" w:color="023C5B"/>
            </w:tcBorders>
          </w:tcPr>
          <w:p>
            <w:pPr>
              <w:spacing w:after="0" w:line="20" w:lineRule="exact"/>
              <w:rPr>
                <w:sz w:val="1"/>
                <w:szCs w:val="1"/>
                <w:color w:val="auto"/>
              </w:rPr>
            </w:pPr>
          </w:p>
        </w:tc>
        <w:tc>
          <w:tcPr>
            <w:tcW w:w="20" w:type="dxa"/>
            <w:vAlign w:val="bottom"/>
            <w:tcBorders>
              <w:top w:val="single" w:sz="8" w:color="023C5B"/>
              <w:bottom w:val="single" w:sz="8" w:color="023C5B"/>
            </w:tcBorders>
          </w:tcPr>
          <w:p>
            <w:pPr>
              <w:spacing w:after="0" w:line="20" w:lineRule="exact"/>
              <w:rPr>
                <w:sz w:val="1"/>
                <w:szCs w:val="1"/>
                <w:color w:val="auto"/>
              </w:rPr>
            </w:pPr>
          </w:p>
        </w:tc>
        <w:tc>
          <w:tcPr>
            <w:tcW w:w="180" w:type="dxa"/>
            <w:vAlign w:val="bottom"/>
            <w:tcBorders>
              <w:top w:val="single" w:sz="8" w:color="023C5B"/>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023C5B"/>
              <w:bottom w:val="single" w:sz="8" w:color="023C5B"/>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top w:val="single" w:sz="8" w:color="023C5B"/>
              <w:bottom w:val="single" w:sz="8" w:color="023C5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400" w:type="dxa"/>
            <w:vAlign w:val="bottom"/>
            <w:gridSpan w:val="3"/>
            <w:vMerge w:val="restart"/>
          </w:tcPr>
          <w:p>
            <w:pPr>
              <w:ind w:left="5360"/>
              <w:spacing w:after="0"/>
              <w:rPr>
                <w:sz w:val="20"/>
                <w:szCs w:val="20"/>
                <w:color w:val="auto"/>
              </w:rPr>
            </w:pPr>
            <w:r>
              <w:rPr>
                <w:rFonts w:ascii="Arial" w:cs="Arial" w:eastAsia="Arial" w:hAnsi="Arial"/>
                <w:sz w:val="15"/>
                <w:szCs w:val="15"/>
                <w:color w:val="023C5B"/>
              </w:rPr>
              <w:t>CAPITAL ONE FINANCIAL CORPORATION</w:t>
            </w:r>
          </w:p>
        </w:tc>
        <w:tc>
          <w:tcPr>
            <w:tcW w:w="20" w:type="dxa"/>
            <w:vAlign w:val="bottom"/>
          </w:tcPr>
          <w:p>
            <w:pPr>
              <w:spacing w:after="0"/>
              <w:rPr>
                <w:sz w:val="13"/>
                <w:szCs w:val="13"/>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5"/>
                <w:szCs w:val="15"/>
                <w:b w:val="1"/>
                <w:bCs w:val="1"/>
                <w:color w:val="023C5B"/>
                <w:w w:val="99"/>
              </w:rPr>
              <w:t xml:space="preserve">  2026 PROXY STATEMENT  </w:t>
            </w:r>
            <w:r>
              <w:rPr>
                <w:rFonts w:ascii="Arial" w:cs="Arial" w:eastAsia="Arial" w:hAnsi="Arial"/>
                <w:sz w:val="17"/>
                <w:szCs w:val="17"/>
                <w:b w:val="1"/>
                <w:bCs w:val="1"/>
                <w:color w:val="000000"/>
                <w:w w:val="99"/>
              </w:rPr>
              <w:t xml:space="preserve">  137</w:t>
            </w:r>
          </w:p>
        </w:tc>
        <w:tc>
          <w:tcPr>
            <w:tcW w:w="0" w:type="dxa"/>
            <w:vAlign w:val="bottom"/>
          </w:tcPr>
          <w:p>
            <w:pPr>
              <w:spacing w:after="0"/>
              <w:rPr>
                <w:sz w:val="1"/>
                <w:szCs w:val="1"/>
                <w:color w:val="auto"/>
              </w:rPr>
            </w:pPr>
          </w:p>
        </w:tc>
      </w:tr>
      <w:tr>
        <w:trPr>
          <w:trHeight w:val="230"/>
        </w:trPr>
        <w:tc>
          <w:tcPr>
            <w:tcW w:w="8400" w:type="dxa"/>
            <w:vAlign w:val="bottom"/>
            <w:gridSpan w:val="3"/>
            <w:vMerge w:val="continue"/>
          </w:tcPr>
          <w:p>
            <w:pPr>
              <w:spacing w:after="0"/>
              <w:rPr>
                <w:sz w:val="19"/>
                <w:szCs w:val="19"/>
                <w:color w:val="auto"/>
              </w:rPr>
            </w:pPr>
          </w:p>
        </w:tc>
        <w:tc>
          <w:tcPr>
            <w:tcW w:w="20" w:type="dxa"/>
            <w:vAlign w:val="bottom"/>
            <w:shd w:val="clear" w:color="auto" w:fill="023C5B"/>
          </w:tcPr>
          <w:p>
            <w:pPr>
              <w:spacing w:after="0"/>
              <w:rPr>
                <w:sz w:val="19"/>
                <w:szCs w:val="19"/>
                <w:color w:val="auto"/>
              </w:rPr>
            </w:pPr>
          </w:p>
        </w:tc>
        <w:tc>
          <w:tcPr>
            <w:tcW w:w="25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7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shd w:val="clear" w:color="auto" w:fill="023C5B"/>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78"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Appendix A - Information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64287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929755" cy="6428740"/>
                    </a:xfrm>
                    <a:prstGeom prst="rect">
                      <a:avLst/>
                    </a:prstGeom>
                    <a:noFill/>
                  </pic:spPr>
                </pic:pic>
              </a:graphicData>
            </a:graphic>
          </wp:anchor>
        </w:drawing>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7300" w:type="dxa"/>
            <w:vAlign w:val="bottom"/>
            <w:shd w:val="clear" w:color="auto" w:fill="023C5B"/>
          </w:tcPr>
          <w:p>
            <w:pPr>
              <w:spacing w:after="0"/>
              <w:rPr>
                <w:sz w:val="22"/>
                <w:szCs w:val="22"/>
                <w:color w:val="auto"/>
              </w:rPr>
            </w:pPr>
          </w:p>
        </w:tc>
        <w:tc>
          <w:tcPr>
            <w:tcW w:w="40" w:type="dxa"/>
            <w:vAlign w:val="bottom"/>
            <w:shd w:val="clear" w:color="auto" w:fill="023C5B"/>
          </w:tcPr>
          <w:p>
            <w:pPr>
              <w:spacing w:after="0"/>
              <w:rPr>
                <w:sz w:val="22"/>
                <w:szCs w:val="22"/>
                <w:color w:val="auto"/>
              </w:rPr>
            </w:pPr>
          </w:p>
        </w:tc>
        <w:tc>
          <w:tcPr>
            <w:tcW w:w="3580" w:type="dxa"/>
            <w:vAlign w:val="bottom"/>
            <w:gridSpan w:val="5"/>
            <w:shd w:val="clear" w:color="auto" w:fill="023C5B"/>
          </w:tcPr>
          <w:p>
            <w:pPr>
              <w:ind w:left="860"/>
              <w:spacing w:after="0"/>
              <w:rPr>
                <w:sz w:val="20"/>
                <w:szCs w:val="20"/>
                <w:color w:val="auto"/>
              </w:rPr>
            </w:pPr>
            <w:r>
              <w:rPr>
                <w:rFonts w:ascii="Arial" w:cs="Arial" w:eastAsia="Arial" w:hAnsi="Arial"/>
                <w:sz w:val="16"/>
                <w:szCs w:val="16"/>
                <w:b w:val="1"/>
                <w:bCs w:val="1"/>
                <w:color w:val="FFFFFF"/>
              </w:rPr>
              <w:t>Year Ended December 31,</w:t>
            </w:r>
          </w:p>
        </w:tc>
      </w:tr>
      <w:tr>
        <w:trPr>
          <w:trHeight w:val="401"/>
        </w:trPr>
        <w:tc>
          <w:tcPr>
            <w:tcW w:w="7300" w:type="dxa"/>
            <w:vAlign w:val="bottom"/>
            <w:tcBorders>
              <w:bottom w:val="single" w:sz="8" w:color="023C5B"/>
            </w:tcBorders>
            <w:shd w:val="clear" w:color="auto" w:fill="023C5B"/>
          </w:tcPr>
          <w:p>
            <w:pPr>
              <w:ind w:left="100"/>
              <w:spacing w:after="0"/>
              <w:rPr>
                <w:sz w:val="20"/>
                <w:szCs w:val="20"/>
                <w:color w:val="auto"/>
              </w:rPr>
            </w:pPr>
            <w:r>
              <w:rPr>
                <w:rFonts w:ascii="Arial" w:cs="Arial" w:eastAsia="Arial" w:hAnsi="Arial"/>
                <w:sz w:val="16"/>
                <w:szCs w:val="16"/>
                <w:b w:val="1"/>
                <w:bCs w:val="1"/>
                <w:color w:val="FFFFFF"/>
              </w:rPr>
              <w:t>(Dollars in millions, except per share data and as noted)</w:t>
            </w:r>
          </w:p>
        </w:tc>
        <w:tc>
          <w:tcPr>
            <w:tcW w:w="1240" w:type="dxa"/>
            <w:vAlign w:val="bottom"/>
            <w:tcBorders>
              <w:bottom w:val="single" w:sz="8" w:color="023C5B"/>
            </w:tcBorders>
            <w:gridSpan w:val="2"/>
            <w:shd w:val="clear" w:color="auto" w:fill="023C5B"/>
          </w:tcPr>
          <w:p>
            <w:pPr>
              <w:jc w:val="center"/>
              <w:ind w:left="71"/>
              <w:spacing w:after="0"/>
              <w:rPr>
                <w:sz w:val="20"/>
                <w:szCs w:val="20"/>
                <w:color w:val="auto"/>
              </w:rPr>
            </w:pPr>
            <w:r>
              <w:rPr>
                <w:rFonts w:ascii="Arial" w:cs="Arial" w:eastAsia="Arial" w:hAnsi="Arial"/>
                <w:sz w:val="16"/>
                <w:szCs w:val="16"/>
                <w:b w:val="1"/>
                <w:bCs w:val="1"/>
                <w:color w:val="FFFFFF"/>
              </w:rPr>
              <w:t>2025</w:t>
            </w:r>
          </w:p>
        </w:tc>
        <w:tc>
          <w:tcPr>
            <w:tcW w:w="60" w:type="dxa"/>
            <w:vAlign w:val="bottom"/>
            <w:tcBorders>
              <w:bottom w:val="single" w:sz="8" w:color="023C5B"/>
            </w:tcBorders>
            <w:shd w:val="clear" w:color="auto" w:fill="023C5B"/>
          </w:tcPr>
          <w:p>
            <w:pPr>
              <w:spacing w:after="0"/>
              <w:rPr>
                <w:sz w:val="24"/>
                <w:szCs w:val="24"/>
                <w:color w:val="auto"/>
              </w:rPr>
            </w:pPr>
          </w:p>
        </w:tc>
        <w:tc>
          <w:tcPr>
            <w:tcW w:w="1140" w:type="dxa"/>
            <w:vAlign w:val="bottom"/>
            <w:tcBorders>
              <w:bottom w:val="single" w:sz="8" w:color="023C5B"/>
            </w:tcBorders>
            <w:shd w:val="clear" w:color="auto" w:fill="023C5B"/>
          </w:tcPr>
          <w:p>
            <w:pPr>
              <w:jc w:val="center"/>
              <w:ind w:left="91"/>
              <w:spacing w:after="0"/>
              <w:rPr>
                <w:sz w:val="20"/>
                <w:szCs w:val="20"/>
                <w:color w:val="auto"/>
              </w:rPr>
            </w:pPr>
            <w:r>
              <w:rPr>
                <w:rFonts w:ascii="Arial" w:cs="Arial" w:eastAsia="Arial" w:hAnsi="Arial"/>
                <w:sz w:val="16"/>
                <w:szCs w:val="16"/>
                <w:b w:val="1"/>
                <w:bCs w:val="1"/>
                <w:color w:val="FFFFFF"/>
              </w:rPr>
              <w:t>2024</w:t>
            </w:r>
          </w:p>
        </w:tc>
        <w:tc>
          <w:tcPr>
            <w:tcW w:w="40" w:type="dxa"/>
            <w:vAlign w:val="bottom"/>
            <w:tcBorders>
              <w:bottom w:val="single" w:sz="8" w:color="023C5B"/>
            </w:tcBorders>
            <w:shd w:val="clear" w:color="auto" w:fill="023C5B"/>
          </w:tcPr>
          <w:p>
            <w:pPr>
              <w:spacing w:after="0"/>
              <w:rPr>
                <w:sz w:val="24"/>
                <w:szCs w:val="24"/>
                <w:color w:val="auto"/>
              </w:rPr>
            </w:pPr>
          </w:p>
        </w:tc>
        <w:tc>
          <w:tcPr>
            <w:tcW w:w="1140" w:type="dxa"/>
            <w:vAlign w:val="bottom"/>
            <w:tcBorders>
              <w:bottom w:val="single" w:sz="8" w:color="023C5B"/>
            </w:tcBorders>
            <w:shd w:val="clear" w:color="auto" w:fill="023C5B"/>
          </w:tcPr>
          <w:p>
            <w:pPr>
              <w:jc w:val="center"/>
              <w:ind w:left="91"/>
              <w:spacing w:after="0"/>
              <w:rPr>
                <w:sz w:val="20"/>
                <w:szCs w:val="20"/>
                <w:color w:val="auto"/>
              </w:rPr>
            </w:pPr>
            <w:r>
              <w:rPr>
                <w:rFonts w:ascii="Arial" w:cs="Arial" w:eastAsia="Arial" w:hAnsi="Arial"/>
                <w:sz w:val="16"/>
                <w:szCs w:val="16"/>
                <w:b w:val="1"/>
                <w:bCs w:val="1"/>
                <w:color w:val="FFFFFF"/>
              </w:rPr>
              <w:t>2023</w:t>
            </w:r>
          </w:p>
        </w:tc>
      </w:tr>
      <w:tr>
        <w:trPr>
          <w:trHeight w:val="288"/>
        </w:trPr>
        <w:tc>
          <w:tcPr>
            <w:tcW w:w="730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b w:val="1"/>
                <w:bCs w:val="1"/>
                <w:color w:val="auto"/>
              </w:rPr>
              <w:t>Adjusted diluted earnings per share (“EPS”):</w:t>
            </w:r>
          </w:p>
        </w:tc>
        <w:tc>
          <w:tcPr>
            <w:tcW w:w="40" w:type="dxa"/>
            <w:vAlign w:val="bottom"/>
            <w:tcBorders>
              <w:bottom w:val="single" w:sz="8" w:color="E5EBEE"/>
            </w:tcBorders>
            <w:shd w:val="clear" w:color="auto" w:fill="E5EBEE"/>
          </w:tcPr>
          <w:p>
            <w:pPr>
              <w:spacing w:after="0"/>
              <w:rPr>
                <w:sz w:val="24"/>
                <w:szCs w:val="24"/>
                <w:color w:val="auto"/>
              </w:rPr>
            </w:pPr>
          </w:p>
        </w:tc>
        <w:tc>
          <w:tcPr>
            <w:tcW w:w="1200" w:type="dxa"/>
            <w:vAlign w:val="bottom"/>
            <w:tcBorders>
              <w:bottom w:val="single" w:sz="8" w:color="E5EBEE"/>
            </w:tcBorders>
            <w:shd w:val="clear" w:color="auto" w:fill="E5EBEE"/>
          </w:tcPr>
          <w:p>
            <w:pPr>
              <w:spacing w:after="0"/>
              <w:rPr>
                <w:sz w:val="24"/>
                <w:szCs w:val="24"/>
                <w:color w:val="auto"/>
              </w:rPr>
            </w:pPr>
          </w:p>
        </w:tc>
        <w:tc>
          <w:tcPr>
            <w:tcW w:w="6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spacing w:after="0"/>
              <w:rPr>
                <w:sz w:val="24"/>
                <w:szCs w:val="24"/>
                <w:color w:val="auto"/>
              </w:rPr>
            </w:pPr>
          </w:p>
        </w:tc>
        <w:tc>
          <w:tcPr>
            <w:tcW w:w="4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spacing w:after="0"/>
              <w:rPr>
                <w:sz w:val="24"/>
                <w:szCs w:val="24"/>
                <w:color w:val="auto"/>
              </w:rPr>
            </w:pPr>
          </w:p>
        </w:tc>
      </w:tr>
      <w:tr>
        <w:trPr>
          <w:trHeight w:val="270"/>
        </w:trPr>
        <w:tc>
          <w:tcPr>
            <w:tcW w:w="7300" w:type="dxa"/>
            <w:vAlign w:val="bottom"/>
          </w:tcPr>
          <w:p>
            <w:pPr>
              <w:ind w:left="100"/>
              <w:spacing w:after="0"/>
              <w:rPr>
                <w:sz w:val="20"/>
                <w:szCs w:val="20"/>
                <w:color w:val="auto"/>
              </w:rPr>
            </w:pPr>
            <w:r>
              <w:rPr>
                <w:rFonts w:ascii="Arial" w:cs="Arial" w:eastAsia="Arial" w:hAnsi="Arial"/>
                <w:sz w:val="18"/>
                <w:szCs w:val="18"/>
                <w:color w:val="auto"/>
              </w:rPr>
              <w:t>Adjusted net income available to common stockholders (non-GAAP)</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rPr>
              <w:t>$10,615</w:t>
            </w:r>
          </w:p>
        </w:tc>
        <w:tc>
          <w:tcPr>
            <w:tcW w:w="60" w:type="dxa"/>
            <w:vAlign w:val="bottom"/>
          </w:tcPr>
          <w:p>
            <w:pPr>
              <w:spacing w:after="0"/>
              <w:rPr>
                <w:sz w:val="23"/>
                <w:szCs w:val="23"/>
                <w:color w:val="auto"/>
              </w:rPr>
            </w:pPr>
          </w:p>
        </w:tc>
        <w:tc>
          <w:tcPr>
            <w:tcW w:w="1140" w:type="dxa"/>
            <w:vAlign w:val="bottom"/>
          </w:tcPr>
          <w:p>
            <w:pPr>
              <w:jc w:val="center"/>
              <w:ind w:left="71"/>
              <w:spacing w:after="0"/>
              <w:rPr>
                <w:sz w:val="20"/>
                <w:szCs w:val="20"/>
                <w:color w:val="auto"/>
              </w:rPr>
            </w:pPr>
            <w:r>
              <w:rPr>
                <w:rFonts w:ascii="Arial" w:cs="Arial" w:eastAsia="Arial" w:hAnsi="Arial"/>
                <w:sz w:val="18"/>
                <w:szCs w:val="18"/>
                <w:color w:val="auto"/>
                <w:w w:val="98"/>
              </w:rPr>
              <w:t>$5,355</w:t>
            </w:r>
          </w:p>
        </w:tc>
        <w:tc>
          <w:tcPr>
            <w:tcW w:w="40" w:type="dxa"/>
            <w:vAlign w:val="bottom"/>
          </w:tcPr>
          <w:p>
            <w:pPr>
              <w:spacing w:after="0"/>
              <w:rPr>
                <w:sz w:val="23"/>
                <w:szCs w:val="23"/>
                <w:color w:val="auto"/>
              </w:rPr>
            </w:pPr>
          </w:p>
        </w:tc>
        <w:tc>
          <w:tcPr>
            <w:tcW w:w="1140" w:type="dxa"/>
            <w:vAlign w:val="bottom"/>
          </w:tcPr>
          <w:p>
            <w:pPr>
              <w:jc w:val="center"/>
              <w:ind w:left="111"/>
              <w:spacing w:after="0"/>
              <w:rPr>
                <w:sz w:val="20"/>
                <w:szCs w:val="20"/>
                <w:color w:val="auto"/>
              </w:rPr>
            </w:pPr>
            <w:r>
              <w:rPr>
                <w:rFonts w:ascii="Arial" w:cs="Arial" w:eastAsia="Arial" w:hAnsi="Arial"/>
                <w:sz w:val="18"/>
                <w:szCs w:val="18"/>
                <w:color w:val="auto"/>
                <w:w w:val="98"/>
              </w:rPr>
              <w:t>$4,801</w:t>
            </w: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1"/>
        </w:trPr>
        <w:tc>
          <w:tcPr>
            <w:tcW w:w="730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color w:val="auto"/>
              </w:rPr>
              <w:t>Diluted weighted-average common shares outstanding (in millions) (GAAP)</w:t>
            </w:r>
          </w:p>
        </w:tc>
        <w:tc>
          <w:tcPr>
            <w:tcW w:w="1240" w:type="dxa"/>
            <w:vAlign w:val="bottom"/>
            <w:tcBorders>
              <w:bottom w:val="single" w:sz="8" w:color="E5EBEE"/>
            </w:tcBorders>
            <w:gridSpan w:val="2"/>
            <w:shd w:val="clear" w:color="auto" w:fill="E5EBEE"/>
          </w:tcPr>
          <w:p>
            <w:pPr>
              <w:jc w:val="center"/>
              <w:ind w:left="51"/>
              <w:spacing w:after="0"/>
              <w:rPr>
                <w:sz w:val="20"/>
                <w:szCs w:val="20"/>
                <w:color w:val="auto"/>
              </w:rPr>
            </w:pPr>
            <w:r>
              <w:rPr>
                <w:rFonts w:ascii="Arial" w:cs="Arial" w:eastAsia="Arial" w:hAnsi="Arial"/>
                <w:sz w:val="18"/>
                <w:szCs w:val="18"/>
                <w:color w:val="auto"/>
              </w:rPr>
              <w:t>541.3</w:t>
            </w:r>
          </w:p>
        </w:tc>
        <w:tc>
          <w:tcPr>
            <w:tcW w:w="6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7"/>
              </w:rPr>
              <w:t>383.6</w:t>
            </w:r>
          </w:p>
        </w:tc>
        <w:tc>
          <w:tcPr>
            <w:tcW w:w="4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7"/>
              </w:rPr>
              <w:t>383.4</w:t>
            </w:r>
          </w:p>
        </w:tc>
      </w:tr>
      <w:tr>
        <w:trPr>
          <w:trHeight w:val="270"/>
        </w:trPr>
        <w:tc>
          <w:tcPr>
            <w:tcW w:w="7300" w:type="dxa"/>
            <w:vAlign w:val="bottom"/>
          </w:tcPr>
          <w:p>
            <w:pPr>
              <w:ind w:left="100"/>
              <w:spacing w:after="0"/>
              <w:rPr>
                <w:sz w:val="20"/>
                <w:szCs w:val="20"/>
                <w:color w:val="auto"/>
              </w:rPr>
            </w:pPr>
            <w:r>
              <w:rPr>
                <w:rFonts w:ascii="Arial" w:cs="Arial" w:eastAsia="Arial" w:hAnsi="Arial"/>
                <w:sz w:val="18"/>
                <w:szCs w:val="18"/>
                <w:color w:val="auto"/>
              </w:rPr>
              <w:t>Diluted EPS (GAAP)</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23"/>
                <w:szCs w:val="23"/>
                <w:color w:val="auto"/>
              </w:rPr>
            </w:pPr>
          </w:p>
        </w:tc>
        <w:tc>
          <w:tcPr>
            <w:tcW w:w="1140" w:type="dxa"/>
            <w:vAlign w:val="bottom"/>
          </w:tcPr>
          <w:p>
            <w:pPr>
              <w:jc w:val="center"/>
              <w:ind w:left="71"/>
              <w:spacing w:after="0"/>
              <w:rPr>
                <w:sz w:val="20"/>
                <w:szCs w:val="20"/>
                <w:color w:val="auto"/>
              </w:rPr>
            </w:pPr>
            <w:r>
              <w:rPr>
                <w:rFonts w:ascii="Arial" w:cs="Arial" w:eastAsia="Arial" w:hAnsi="Arial"/>
                <w:sz w:val="18"/>
                <w:szCs w:val="18"/>
                <w:color w:val="auto"/>
                <w:w w:val="98"/>
              </w:rPr>
              <w:t>$11.59</w:t>
            </w:r>
          </w:p>
        </w:tc>
        <w:tc>
          <w:tcPr>
            <w:tcW w:w="40" w:type="dxa"/>
            <w:vAlign w:val="bottom"/>
          </w:tcPr>
          <w:p>
            <w:pPr>
              <w:spacing w:after="0"/>
              <w:rPr>
                <w:sz w:val="23"/>
                <w:szCs w:val="23"/>
                <w:color w:val="auto"/>
              </w:rPr>
            </w:pPr>
          </w:p>
        </w:tc>
        <w:tc>
          <w:tcPr>
            <w:tcW w:w="1140" w:type="dxa"/>
            <w:vAlign w:val="bottom"/>
          </w:tcPr>
          <w:p>
            <w:pPr>
              <w:jc w:val="center"/>
              <w:ind w:left="111"/>
              <w:spacing w:after="0"/>
              <w:rPr>
                <w:sz w:val="20"/>
                <w:szCs w:val="20"/>
                <w:color w:val="auto"/>
              </w:rPr>
            </w:pPr>
            <w:r>
              <w:rPr>
                <w:rFonts w:ascii="Arial" w:cs="Arial" w:eastAsia="Arial" w:hAnsi="Arial"/>
                <w:sz w:val="18"/>
                <w:szCs w:val="18"/>
                <w:color w:val="auto"/>
                <w:w w:val="98"/>
              </w:rPr>
              <w:t>$11.95</w:t>
            </w:r>
          </w:p>
        </w:tc>
      </w:tr>
      <w:tr>
        <w:trPr>
          <w:trHeight w:val="38"/>
        </w:trPr>
        <w:tc>
          <w:tcPr>
            <w:tcW w:w="7300" w:type="dxa"/>
            <w:vAlign w:val="bottom"/>
            <w:tcBorders>
              <w:bottom w:val="single" w:sz="8" w:color="E5EBEE"/>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1200" w:type="dxa"/>
            <w:vAlign w:val="bottom"/>
            <w:tcBorders>
              <w:bottom w:val="single" w:sz="8" w:color="023C5B"/>
            </w:tcBorders>
          </w:tcPr>
          <w:p>
            <w:pPr>
              <w:spacing w:after="0"/>
              <w:rPr>
                <w:sz w:val="3"/>
                <w:szCs w:val="3"/>
                <w:color w:val="auto"/>
              </w:rPr>
            </w:pPr>
          </w:p>
        </w:tc>
        <w:tc>
          <w:tcPr>
            <w:tcW w:w="60" w:type="dxa"/>
            <w:vAlign w:val="bottom"/>
            <w:tcBorders>
              <w:bottom w:val="single" w:sz="8" w:color="E5EBEE"/>
            </w:tcBorders>
          </w:tcPr>
          <w:p>
            <w:pPr>
              <w:spacing w:after="0"/>
              <w:rPr>
                <w:sz w:val="3"/>
                <w:szCs w:val="3"/>
                <w:color w:val="auto"/>
              </w:rPr>
            </w:pPr>
          </w:p>
        </w:tc>
        <w:tc>
          <w:tcPr>
            <w:tcW w:w="1140" w:type="dxa"/>
            <w:vAlign w:val="bottom"/>
            <w:tcBorders>
              <w:bottom w:val="single" w:sz="8" w:color="023C5B"/>
            </w:tcBorders>
          </w:tcPr>
          <w:p>
            <w:pPr>
              <w:spacing w:after="0"/>
              <w:rPr>
                <w:sz w:val="3"/>
                <w:szCs w:val="3"/>
                <w:color w:val="auto"/>
              </w:rPr>
            </w:pPr>
          </w:p>
        </w:tc>
        <w:tc>
          <w:tcPr>
            <w:tcW w:w="40" w:type="dxa"/>
            <w:vAlign w:val="bottom"/>
            <w:tcBorders>
              <w:bottom w:val="single" w:sz="8" w:color="E5EBEE"/>
            </w:tcBorders>
          </w:tcPr>
          <w:p>
            <w:pPr>
              <w:spacing w:after="0"/>
              <w:rPr>
                <w:sz w:val="3"/>
                <w:szCs w:val="3"/>
                <w:color w:val="auto"/>
              </w:rPr>
            </w:pPr>
          </w:p>
        </w:tc>
        <w:tc>
          <w:tcPr>
            <w:tcW w:w="1140" w:type="dxa"/>
            <w:vAlign w:val="bottom"/>
            <w:tcBorders>
              <w:bottom w:val="single" w:sz="8" w:color="023C5B"/>
            </w:tcBorders>
          </w:tcPr>
          <w:p>
            <w:pPr>
              <w:spacing w:after="0"/>
              <w:rPr>
                <w:sz w:val="3"/>
                <w:szCs w:val="3"/>
                <w:color w:val="auto"/>
              </w:rPr>
            </w:pPr>
          </w:p>
        </w:tc>
      </w:tr>
      <w:tr>
        <w:trPr>
          <w:trHeight w:val="288"/>
        </w:trPr>
        <w:tc>
          <w:tcPr>
            <w:tcW w:w="730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Impact of adjustments noted above</w:t>
            </w:r>
          </w:p>
        </w:tc>
        <w:tc>
          <w:tcPr>
            <w:tcW w:w="40" w:type="dxa"/>
            <w:vAlign w:val="bottom"/>
            <w:tcBorders>
              <w:bottom w:val="single" w:sz="8" w:color="E5EBEE"/>
            </w:tcBorders>
            <w:shd w:val="clear" w:color="auto" w:fill="E5EBEE"/>
          </w:tcPr>
          <w:p>
            <w:pPr>
              <w:spacing w:after="0"/>
              <w:rPr>
                <w:sz w:val="24"/>
                <w:szCs w:val="24"/>
                <w:color w:val="auto"/>
              </w:rPr>
            </w:pPr>
          </w:p>
        </w:tc>
        <w:tc>
          <w:tcPr>
            <w:tcW w:w="1200" w:type="dxa"/>
            <w:vAlign w:val="bottom"/>
            <w:tcBorders>
              <w:bottom w:val="single" w:sz="8" w:color="E5EBEE"/>
            </w:tcBorders>
            <w:shd w:val="clear" w:color="auto" w:fill="E5EBEE"/>
          </w:tcPr>
          <w:p>
            <w:pPr>
              <w:jc w:val="center"/>
              <w:ind w:left="12"/>
              <w:spacing w:after="0"/>
              <w:rPr>
                <w:sz w:val="20"/>
                <w:szCs w:val="20"/>
                <w:color w:val="auto"/>
              </w:rPr>
            </w:pPr>
            <w:r>
              <w:rPr>
                <w:rFonts w:ascii="Arial" w:cs="Arial" w:eastAsia="Arial" w:hAnsi="Arial"/>
                <w:sz w:val="18"/>
                <w:szCs w:val="18"/>
                <w:color w:val="auto"/>
              </w:rPr>
              <w:t>15.58</w:t>
            </w:r>
          </w:p>
        </w:tc>
        <w:tc>
          <w:tcPr>
            <w:tcW w:w="6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71"/>
              <w:spacing w:after="0"/>
              <w:rPr>
                <w:sz w:val="20"/>
                <w:szCs w:val="20"/>
                <w:color w:val="auto"/>
              </w:rPr>
            </w:pPr>
            <w:r>
              <w:rPr>
                <w:rFonts w:ascii="Arial" w:cs="Arial" w:eastAsia="Arial" w:hAnsi="Arial"/>
                <w:sz w:val="18"/>
                <w:szCs w:val="18"/>
                <w:color w:val="auto"/>
                <w:w w:val="96"/>
              </w:rPr>
              <w:t>2.37</w:t>
            </w:r>
          </w:p>
        </w:tc>
        <w:tc>
          <w:tcPr>
            <w:tcW w:w="4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6"/>
              </w:rPr>
              <w:t>0.57</w:t>
            </w:r>
          </w:p>
        </w:tc>
      </w:tr>
      <w:tr>
        <w:trPr>
          <w:trHeight w:val="303"/>
        </w:trPr>
        <w:tc>
          <w:tcPr>
            <w:tcW w:w="7300" w:type="dxa"/>
            <w:vAlign w:val="bottom"/>
          </w:tcPr>
          <w:p>
            <w:pPr>
              <w:ind w:left="100"/>
              <w:spacing w:after="0"/>
              <w:rPr>
                <w:sz w:val="20"/>
                <w:szCs w:val="20"/>
                <w:color w:val="auto"/>
              </w:rPr>
            </w:pPr>
            <w:r>
              <w:rPr>
                <w:rFonts w:ascii="Arial" w:cs="Arial" w:eastAsia="Arial" w:hAnsi="Arial"/>
                <w:sz w:val="18"/>
                <w:szCs w:val="18"/>
                <w:b w:val="1"/>
                <w:bCs w:val="1"/>
                <w:color w:val="auto"/>
              </w:rPr>
              <w:t>Adjusted diluted EPS (non-GAAP)</w:t>
            </w:r>
          </w:p>
        </w:tc>
        <w:tc>
          <w:tcPr>
            <w:tcW w:w="40" w:type="dxa"/>
            <w:vAlign w:val="bottom"/>
          </w:tcPr>
          <w:p>
            <w:pPr>
              <w:spacing w:after="0"/>
              <w:rPr>
                <w:sz w:val="24"/>
                <w:szCs w:val="24"/>
                <w:color w:val="auto"/>
              </w:rPr>
            </w:pPr>
          </w:p>
        </w:tc>
        <w:tc>
          <w:tcPr>
            <w:tcW w:w="1200" w:type="dxa"/>
            <w:vAlign w:val="bottom"/>
            <w:tcBorders>
              <w:top w:val="single" w:sz="8" w:color="023C5B"/>
            </w:tcBorders>
          </w:tcPr>
          <w:p>
            <w:pPr>
              <w:jc w:val="center"/>
              <w:ind w:left="12"/>
              <w:spacing w:after="0"/>
              <w:rPr>
                <w:sz w:val="20"/>
                <w:szCs w:val="20"/>
                <w:color w:val="auto"/>
              </w:rPr>
            </w:pPr>
            <w:r>
              <w:rPr>
                <w:rFonts w:ascii="Arial" w:cs="Arial" w:eastAsia="Arial" w:hAnsi="Arial"/>
                <w:sz w:val="18"/>
                <w:szCs w:val="18"/>
                <w:color w:val="auto"/>
                <w:w w:val="98"/>
              </w:rPr>
              <w:t>$19.61</w:t>
            </w:r>
          </w:p>
        </w:tc>
        <w:tc>
          <w:tcPr>
            <w:tcW w:w="60" w:type="dxa"/>
            <w:vAlign w:val="bottom"/>
          </w:tcPr>
          <w:p>
            <w:pPr>
              <w:spacing w:after="0"/>
              <w:rPr>
                <w:sz w:val="24"/>
                <w:szCs w:val="24"/>
                <w:color w:val="auto"/>
              </w:rPr>
            </w:pPr>
          </w:p>
        </w:tc>
        <w:tc>
          <w:tcPr>
            <w:tcW w:w="1140" w:type="dxa"/>
            <w:vAlign w:val="bottom"/>
            <w:tcBorders>
              <w:top w:val="single" w:sz="8" w:color="auto"/>
            </w:tcBorders>
          </w:tcPr>
          <w:p>
            <w:pPr>
              <w:jc w:val="center"/>
              <w:ind w:left="71"/>
              <w:spacing w:after="0"/>
              <w:rPr>
                <w:sz w:val="20"/>
                <w:szCs w:val="20"/>
                <w:color w:val="auto"/>
              </w:rPr>
            </w:pPr>
            <w:r>
              <w:rPr>
                <w:rFonts w:ascii="Arial" w:cs="Arial" w:eastAsia="Arial" w:hAnsi="Arial"/>
                <w:sz w:val="18"/>
                <w:szCs w:val="18"/>
                <w:color w:val="auto"/>
                <w:w w:val="98"/>
              </w:rPr>
              <w:t>$13.96</w:t>
            </w:r>
          </w:p>
        </w:tc>
        <w:tc>
          <w:tcPr>
            <w:tcW w:w="40" w:type="dxa"/>
            <w:vAlign w:val="bottom"/>
          </w:tcPr>
          <w:p>
            <w:pPr>
              <w:spacing w:after="0"/>
              <w:rPr>
                <w:sz w:val="24"/>
                <w:szCs w:val="24"/>
                <w:color w:val="auto"/>
              </w:rPr>
            </w:pPr>
          </w:p>
        </w:tc>
        <w:tc>
          <w:tcPr>
            <w:tcW w:w="1140" w:type="dxa"/>
            <w:vAlign w:val="bottom"/>
            <w:tcBorders>
              <w:top w:val="single" w:sz="8" w:color="023C5B"/>
            </w:tcBorders>
          </w:tcPr>
          <w:p>
            <w:pPr>
              <w:jc w:val="center"/>
              <w:ind w:left="111"/>
              <w:spacing w:after="0"/>
              <w:rPr>
                <w:sz w:val="20"/>
                <w:szCs w:val="20"/>
                <w:color w:val="auto"/>
              </w:rPr>
            </w:pPr>
            <w:r>
              <w:rPr>
                <w:rFonts w:ascii="Arial" w:cs="Arial" w:eastAsia="Arial" w:hAnsi="Arial"/>
                <w:sz w:val="18"/>
                <w:szCs w:val="18"/>
                <w:color w:val="auto"/>
                <w:w w:val="98"/>
              </w:rPr>
              <w:t>$12.52</w:t>
            </w: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Borders>
              <w:bottom w:val="single" w:sz="8" w:color="023C5B"/>
            </w:tcBorders>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Borders>
              <w:bottom w:val="single" w:sz="8" w:color="023C5B"/>
            </w:tcBorders>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Borders>
              <w:bottom w:val="single" w:sz="8" w:color="023C5B"/>
            </w:tcBorders>
          </w:tcPr>
          <w:p>
            <w:pPr>
              <w:spacing w:after="0"/>
              <w:rPr>
                <w:sz w:val="3"/>
                <w:szCs w:val="3"/>
                <w:color w:val="auto"/>
              </w:rPr>
            </w:pPr>
          </w:p>
        </w:tc>
      </w:tr>
      <w:tr>
        <w:trPr>
          <w:trHeight w:val="20"/>
        </w:trPr>
        <w:tc>
          <w:tcPr>
            <w:tcW w:w="7300" w:type="dxa"/>
            <w:vAlign w:val="bottom"/>
            <w:tcBorders>
              <w:bottom w:val="single" w:sz="8" w:color="E5EBEE"/>
            </w:tcBorders>
          </w:tcPr>
          <w:p>
            <w:pPr>
              <w:spacing w:after="0" w:line="20" w:lineRule="exact"/>
              <w:rPr>
                <w:sz w:val="1"/>
                <w:szCs w:val="1"/>
                <w:color w:val="auto"/>
              </w:rPr>
            </w:pPr>
          </w:p>
        </w:tc>
        <w:tc>
          <w:tcPr>
            <w:tcW w:w="40" w:type="dxa"/>
            <w:vAlign w:val="bottom"/>
            <w:tcBorders>
              <w:bottom w:val="single" w:sz="8" w:color="E5EBEE"/>
            </w:tcBorders>
          </w:tcPr>
          <w:p>
            <w:pPr>
              <w:spacing w:after="0" w:line="20" w:lineRule="exact"/>
              <w:rPr>
                <w:sz w:val="1"/>
                <w:szCs w:val="1"/>
                <w:color w:val="auto"/>
              </w:rPr>
            </w:pPr>
          </w:p>
        </w:tc>
        <w:tc>
          <w:tcPr>
            <w:tcW w:w="1200" w:type="dxa"/>
            <w:vAlign w:val="bottom"/>
            <w:tcBorders>
              <w:bottom w:val="single" w:sz="8" w:color="023C5B"/>
            </w:tcBorders>
          </w:tcPr>
          <w:p>
            <w:pPr>
              <w:spacing w:after="0" w:line="20" w:lineRule="exact"/>
              <w:rPr>
                <w:sz w:val="1"/>
                <w:szCs w:val="1"/>
                <w:color w:val="auto"/>
              </w:rPr>
            </w:pPr>
          </w:p>
        </w:tc>
        <w:tc>
          <w:tcPr>
            <w:tcW w:w="60" w:type="dxa"/>
            <w:vAlign w:val="bottom"/>
            <w:tcBorders>
              <w:bottom w:val="single" w:sz="8" w:color="E5EBEE"/>
            </w:tcBorders>
          </w:tcPr>
          <w:p>
            <w:pPr>
              <w:spacing w:after="0" w:line="20" w:lineRule="exact"/>
              <w:rPr>
                <w:sz w:val="1"/>
                <w:szCs w:val="1"/>
                <w:color w:val="auto"/>
              </w:rPr>
            </w:pPr>
          </w:p>
        </w:tc>
        <w:tc>
          <w:tcPr>
            <w:tcW w:w="1140" w:type="dxa"/>
            <w:vAlign w:val="bottom"/>
            <w:tcBorders>
              <w:bottom w:val="single" w:sz="8" w:color="023C5B"/>
            </w:tcBorders>
          </w:tcPr>
          <w:p>
            <w:pPr>
              <w:spacing w:after="0" w:line="20" w:lineRule="exact"/>
              <w:rPr>
                <w:sz w:val="1"/>
                <w:szCs w:val="1"/>
                <w:color w:val="auto"/>
              </w:rPr>
            </w:pPr>
          </w:p>
        </w:tc>
        <w:tc>
          <w:tcPr>
            <w:tcW w:w="40" w:type="dxa"/>
            <w:vAlign w:val="bottom"/>
            <w:tcBorders>
              <w:bottom w:val="single" w:sz="8" w:color="E5EBEE"/>
            </w:tcBorders>
          </w:tcPr>
          <w:p>
            <w:pPr>
              <w:spacing w:after="0" w:line="20" w:lineRule="exact"/>
              <w:rPr>
                <w:sz w:val="1"/>
                <w:szCs w:val="1"/>
                <w:color w:val="auto"/>
              </w:rPr>
            </w:pPr>
          </w:p>
        </w:tc>
        <w:tc>
          <w:tcPr>
            <w:tcW w:w="1140" w:type="dxa"/>
            <w:vAlign w:val="bottom"/>
            <w:tcBorders>
              <w:bottom w:val="single" w:sz="8" w:color="023C5B"/>
            </w:tcBorders>
          </w:tcPr>
          <w:p>
            <w:pPr>
              <w:spacing w:after="0" w:line="20" w:lineRule="exact"/>
              <w:rPr>
                <w:sz w:val="1"/>
                <w:szCs w:val="1"/>
                <w:color w:val="auto"/>
              </w:rPr>
            </w:pPr>
          </w:p>
        </w:tc>
      </w:tr>
      <w:tr>
        <w:trPr>
          <w:trHeight w:val="221"/>
        </w:trPr>
        <w:tc>
          <w:tcPr>
            <w:tcW w:w="7300" w:type="dxa"/>
            <w:vAlign w:val="bottom"/>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200" w:type="dxa"/>
            <w:vAlign w:val="bottom"/>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140" w:type="dxa"/>
            <w:vAlign w:val="bottom"/>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140" w:type="dxa"/>
            <w:vAlign w:val="bottom"/>
            <w:shd w:val="clear" w:color="auto" w:fill="E5EBEE"/>
          </w:tcPr>
          <w:p>
            <w:pPr>
              <w:spacing w:after="0"/>
              <w:rPr>
                <w:sz w:val="19"/>
                <w:szCs w:val="19"/>
                <w:color w:val="auto"/>
              </w:rPr>
            </w:pPr>
          </w:p>
        </w:tc>
      </w:tr>
      <w:tr>
        <w:trPr>
          <w:trHeight w:val="280"/>
        </w:trPr>
        <w:tc>
          <w:tcPr>
            <w:tcW w:w="7300" w:type="dxa"/>
            <w:vAlign w:val="bottom"/>
          </w:tcPr>
          <w:p>
            <w:pPr>
              <w:ind w:left="100"/>
              <w:spacing w:after="0"/>
              <w:rPr>
                <w:sz w:val="20"/>
                <w:szCs w:val="20"/>
                <w:color w:val="auto"/>
              </w:rPr>
            </w:pPr>
            <w:r>
              <w:rPr>
                <w:rFonts w:ascii="Arial" w:cs="Arial" w:eastAsia="Arial" w:hAnsi="Arial"/>
                <w:sz w:val="18"/>
                <w:szCs w:val="18"/>
                <w:b w:val="1"/>
                <w:bCs w:val="1"/>
                <w:color w:val="auto"/>
              </w:rPr>
              <w:t>Adjusted efficiency ratio:</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
        </w:trPr>
        <w:tc>
          <w:tcPr>
            <w:tcW w:w="7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8"/>
        </w:trPr>
        <w:tc>
          <w:tcPr>
            <w:tcW w:w="730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color w:val="auto"/>
              </w:rPr>
              <w:t>Non-interest expense (GAAP)</w:t>
            </w:r>
          </w:p>
        </w:tc>
        <w:tc>
          <w:tcPr>
            <w:tcW w:w="1240" w:type="dxa"/>
            <w:vAlign w:val="bottom"/>
            <w:tcBorders>
              <w:bottom w:val="single" w:sz="8" w:color="E5EBEE"/>
            </w:tcBorders>
            <w:gridSpan w:val="2"/>
            <w:shd w:val="clear" w:color="auto" w:fill="E5EBEE"/>
          </w:tcPr>
          <w:p>
            <w:pPr>
              <w:jc w:val="center"/>
              <w:ind w:left="51"/>
              <w:spacing w:after="0"/>
              <w:rPr>
                <w:sz w:val="20"/>
                <w:szCs w:val="20"/>
                <w:color w:val="auto"/>
              </w:rPr>
            </w:pPr>
            <w:r>
              <w:rPr>
                <w:rFonts w:ascii="Arial" w:cs="Arial" w:eastAsia="Arial" w:hAnsi="Arial"/>
                <w:sz w:val="18"/>
                <w:szCs w:val="18"/>
                <w:color w:val="auto"/>
              </w:rPr>
              <w:t>$30,498</w:t>
            </w:r>
          </w:p>
        </w:tc>
        <w:tc>
          <w:tcPr>
            <w:tcW w:w="6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8"/>
              </w:rPr>
              <w:t>$21,486</w:t>
            </w:r>
          </w:p>
        </w:tc>
        <w:tc>
          <w:tcPr>
            <w:tcW w:w="4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8"/>
              </w:rPr>
              <w:t>$20,316</w:t>
            </w:r>
          </w:p>
        </w:tc>
      </w:tr>
      <w:tr>
        <w:trPr>
          <w:trHeight w:val="270"/>
        </w:trPr>
        <w:tc>
          <w:tcPr>
            <w:tcW w:w="7300" w:type="dxa"/>
            <w:vAlign w:val="bottom"/>
          </w:tcPr>
          <w:p>
            <w:pPr>
              <w:ind w:left="280"/>
              <w:spacing w:after="0"/>
              <w:rPr>
                <w:sz w:val="20"/>
                <w:szCs w:val="20"/>
                <w:color w:val="auto"/>
              </w:rPr>
            </w:pPr>
            <w:r>
              <w:rPr>
                <w:rFonts w:ascii="Arial" w:cs="Arial" w:eastAsia="Arial" w:hAnsi="Arial"/>
                <w:sz w:val="18"/>
                <w:szCs w:val="18"/>
                <w:color w:val="auto"/>
              </w:rPr>
              <w:t>Discover intangible amortization expense</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rPr>
              <w:t>(1,262)</w:t>
            </w:r>
          </w:p>
        </w:tc>
        <w:tc>
          <w:tcPr>
            <w:tcW w:w="60" w:type="dxa"/>
            <w:vAlign w:val="bottom"/>
          </w:tcPr>
          <w:p>
            <w:pPr>
              <w:spacing w:after="0"/>
              <w:rPr>
                <w:sz w:val="23"/>
                <w:szCs w:val="23"/>
                <w:color w:val="auto"/>
              </w:rPr>
            </w:pPr>
          </w:p>
        </w:tc>
        <w:tc>
          <w:tcPr>
            <w:tcW w:w="1180" w:type="dxa"/>
            <w:vAlign w:val="bottom"/>
            <w:gridSpan w:val="2"/>
          </w:tcPr>
          <w:p>
            <w:pPr>
              <w:jc w:val="center"/>
              <w:ind w:left="3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ind w:left="111"/>
              <w:spacing w:after="0"/>
              <w:rPr>
                <w:sz w:val="20"/>
                <w:szCs w:val="20"/>
                <w:color w:val="auto"/>
              </w:rPr>
            </w:pPr>
            <w:r>
              <w:rPr>
                <w:rFonts w:ascii="Arial" w:cs="Arial" w:eastAsia="Arial" w:hAnsi="Arial"/>
                <w:sz w:val="18"/>
                <w:szCs w:val="18"/>
                <w:color w:val="auto"/>
                <w:w w:val="99"/>
              </w:rPr>
              <w:t>—</w:t>
            </w: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8"/>
        </w:trPr>
        <w:tc>
          <w:tcPr>
            <w:tcW w:w="730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Discover integration expenses</w:t>
            </w:r>
          </w:p>
        </w:tc>
        <w:tc>
          <w:tcPr>
            <w:tcW w:w="1240" w:type="dxa"/>
            <w:vAlign w:val="bottom"/>
            <w:tcBorders>
              <w:bottom w:val="single" w:sz="8" w:color="E5EBEE"/>
            </w:tcBorders>
            <w:gridSpan w:val="2"/>
            <w:shd w:val="clear" w:color="auto" w:fill="E5EBEE"/>
          </w:tcPr>
          <w:p>
            <w:pPr>
              <w:jc w:val="center"/>
              <w:ind w:left="51"/>
              <w:spacing w:after="0"/>
              <w:rPr>
                <w:sz w:val="20"/>
                <w:szCs w:val="20"/>
                <w:color w:val="auto"/>
              </w:rPr>
            </w:pPr>
            <w:r>
              <w:rPr>
                <w:rFonts w:ascii="Arial" w:cs="Arial" w:eastAsia="Arial" w:hAnsi="Arial"/>
                <w:sz w:val="18"/>
                <w:szCs w:val="18"/>
                <w:color w:val="auto"/>
              </w:rPr>
              <w:t>(1,109)</w:t>
            </w:r>
          </w:p>
        </w:tc>
        <w:tc>
          <w:tcPr>
            <w:tcW w:w="6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71"/>
              <w:spacing w:after="0"/>
              <w:rPr>
                <w:sz w:val="20"/>
                <w:szCs w:val="20"/>
                <w:color w:val="auto"/>
              </w:rPr>
            </w:pPr>
            <w:r>
              <w:rPr>
                <w:rFonts w:ascii="Arial" w:cs="Arial" w:eastAsia="Arial" w:hAnsi="Arial"/>
                <w:sz w:val="18"/>
                <w:szCs w:val="18"/>
                <w:color w:val="auto"/>
                <w:w w:val="99"/>
              </w:rPr>
              <w:t>(234)</w:t>
            </w:r>
          </w:p>
        </w:tc>
        <w:tc>
          <w:tcPr>
            <w:tcW w:w="4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w:t>
            </w:r>
          </w:p>
        </w:tc>
      </w:tr>
      <w:tr>
        <w:trPr>
          <w:trHeight w:val="270"/>
        </w:trPr>
        <w:tc>
          <w:tcPr>
            <w:tcW w:w="7300" w:type="dxa"/>
            <w:vAlign w:val="bottom"/>
          </w:tcPr>
          <w:p>
            <w:pPr>
              <w:ind w:left="280"/>
              <w:spacing w:after="0"/>
              <w:rPr>
                <w:sz w:val="20"/>
                <w:szCs w:val="20"/>
                <w:color w:val="auto"/>
              </w:rPr>
            </w:pPr>
            <w:r>
              <w:rPr>
                <w:rFonts w:ascii="Arial" w:cs="Arial" w:eastAsia="Arial" w:hAnsi="Arial"/>
                <w:sz w:val="18"/>
                <w:szCs w:val="18"/>
                <w:color w:val="auto"/>
              </w:rPr>
              <w:t>Legal reserve activities</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(356)</w:t>
            </w:r>
          </w:p>
        </w:tc>
        <w:tc>
          <w:tcPr>
            <w:tcW w:w="60" w:type="dxa"/>
            <w:vAlign w:val="bottom"/>
          </w:tcPr>
          <w:p>
            <w:pPr>
              <w:spacing w:after="0"/>
              <w:rPr>
                <w:sz w:val="23"/>
                <w:szCs w:val="23"/>
                <w:color w:val="auto"/>
              </w:rPr>
            </w:pPr>
          </w:p>
        </w:tc>
        <w:tc>
          <w:tcPr>
            <w:tcW w:w="1140" w:type="dxa"/>
            <w:vAlign w:val="bottom"/>
          </w:tcPr>
          <w:p>
            <w:pPr>
              <w:jc w:val="center"/>
              <w:ind w:left="91"/>
              <w:spacing w:after="0"/>
              <w:rPr>
                <w:sz w:val="20"/>
                <w:szCs w:val="20"/>
                <w:color w:val="auto"/>
              </w:rPr>
            </w:pPr>
            <w:r>
              <w:rPr>
                <w:rFonts w:ascii="Arial" w:cs="Arial" w:eastAsia="Arial" w:hAnsi="Arial"/>
                <w:sz w:val="18"/>
                <w:szCs w:val="18"/>
                <w:color w:val="auto"/>
                <w:w w:val="99"/>
              </w:rPr>
              <w:t>(75)</w:t>
            </w:r>
          </w:p>
        </w:tc>
        <w:tc>
          <w:tcPr>
            <w:tcW w:w="40" w:type="dxa"/>
            <w:vAlign w:val="bottom"/>
          </w:tcPr>
          <w:p>
            <w:pPr>
              <w:spacing w:after="0"/>
              <w:rPr>
                <w:sz w:val="23"/>
                <w:szCs w:val="23"/>
                <w:color w:val="auto"/>
              </w:rPr>
            </w:pPr>
          </w:p>
        </w:tc>
        <w:tc>
          <w:tcPr>
            <w:tcW w:w="1140" w:type="dxa"/>
            <w:vAlign w:val="bottom"/>
          </w:tcPr>
          <w:p>
            <w:pPr>
              <w:jc w:val="center"/>
              <w:ind w:left="111"/>
              <w:spacing w:after="0"/>
              <w:rPr>
                <w:sz w:val="20"/>
                <w:szCs w:val="20"/>
                <w:color w:val="auto"/>
              </w:rPr>
            </w:pPr>
            <w:r>
              <w:rPr>
                <w:rFonts w:ascii="Arial" w:cs="Arial" w:eastAsia="Arial" w:hAnsi="Arial"/>
                <w:sz w:val="18"/>
                <w:szCs w:val="18"/>
                <w:color w:val="auto"/>
                <w:w w:val="99"/>
              </w:rPr>
              <w:t>—</w:t>
            </w: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8"/>
        </w:trPr>
        <w:tc>
          <w:tcPr>
            <w:tcW w:w="730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FDIC special assessment</w:t>
            </w:r>
          </w:p>
        </w:tc>
        <w:tc>
          <w:tcPr>
            <w:tcW w:w="40" w:type="dxa"/>
            <w:vAlign w:val="bottom"/>
            <w:tcBorders>
              <w:bottom w:val="single" w:sz="8" w:color="E5EBEE"/>
            </w:tcBorders>
            <w:shd w:val="clear" w:color="auto" w:fill="E5EBEE"/>
          </w:tcPr>
          <w:p>
            <w:pPr>
              <w:spacing w:after="0"/>
              <w:rPr>
                <w:sz w:val="24"/>
                <w:szCs w:val="24"/>
                <w:color w:val="auto"/>
              </w:rPr>
            </w:pPr>
          </w:p>
        </w:tc>
        <w:tc>
          <w:tcPr>
            <w:tcW w:w="1200" w:type="dxa"/>
            <w:vAlign w:val="bottom"/>
            <w:tcBorders>
              <w:bottom w:val="single" w:sz="8" w:color="E5EBEE"/>
            </w:tcBorders>
            <w:shd w:val="clear" w:color="auto" w:fill="E5EBEE"/>
          </w:tcPr>
          <w:p>
            <w:pPr>
              <w:jc w:val="center"/>
              <w:ind w:left="32"/>
              <w:spacing w:after="0"/>
              <w:rPr>
                <w:sz w:val="20"/>
                <w:szCs w:val="20"/>
                <w:color w:val="auto"/>
              </w:rPr>
            </w:pPr>
            <w:r>
              <w:rPr>
                <w:rFonts w:ascii="Arial" w:cs="Arial" w:eastAsia="Arial" w:hAnsi="Arial"/>
                <w:sz w:val="18"/>
                <w:szCs w:val="18"/>
                <w:color w:val="auto"/>
                <w:w w:val="99"/>
              </w:rPr>
              <w:t>29</w:t>
            </w:r>
          </w:p>
        </w:tc>
        <w:tc>
          <w:tcPr>
            <w:tcW w:w="6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9"/>
              </w:rPr>
              <w:t>(41)</w:t>
            </w:r>
          </w:p>
        </w:tc>
        <w:tc>
          <w:tcPr>
            <w:tcW w:w="4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(289)</w:t>
            </w:r>
          </w:p>
        </w:tc>
      </w:tr>
      <w:tr>
        <w:trPr>
          <w:trHeight w:val="277"/>
        </w:trPr>
        <w:tc>
          <w:tcPr>
            <w:tcW w:w="7300" w:type="dxa"/>
            <w:vAlign w:val="bottom"/>
          </w:tcPr>
          <w:p>
            <w:pPr>
              <w:ind w:left="100"/>
              <w:spacing w:after="0"/>
              <w:rPr>
                <w:sz w:val="20"/>
                <w:szCs w:val="20"/>
                <w:color w:val="auto"/>
              </w:rPr>
            </w:pPr>
            <w:r>
              <w:rPr>
                <w:rFonts w:ascii="Arial" w:cs="Arial" w:eastAsia="Arial" w:hAnsi="Arial"/>
                <w:sz w:val="18"/>
                <w:szCs w:val="18"/>
                <w:color w:val="auto"/>
              </w:rPr>
              <w:t>Adjusted non-interest expense (non-GAAP)</w:t>
            </w:r>
          </w:p>
        </w:tc>
        <w:tc>
          <w:tcPr>
            <w:tcW w:w="40" w:type="dxa"/>
            <w:vAlign w:val="bottom"/>
          </w:tcPr>
          <w:p>
            <w:pPr>
              <w:spacing w:after="0"/>
              <w:rPr>
                <w:sz w:val="24"/>
                <w:szCs w:val="24"/>
                <w:color w:val="auto"/>
              </w:rPr>
            </w:pPr>
          </w:p>
        </w:tc>
        <w:tc>
          <w:tcPr>
            <w:tcW w:w="1200" w:type="dxa"/>
            <w:vAlign w:val="bottom"/>
            <w:tcBorders>
              <w:top w:val="single" w:sz="8" w:color="023C5B"/>
            </w:tcBorders>
          </w:tcPr>
          <w:p>
            <w:pPr>
              <w:jc w:val="center"/>
              <w:ind w:left="12"/>
              <w:spacing w:after="0"/>
              <w:rPr>
                <w:sz w:val="20"/>
                <w:szCs w:val="20"/>
                <w:color w:val="auto"/>
              </w:rPr>
            </w:pPr>
            <w:r>
              <w:rPr>
                <w:rFonts w:ascii="Arial" w:cs="Arial" w:eastAsia="Arial" w:hAnsi="Arial"/>
                <w:sz w:val="18"/>
                <w:szCs w:val="18"/>
                <w:color w:val="auto"/>
              </w:rPr>
              <w:t>$27,800</w:t>
            </w:r>
          </w:p>
        </w:tc>
        <w:tc>
          <w:tcPr>
            <w:tcW w:w="60" w:type="dxa"/>
            <w:vAlign w:val="bottom"/>
          </w:tcPr>
          <w:p>
            <w:pPr>
              <w:spacing w:after="0"/>
              <w:rPr>
                <w:sz w:val="24"/>
                <w:szCs w:val="24"/>
                <w:color w:val="auto"/>
              </w:rPr>
            </w:pPr>
          </w:p>
        </w:tc>
        <w:tc>
          <w:tcPr>
            <w:tcW w:w="1140" w:type="dxa"/>
            <w:vAlign w:val="bottom"/>
            <w:tcBorders>
              <w:top w:val="single" w:sz="8" w:color="023C5B"/>
            </w:tcBorders>
          </w:tcPr>
          <w:p>
            <w:pPr>
              <w:jc w:val="center"/>
              <w:ind w:left="91"/>
              <w:spacing w:after="0"/>
              <w:rPr>
                <w:sz w:val="20"/>
                <w:szCs w:val="20"/>
                <w:color w:val="auto"/>
              </w:rPr>
            </w:pPr>
            <w:r>
              <w:rPr>
                <w:rFonts w:ascii="Arial" w:cs="Arial" w:eastAsia="Arial" w:hAnsi="Arial"/>
                <w:sz w:val="18"/>
                <w:szCs w:val="18"/>
                <w:color w:val="auto"/>
                <w:w w:val="98"/>
              </w:rPr>
              <w:t>$21,136</w:t>
            </w:r>
          </w:p>
        </w:tc>
        <w:tc>
          <w:tcPr>
            <w:tcW w:w="40" w:type="dxa"/>
            <w:vAlign w:val="bottom"/>
          </w:tcPr>
          <w:p>
            <w:pPr>
              <w:spacing w:after="0"/>
              <w:rPr>
                <w:sz w:val="24"/>
                <w:szCs w:val="24"/>
                <w:color w:val="auto"/>
              </w:rPr>
            </w:pPr>
          </w:p>
        </w:tc>
        <w:tc>
          <w:tcPr>
            <w:tcW w:w="1140" w:type="dxa"/>
            <w:vAlign w:val="bottom"/>
            <w:tcBorders>
              <w:top w:val="single" w:sz="8" w:color="023C5B"/>
            </w:tcBorders>
          </w:tcPr>
          <w:p>
            <w:pPr>
              <w:jc w:val="center"/>
              <w:ind w:left="91"/>
              <w:spacing w:after="0"/>
              <w:rPr>
                <w:sz w:val="20"/>
                <w:szCs w:val="20"/>
                <w:color w:val="auto"/>
              </w:rPr>
            </w:pPr>
            <w:r>
              <w:rPr>
                <w:rFonts w:ascii="Arial" w:cs="Arial" w:eastAsia="Arial" w:hAnsi="Arial"/>
                <w:sz w:val="18"/>
                <w:szCs w:val="18"/>
                <w:color w:val="auto"/>
                <w:w w:val="98"/>
              </w:rPr>
              <w:t>$20,027</w:t>
            </w: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Borders>
              <w:bottom w:val="single" w:sz="8" w:color="023C5B"/>
            </w:tcBorders>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Borders>
              <w:bottom w:val="single" w:sz="8" w:color="023C5B"/>
            </w:tcBorders>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Borders>
              <w:bottom w:val="single" w:sz="8" w:color="023C5B"/>
            </w:tcBorders>
          </w:tcPr>
          <w:p>
            <w:pPr>
              <w:spacing w:after="0"/>
              <w:rPr>
                <w:sz w:val="3"/>
                <w:szCs w:val="3"/>
                <w:color w:val="auto"/>
              </w:rPr>
            </w:pPr>
          </w:p>
        </w:tc>
      </w:tr>
      <w:tr>
        <w:trPr>
          <w:trHeight w:val="20"/>
        </w:trPr>
        <w:tc>
          <w:tcPr>
            <w:tcW w:w="7300" w:type="dxa"/>
            <w:vAlign w:val="bottom"/>
            <w:tcBorders>
              <w:bottom w:val="single" w:sz="8" w:color="E5EBEE"/>
            </w:tcBorders>
          </w:tcPr>
          <w:p>
            <w:pPr>
              <w:spacing w:after="0" w:line="20" w:lineRule="exact"/>
              <w:rPr>
                <w:sz w:val="1"/>
                <w:szCs w:val="1"/>
                <w:color w:val="auto"/>
              </w:rPr>
            </w:pPr>
          </w:p>
        </w:tc>
        <w:tc>
          <w:tcPr>
            <w:tcW w:w="40" w:type="dxa"/>
            <w:vAlign w:val="bottom"/>
            <w:tcBorders>
              <w:bottom w:val="single" w:sz="8" w:color="E5EBEE"/>
            </w:tcBorders>
          </w:tcPr>
          <w:p>
            <w:pPr>
              <w:spacing w:after="0" w:line="20" w:lineRule="exact"/>
              <w:rPr>
                <w:sz w:val="1"/>
                <w:szCs w:val="1"/>
                <w:color w:val="auto"/>
              </w:rPr>
            </w:pPr>
          </w:p>
        </w:tc>
        <w:tc>
          <w:tcPr>
            <w:tcW w:w="1200" w:type="dxa"/>
            <w:vAlign w:val="bottom"/>
            <w:tcBorders>
              <w:bottom w:val="single" w:sz="8" w:color="023C5B"/>
            </w:tcBorders>
          </w:tcPr>
          <w:p>
            <w:pPr>
              <w:spacing w:after="0" w:line="20" w:lineRule="exact"/>
              <w:rPr>
                <w:sz w:val="1"/>
                <w:szCs w:val="1"/>
                <w:color w:val="auto"/>
              </w:rPr>
            </w:pPr>
          </w:p>
        </w:tc>
        <w:tc>
          <w:tcPr>
            <w:tcW w:w="60" w:type="dxa"/>
            <w:vAlign w:val="bottom"/>
            <w:tcBorders>
              <w:bottom w:val="single" w:sz="8" w:color="E5EBEE"/>
            </w:tcBorders>
          </w:tcPr>
          <w:p>
            <w:pPr>
              <w:spacing w:after="0" w:line="20" w:lineRule="exact"/>
              <w:rPr>
                <w:sz w:val="1"/>
                <w:szCs w:val="1"/>
                <w:color w:val="auto"/>
              </w:rPr>
            </w:pPr>
          </w:p>
        </w:tc>
        <w:tc>
          <w:tcPr>
            <w:tcW w:w="1140" w:type="dxa"/>
            <w:vAlign w:val="bottom"/>
            <w:tcBorders>
              <w:bottom w:val="single" w:sz="8" w:color="023C5B"/>
            </w:tcBorders>
          </w:tcPr>
          <w:p>
            <w:pPr>
              <w:spacing w:after="0" w:line="20" w:lineRule="exact"/>
              <w:rPr>
                <w:sz w:val="1"/>
                <w:szCs w:val="1"/>
                <w:color w:val="auto"/>
              </w:rPr>
            </w:pPr>
          </w:p>
        </w:tc>
        <w:tc>
          <w:tcPr>
            <w:tcW w:w="40" w:type="dxa"/>
            <w:vAlign w:val="bottom"/>
            <w:tcBorders>
              <w:bottom w:val="single" w:sz="8" w:color="E5EBEE"/>
            </w:tcBorders>
          </w:tcPr>
          <w:p>
            <w:pPr>
              <w:spacing w:after="0" w:line="20" w:lineRule="exact"/>
              <w:rPr>
                <w:sz w:val="1"/>
                <w:szCs w:val="1"/>
                <w:color w:val="auto"/>
              </w:rPr>
            </w:pPr>
          </w:p>
        </w:tc>
        <w:tc>
          <w:tcPr>
            <w:tcW w:w="1140" w:type="dxa"/>
            <w:vAlign w:val="bottom"/>
            <w:tcBorders>
              <w:bottom w:val="single" w:sz="8" w:color="023C5B"/>
            </w:tcBorders>
          </w:tcPr>
          <w:p>
            <w:pPr>
              <w:spacing w:after="0" w:line="20" w:lineRule="exact"/>
              <w:rPr>
                <w:sz w:val="1"/>
                <w:szCs w:val="1"/>
                <w:color w:val="auto"/>
              </w:rPr>
            </w:pPr>
          </w:p>
        </w:tc>
      </w:tr>
      <w:tr>
        <w:trPr>
          <w:trHeight w:val="254"/>
        </w:trPr>
        <w:tc>
          <w:tcPr>
            <w:tcW w:w="730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color w:val="auto"/>
              </w:rPr>
              <w:t>Total net revenue (GAAP)</w:t>
            </w:r>
          </w:p>
        </w:tc>
        <w:tc>
          <w:tcPr>
            <w:tcW w:w="1240" w:type="dxa"/>
            <w:vAlign w:val="bottom"/>
            <w:tcBorders>
              <w:bottom w:val="single" w:sz="8" w:color="E5EBEE"/>
            </w:tcBorders>
            <w:gridSpan w:val="2"/>
            <w:shd w:val="clear" w:color="auto" w:fill="E5EBEE"/>
          </w:tcPr>
          <w:p>
            <w:pPr>
              <w:jc w:val="center"/>
              <w:ind w:left="51"/>
              <w:spacing w:after="0"/>
              <w:rPr>
                <w:sz w:val="20"/>
                <w:szCs w:val="20"/>
                <w:color w:val="auto"/>
              </w:rPr>
            </w:pPr>
            <w:r>
              <w:rPr>
                <w:rFonts w:ascii="Arial" w:cs="Arial" w:eastAsia="Arial" w:hAnsi="Arial"/>
                <w:sz w:val="18"/>
                <w:szCs w:val="18"/>
                <w:color w:val="auto"/>
              </w:rPr>
              <w:t>$53,434</w:t>
            </w:r>
          </w:p>
        </w:tc>
        <w:tc>
          <w:tcPr>
            <w:tcW w:w="60" w:type="dxa"/>
            <w:vAlign w:val="bottom"/>
            <w:tcBorders>
              <w:bottom w:val="single" w:sz="8" w:color="E5EBEE"/>
            </w:tcBorders>
            <w:shd w:val="clear" w:color="auto" w:fill="E5EBEE"/>
          </w:tcPr>
          <w:p>
            <w:pPr>
              <w:spacing w:after="0"/>
              <w:rPr>
                <w:sz w:val="22"/>
                <w:szCs w:val="22"/>
                <w:color w:val="auto"/>
              </w:rPr>
            </w:pPr>
          </w:p>
        </w:tc>
        <w:tc>
          <w:tcPr>
            <w:tcW w:w="114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8"/>
              </w:rPr>
              <w:t>$39,112</w:t>
            </w:r>
          </w:p>
        </w:tc>
        <w:tc>
          <w:tcPr>
            <w:tcW w:w="40" w:type="dxa"/>
            <w:vAlign w:val="bottom"/>
            <w:tcBorders>
              <w:bottom w:val="single" w:sz="8" w:color="E5EBEE"/>
            </w:tcBorders>
            <w:shd w:val="clear" w:color="auto" w:fill="E5EBEE"/>
          </w:tcPr>
          <w:p>
            <w:pPr>
              <w:spacing w:after="0"/>
              <w:rPr>
                <w:sz w:val="22"/>
                <w:szCs w:val="22"/>
                <w:color w:val="auto"/>
              </w:rPr>
            </w:pPr>
          </w:p>
        </w:tc>
        <w:tc>
          <w:tcPr>
            <w:tcW w:w="114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8"/>
              </w:rPr>
              <w:t>$36,787</w:t>
            </w:r>
          </w:p>
        </w:tc>
      </w:tr>
      <w:tr>
        <w:trPr>
          <w:trHeight w:val="270"/>
        </w:trPr>
        <w:tc>
          <w:tcPr>
            <w:tcW w:w="7300" w:type="dxa"/>
            <w:vAlign w:val="bottom"/>
          </w:tcPr>
          <w:p>
            <w:pPr>
              <w:ind w:left="280"/>
              <w:spacing w:after="0"/>
              <w:rPr>
                <w:sz w:val="20"/>
                <w:szCs w:val="20"/>
                <w:color w:val="auto"/>
              </w:rPr>
            </w:pPr>
            <w:r>
              <w:rPr>
                <w:rFonts w:ascii="Arial" w:cs="Arial" w:eastAsia="Arial" w:hAnsi="Arial"/>
                <w:sz w:val="18"/>
                <w:szCs w:val="18"/>
                <w:color w:val="auto"/>
              </w:rPr>
              <w:t>Discover loan and deposit fair value mark amortization</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227</w:t>
            </w:r>
          </w:p>
        </w:tc>
        <w:tc>
          <w:tcPr>
            <w:tcW w:w="60" w:type="dxa"/>
            <w:vAlign w:val="bottom"/>
          </w:tcPr>
          <w:p>
            <w:pPr>
              <w:spacing w:after="0"/>
              <w:rPr>
                <w:sz w:val="23"/>
                <w:szCs w:val="23"/>
                <w:color w:val="auto"/>
              </w:rPr>
            </w:pPr>
          </w:p>
        </w:tc>
        <w:tc>
          <w:tcPr>
            <w:tcW w:w="1180" w:type="dxa"/>
            <w:vAlign w:val="bottom"/>
            <w:gridSpan w:val="2"/>
          </w:tcPr>
          <w:p>
            <w:pPr>
              <w:jc w:val="center"/>
              <w:ind w:left="3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ind w:left="111"/>
              <w:spacing w:after="0"/>
              <w:rPr>
                <w:sz w:val="20"/>
                <w:szCs w:val="20"/>
                <w:color w:val="auto"/>
              </w:rPr>
            </w:pPr>
            <w:r>
              <w:rPr>
                <w:rFonts w:ascii="Arial" w:cs="Arial" w:eastAsia="Arial" w:hAnsi="Arial"/>
                <w:sz w:val="18"/>
                <w:szCs w:val="18"/>
                <w:color w:val="auto"/>
                <w:w w:val="99"/>
              </w:rPr>
              <w:t>—</w:t>
            </w: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8"/>
        </w:trPr>
        <w:tc>
          <w:tcPr>
            <w:tcW w:w="730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Walmart program agreement termination contra revenue impact</w:t>
            </w:r>
          </w:p>
        </w:tc>
        <w:tc>
          <w:tcPr>
            <w:tcW w:w="40" w:type="dxa"/>
            <w:vAlign w:val="bottom"/>
            <w:tcBorders>
              <w:bottom w:val="single" w:sz="8" w:color="E5EBEE"/>
            </w:tcBorders>
            <w:shd w:val="clear" w:color="auto" w:fill="E5EBEE"/>
          </w:tcPr>
          <w:p>
            <w:pPr>
              <w:spacing w:after="0"/>
              <w:rPr>
                <w:sz w:val="24"/>
                <w:szCs w:val="24"/>
                <w:color w:val="auto"/>
              </w:rPr>
            </w:pPr>
          </w:p>
        </w:tc>
        <w:tc>
          <w:tcPr>
            <w:tcW w:w="126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9"/>
              </w:rPr>
              <w:t>27</w:t>
            </w:r>
          </w:p>
        </w:tc>
        <w:tc>
          <w:tcPr>
            <w:tcW w:w="4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w:t>
            </w:r>
          </w:p>
        </w:tc>
      </w:tr>
      <w:tr>
        <w:trPr>
          <w:trHeight w:val="277"/>
        </w:trPr>
        <w:tc>
          <w:tcPr>
            <w:tcW w:w="7300" w:type="dxa"/>
            <w:vAlign w:val="bottom"/>
          </w:tcPr>
          <w:p>
            <w:pPr>
              <w:ind w:left="100"/>
              <w:spacing w:after="0"/>
              <w:rPr>
                <w:sz w:val="20"/>
                <w:szCs w:val="20"/>
                <w:color w:val="auto"/>
              </w:rPr>
            </w:pPr>
            <w:r>
              <w:rPr>
                <w:rFonts w:ascii="Arial" w:cs="Arial" w:eastAsia="Arial" w:hAnsi="Arial"/>
                <w:sz w:val="18"/>
                <w:szCs w:val="18"/>
                <w:color w:val="auto"/>
              </w:rPr>
              <w:t>Adjusted net revenue (non-GAAP)</w:t>
            </w:r>
          </w:p>
        </w:tc>
        <w:tc>
          <w:tcPr>
            <w:tcW w:w="40" w:type="dxa"/>
            <w:vAlign w:val="bottom"/>
          </w:tcPr>
          <w:p>
            <w:pPr>
              <w:spacing w:after="0"/>
              <w:rPr>
                <w:sz w:val="24"/>
                <w:szCs w:val="24"/>
                <w:color w:val="auto"/>
              </w:rPr>
            </w:pPr>
          </w:p>
        </w:tc>
        <w:tc>
          <w:tcPr>
            <w:tcW w:w="1200" w:type="dxa"/>
            <w:vAlign w:val="bottom"/>
            <w:tcBorders>
              <w:top w:val="single" w:sz="8" w:color="023C5B"/>
            </w:tcBorders>
          </w:tcPr>
          <w:p>
            <w:pPr>
              <w:jc w:val="center"/>
              <w:ind w:left="12"/>
              <w:spacing w:after="0"/>
              <w:rPr>
                <w:sz w:val="20"/>
                <w:szCs w:val="20"/>
                <w:color w:val="auto"/>
              </w:rPr>
            </w:pPr>
            <w:r>
              <w:rPr>
                <w:rFonts w:ascii="Arial" w:cs="Arial" w:eastAsia="Arial" w:hAnsi="Arial"/>
                <w:sz w:val="18"/>
                <w:szCs w:val="18"/>
                <w:color w:val="auto"/>
              </w:rPr>
              <w:t>$53,661</w:t>
            </w:r>
          </w:p>
        </w:tc>
        <w:tc>
          <w:tcPr>
            <w:tcW w:w="60" w:type="dxa"/>
            <w:vAlign w:val="bottom"/>
          </w:tcPr>
          <w:p>
            <w:pPr>
              <w:spacing w:after="0"/>
              <w:rPr>
                <w:sz w:val="24"/>
                <w:szCs w:val="24"/>
                <w:color w:val="auto"/>
              </w:rPr>
            </w:pPr>
          </w:p>
        </w:tc>
        <w:tc>
          <w:tcPr>
            <w:tcW w:w="1140" w:type="dxa"/>
            <w:vAlign w:val="bottom"/>
            <w:tcBorders>
              <w:top w:val="single" w:sz="8" w:color="023C5B"/>
            </w:tcBorders>
          </w:tcPr>
          <w:p>
            <w:pPr>
              <w:jc w:val="center"/>
              <w:ind w:left="91"/>
              <w:spacing w:after="0"/>
              <w:rPr>
                <w:sz w:val="20"/>
                <w:szCs w:val="20"/>
                <w:color w:val="auto"/>
              </w:rPr>
            </w:pPr>
            <w:r>
              <w:rPr>
                <w:rFonts w:ascii="Arial" w:cs="Arial" w:eastAsia="Arial" w:hAnsi="Arial"/>
                <w:sz w:val="18"/>
                <w:szCs w:val="18"/>
                <w:color w:val="auto"/>
                <w:w w:val="98"/>
              </w:rPr>
              <w:t>$39,139</w:t>
            </w:r>
          </w:p>
        </w:tc>
        <w:tc>
          <w:tcPr>
            <w:tcW w:w="40" w:type="dxa"/>
            <w:vAlign w:val="bottom"/>
          </w:tcPr>
          <w:p>
            <w:pPr>
              <w:spacing w:after="0"/>
              <w:rPr>
                <w:sz w:val="24"/>
                <w:szCs w:val="24"/>
                <w:color w:val="auto"/>
              </w:rPr>
            </w:pPr>
          </w:p>
        </w:tc>
        <w:tc>
          <w:tcPr>
            <w:tcW w:w="1140" w:type="dxa"/>
            <w:vAlign w:val="bottom"/>
            <w:tcBorders>
              <w:top w:val="single" w:sz="8" w:color="023C5B"/>
            </w:tcBorders>
          </w:tcPr>
          <w:p>
            <w:pPr>
              <w:jc w:val="center"/>
              <w:ind w:left="91"/>
              <w:spacing w:after="0"/>
              <w:rPr>
                <w:sz w:val="20"/>
                <w:szCs w:val="20"/>
                <w:color w:val="auto"/>
              </w:rPr>
            </w:pPr>
            <w:r>
              <w:rPr>
                <w:rFonts w:ascii="Arial" w:cs="Arial" w:eastAsia="Arial" w:hAnsi="Arial"/>
                <w:sz w:val="18"/>
                <w:szCs w:val="18"/>
                <w:color w:val="auto"/>
                <w:w w:val="98"/>
              </w:rPr>
              <w:t>$36,787</w:t>
            </w:r>
          </w:p>
        </w:tc>
      </w:tr>
      <w:tr>
        <w:trPr>
          <w:trHeight w:val="51"/>
        </w:trPr>
        <w:tc>
          <w:tcPr>
            <w:tcW w:w="7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Borders>
              <w:bottom w:val="single" w:sz="8" w:color="023C5B"/>
            </w:tcBorders>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Borders>
              <w:bottom w:val="single" w:sz="8" w:color="023C5B"/>
            </w:tcBorders>
          </w:tcPr>
          <w:p>
            <w:pPr>
              <w:spacing w:after="0"/>
              <w:rPr>
                <w:sz w:val="4"/>
                <w:szCs w:val="4"/>
                <w:color w:val="auto"/>
              </w:rPr>
            </w:pPr>
          </w:p>
        </w:tc>
        <w:tc>
          <w:tcPr>
            <w:tcW w:w="40" w:type="dxa"/>
            <w:vAlign w:val="bottom"/>
          </w:tcPr>
          <w:p>
            <w:pPr>
              <w:spacing w:after="0"/>
              <w:rPr>
                <w:sz w:val="4"/>
                <w:szCs w:val="4"/>
                <w:color w:val="auto"/>
              </w:rPr>
            </w:pPr>
          </w:p>
        </w:tc>
        <w:tc>
          <w:tcPr>
            <w:tcW w:w="1140" w:type="dxa"/>
            <w:vAlign w:val="bottom"/>
            <w:tcBorders>
              <w:bottom w:val="single" w:sz="8" w:color="023C5B"/>
            </w:tcBorders>
          </w:tcPr>
          <w:p>
            <w:pPr>
              <w:spacing w:after="0"/>
              <w:rPr>
                <w:sz w:val="4"/>
                <w:szCs w:val="4"/>
                <w:color w:val="auto"/>
              </w:rPr>
            </w:pPr>
          </w:p>
        </w:tc>
      </w:tr>
      <w:tr>
        <w:trPr>
          <w:trHeight w:val="20"/>
        </w:trPr>
        <w:tc>
          <w:tcPr>
            <w:tcW w:w="7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4"/>
        </w:trPr>
        <w:tc>
          <w:tcPr>
            <w:tcW w:w="7300" w:type="dxa"/>
            <w:vAlign w:val="bottom"/>
            <w:shd w:val="clear" w:color="auto" w:fill="E5EBEE"/>
          </w:tcPr>
          <w:p>
            <w:pPr>
              <w:ind w:left="100"/>
              <w:spacing w:after="0" w:line="295" w:lineRule="exact"/>
              <w:rPr>
                <w:sz w:val="20"/>
                <w:szCs w:val="20"/>
                <w:color w:val="auto"/>
              </w:rPr>
            </w:pPr>
            <w:r>
              <w:rPr>
                <w:rFonts w:ascii="Arial" w:cs="Arial" w:eastAsia="Arial" w:hAnsi="Arial"/>
                <w:sz w:val="18"/>
                <w:szCs w:val="18"/>
                <w:color w:val="auto"/>
              </w:rPr>
              <w:t xml:space="preserve">Efficiency ratio </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(GAAP)</w:t>
            </w:r>
          </w:p>
        </w:tc>
        <w:tc>
          <w:tcPr>
            <w:tcW w:w="1240" w:type="dxa"/>
            <w:vAlign w:val="bottom"/>
            <w:gridSpan w:val="2"/>
            <w:shd w:val="clear" w:color="auto" w:fill="E5EBEE"/>
          </w:tcPr>
          <w:p>
            <w:pPr>
              <w:jc w:val="center"/>
              <w:ind w:left="51"/>
              <w:spacing w:after="0"/>
              <w:rPr>
                <w:sz w:val="20"/>
                <w:szCs w:val="20"/>
                <w:color w:val="auto"/>
              </w:rPr>
            </w:pPr>
            <w:r>
              <w:rPr>
                <w:rFonts w:ascii="Arial" w:cs="Arial" w:eastAsia="Arial" w:hAnsi="Arial"/>
                <w:sz w:val="18"/>
                <w:szCs w:val="18"/>
                <w:color w:val="auto"/>
              </w:rPr>
              <w:t>57.08%</w:t>
            </w:r>
          </w:p>
        </w:tc>
        <w:tc>
          <w:tcPr>
            <w:tcW w:w="60" w:type="dxa"/>
            <w:vAlign w:val="bottom"/>
            <w:shd w:val="clear" w:color="auto" w:fill="E5EBEE"/>
          </w:tcPr>
          <w:p>
            <w:pPr>
              <w:spacing w:after="0"/>
              <w:rPr>
                <w:sz w:val="24"/>
                <w:szCs w:val="24"/>
                <w:color w:val="auto"/>
              </w:rPr>
            </w:pPr>
          </w:p>
        </w:tc>
        <w:tc>
          <w:tcPr>
            <w:tcW w:w="1140" w:type="dxa"/>
            <w:vAlign w:val="bottom"/>
            <w:shd w:val="clear" w:color="auto" w:fill="E5EBEE"/>
          </w:tcPr>
          <w:p>
            <w:pPr>
              <w:jc w:val="center"/>
              <w:ind w:left="91"/>
              <w:spacing w:after="0"/>
              <w:rPr>
                <w:sz w:val="20"/>
                <w:szCs w:val="20"/>
                <w:color w:val="auto"/>
              </w:rPr>
            </w:pPr>
            <w:r>
              <w:rPr>
                <w:rFonts w:ascii="Arial" w:cs="Arial" w:eastAsia="Arial" w:hAnsi="Arial"/>
                <w:sz w:val="18"/>
                <w:szCs w:val="18"/>
                <w:color w:val="auto"/>
                <w:w w:val="98"/>
              </w:rPr>
              <w:t>54.93%</w:t>
            </w:r>
          </w:p>
        </w:tc>
        <w:tc>
          <w:tcPr>
            <w:tcW w:w="40" w:type="dxa"/>
            <w:vAlign w:val="bottom"/>
            <w:shd w:val="clear" w:color="auto" w:fill="E5EBEE"/>
          </w:tcPr>
          <w:p>
            <w:pPr>
              <w:spacing w:after="0"/>
              <w:rPr>
                <w:sz w:val="24"/>
                <w:szCs w:val="24"/>
                <w:color w:val="auto"/>
              </w:rPr>
            </w:pPr>
          </w:p>
        </w:tc>
        <w:tc>
          <w:tcPr>
            <w:tcW w:w="1140" w:type="dxa"/>
            <w:vAlign w:val="bottom"/>
            <w:shd w:val="clear" w:color="auto" w:fill="E5EBEE"/>
          </w:tcPr>
          <w:p>
            <w:pPr>
              <w:jc w:val="center"/>
              <w:ind w:left="91"/>
              <w:spacing w:after="0"/>
              <w:rPr>
                <w:sz w:val="20"/>
                <w:szCs w:val="20"/>
                <w:color w:val="auto"/>
              </w:rPr>
            </w:pPr>
            <w:r>
              <w:rPr>
                <w:rFonts w:ascii="Arial" w:cs="Arial" w:eastAsia="Arial" w:hAnsi="Arial"/>
                <w:sz w:val="18"/>
                <w:szCs w:val="18"/>
                <w:color w:val="auto"/>
                <w:w w:val="98"/>
              </w:rPr>
              <w:t>55.23%</w:t>
            </w:r>
          </w:p>
        </w:tc>
      </w:tr>
      <w:tr>
        <w:trPr>
          <w:trHeight w:val="270"/>
        </w:trPr>
        <w:tc>
          <w:tcPr>
            <w:tcW w:w="7300" w:type="dxa"/>
            <w:vAlign w:val="bottom"/>
          </w:tcPr>
          <w:p>
            <w:pPr>
              <w:ind w:left="280"/>
              <w:spacing w:after="0"/>
              <w:rPr>
                <w:sz w:val="20"/>
                <w:szCs w:val="20"/>
                <w:color w:val="auto"/>
              </w:rPr>
            </w:pPr>
            <w:r>
              <w:rPr>
                <w:rFonts w:ascii="Arial" w:cs="Arial" w:eastAsia="Arial" w:hAnsi="Arial"/>
                <w:sz w:val="18"/>
                <w:szCs w:val="18"/>
                <w:color w:val="auto"/>
              </w:rPr>
              <w:t>Impact of adjustments noted above</w:t>
            </w:r>
          </w:p>
        </w:tc>
        <w:tc>
          <w:tcPr>
            <w:tcW w:w="40" w:type="dxa"/>
            <w:vAlign w:val="bottom"/>
          </w:tcPr>
          <w:p>
            <w:pPr>
              <w:spacing w:after="0"/>
              <w:rPr>
                <w:sz w:val="23"/>
                <w:szCs w:val="23"/>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(527) bps</w:t>
            </w: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(93) bps</w:t>
            </w:r>
          </w:p>
        </w:tc>
        <w:tc>
          <w:tcPr>
            <w:tcW w:w="1140" w:type="dxa"/>
            <w:vAlign w:val="bottom"/>
          </w:tcPr>
          <w:p>
            <w:pPr>
              <w:ind w:left="340"/>
              <w:spacing w:after="0"/>
              <w:rPr>
                <w:sz w:val="20"/>
                <w:szCs w:val="20"/>
                <w:color w:val="auto"/>
              </w:rPr>
            </w:pPr>
            <w:r>
              <w:rPr>
                <w:rFonts w:ascii="Arial" w:cs="Arial" w:eastAsia="Arial" w:hAnsi="Arial"/>
                <w:sz w:val="18"/>
                <w:szCs w:val="18"/>
                <w:color w:val="auto"/>
              </w:rPr>
              <w:t>(79) bps</w:t>
            </w: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Borders>
              <w:bottom w:val="single" w:sz="8" w:color="023C5B"/>
            </w:tcBorders>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Borders>
              <w:bottom w:val="single" w:sz="8" w:color="023C5B"/>
            </w:tcBorders>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Borders>
              <w:bottom w:val="single" w:sz="8" w:color="023C5B"/>
            </w:tcBorders>
          </w:tcPr>
          <w:p>
            <w:pPr>
              <w:spacing w:after="0"/>
              <w:rPr>
                <w:sz w:val="3"/>
                <w:szCs w:val="3"/>
                <w:color w:val="auto"/>
              </w:rPr>
            </w:pPr>
          </w:p>
        </w:tc>
      </w:tr>
      <w:tr>
        <w:trPr>
          <w:trHeight w:val="20"/>
        </w:trPr>
        <w:tc>
          <w:tcPr>
            <w:tcW w:w="7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4"/>
        </w:trPr>
        <w:tc>
          <w:tcPr>
            <w:tcW w:w="730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b w:val="1"/>
                <w:bCs w:val="1"/>
                <w:color w:val="auto"/>
              </w:rPr>
              <w:t>Adjusted efficiency ratio (non-GAAP)</w:t>
            </w:r>
          </w:p>
        </w:tc>
        <w:tc>
          <w:tcPr>
            <w:tcW w:w="1240" w:type="dxa"/>
            <w:vAlign w:val="bottom"/>
            <w:tcBorders>
              <w:bottom w:val="single" w:sz="8" w:color="E5EBEE"/>
            </w:tcBorders>
            <w:gridSpan w:val="2"/>
            <w:shd w:val="clear" w:color="auto" w:fill="E5EBEE"/>
          </w:tcPr>
          <w:p>
            <w:pPr>
              <w:jc w:val="center"/>
              <w:ind w:left="51"/>
              <w:spacing w:after="0"/>
              <w:rPr>
                <w:sz w:val="20"/>
                <w:szCs w:val="20"/>
                <w:color w:val="auto"/>
              </w:rPr>
            </w:pPr>
            <w:r>
              <w:rPr>
                <w:rFonts w:ascii="Arial" w:cs="Arial" w:eastAsia="Arial" w:hAnsi="Arial"/>
                <w:sz w:val="18"/>
                <w:szCs w:val="18"/>
                <w:color w:val="auto"/>
              </w:rPr>
              <w:t>51.81%</w:t>
            </w:r>
          </w:p>
        </w:tc>
        <w:tc>
          <w:tcPr>
            <w:tcW w:w="6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8"/>
              </w:rPr>
              <w:t>54.00%</w:t>
            </w:r>
          </w:p>
        </w:tc>
        <w:tc>
          <w:tcPr>
            <w:tcW w:w="4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8"/>
              </w:rPr>
              <w:t>54.44%</w:t>
            </w:r>
          </w:p>
        </w:tc>
      </w:tr>
      <w:tr>
        <w:trPr>
          <w:trHeight w:val="20"/>
        </w:trPr>
        <w:tc>
          <w:tcPr>
            <w:tcW w:w="7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top w:val="single" w:sz="8" w:color="023C5B"/>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023C5B"/>
              <w:bottom w:val="single" w:sz="8" w:color="023C5B"/>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top w:val="single" w:sz="8" w:color="023C5B"/>
              <w:bottom w:val="single" w:sz="8" w:color="023C5B"/>
            </w:tcBorders>
          </w:tcPr>
          <w:p>
            <w:pPr>
              <w:spacing w:after="0" w:line="20" w:lineRule="exact"/>
              <w:rPr>
                <w:sz w:val="1"/>
                <w:szCs w:val="1"/>
                <w:color w:val="auto"/>
              </w:rPr>
            </w:pPr>
          </w:p>
        </w:tc>
      </w:tr>
      <w:tr>
        <w:trPr>
          <w:trHeight w:val="221"/>
        </w:trPr>
        <w:tc>
          <w:tcPr>
            <w:tcW w:w="7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88"/>
        </w:trPr>
        <w:tc>
          <w:tcPr>
            <w:tcW w:w="730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b w:val="1"/>
                <w:bCs w:val="1"/>
                <w:color w:val="auto"/>
              </w:rPr>
              <w:t>Adjusted operating efficiency ratio:</w:t>
            </w:r>
          </w:p>
        </w:tc>
        <w:tc>
          <w:tcPr>
            <w:tcW w:w="40" w:type="dxa"/>
            <w:vAlign w:val="bottom"/>
            <w:tcBorders>
              <w:bottom w:val="single" w:sz="8" w:color="E5EBEE"/>
            </w:tcBorders>
            <w:shd w:val="clear" w:color="auto" w:fill="E5EBEE"/>
          </w:tcPr>
          <w:p>
            <w:pPr>
              <w:spacing w:after="0"/>
              <w:rPr>
                <w:sz w:val="24"/>
                <w:szCs w:val="24"/>
                <w:color w:val="auto"/>
              </w:rPr>
            </w:pPr>
          </w:p>
        </w:tc>
        <w:tc>
          <w:tcPr>
            <w:tcW w:w="1200" w:type="dxa"/>
            <w:vAlign w:val="bottom"/>
            <w:tcBorders>
              <w:bottom w:val="single" w:sz="8" w:color="E5EBEE"/>
            </w:tcBorders>
            <w:shd w:val="clear" w:color="auto" w:fill="E5EBEE"/>
          </w:tcPr>
          <w:p>
            <w:pPr>
              <w:spacing w:after="0"/>
              <w:rPr>
                <w:sz w:val="24"/>
                <w:szCs w:val="24"/>
                <w:color w:val="auto"/>
              </w:rPr>
            </w:pPr>
          </w:p>
        </w:tc>
        <w:tc>
          <w:tcPr>
            <w:tcW w:w="6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spacing w:after="0"/>
              <w:rPr>
                <w:sz w:val="24"/>
                <w:szCs w:val="24"/>
                <w:color w:val="auto"/>
              </w:rPr>
            </w:pPr>
          </w:p>
        </w:tc>
        <w:tc>
          <w:tcPr>
            <w:tcW w:w="4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spacing w:after="0"/>
              <w:rPr>
                <w:sz w:val="24"/>
                <w:szCs w:val="24"/>
                <w:color w:val="auto"/>
              </w:rPr>
            </w:pPr>
          </w:p>
        </w:tc>
      </w:tr>
      <w:tr>
        <w:trPr>
          <w:trHeight w:val="270"/>
        </w:trPr>
        <w:tc>
          <w:tcPr>
            <w:tcW w:w="7300" w:type="dxa"/>
            <w:vAlign w:val="bottom"/>
          </w:tcPr>
          <w:p>
            <w:pPr>
              <w:ind w:left="100"/>
              <w:spacing w:after="0"/>
              <w:rPr>
                <w:sz w:val="20"/>
                <w:szCs w:val="20"/>
                <w:color w:val="auto"/>
              </w:rPr>
            </w:pPr>
            <w:r>
              <w:rPr>
                <w:rFonts w:ascii="Arial" w:cs="Arial" w:eastAsia="Arial" w:hAnsi="Arial"/>
                <w:sz w:val="18"/>
                <w:szCs w:val="18"/>
                <w:color w:val="auto"/>
              </w:rPr>
              <w:t>Operating expense (GAAP)</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rPr>
              <w:t>$24,614</w:t>
            </w:r>
          </w:p>
        </w:tc>
        <w:tc>
          <w:tcPr>
            <w:tcW w:w="60" w:type="dxa"/>
            <w:vAlign w:val="bottom"/>
          </w:tcPr>
          <w:p>
            <w:pPr>
              <w:spacing w:after="0"/>
              <w:rPr>
                <w:sz w:val="23"/>
                <w:szCs w:val="23"/>
                <w:color w:val="auto"/>
              </w:rPr>
            </w:pPr>
          </w:p>
        </w:tc>
        <w:tc>
          <w:tcPr>
            <w:tcW w:w="1140" w:type="dxa"/>
            <w:vAlign w:val="bottom"/>
          </w:tcPr>
          <w:p>
            <w:pPr>
              <w:jc w:val="center"/>
              <w:ind w:left="91"/>
              <w:spacing w:after="0"/>
              <w:rPr>
                <w:sz w:val="20"/>
                <w:szCs w:val="20"/>
                <w:color w:val="auto"/>
              </w:rPr>
            </w:pPr>
            <w:r>
              <w:rPr>
                <w:rFonts w:ascii="Arial" w:cs="Arial" w:eastAsia="Arial" w:hAnsi="Arial"/>
                <w:sz w:val="18"/>
                <w:szCs w:val="18"/>
                <w:color w:val="auto"/>
                <w:w w:val="98"/>
              </w:rPr>
              <w:t>$16,924</w:t>
            </w:r>
          </w:p>
        </w:tc>
        <w:tc>
          <w:tcPr>
            <w:tcW w:w="40" w:type="dxa"/>
            <w:vAlign w:val="bottom"/>
          </w:tcPr>
          <w:p>
            <w:pPr>
              <w:spacing w:after="0"/>
              <w:rPr>
                <w:sz w:val="23"/>
                <w:szCs w:val="23"/>
                <w:color w:val="auto"/>
              </w:rPr>
            </w:pPr>
          </w:p>
        </w:tc>
        <w:tc>
          <w:tcPr>
            <w:tcW w:w="1140" w:type="dxa"/>
            <w:vAlign w:val="bottom"/>
          </w:tcPr>
          <w:p>
            <w:pPr>
              <w:jc w:val="center"/>
              <w:ind w:left="91"/>
              <w:spacing w:after="0"/>
              <w:rPr>
                <w:sz w:val="20"/>
                <w:szCs w:val="20"/>
                <w:color w:val="auto"/>
              </w:rPr>
            </w:pPr>
            <w:r>
              <w:rPr>
                <w:rFonts w:ascii="Arial" w:cs="Arial" w:eastAsia="Arial" w:hAnsi="Arial"/>
                <w:sz w:val="18"/>
                <w:szCs w:val="18"/>
                <w:color w:val="auto"/>
                <w:w w:val="98"/>
              </w:rPr>
              <w:t>$16,307</w:t>
            </w: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8"/>
        </w:trPr>
        <w:tc>
          <w:tcPr>
            <w:tcW w:w="730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Discover intangible amortization expense</w:t>
            </w:r>
          </w:p>
        </w:tc>
        <w:tc>
          <w:tcPr>
            <w:tcW w:w="1240" w:type="dxa"/>
            <w:vAlign w:val="bottom"/>
            <w:tcBorders>
              <w:bottom w:val="single" w:sz="8" w:color="E5EBEE"/>
            </w:tcBorders>
            <w:gridSpan w:val="2"/>
            <w:shd w:val="clear" w:color="auto" w:fill="E5EBEE"/>
          </w:tcPr>
          <w:p>
            <w:pPr>
              <w:jc w:val="center"/>
              <w:ind w:left="51"/>
              <w:spacing w:after="0"/>
              <w:rPr>
                <w:sz w:val="20"/>
                <w:szCs w:val="20"/>
                <w:color w:val="auto"/>
              </w:rPr>
            </w:pPr>
            <w:r>
              <w:rPr>
                <w:rFonts w:ascii="Arial" w:cs="Arial" w:eastAsia="Arial" w:hAnsi="Arial"/>
                <w:sz w:val="18"/>
                <w:szCs w:val="18"/>
                <w:color w:val="auto"/>
              </w:rPr>
              <w:t>(1,262)</w:t>
            </w:r>
          </w:p>
        </w:tc>
        <w:tc>
          <w:tcPr>
            <w:tcW w:w="60" w:type="dxa"/>
            <w:vAlign w:val="bottom"/>
            <w:tcBorders>
              <w:bottom w:val="single" w:sz="8" w:color="E5EBEE"/>
            </w:tcBorders>
            <w:shd w:val="clear" w:color="auto" w:fill="E5EBEE"/>
          </w:tcPr>
          <w:p>
            <w:pPr>
              <w:spacing w:after="0"/>
              <w:rPr>
                <w:sz w:val="24"/>
                <w:szCs w:val="24"/>
                <w:color w:val="auto"/>
              </w:rPr>
            </w:pPr>
          </w:p>
        </w:tc>
        <w:tc>
          <w:tcPr>
            <w:tcW w:w="1180" w:type="dxa"/>
            <w:vAlign w:val="bottom"/>
            <w:tcBorders>
              <w:bottom w:val="single" w:sz="8" w:color="E5EBEE"/>
            </w:tcBorders>
            <w:gridSpan w:val="2"/>
            <w:shd w:val="clear" w:color="auto" w:fill="E5EBEE"/>
          </w:tcPr>
          <w:p>
            <w:pPr>
              <w:jc w:val="center"/>
              <w:ind w:left="3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w:t>
            </w:r>
          </w:p>
        </w:tc>
      </w:tr>
      <w:tr>
        <w:trPr>
          <w:trHeight w:val="270"/>
        </w:trPr>
        <w:tc>
          <w:tcPr>
            <w:tcW w:w="7300" w:type="dxa"/>
            <w:vAlign w:val="bottom"/>
          </w:tcPr>
          <w:p>
            <w:pPr>
              <w:ind w:left="280"/>
              <w:spacing w:after="0"/>
              <w:rPr>
                <w:sz w:val="20"/>
                <w:szCs w:val="20"/>
                <w:color w:val="auto"/>
              </w:rPr>
            </w:pPr>
            <w:r>
              <w:rPr>
                <w:rFonts w:ascii="Arial" w:cs="Arial" w:eastAsia="Arial" w:hAnsi="Arial"/>
                <w:sz w:val="18"/>
                <w:szCs w:val="18"/>
                <w:color w:val="auto"/>
              </w:rPr>
              <w:t>Discover integration expenses</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rPr>
              <w:t>(1,109)</w:t>
            </w:r>
          </w:p>
        </w:tc>
        <w:tc>
          <w:tcPr>
            <w:tcW w:w="60" w:type="dxa"/>
            <w:vAlign w:val="bottom"/>
          </w:tcPr>
          <w:p>
            <w:pPr>
              <w:spacing w:after="0"/>
              <w:rPr>
                <w:sz w:val="23"/>
                <w:szCs w:val="23"/>
                <w:color w:val="auto"/>
              </w:rPr>
            </w:pPr>
          </w:p>
        </w:tc>
        <w:tc>
          <w:tcPr>
            <w:tcW w:w="1140" w:type="dxa"/>
            <w:vAlign w:val="bottom"/>
          </w:tcPr>
          <w:p>
            <w:pPr>
              <w:jc w:val="center"/>
              <w:ind w:left="71"/>
              <w:spacing w:after="0"/>
              <w:rPr>
                <w:sz w:val="20"/>
                <w:szCs w:val="20"/>
                <w:color w:val="auto"/>
              </w:rPr>
            </w:pPr>
            <w:r>
              <w:rPr>
                <w:rFonts w:ascii="Arial" w:cs="Arial" w:eastAsia="Arial" w:hAnsi="Arial"/>
                <w:sz w:val="18"/>
                <w:szCs w:val="18"/>
                <w:color w:val="auto"/>
                <w:w w:val="99"/>
              </w:rPr>
              <w:t>(234)</w:t>
            </w:r>
          </w:p>
        </w:tc>
        <w:tc>
          <w:tcPr>
            <w:tcW w:w="40" w:type="dxa"/>
            <w:vAlign w:val="bottom"/>
          </w:tcPr>
          <w:p>
            <w:pPr>
              <w:spacing w:after="0"/>
              <w:rPr>
                <w:sz w:val="23"/>
                <w:szCs w:val="23"/>
                <w:color w:val="auto"/>
              </w:rPr>
            </w:pPr>
          </w:p>
        </w:tc>
        <w:tc>
          <w:tcPr>
            <w:tcW w:w="1140" w:type="dxa"/>
            <w:vAlign w:val="bottom"/>
          </w:tcPr>
          <w:p>
            <w:pPr>
              <w:jc w:val="center"/>
              <w:ind w:left="111"/>
              <w:spacing w:after="0"/>
              <w:rPr>
                <w:sz w:val="20"/>
                <w:szCs w:val="20"/>
                <w:color w:val="auto"/>
              </w:rPr>
            </w:pPr>
            <w:r>
              <w:rPr>
                <w:rFonts w:ascii="Arial" w:cs="Arial" w:eastAsia="Arial" w:hAnsi="Arial"/>
                <w:sz w:val="18"/>
                <w:szCs w:val="18"/>
                <w:color w:val="auto"/>
                <w:w w:val="99"/>
              </w:rPr>
              <w:t>—</w:t>
            </w: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8"/>
        </w:trPr>
        <w:tc>
          <w:tcPr>
            <w:tcW w:w="730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Legal reserve activities</w:t>
            </w:r>
          </w:p>
        </w:tc>
        <w:tc>
          <w:tcPr>
            <w:tcW w:w="1240" w:type="dxa"/>
            <w:vAlign w:val="bottom"/>
            <w:tcBorders>
              <w:bottom w:val="single" w:sz="8" w:color="E5EBEE"/>
            </w:tcBorders>
            <w:gridSpan w:val="2"/>
            <w:shd w:val="clear" w:color="auto" w:fill="E5EBEE"/>
          </w:tcPr>
          <w:p>
            <w:pPr>
              <w:jc w:val="center"/>
              <w:ind w:left="51"/>
              <w:spacing w:after="0"/>
              <w:rPr>
                <w:sz w:val="20"/>
                <w:szCs w:val="20"/>
                <w:color w:val="auto"/>
              </w:rPr>
            </w:pPr>
            <w:r>
              <w:rPr>
                <w:rFonts w:ascii="Arial" w:cs="Arial" w:eastAsia="Arial" w:hAnsi="Arial"/>
                <w:sz w:val="18"/>
                <w:szCs w:val="18"/>
                <w:color w:val="auto"/>
                <w:w w:val="99"/>
              </w:rPr>
              <w:t>(356)</w:t>
            </w:r>
          </w:p>
        </w:tc>
        <w:tc>
          <w:tcPr>
            <w:tcW w:w="6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9"/>
              </w:rPr>
              <w:t>(75)</w:t>
            </w:r>
          </w:p>
        </w:tc>
        <w:tc>
          <w:tcPr>
            <w:tcW w:w="4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w:t>
            </w:r>
          </w:p>
        </w:tc>
      </w:tr>
      <w:tr>
        <w:trPr>
          <w:trHeight w:val="270"/>
        </w:trPr>
        <w:tc>
          <w:tcPr>
            <w:tcW w:w="7300" w:type="dxa"/>
            <w:vAlign w:val="bottom"/>
          </w:tcPr>
          <w:p>
            <w:pPr>
              <w:ind w:left="280"/>
              <w:spacing w:after="0"/>
              <w:rPr>
                <w:sz w:val="20"/>
                <w:szCs w:val="20"/>
                <w:color w:val="auto"/>
              </w:rPr>
            </w:pPr>
            <w:r>
              <w:rPr>
                <w:rFonts w:ascii="Arial" w:cs="Arial" w:eastAsia="Arial" w:hAnsi="Arial"/>
                <w:sz w:val="18"/>
                <w:szCs w:val="18"/>
                <w:color w:val="auto"/>
              </w:rPr>
              <w:t>FDIC special assessment</w:t>
            </w:r>
          </w:p>
        </w:tc>
        <w:tc>
          <w:tcPr>
            <w:tcW w:w="1240" w:type="dxa"/>
            <w:vAlign w:val="bottom"/>
            <w:gridSpan w:val="2"/>
          </w:tcPr>
          <w:p>
            <w:pPr>
              <w:jc w:val="center"/>
              <w:ind w:left="71"/>
              <w:spacing w:after="0"/>
              <w:rPr>
                <w:sz w:val="20"/>
                <w:szCs w:val="20"/>
                <w:color w:val="auto"/>
              </w:rPr>
            </w:pPr>
            <w:r>
              <w:rPr>
                <w:rFonts w:ascii="Arial" w:cs="Arial" w:eastAsia="Arial" w:hAnsi="Arial"/>
                <w:sz w:val="18"/>
                <w:szCs w:val="18"/>
                <w:color w:val="auto"/>
                <w:w w:val="99"/>
              </w:rPr>
              <w:t>29</w:t>
            </w:r>
          </w:p>
        </w:tc>
        <w:tc>
          <w:tcPr>
            <w:tcW w:w="60" w:type="dxa"/>
            <w:vAlign w:val="bottom"/>
          </w:tcPr>
          <w:p>
            <w:pPr>
              <w:spacing w:after="0"/>
              <w:rPr>
                <w:sz w:val="23"/>
                <w:szCs w:val="23"/>
                <w:color w:val="auto"/>
              </w:rPr>
            </w:pPr>
          </w:p>
        </w:tc>
        <w:tc>
          <w:tcPr>
            <w:tcW w:w="1140" w:type="dxa"/>
            <w:vAlign w:val="bottom"/>
          </w:tcPr>
          <w:p>
            <w:pPr>
              <w:jc w:val="center"/>
              <w:ind w:left="91"/>
              <w:spacing w:after="0"/>
              <w:rPr>
                <w:sz w:val="20"/>
                <w:szCs w:val="20"/>
                <w:color w:val="auto"/>
              </w:rPr>
            </w:pPr>
            <w:r>
              <w:rPr>
                <w:rFonts w:ascii="Arial" w:cs="Arial" w:eastAsia="Arial" w:hAnsi="Arial"/>
                <w:sz w:val="18"/>
                <w:szCs w:val="18"/>
                <w:color w:val="auto"/>
                <w:w w:val="99"/>
              </w:rPr>
              <w:t>(41)</w:t>
            </w:r>
          </w:p>
        </w:tc>
        <w:tc>
          <w:tcPr>
            <w:tcW w:w="40" w:type="dxa"/>
            <w:vAlign w:val="bottom"/>
          </w:tcPr>
          <w:p>
            <w:pPr>
              <w:spacing w:after="0"/>
              <w:rPr>
                <w:sz w:val="23"/>
                <w:szCs w:val="23"/>
                <w:color w:val="auto"/>
              </w:rPr>
            </w:pPr>
          </w:p>
        </w:tc>
        <w:tc>
          <w:tcPr>
            <w:tcW w:w="1140" w:type="dxa"/>
            <w:vAlign w:val="bottom"/>
          </w:tcPr>
          <w:p>
            <w:pPr>
              <w:jc w:val="center"/>
              <w:ind w:left="111"/>
              <w:spacing w:after="0"/>
              <w:rPr>
                <w:sz w:val="20"/>
                <w:szCs w:val="20"/>
                <w:color w:val="auto"/>
              </w:rPr>
            </w:pPr>
            <w:r>
              <w:rPr>
                <w:rFonts w:ascii="Arial" w:cs="Arial" w:eastAsia="Arial" w:hAnsi="Arial"/>
                <w:sz w:val="18"/>
                <w:szCs w:val="18"/>
                <w:color w:val="auto"/>
                <w:w w:val="99"/>
              </w:rPr>
              <w:t>(289)</w:t>
            </w:r>
          </w:p>
        </w:tc>
      </w:tr>
      <w:tr>
        <w:trPr>
          <w:trHeight w:val="38"/>
        </w:trPr>
        <w:tc>
          <w:tcPr>
            <w:tcW w:w="7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Borders>
              <w:bottom w:val="single" w:sz="8" w:color="023C5B"/>
            </w:tcBorders>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Borders>
              <w:bottom w:val="single" w:sz="8" w:color="023C5B"/>
            </w:tcBorders>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tcBorders>
              <w:bottom w:val="single" w:sz="8" w:color="023C5B"/>
            </w:tcBorders>
          </w:tcPr>
          <w:p>
            <w:pPr>
              <w:spacing w:after="0"/>
              <w:rPr>
                <w:sz w:val="3"/>
                <w:szCs w:val="3"/>
                <w:color w:val="auto"/>
              </w:rPr>
            </w:pPr>
          </w:p>
        </w:tc>
      </w:tr>
      <w:tr>
        <w:trPr>
          <w:trHeight w:val="20"/>
        </w:trPr>
        <w:tc>
          <w:tcPr>
            <w:tcW w:w="7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4"/>
        </w:trPr>
        <w:tc>
          <w:tcPr>
            <w:tcW w:w="730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color w:val="auto"/>
              </w:rPr>
              <w:t>Adjusted operating expense (non-GAAP)</w:t>
            </w:r>
          </w:p>
        </w:tc>
        <w:tc>
          <w:tcPr>
            <w:tcW w:w="1240" w:type="dxa"/>
            <w:vAlign w:val="bottom"/>
            <w:tcBorders>
              <w:bottom w:val="single" w:sz="8" w:color="E5EBEE"/>
            </w:tcBorders>
            <w:gridSpan w:val="2"/>
            <w:shd w:val="clear" w:color="auto" w:fill="E5EBEE"/>
          </w:tcPr>
          <w:p>
            <w:pPr>
              <w:jc w:val="center"/>
              <w:ind w:left="51"/>
              <w:spacing w:after="0"/>
              <w:rPr>
                <w:sz w:val="20"/>
                <w:szCs w:val="20"/>
                <w:color w:val="auto"/>
              </w:rPr>
            </w:pPr>
            <w:r>
              <w:rPr>
                <w:rFonts w:ascii="Arial" w:cs="Arial" w:eastAsia="Arial" w:hAnsi="Arial"/>
                <w:sz w:val="18"/>
                <w:szCs w:val="18"/>
                <w:color w:val="auto"/>
              </w:rPr>
              <w:t>$21,916</w:t>
            </w:r>
          </w:p>
        </w:tc>
        <w:tc>
          <w:tcPr>
            <w:tcW w:w="6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8"/>
              </w:rPr>
              <w:t>$16,574</w:t>
            </w:r>
          </w:p>
        </w:tc>
        <w:tc>
          <w:tcPr>
            <w:tcW w:w="4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8"/>
              </w:rPr>
              <w:t>$16,018</w:t>
            </w:r>
          </w:p>
        </w:tc>
      </w:tr>
      <w:tr>
        <w:trPr>
          <w:trHeight w:val="20"/>
        </w:trPr>
        <w:tc>
          <w:tcPr>
            <w:tcW w:w="7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Borders>
              <w:top w:val="single" w:sz="8" w:color="023C5B"/>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023C5B"/>
              <w:bottom w:val="single" w:sz="8" w:color="023C5B"/>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top w:val="single" w:sz="8" w:color="023C5B"/>
              <w:bottom w:val="single" w:sz="8" w:color="023C5B"/>
            </w:tcBorders>
          </w:tcPr>
          <w:p>
            <w:pPr>
              <w:spacing w:after="0" w:line="20" w:lineRule="exact"/>
              <w:rPr>
                <w:sz w:val="1"/>
                <w:szCs w:val="1"/>
                <w:color w:val="auto"/>
              </w:rPr>
            </w:pPr>
          </w:p>
        </w:tc>
      </w:tr>
      <w:tr>
        <w:trPr>
          <w:trHeight w:val="237"/>
        </w:trPr>
        <w:tc>
          <w:tcPr>
            <w:tcW w:w="7300" w:type="dxa"/>
            <w:vAlign w:val="bottom"/>
          </w:tcPr>
          <w:p>
            <w:pPr>
              <w:ind w:left="100"/>
              <w:spacing w:after="0"/>
              <w:rPr>
                <w:sz w:val="20"/>
                <w:szCs w:val="20"/>
                <w:color w:val="auto"/>
              </w:rPr>
            </w:pPr>
            <w:r>
              <w:rPr>
                <w:rFonts w:ascii="Arial" w:cs="Arial" w:eastAsia="Arial" w:hAnsi="Arial"/>
                <w:sz w:val="18"/>
                <w:szCs w:val="18"/>
                <w:color w:val="auto"/>
              </w:rPr>
              <w:t>Total net revenue (GAAP)</w:t>
            </w:r>
          </w:p>
        </w:tc>
        <w:tc>
          <w:tcPr>
            <w:tcW w:w="1240" w:type="dxa"/>
            <w:vAlign w:val="bottom"/>
            <w:gridSpan w:val="2"/>
          </w:tcPr>
          <w:p>
            <w:pPr>
              <w:jc w:val="center"/>
              <w:ind w:left="51"/>
              <w:spacing w:after="0"/>
              <w:rPr>
                <w:sz w:val="20"/>
                <w:szCs w:val="20"/>
                <w:color w:val="auto"/>
              </w:rPr>
            </w:pPr>
            <w:r>
              <w:rPr>
                <w:rFonts w:ascii="Arial" w:cs="Arial" w:eastAsia="Arial" w:hAnsi="Arial"/>
                <w:sz w:val="18"/>
                <w:szCs w:val="18"/>
                <w:color w:val="auto"/>
              </w:rPr>
              <w:t>$53,434</w:t>
            </w:r>
          </w:p>
        </w:tc>
        <w:tc>
          <w:tcPr>
            <w:tcW w:w="60" w:type="dxa"/>
            <w:vAlign w:val="bottom"/>
          </w:tcPr>
          <w:p>
            <w:pPr>
              <w:spacing w:after="0"/>
              <w:rPr>
                <w:sz w:val="20"/>
                <w:szCs w:val="20"/>
                <w:color w:val="auto"/>
              </w:rPr>
            </w:pPr>
          </w:p>
        </w:tc>
        <w:tc>
          <w:tcPr>
            <w:tcW w:w="1140" w:type="dxa"/>
            <w:vAlign w:val="bottom"/>
          </w:tcPr>
          <w:p>
            <w:pPr>
              <w:jc w:val="center"/>
              <w:ind w:left="91"/>
              <w:spacing w:after="0"/>
              <w:rPr>
                <w:sz w:val="20"/>
                <w:szCs w:val="20"/>
                <w:color w:val="auto"/>
              </w:rPr>
            </w:pPr>
            <w:r>
              <w:rPr>
                <w:rFonts w:ascii="Arial" w:cs="Arial" w:eastAsia="Arial" w:hAnsi="Arial"/>
                <w:sz w:val="18"/>
                <w:szCs w:val="18"/>
                <w:color w:val="auto"/>
                <w:w w:val="98"/>
              </w:rPr>
              <w:t>$39,112</w:t>
            </w:r>
          </w:p>
        </w:tc>
        <w:tc>
          <w:tcPr>
            <w:tcW w:w="40" w:type="dxa"/>
            <w:vAlign w:val="bottom"/>
          </w:tcPr>
          <w:p>
            <w:pPr>
              <w:spacing w:after="0"/>
              <w:rPr>
                <w:sz w:val="20"/>
                <w:szCs w:val="20"/>
                <w:color w:val="auto"/>
              </w:rPr>
            </w:pPr>
          </w:p>
        </w:tc>
        <w:tc>
          <w:tcPr>
            <w:tcW w:w="1140" w:type="dxa"/>
            <w:vAlign w:val="bottom"/>
          </w:tcPr>
          <w:p>
            <w:pPr>
              <w:jc w:val="center"/>
              <w:ind w:left="91"/>
              <w:spacing w:after="0"/>
              <w:rPr>
                <w:sz w:val="20"/>
                <w:szCs w:val="20"/>
                <w:color w:val="auto"/>
              </w:rPr>
            </w:pPr>
            <w:r>
              <w:rPr>
                <w:rFonts w:ascii="Arial" w:cs="Arial" w:eastAsia="Arial" w:hAnsi="Arial"/>
                <w:sz w:val="18"/>
                <w:szCs w:val="18"/>
                <w:color w:val="auto"/>
                <w:w w:val="98"/>
              </w:rPr>
              <w:t>$36,787</w:t>
            </w:r>
          </w:p>
        </w:tc>
      </w:tr>
    </w:tbl>
    <w:p>
      <w:pPr>
        <w:spacing w:after="0" w:line="158"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Appendix A - Information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4726305</wp:posOffset>
            </wp:positionH>
            <wp:positionV relativeFrom="paragraph">
              <wp:posOffset>104140</wp:posOffset>
            </wp:positionV>
            <wp:extent cx="2310130" cy="170688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310130" cy="1706880"/>
                    </a:xfrm>
                    <a:prstGeom prst="rect">
                      <a:avLst/>
                    </a:prstGeom>
                    <a:noFill/>
                  </pic:spPr>
                </pic:pic>
              </a:graphicData>
            </a:graphic>
          </wp:anchor>
        </w:drawing>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1220" w:type="dxa"/>
            <w:vAlign w:val="bottom"/>
            <w:shd w:val="clear" w:color="auto" w:fill="023C5B"/>
          </w:tcPr>
          <w:p>
            <w:pPr>
              <w:spacing w:after="0"/>
              <w:rPr>
                <w:sz w:val="22"/>
                <w:szCs w:val="22"/>
                <w:color w:val="auto"/>
              </w:rPr>
            </w:pPr>
          </w:p>
        </w:tc>
        <w:tc>
          <w:tcPr>
            <w:tcW w:w="6080" w:type="dxa"/>
            <w:vAlign w:val="bottom"/>
            <w:shd w:val="clear" w:color="auto" w:fill="023C5B"/>
          </w:tcPr>
          <w:p>
            <w:pPr>
              <w:spacing w:after="0"/>
              <w:rPr>
                <w:sz w:val="22"/>
                <w:szCs w:val="22"/>
                <w:color w:val="auto"/>
              </w:rPr>
            </w:pPr>
          </w:p>
        </w:tc>
        <w:tc>
          <w:tcPr>
            <w:tcW w:w="40" w:type="dxa"/>
            <w:vAlign w:val="bottom"/>
            <w:shd w:val="clear" w:color="auto" w:fill="023C5B"/>
          </w:tcPr>
          <w:p>
            <w:pPr>
              <w:spacing w:after="0"/>
              <w:rPr>
                <w:sz w:val="22"/>
                <w:szCs w:val="22"/>
                <w:color w:val="auto"/>
              </w:rPr>
            </w:pPr>
          </w:p>
        </w:tc>
        <w:tc>
          <w:tcPr>
            <w:tcW w:w="3580" w:type="dxa"/>
            <w:vAlign w:val="bottom"/>
            <w:gridSpan w:val="5"/>
            <w:shd w:val="clear" w:color="auto" w:fill="023C5B"/>
          </w:tcPr>
          <w:p>
            <w:pPr>
              <w:jc w:val="right"/>
              <w:ind w:right="772"/>
              <w:spacing w:after="0"/>
              <w:rPr>
                <w:sz w:val="20"/>
                <w:szCs w:val="20"/>
                <w:color w:val="auto"/>
              </w:rPr>
            </w:pPr>
            <w:r>
              <w:rPr>
                <w:rFonts w:ascii="Arial" w:cs="Arial" w:eastAsia="Arial" w:hAnsi="Arial"/>
                <w:sz w:val="16"/>
                <w:szCs w:val="16"/>
                <w:b w:val="1"/>
                <w:bCs w:val="1"/>
                <w:color w:val="FFFFFF"/>
              </w:rPr>
              <w:t>Year Ended December 31,</w:t>
            </w:r>
          </w:p>
        </w:tc>
      </w:tr>
      <w:tr>
        <w:trPr>
          <w:trHeight w:val="401"/>
        </w:trPr>
        <w:tc>
          <w:tcPr>
            <w:tcW w:w="7300" w:type="dxa"/>
            <w:vAlign w:val="bottom"/>
            <w:tcBorders>
              <w:bottom w:val="single" w:sz="8" w:color="023C5B"/>
            </w:tcBorders>
            <w:gridSpan w:val="2"/>
            <w:shd w:val="clear" w:color="auto" w:fill="023C5B"/>
          </w:tcPr>
          <w:p>
            <w:pPr>
              <w:ind w:left="100"/>
              <w:spacing w:after="0"/>
              <w:rPr>
                <w:sz w:val="20"/>
                <w:szCs w:val="20"/>
                <w:color w:val="auto"/>
              </w:rPr>
            </w:pPr>
            <w:r>
              <w:rPr>
                <w:rFonts w:ascii="Arial" w:cs="Arial" w:eastAsia="Arial" w:hAnsi="Arial"/>
                <w:sz w:val="16"/>
                <w:szCs w:val="16"/>
                <w:b w:val="1"/>
                <w:bCs w:val="1"/>
                <w:color w:val="FFFFFF"/>
              </w:rPr>
              <w:t>(Dollars in millions, except per share data and as noted)</w:t>
            </w:r>
          </w:p>
        </w:tc>
        <w:tc>
          <w:tcPr>
            <w:tcW w:w="1200" w:type="dxa"/>
            <w:vAlign w:val="bottom"/>
            <w:tcBorders>
              <w:bottom w:val="single" w:sz="8" w:color="023C5B"/>
            </w:tcBorders>
            <w:gridSpan w:val="2"/>
            <w:shd w:val="clear" w:color="auto" w:fill="023C5B"/>
          </w:tcPr>
          <w:p>
            <w:pPr>
              <w:jc w:val="right"/>
              <w:ind w:right="353"/>
              <w:spacing w:after="0"/>
              <w:rPr>
                <w:sz w:val="20"/>
                <w:szCs w:val="20"/>
                <w:color w:val="auto"/>
              </w:rPr>
            </w:pPr>
            <w:r>
              <w:rPr>
                <w:rFonts w:ascii="Arial" w:cs="Arial" w:eastAsia="Arial" w:hAnsi="Arial"/>
                <w:sz w:val="16"/>
                <w:szCs w:val="16"/>
                <w:b w:val="1"/>
                <w:bCs w:val="1"/>
                <w:color w:val="FFFFFF"/>
              </w:rPr>
              <w:t>2025</w:t>
            </w:r>
          </w:p>
        </w:tc>
        <w:tc>
          <w:tcPr>
            <w:tcW w:w="60" w:type="dxa"/>
            <w:vAlign w:val="bottom"/>
            <w:tcBorders>
              <w:bottom w:val="single" w:sz="8" w:color="023C5B"/>
            </w:tcBorders>
            <w:shd w:val="clear" w:color="auto" w:fill="023C5B"/>
          </w:tcPr>
          <w:p>
            <w:pPr>
              <w:spacing w:after="0"/>
              <w:rPr>
                <w:sz w:val="24"/>
                <w:szCs w:val="24"/>
                <w:color w:val="auto"/>
              </w:rPr>
            </w:pPr>
          </w:p>
        </w:tc>
        <w:tc>
          <w:tcPr>
            <w:tcW w:w="1140" w:type="dxa"/>
            <w:vAlign w:val="bottom"/>
            <w:tcBorders>
              <w:bottom w:val="single" w:sz="8" w:color="023C5B"/>
            </w:tcBorders>
            <w:shd w:val="clear" w:color="auto" w:fill="023C5B"/>
          </w:tcPr>
          <w:p>
            <w:pPr>
              <w:jc w:val="right"/>
              <w:ind w:right="312"/>
              <w:spacing w:after="0"/>
              <w:rPr>
                <w:sz w:val="20"/>
                <w:szCs w:val="20"/>
                <w:color w:val="auto"/>
              </w:rPr>
            </w:pPr>
            <w:r>
              <w:rPr>
                <w:rFonts w:ascii="Arial" w:cs="Arial" w:eastAsia="Arial" w:hAnsi="Arial"/>
                <w:sz w:val="16"/>
                <w:szCs w:val="16"/>
                <w:b w:val="1"/>
                <w:bCs w:val="1"/>
                <w:color w:val="FFFFFF"/>
              </w:rPr>
              <w:t>2024</w:t>
            </w:r>
          </w:p>
        </w:tc>
        <w:tc>
          <w:tcPr>
            <w:tcW w:w="40" w:type="dxa"/>
            <w:vAlign w:val="bottom"/>
            <w:tcBorders>
              <w:bottom w:val="single" w:sz="8" w:color="023C5B"/>
            </w:tcBorders>
            <w:shd w:val="clear" w:color="auto" w:fill="023C5B"/>
          </w:tcPr>
          <w:p>
            <w:pPr>
              <w:spacing w:after="0"/>
              <w:rPr>
                <w:sz w:val="24"/>
                <w:szCs w:val="24"/>
                <w:color w:val="auto"/>
              </w:rPr>
            </w:pPr>
          </w:p>
        </w:tc>
        <w:tc>
          <w:tcPr>
            <w:tcW w:w="1180" w:type="dxa"/>
            <w:vAlign w:val="bottom"/>
            <w:tcBorders>
              <w:bottom w:val="single" w:sz="8" w:color="023C5B"/>
            </w:tcBorders>
            <w:shd w:val="clear" w:color="auto" w:fill="023C5B"/>
          </w:tcPr>
          <w:p>
            <w:pPr>
              <w:jc w:val="right"/>
              <w:ind w:right="332"/>
              <w:spacing w:after="0"/>
              <w:rPr>
                <w:sz w:val="20"/>
                <w:szCs w:val="20"/>
                <w:color w:val="auto"/>
              </w:rPr>
            </w:pPr>
            <w:r>
              <w:rPr>
                <w:rFonts w:ascii="Arial" w:cs="Arial" w:eastAsia="Arial" w:hAnsi="Arial"/>
                <w:sz w:val="16"/>
                <w:szCs w:val="16"/>
                <w:b w:val="1"/>
                <w:bCs w:val="1"/>
                <w:color w:val="FFFFFF"/>
              </w:rPr>
              <w:t>2023</w:t>
            </w:r>
          </w:p>
        </w:tc>
      </w:tr>
      <w:tr>
        <w:trPr>
          <w:trHeight w:val="270"/>
        </w:trPr>
        <w:tc>
          <w:tcPr>
            <w:tcW w:w="7300" w:type="dxa"/>
            <w:vAlign w:val="bottom"/>
            <w:gridSpan w:val="2"/>
          </w:tcPr>
          <w:p>
            <w:pPr>
              <w:ind w:left="280"/>
              <w:spacing w:after="0"/>
              <w:rPr>
                <w:sz w:val="20"/>
                <w:szCs w:val="20"/>
                <w:color w:val="auto"/>
              </w:rPr>
            </w:pPr>
            <w:r>
              <w:rPr>
                <w:rFonts w:ascii="Arial" w:cs="Arial" w:eastAsia="Arial" w:hAnsi="Arial"/>
                <w:sz w:val="18"/>
                <w:szCs w:val="18"/>
                <w:color w:val="auto"/>
              </w:rPr>
              <w:t>Discover loan and deposit fair value mark amortization</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9"/>
              </w:rPr>
              <w:t>227</w:t>
            </w:r>
          </w:p>
        </w:tc>
        <w:tc>
          <w:tcPr>
            <w:tcW w:w="6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12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308"/>
        </w:trPr>
        <w:tc>
          <w:tcPr>
            <w:tcW w:w="7300" w:type="dxa"/>
            <w:vAlign w:val="bottom"/>
            <w:tcBorders>
              <w:bottom w:val="single" w:sz="8" w:color="E5EBEE"/>
            </w:tcBorders>
            <w:gridSpan w:val="2"/>
            <w:shd w:val="clear" w:color="auto" w:fill="E5EBEE"/>
          </w:tcPr>
          <w:p>
            <w:pPr>
              <w:ind w:left="280"/>
              <w:spacing w:after="0"/>
              <w:rPr>
                <w:sz w:val="20"/>
                <w:szCs w:val="20"/>
                <w:color w:val="auto"/>
              </w:rPr>
            </w:pPr>
            <w:r>
              <w:rPr>
                <w:rFonts w:ascii="Arial" w:cs="Arial" w:eastAsia="Arial" w:hAnsi="Arial"/>
                <w:sz w:val="18"/>
                <w:szCs w:val="18"/>
                <w:color w:val="auto"/>
              </w:rPr>
              <w:t>Walmart program agreement termination contra revenue impact</w:t>
            </w:r>
          </w:p>
        </w:tc>
        <w:tc>
          <w:tcPr>
            <w:tcW w:w="40" w:type="dxa"/>
            <w:vAlign w:val="bottom"/>
            <w:tcBorders>
              <w:bottom w:val="single" w:sz="8" w:color="E5EBEE"/>
            </w:tcBorders>
            <w:shd w:val="clear" w:color="auto" w:fill="E5EBEE"/>
          </w:tcPr>
          <w:p>
            <w:pPr>
              <w:spacing w:after="0"/>
              <w:rPr>
                <w:sz w:val="24"/>
                <w:szCs w:val="24"/>
                <w:color w:val="auto"/>
              </w:rPr>
            </w:pPr>
          </w:p>
        </w:tc>
        <w:tc>
          <w:tcPr>
            <w:tcW w:w="1220" w:type="dxa"/>
            <w:vAlign w:val="bottom"/>
            <w:tcBorders>
              <w:bottom w:val="single" w:sz="8" w:color="E5EBEE"/>
            </w:tcBorders>
            <w:gridSpan w:val="2"/>
            <w:shd w:val="clear" w:color="auto" w:fill="E5EBEE"/>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27</w:t>
            </w:r>
          </w:p>
        </w:tc>
        <w:tc>
          <w:tcPr>
            <w:tcW w:w="40" w:type="dxa"/>
            <w:vAlign w:val="bottom"/>
            <w:tcBorders>
              <w:bottom w:val="single" w:sz="8" w:color="E5EBEE"/>
            </w:tcBorders>
            <w:shd w:val="clear" w:color="auto" w:fill="E5EBEE"/>
          </w:tcPr>
          <w:p>
            <w:pPr>
              <w:spacing w:after="0"/>
              <w:rPr>
                <w:sz w:val="24"/>
                <w:szCs w:val="24"/>
                <w:color w:val="auto"/>
              </w:rPr>
            </w:pPr>
          </w:p>
        </w:tc>
        <w:tc>
          <w:tcPr>
            <w:tcW w:w="11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7300" w:type="dxa"/>
            <w:vAlign w:val="bottom"/>
            <w:gridSpan w:val="2"/>
          </w:tcPr>
          <w:p>
            <w:pPr>
              <w:ind w:left="100"/>
              <w:spacing w:after="0"/>
              <w:rPr>
                <w:sz w:val="20"/>
                <w:szCs w:val="20"/>
                <w:color w:val="auto"/>
              </w:rPr>
            </w:pPr>
            <w:r>
              <w:rPr>
                <w:rFonts w:ascii="Arial" w:cs="Arial" w:eastAsia="Arial" w:hAnsi="Arial"/>
                <w:sz w:val="18"/>
                <w:szCs w:val="18"/>
                <w:color w:val="auto"/>
              </w:rPr>
              <w:t>Adjusted net revenue (non-GAAP)</w:t>
            </w:r>
          </w:p>
        </w:tc>
        <w:tc>
          <w:tcPr>
            <w:tcW w:w="40" w:type="dxa"/>
            <w:vAlign w:val="bottom"/>
          </w:tcPr>
          <w:p>
            <w:pPr>
              <w:spacing w:after="0"/>
              <w:rPr>
                <w:sz w:val="24"/>
                <w:szCs w:val="24"/>
                <w:color w:val="auto"/>
              </w:rPr>
            </w:pPr>
          </w:p>
        </w:tc>
        <w:tc>
          <w:tcPr>
            <w:tcW w:w="116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$53,661</w:t>
            </w:r>
          </w:p>
        </w:tc>
        <w:tc>
          <w:tcPr>
            <w:tcW w:w="60" w:type="dxa"/>
            <w:vAlign w:val="bottom"/>
          </w:tcPr>
          <w:p>
            <w:pPr>
              <w:spacing w:after="0"/>
              <w:rPr>
                <w:sz w:val="24"/>
                <w:szCs w:val="24"/>
                <w:color w:val="auto"/>
              </w:rPr>
            </w:pPr>
          </w:p>
        </w:tc>
        <w:tc>
          <w:tcPr>
            <w:tcW w:w="114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$39,139</w:t>
            </w:r>
          </w:p>
        </w:tc>
        <w:tc>
          <w:tcPr>
            <w:tcW w:w="40" w:type="dxa"/>
            <w:vAlign w:val="bottom"/>
          </w:tcPr>
          <w:p>
            <w:pPr>
              <w:spacing w:after="0"/>
              <w:rPr>
                <w:sz w:val="24"/>
                <w:szCs w:val="24"/>
                <w:color w:val="auto"/>
              </w:rPr>
            </w:pPr>
          </w:p>
        </w:tc>
        <w:tc>
          <w:tcPr>
            <w:tcW w:w="11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$36,787</w:t>
            </w:r>
          </w:p>
        </w:tc>
      </w:tr>
      <w:tr>
        <w:trPr>
          <w:trHeight w:val="38"/>
        </w:trPr>
        <w:tc>
          <w:tcPr>
            <w:tcW w:w="12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Borders>
              <w:bottom w:val="single" w:sz="8" w:color="023C5B"/>
            </w:tcBorders>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Borders>
              <w:bottom w:val="single" w:sz="8" w:color="023C5B"/>
            </w:tcBorders>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Borders>
              <w:bottom w:val="single" w:sz="8" w:color="023C5B"/>
            </w:tcBorders>
          </w:tcPr>
          <w:p>
            <w:pPr>
              <w:spacing w:after="0"/>
              <w:rPr>
                <w:sz w:val="3"/>
                <w:szCs w:val="3"/>
                <w:color w:val="auto"/>
              </w:rPr>
            </w:pPr>
          </w:p>
        </w:tc>
      </w:tr>
      <w:tr>
        <w:trPr>
          <w:trHeight w:val="20"/>
        </w:trPr>
        <w:tc>
          <w:tcPr>
            <w:tcW w:w="12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023C5B"/>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023C5B"/>
            </w:tcBorders>
          </w:tcPr>
          <w:p>
            <w:pPr>
              <w:spacing w:after="0" w:line="20" w:lineRule="exact"/>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81"/>
        </w:trPr>
        <w:tc>
          <w:tcPr>
            <w:tcW w:w="7300" w:type="dxa"/>
            <w:vAlign w:val="bottom"/>
            <w:gridSpan w:val="2"/>
            <w:shd w:val="clear" w:color="auto" w:fill="E5EBEE"/>
          </w:tcPr>
          <w:p>
            <w:pPr>
              <w:ind w:left="100"/>
              <w:spacing w:after="0" w:line="281" w:lineRule="exact"/>
              <w:rPr>
                <w:sz w:val="20"/>
                <w:szCs w:val="20"/>
                <w:color w:val="auto"/>
              </w:rPr>
            </w:pPr>
            <w:r>
              <w:rPr>
                <w:rFonts w:ascii="Arial" w:cs="Arial" w:eastAsia="Arial" w:hAnsi="Arial"/>
                <w:sz w:val="18"/>
                <w:szCs w:val="18"/>
                <w:color w:val="auto"/>
              </w:rPr>
              <w:t xml:space="preserve">Operating efficiency ratio </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(GAAP)</w:t>
            </w:r>
          </w:p>
        </w:tc>
        <w:tc>
          <w:tcPr>
            <w:tcW w:w="1200" w:type="dxa"/>
            <w:vAlign w:val="bottom"/>
            <w:gridSpan w:val="2"/>
            <w:shd w:val="clear" w:color="auto" w:fill="E5EBEE"/>
          </w:tcPr>
          <w:p>
            <w:pPr>
              <w:jc w:val="center"/>
              <w:spacing w:after="0"/>
              <w:rPr>
                <w:sz w:val="20"/>
                <w:szCs w:val="20"/>
                <w:color w:val="auto"/>
              </w:rPr>
            </w:pPr>
            <w:r>
              <w:rPr>
                <w:rFonts w:ascii="Arial" w:cs="Arial" w:eastAsia="Arial" w:hAnsi="Arial"/>
                <w:sz w:val="18"/>
                <w:szCs w:val="18"/>
                <w:color w:val="auto"/>
                <w:w w:val="98"/>
              </w:rPr>
              <w:t>46.06%</w:t>
            </w:r>
          </w:p>
        </w:tc>
        <w:tc>
          <w:tcPr>
            <w:tcW w:w="60" w:type="dxa"/>
            <w:vAlign w:val="bottom"/>
            <w:shd w:val="clear" w:color="auto" w:fill="E5EBEE"/>
          </w:tcPr>
          <w:p>
            <w:pPr>
              <w:spacing w:after="0"/>
              <w:rPr>
                <w:sz w:val="24"/>
                <w:szCs w:val="24"/>
                <w:color w:val="auto"/>
              </w:rPr>
            </w:pPr>
          </w:p>
        </w:tc>
        <w:tc>
          <w:tcPr>
            <w:tcW w:w="1140" w:type="dxa"/>
            <w:vAlign w:val="bottom"/>
            <w:shd w:val="clear" w:color="auto" w:fill="E5EBEE"/>
          </w:tcPr>
          <w:p>
            <w:pPr>
              <w:jc w:val="center"/>
              <w:spacing w:after="0"/>
              <w:rPr>
                <w:sz w:val="20"/>
                <w:szCs w:val="20"/>
                <w:color w:val="auto"/>
              </w:rPr>
            </w:pPr>
            <w:r>
              <w:rPr>
                <w:rFonts w:ascii="Arial" w:cs="Arial" w:eastAsia="Arial" w:hAnsi="Arial"/>
                <w:sz w:val="18"/>
                <w:szCs w:val="18"/>
                <w:color w:val="auto"/>
              </w:rPr>
              <w:t>43.27%</w:t>
            </w:r>
          </w:p>
        </w:tc>
        <w:tc>
          <w:tcPr>
            <w:tcW w:w="40" w:type="dxa"/>
            <w:vAlign w:val="bottom"/>
            <w:shd w:val="clear" w:color="auto" w:fill="E5EBEE"/>
          </w:tcPr>
          <w:p>
            <w:pPr>
              <w:spacing w:after="0"/>
              <w:rPr>
                <w:sz w:val="24"/>
                <w:szCs w:val="24"/>
                <w:color w:val="auto"/>
              </w:rPr>
            </w:pPr>
          </w:p>
        </w:tc>
        <w:tc>
          <w:tcPr>
            <w:tcW w:w="1180" w:type="dxa"/>
            <w:vAlign w:val="bottom"/>
            <w:shd w:val="clear" w:color="auto" w:fill="E5EBEE"/>
          </w:tcPr>
          <w:p>
            <w:pPr>
              <w:jc w:val="center"/>
              <w:spacing w:after="0"/>
              <w:rPr>
                <w:sz w:val="20"/>
                <w:szCs w:val="20"/>
                <w:color w:val="auto"/>
              </w:rPr>
            </w:pPr>
            <w:r>
              <w:rPr>
                <w:rFonts w:ascii="Arial" w:cs="Arial" w:eastAsia="Arial" w:hAnsi="Arial"/>
                <w:sz w:val="18"/>
                <w:szCs w:val="18"/>
                <w:color w:val="auto"/>
                <w:w w:val="98"/>
              </w:rPr>
              <w:t>44.33%</w:t>
            </w:r>
          </w:p>
        </w:tc>
      </w:tr>
      <w:tr>
        <w:trPr>
          <w:trHeight w:val="270"/>
        </w:trPr>
        <w:tc>
          <w:tcPr>
            <w:tcW w:w="7300" w:type="dxa"/>
            <w:vAlign w:val="bottom"/>
            <w:gridSpan w:val="2"/>
          </w:tcPr>
          <w:p>
            <w:pPr>
              <w:ind w:left="280"/>
              <w:spacing w:after="0"/>
              <w:rPr>
                <w:sz w:val="20"/>
                <w:szCs w:val="20"/>
                <w:color w:val="auto"/>
              </w:rPr>
            </w:pPr>
            <w:r>
              <w:rPr>
                <w:rFonts w:ascii="Arial" w:cs="Arial" w:eastAsia="Arial" w:hAnsi="Arial"/>
                <w:sz w:val="18"/>
                <w:szCs w:val="18"/>
                <w:color w:val="auto"/>
              </w:rPr>
              <w:t>Impact of adjustments noted above</w:t>
            </w:r>
          </w:p>
        </w:tc>
        <w:tc>
          <w:tcPr>
            <w:tcW w:w="40" w:type="dxa"/>
            <w:vAlign w:val="bottom"/>
          </w:tcPr>
          <w:p>
            <w:pPr>
              <w:spacing w:after="0"/>
              <w:rPr>
                <w:sz w:val="23"/>
                <w:szCs w:val="23"/>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(522) bps</w:t>
            </w: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(92) bps</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(79) bps</w:t>
            </w:r>
          </w:p>
        </w:tc>
      </w:tr>
      <w:tr>
        <w:trPr>
          <w:trHeight w:val="38"/>
        </w:trPr>
        <w:tc>
          <w:tcPr>
            <w:tcW w:w="12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Borders>
              <w:bottom w:val="single" w:sz="8" w:color="023C5B"/>
            </w:tcBorders>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Borders>
              <w:bottom w:val="single" w:sz="8" w:color="023C5B"/>
            </w:tcBorders>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Borders>
              <w:bottom w:val="single" w:sz="8" w:color="023C5B"/>
            </w:tcBorders>
          </w:tcPr>
          <w:p>
            <w:pPr>
              <w:spacing w:after="0"/>
              <w:rPr>
                <w:sz w:val="3"/>
                <w:szCs w:val="3"/>
                <w:color w:val="auto"/>
              </w:rPr>
            </w:pPr>
          </w:p>
        </w:tc>
      </w:tr>
      <w:tr>
        <w:trPr>
          <w:trHeight w:val="20"/>
        </w:trPr>
        <w:tc>
          <w:tcPr>
            <w:tcW w:w="12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94"/>
        </w:trPr>
        <w:tc>
          <w:tcPr>
            <w:tcW w:w="7300" w:type="dxa"/>
            <w:vAlign w:val="bottom"/>
            <w:tcBorders>
              <w:bottom w:val="single" w:sz="8" w:color="E5EBEE"/>
            </w:tcBorders>
            <w:gridSpan w:val="2"/>
            <w:shd w:val="clear" w:color="auto" w:fill="E5EBEE"/>
          </w:tcPr>
          <w:p>
            <w:pPr>
              <w:ind w:left="100"/>
              <w:spacing w:after="0"/>
              <w:rPr>
                <w:sz w:val="20"/>
                <w:szCs w:val="20"/>
                <w:color w:val="auto"/>
              </w:rPr>
            </w:pPr>
            <w:r>
              <w:rPr>
                <w:rFonts w:ascii="Arial" w:cs="Arial" w:eastAsia="Arial" w:hAnsi="Arial"/>
                <w:sz w:val="18"/>
                <w:szCs w:val="18"/>
                <w:b w:val="1"/>
                <w:bCs w:val="1"/>
                <w:color w:val="auto"/>
              </w:rPr>
              <w:t>Adjusted operating efficiency ratio (non-GAAP)</w:t>
            </w:r>
          </w:p>
        </w:tc>
        <w:tc>
          <w:tcPr>
            <w:tcW w:w="120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8"/>
              </w:rPr>
              <w:t>40.84%</w:t>
            </w:r>
          </w:p>
        </w:tc>
        <w:tc>
          <w:tcPr>
            <w:tcW w:w="6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42.35%</w:t>
            </w:r>
          </w:p>
        </w:tc>
        <w:tc>
          <w:tcPr>
            <w:tcW w:w="40" w:type="dxa"/>
            <w:vAlign w:val="bottom"/>
            <w:tcBorders>
              <w:bottom w:val="single" w:sz="8" w:color="E5EBEE"/>
            </w:tcBorders>
            <w:shd w:val="clear" w:color="auto" w:fill="E5EBEE"/>
          </w:tcPr>
          <w:p>
            <w:pPr>
              <w:spacing w:after="0"/>
              <w:rPr>
                <w:sz w:val="24"/>
                <w:szCs w:val="24"/>
                <w:color w:val="auto"/>
              </w:rPr>
            </w:pPr>
          </w:p>
        </w:tc>
        <w:tc>
          <w:tcPr>
            <w:tcW w:w="11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43.54%</w:t>
            </w:r>
          </w:p>
        </w:tc>
      </w:tr>
      <w:tr>
        <w:trPr>
          <w:trHeight w:val="20"/>
        </w:trPr>
        <w:tc>
          <w:tcPr>
            <w:tcW w:w="12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top w:val="single" w:sz="8" w:color="023C5B"/>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023C5B"/>
              <w:bottom w:val="single" w:sz="8" w:color="023C5B"/>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top w:val="single" w:sz="8" w:color="023C5B"/>
              <w:bottom w:val="single" w:sz="8" w:color="023C5B"/>
            </w:tcBorders>
          </w:tcPr>
          <w:p>
            <w:pPr>
              <w:spacing w:after="0" w:line="20" w:lineRule="exact"/>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6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r>
    </w:tbl>
    <w:p>
      <w:pPr>
        <w:spacing w:after="0" w:line="31" w:lineRule="exact"/>
        <w:rPr>
          <w:sz w:val="20"/>
          <w:szCs w:val="20"/>
          <w:color w:val="auto"/>
        </w:rPr>
      </w:pPr>
    </w:p>
    <w:p>
      <w:pPr>
        <w:ind w:left="600" w:hanging="433"/>
        <w:spacing w:after="0"/>
        <w:tabs>
          <w:tab w:leader="none" w:pos="6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Efficiency ratio is calculated based on total non-interest expense for the period divided by total net revenue for the period.</w:t>
      </w:r>
    </w:p>
    <w:p>
      <w:pPr>
        <w:spacing w:after="0" w:line="79" w:lineRule="exact"/>
        <w:rPr>
          <w:rFonts w:ascii="Arial" w:cs="Arial" w:eastAsia="Arial" w:hAnsi="Arial"/>
          <w:sz w:val="14"/>
          <w:szCs w:val="14"/>
          <w:color w:val="auto"/>
        </w:rPr>
      </w:pPr>
    </w:p>
    <w:p>
      <w:pPr>
        <w:ind w:left="600" w:hanging="433"/>
        <w:spacing w:after="0"/>
        <w:tabs>
          <w:tab w:leader="none" w:pos="6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Operating efficiency ratio is calculated based on operating expense for the period divided by total net revenue for the period.</w:t>
      </w:r>
    </w:p>
    <w:p>
      <w:pPr>
        <w:spacing w:after="0" w:line="204"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Our Compensation Committee believes that certain measures not defined by GAAP, including return on average tangible common equity and tangible book value per common share, provide alternate measurements of our performance. In addition, these non-GAAP measures are reviewed by the Compensation Committee and the other independent members of our Board as part of their assessment of the Company’s performance. We consider these metrics to be key financial performance measures that management uses in assessing capital adequacy and the level of returns generated. While these non-GAAP measures are widely used by investors, analysts and bank regulatory agencies to assess the operating performance and capital position of financial services companies, they may not be comparable to similarly-titled measures reported by other companies. The following table presents reconciliations of these non-GAAP measures to the applicable amounts measured in accordance with GAAP.</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Table 2: Reconciliation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160655</wp:posOffset>
            </wp:positionV>
            <wp:extent cx="6929755" cy="36518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929755" cy="3651885"/>
                    </a:xfrm>
                    <a:prstGeom prst="rect">
                      <a:avLst/>
                    </a:prstGeom>
                    <a:noFill/>
                  </pic:spPr>
                </pic:pic>
              </a:graphicData>
            </a:graphic>
          </wp:anchor>
        </w:drawing>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4860" w:type="dxa"/>
            <w:vAlign w:val="bottom"/>
            <w:shd w:val="clear" w:color="auto" w:fill="023C5B"/>
          </w:tcPr>
          <w:p>
            <w:pPr>
              <w:spacing w:after="0"/>
              <w:rPr>
                <w:sz w:val="22"/>
                <w:szCs w:val="22"/>
                <w:color w:val="auto"/>
              </w:rPr>
            </w:pPr>
          </w:p>
        </w:tc>
        <w:tc>
          <w:tcPr>
            <w:tcW w:w="2580" w:type="dxa"/>
            <w:vAlign w:val="bottom"/>
            <w:shd w:val="clear" w:color="auto" w:fill="023C5B"/>
          </w:tcPr>
          <w:p>
            <w:pPr>
              <w:spacing w:after="0"/>
              <w:rPr>
                <w:sz w:val="22"/>
                <w:szCs w:val="22"/>
                <w:color w:val="auto"/>
              </w:rPr>
            </w:pPr>
          </w:p>
        </w:tc>
        <w:tc>
          <w:tcPr>
            <w:tcW w:w="3480" w:type="dxa"/>
            <w:vAlign w:val="bottom"/>
            <w:gridSpan w:val="7"/>
            <w:shd w:val="clear" w:color="auto" w:fill="023C5B"/>
          </w:tcPr>
          <w:p>
            <w:pPr>
              <w:ind w:left="800"/>
              <w:spacing w:after="0"/>
              <w:rPr>
                <w:sz w:val="20"/>
                <w:szCs w:val="20"/>
                <w:color w:val="auto"/>
              </w:rPr>
            </w:pPr>
            <w:r>
              <w:rPr>
                <w:rFonts w:ascii="Arial" w:cs="Arial" w:eastAsia="Arial" w:hAnsi="Arial"/>
                <w:sz w:val="16"/>
                <w:szCs w:val="16"/>
                <w:b w:val="1"/>
                <w:bCs w:val="1"/>
                <w:color w:val="FFFFFF"/>
              </w:rPr>
              <w:t>Year Ended December 31,</w:t>
            </w:r>
          </w:p>
        </w:tc>
        <w:tc>
          <w:tcPr>
            <w:tcW w:w="0" w:type="dxa"/>
            <w:vAlign w:val="bottom"/>
          </w:tcPr>
          <w:p>
            <w:pPr>
              <w:spacing w:after="0"/>
              <w:rPr>
                <w:sz w:val="1"/>
                <w:szCs w:val="1"/>
                <w:color w:val="auto"/>
              </w:rPr>
            </w:pPr>
          </w:p>
        </w:tc>
      </w:tr>
      <w:tr>
        <w:trPr>
          <w:trHeight w:val="401"/>
        </w:trPr>
        <w:tc>
          <w:tcPr>
            <w:tcW w:w="4860" w:type="dxa"/>
            <w:vAlign w:val="bottom"/>
            <w:tcBorders>
              <w:bottom w:val="single" w:sz="8" w:color="023C5B"/>
            </w:tcBorders>
            <w:shd w:val="clear" w:color="auto" w:fill="023C5B"/>
          </w:tcPr>
          <w:p>
            <w:pPr>
              <w:ind w:left="100"/>
              <w:spacing w:after="0"/>
              <w:rPr>
                <w:sz w:val="20"/>
                <w:szCs w:val="20"/>
                <w:color w:val="auto"/>
              </w:rPr>
            </w:pPr>
            <w:r>
              <w:rPr>
                <w:rFonts w:ascii="Arial" w:cs="Arial" w:eastAsia="Arial" w:hAnsi="Arial"/>
                <w:sz w:val="16"/>
                <w:szCs w:val="16"/>
                <w:b w:val="1"/>
                <w:bCs w:val="1"/>
                <w:color w:val="FFFFFF"/>
              </w:rPr>
              <w:t>(Dollars in millions, except per share data and as noted)</w:t>
            </w:r>
          </w:p>
        </w:tc>
        <w:tc>
          <w:tcPr>
            <w:tcW w:w="3560" w:type="dxa"/>
            <w:vAlign w:val="bottom"/>
            <w:tcBorders>
              <w:bottom w:val="single" w:sz="8" w:color="023C5B"/>
              <w:right w:val="single" w:sz="8" w:color="023C5B"/>
            </w:tcBorders>
            <w:gridSpan w:val="2"/>
            <w:shd w:val="clear" w:color="auto" w:fill="023C5B"/>
          </w:tcPr>
          <w:p>
            <w:pPr>
              <w:jc w:val="center"/>
              <w:ind w:left="2794"/>
              <w:spacing w:after="0"/>
              <w:rPr>
                <w:sz w:val="20"/>
                <w:szCs w:val="20"/>
                <w:color w:val="auto"/>
              </w:rPr>
            </w:pPr>
            <w:r>
              <w:rPr>
                <w:rFonts w:ascii="Arial" w:cs="Arial" w:eastAsia="Arial" w:hAnsi="Arial"/>
                <w:sz w:val="16"/>
                <w:szCs w:val="16"/>
                <w:b w:val="1"/>
                <w:bCs w:val="1"/>
                <w:color w:val="FFFFFF"/>
              </w:rPr>
              <w:t>2025</w:t>
            </w:r>
          </w:p>
        </w:tc>
        <w:tc>
          <w:tcPr>
            <w:tcW w:w="40" w:type="dxa"/>
            <w:vAlign w:val="bottom"/>
            <w:tcBorders>
              <w:bottom w:val="single" w:sz="8" w:color="023C5B"/>
            </w:tcBorders>
            <w:shd w:val="clear" w:color="auto" w:fill="023C5B"/>
          </w:tcPr>
          <w:p>
            <w:pPr>
              <w:spacing w:after="0"/>
              <w:rPr>
                <w:sz w:val="24"/>
                <w:szCs w:val="24"/>
                <w:color w:val="auto"/>
              </w:rPr>
            </w:pPr>
          </w:p>
        </w:tc>
        <w:tc>
          <w:tcPr>
            <w:tcW w:w="1300" w:type="dxa"/>
            <w:vAlign w:val="bottom"/>
            <w:tcBorders>
              <w:bottom w:val="single" w:sz="8" w:color="023C5B"/>
            </w:tcBorders>
            <w:gridSpan w:val="3"/>
            <w:shd w:val="clear" w:color="auto" w:fill="023C5B"/>
          </w:tcPr>
          <w:p>
            <w:pPr>
              <w:jc w:val="center"/>
              <w:ind w:left="213"/>
              <w:spacing w:after="0"/>
              <w:rPr>
                <w:sz w:val="20"/>
                <w:szCs w:val="20"/>
                <w:color w:val="auto"/>
              </w:rPr>
            </w:pPr>
            <w:r>
              <w:rPr>
                <w:rFonts w:ascii="Arial" w:cs="Arial" w:eastAsia="Arial" w:hAnsi="Arial"/>
                <w:sz w:val="16"/>
                <w:szCs w:val="16"/>
                <w:b w:val="1"/>
                <w:bCs w:val="1"/>
                <w:color w:val="FFFFFF"/>
              </w:rPr>
              <w:t>2024</w:t>
            </w:r>
          </w:p>
        </w:tc>
        <w:tc>
          <w:tcPr>
            <w:tcW w:w="60" w:type="dxa"/>
            <w:vAlign w:val="bottom"/>
            <w:tcBorders>
              <w:bottom w:val="single" w:sz="8" w:color="023C5B"/>
            </w:tcBorders>
            <w:shd w:val="clear" w:color="auto" w:fill="023C5B"/>
          </w:tcPr>
          <w:p>
            <w:pPr>
              <w:spacing w:after="0"/>
              <w:rPr>
                <w:sz w:val="24"/>
                <w:szCs w:val="24"/>
                <w:color w:val="auto"/>
              </w:rPr>
            </w:pPr>
          </w:p>
        </w:tc>
        <w:tc>
          <w:tcPr>
            <w:tcW w:w="1100" w:type="dxa"/>
            <w:vAlign w:val="bottom"/>
            <w:tcBorders>
              <w:bottom w:val="single" w:sz="8" w:color="023C5B"/>
            </w:tcBorders>
            <w:shd w:val="clear" w:color="auto" w:fill="023C5B"/>
          </w:tcPr>
          <w:p>
            <w:pPr>
              <w:jc w:val="center"/>
              <w:ind w:left="12"/>
              <w:spacing w:after="0"/>
              <w:rPr>
                <w:sz w:val="20"/>
                <w:szCs w:val="20"/>
                <w:color w:val="auto"/>
              </w:rPr>
            </w:pPr>
            <w:r>
              <w:rPr>
                <w:rFonts w:ascii="Arial" w:cs="Arial" w:eastAsia="Arial" w:hAnsi="Arial"/>
                <w:sz w:val="16"/>
                <w:szCs w:val="16"/>
                <w:b w:val="1"/>
                <w:bCs w:val="1"/>
                <w:color w:val="FFFFFF"/>
              </w:rPr>
              <w:t>2023</w:t>
            </w:r>
          </w:p>
        </w:tc>
        <w:tc>
          <w:tcPr>
            <w:tcW w:w="0" w:type="dxa"/>
            <w:vAlign w:val="bottom"/>
          </w:tcPr>
          <w:p>
            <w:pPr>
              <w:spacing w:after="0"/>
              <w:rPr>
                <w:sz w:val="1"/>
                <w:szCs w:val="1"/>
                <w:color w:val="auto"/>
              </w:rPr>
            </w:pPr>
          </w:p>
        </w:tc>
      </w:tr>
      <w:tr>
        <w:trPr>
          <w:trHeight w:val="288"/>
        </w:trPr>
        <w:tc>
          <w:tcPr>
            <w:tcW w:w="486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b w:val="1"/>
                <w:bCs w:val="1"/>
                <w:color w:val="auto"/>
              </w:rPr>
              <w:t>Pre-provision earnings</w:t>
            </w:r>
          </w:p>
        </w:tc>
        <w:tc>
          <w:tcPr>
            <w:tcW w:w="2580" w:type="dxa"/>
            <w:vAlign w:val="bottom"/>
            <w:tcBorders>
              <w:bottom w:val="single" w:sz="8" w:color="E5EBEE"/>
            </w:tcBorders>
            <w:shd w:val="clear" w:color="auto" w:fill="E5EBEE"/>
          </w:tcPr>
          <w:p>
            <w:pPr>
              <w:spacing w:after="0"/>
              <w:rPr>
                <w:sz w:val="24"/>
                <w:szCs w:val="24"/>
                <w:color w:val="auto"/>
              </w:rPr>
            </w:pPr>
          </w:p>
        </w:tc>
        <w:tc>
          <w:tcPr>
            <w:tcW w:w="980" w:type="dxa"/>
            <w:vAlign w:val="bottom"/>
            <w:tcBorders>
              <w:bottom w:val="single" w:sz="8" w:color="E5EBEE"/>
              <w:right w:val="single" w:sz="8" w:color="E5EBEE"/>
            </w:tcBorders>
            <w:shd w:val="clear" w:color="auto" w:fill="E5EBEE"/>
          </w:tcPr>
          <w:p>
            <w:pPr>
              <w:spacing w:after="0"/>
              <w:rPr>
                <w:sz w:val="24"/>
                <w:szCs w:val="24"/>
                <w:color w:val="auto"/>
              </w:rPr>
            </w:pPr>
          </w:p>
        </w:tc>
        <w:tc>
          <w:tcPr>
            <w:tcW w:w="40" w:type="dxa"/>
            <w:vAlign w:val="bottom"/>
            <w:tcBorders>
              <w:bottom w:val="single" w:sz="8" w:color="E5EBEE"/>
            </w:tcBorders>
            <w:shd w:val="clear" w:color="auto" w:fill="E5EBEE"/>
          </w:tcPr>
          <w:p>
            <w:pPr>
              <w:spacing w:after="0"/>
              <w:rPr>
                <w:sz w:val="24"/>
                <w:szCs w:val="24"/>
                <w:color w:val="auto"/>
              </w:rPr>
            </w:pPr>
          </w:p>
        </w:tc>
        <w:tc>
          <w:tcPr>
            <w:tcW w:w="160" w:type="dxa"/>
            <w:vAlign w:val="bottom"/>
            <w:tcBorders>
              <w:bottom w:val="single" w:sz="8" w:color="E5EBEE"/>
            </w:tcBorders>
            <w:shd w:val="clear" w:color="auto" w:fill="E5EBEE"/>
          </w:tcPr>
          <w:p>
            <w:pPr>
              <w:spacing w:after="0"/>
              <w:rPr>
                <w:sz w:val="24"/>
                <w:szCs w:val="24"/>
                <w:color w:val="auto"/>
              </w:rPr>
            </w:pP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spacing w:after="0"/>
              <w:rPr>
                <w:sz w:val="24"/>
                <w:szCs w:val="24"/>
                <w:color w:val="auto"/>
              </w:rPr>
            </w:pPr>
          </w:p>
        </w:tc>
        <w:tc>
          <w:tcPr>
            <w:tcW w:w="6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280"/>
              <w:spacing w:after="0"/>
              <w:rPr>
                <w:sz w:val="20"/>
                <w:szCs w:val="20"/>
                <w:color w:val="auto"/>
              </w:rPr>
            </w:pPr>
            <w:r>
              <w:rPr>
                <w:rFonts w:ascii="Arial" w:cs="Arial" w:eastAsia="Arial" w:hAnsi="Arial"/>
                <w:sz w:val="18"/>
                <w:szCs w:val="18"/>
                <w:color w:val="auto"/>
              </w:rPr>
              <w:t>Total net revenue</w:t>
            </w:r>
          </w:p>
        </w:tc>
        <w:tc>
          <w:tcPr>
            <w:tcW w:w="3560" w:type="dxa"/>
            <w:vAlign w:val="bottom"/>
            <w:gridSpan w:val="2"/>
          </w:tcPr>
          <w:p>
            <w:pPr>
              <w:jc w:val="center"/>
              <w:ind w:left="2774"/>
              <w:spacing w:after="0"/>
              <w:rPr>
                <w:sz w:val="20"/>
                <w:szCs w:val="20"/>
                <w:color w:val="auto"/>
              </w:rPr>
            </w:pPr>
            <w:r>
              <w:rPr>
                <w:rFonts w:ascii="Arial" w:cs="Arial" w:eastAsia="Arial" w:hAnsi="Arial"/>
                <w:sz w:val="18"/>
                <w:szCs w:val="18"/>
                <w:color w:val="auto"/>
              </w:rPr>
              <w:t>$53,434</w:t>
            </w:r>
          </w:p>
        </w:tc>
        <w:tc>
          <w:tcPr>
            <w:tcW w:w="40" w:type="dxa"/>
            <w:vAlign w:val="bottom"/>
          </w:tcPr>
          <w:p>
            <w:pPr>
              <w:spacing w:after="0"/>
              <w:rPr>
                <w:sz w:val="23"/>
                <w:szCs w:val="23"/>
                <w:color w:val="auto"/>
              </w:rPr>
            </w:pPr>
          </w:p>
        </w:tc>
        <w:tc>
          <w:tcPr>
            <w:tcW w:w="1300" w:type="dxa"/>
            <w:vAlign w:val="bottom"/>
            <w:gridSpan w:val="3"/>
          </w:tcPr>
          <w:p>
            <w:pPr>
              <w:jc w:val="center"/>
              <w:ind w:left="213"/>
              <w:spacing w:after="0"/>
              <w:rPr>
                <w:sz w:val="20"/>
                <w:szCs w:val="20"/>
                <w:color w:val="auto"/>
              </w:rPr>
            </w:pPr>
            <w:r>
              <w:rPr>
                <w:rFonts w:ascii="Arial" w:cs="Arial" w:eastAsia="Arial" w:hAnsi="Arial"/>
                <w:sz w:val="18"/>
                <w:szCs w:val="18"/>
                <w:color w:val="auto"/>
                <w:w w:val="98"/>
              </w:rPr>
              <w:t>$39,112</w:t>
            </w:r>
          </w:p>
        </w:tc>
        <w:tc>
          <w:tcPr>
            <w:tcW w:w="60" w:type="dxa"/>
            <w:vAlign w:val="bottom"/>
          </w:tcPr>
          <w:p>
            <w:pPr>
              <w:spacing w:after="0"/>
              <w:rPr>
                <w:sz w:val="23"/>
                <w:szCs w:val="23"/>
                <w:color w:val="auto"/>
              </w:rPr>
            </w:pPr>
          </w:p>
        </w:tc>
        <w:tc>
          <w:tcPr>
            <w:tcW w:w="1100" w:type="dxa"/>
            <w:vAlign w:val="bottom"/>
          </w:tcPr>
          <w:p>
            <w:pPr>
              <w:jc w:val="center"/>
              <w:ind w:left="12"/>
              <w:spacing w:after="0"/>
              <w:rPr>
                <w:sz w:val="20"/>
                <w:szCs w:val="20"/>
                <w:color w:val="auto"/>
              </w:rPr>
            </w:pPr>
            <w:r>
              <w:rPr>
                <w:rFonts w:ascii="Arial" w:cs="Arial" w:eastAsia="Arial" w:hAnsi="Arial"/>
                <w:sz w:val="18"/>
                <w:szCs w:val="18"/>
                <w:color w:val="auto"/>
                <w:w w:val="98"/>
              </w:rPr>
              <w:t>$36,787</w:t>
            </w:r>
          </w:p>
        </w:tc>
        <w:tc>
          <w:tcPr>
            <w:tcW w:w="0" w:type="dxa"/>
            <w:vAlign w:val="bottom"/>
          </w:tcPr>
          <w:p>
            <w:pPr>
              <w:spacing w:after="0"/>
              <w:rPr>
                <w:sz w:val="1"/>
                <w:szCs w:val="1"/>
                <w:color w:val="auto"/>
              </w:rPr>
            </w:pPr>
          </w:p>
        </w:tc>
      </w:tr>
      <w:tr>
        <w:trPr>
          <w:trHeight w:val="38"/>
        </w:trPr>
        <w:tc>
          <w:tcPr>
            <w:tcW w:w="48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486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Non-interest expense</w:t>
            </w:r>
          </w:p>
        </w:tc>
        <w:tc>
          <w:tcPr>
            <w:tcW w:w="2580" w:type="dxa"/>
            <w:vAlign w:val="bottom"/>
            <w:tcBorders>
              <w:bottom w:val="single" w:sz="8" w:color="E5EBEE"/>
            </w:tcBorders>
            <w:shd w:val="clear" w:color="auto" w:fill="E5EBEE"/>
          </w:tcPr>
          <w:p>
            <w:pPr>
              <w:spacing w:after="0"/>
              <w:rPr>
                <w:sz w:val="24"/>
                <w:szCs w:val="24"/>
                <w:color w:val="auto"/>
              </w:rPr>
            </w:pPr>
          </w:p>
        </w:tc>
        <w:tc>
          <w:tcPr>
            <w:tcW w:w="980" w:type="dxa"/>
            <w:vAlign w:val="bottom"/>
            <w:tcBorders>
              <w:bottom w:val="single" w:sz="8" w:color="E5EBEE"/>
              <w:right w:val="single" w:sz="8" w:color="E5EBEE"/>
            </w:tcBorders>
            <w:shd w:val="clear" w:color="auto" w:fill="E5EBEE"/>
          </w:tcPr>
          <w:p>
            <w:pPr>
              <w:jc w:val="center"/>
              <w:ind w:left="192"/>
              <w:spacing w:after="0"/>
              <w:rPr>
                <w:sz w:val="20"/>
                <w:szCs w:val="20"/>
                <w:color w:val="auto"/>
              </w:rPr>
            </w:pPr>
            <w:r>
              <w:rPr>
                <w:rFonts w:ascii="Arial" w:cs="Arial" w:eastAsia="Arial" w:hAnsi="Arial"/>
                <w:sz w:val="18"/>
                <w:szCs w:val="18"/>
                <w:color w:val="auto"/>
                <w:w w:val="98"/>
              </w:rPr>
              <w:t>(30,498)</w:t>
            </w:r>
          </w:p>
        </w:tc>
        <w:tc>
          <w:tcPr>
            <w:tcW w:w="40" w:type="dxa"/>
            <w:vAlign w:val="bottom"/>
            <w:tcBorders>
              <w:bottom w:val="single" w:sz="8" w:color="E5EBEE"/>
            </w:tcBorders>
            <w:shd w:val="clear" w:color="auto" w:fill="E5EBEE"/>
          </w:tcPr>
          <w:p>
            <w:pPr>
              <w:spacing w:after="0"/>
              <w:rPr>
                <w:sz w:val="24"/>
                <w:szCs w:val="24"/>
                <w:color w:val="auto"/>
              </w:rPr>
            </w:pPr>
          </w:p>
        </w:tc>
        <w:tc>
          <w:tcPr>
            <w:tcW w:w="1300" w:type="dxa"/>
            <w:vAlign w:val="bottom"/>
            <w:tcBorders>
              <w:bottom w:val="single" w:sz="8" w:color="E5EBEE"/>
            </w:tcBorders>
            <w:gridSpan w:val="3"/>
            <w:shd w:val="clear" w:color="auto" w:fill="E5EBEE"/>
          </w:tcPr>
          <w:p>
            <w:pPr>
              <w:jc w:val="center"/>
              <w:ind w:left="193"/>
              <w:spacing w:after="0"/>
              <w:rPr>
                <w:sz w:val="20"/>
                <w:szCs w:val="20"/>
                <w:color w:val="auto"/>
              </w:rPr>
            </w:pPr>
            <w:r>
              <w:rPr>
                <w:rFonts w:ascii="Arial" w:cs="Arial" w:eastAsia="Arial" w:hAnsi="Arial"/>
                <w:sz w:val="18"/>
                <w:szCs w:val="18"/>
                <w:color w:val="auto"/>
                <w:w w:val="98"/>
              </w:rPr>
              <w:t>(21,486)</w:t>
            </w:r>
          </w:p>
        </w:tc>
        <w:tc>
          <w:tcPr>
            <w:tcW w:w="6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ind w:left="12"/>
              <w:spacing w:after="0"/>
              <w:rPr>
                <w:sz w:val="20"/>
                <w:szCs w:val="20"/>
                <w:color w:val="auto"/>
              </w:rPr>
            </w:pPr>
            <w:r>
              <w:rPr>
                <w:rFonts w:ascii="Arial" w:cs="Arial" w:eastAsia="Arial" w:hAnsi="Arial"/>
                <w:sz w:val="18"/>
                <w:szCs w:val="18"/>
                <w:color w:val="auto"/>
              </w:rPr>
              <w:t>(20,316)</w:t>
            </w:r>
          </w:p>
        </w:tc>
        <w:tc>
          <w:tcPr>
            <w:tcW w:w="0" w:type="dxa"/>
            <w:vAlign w:val="bottom"/>
          </w:tcPr>
          <w:p>
            <w:pPr>
              <w:spacing w:after="0"/>
              <w:rPr>
                <w:sz w:val="1"/>
                <w:szCs w:val="1"/>
                <w:color w:val="auto"/>
              </w:rPr>
            </w:pPr>
          </w:p>
        </w:tc>
      </w:tr>
      <w:tr>
        <w:trPr>
          <w:trHeight w:val="314"/>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Pre-provision earnings</w:t>
            </w:r>
            <w:r>
              <w:rPr>
                <w:rFonts w:ascii="Arial" w:cs="Arial" w:eastAsia="Arial" w:hAnsi="Arial"/>
                <w:sz w:val="26"/>
                <w:szCs w:val="26"/>
                <w:b w:val="1"/>
                <w:bCs w:val="1"/>
                <w:color w:val="auto"/>
                <w:vertAlign w:val="superscript"/>
              </w:rPr>
              <w:t>(1)</w:t>
            </w:r>
          </w:p>
        </w:tc>
        <w:tc>
          <w:tcPr>
            <w:tcW w:w="2580" w:type="dxa"/>
            <w:vAlign w:val="bottom"/>
          </w:tcPr>
          <w:p>
            <w:pPr>
              <w:spacing w:after="0"/>
              <w:rPr>
                <w:sz w:val="24"/>
                <w:szCs w:val="24"/>
                <w:color w:val="auto"/>
              </w:rPr>
            </w:pPr>
          </w:p>
        </w:tc>
        <w:tc>
          <w:tcPr>
            <w:tcW w:w="980" w:type="dxa"/>
            <w:vAlign w:val="bottom"/>
            <w:tcBorders>
              <w:top w:val="single" w:sz="8" w:color="023C5B"/>
              <w:bottom w:val="single" w:sz="8" w:color="023C5B"/>
            </w:tcBorders>
          </w:tcPr>
          <w:p>
            <w:pPr>
              <w:jc w:val="center"/>
              <w:ind w:left="192"/>
              <w:spacing w:after="0"/>
              <w:rPr>
                <w:sz w:val="20"/>
                <w:szCs w:val="20"/>
                <w:color w:val="auto"/>
              </w:rPr>
            </w:pPr>
            <w:r>
              <w:rPr>
                <w:rFonts w:ascii="Arial" w:cs="Arial" w:eastAsia="Arial" w:hAnsi="Arial"/>
                <w:sz w:val="18"/>
                <w:szCs w:val="18"/>
                <w:color w:val="auto"/>
              </w:rPr>
              <w:t>$22,936</w:t>
            </w:r>
          </w:p>
        </w:tc>
        <w:tc>
          <w:tcPr>
            <w:tcW w:w="40" w:type="dxa"/>
            <w:vAlign w:val="bottom"/>
            <w:tcBorders>
              <w:top w:val="single" w:sz="8" w:color="023C5B"/>
              <w:bottom w:val="single" w:sz="8" w:color="023C5B"/>
            </w:tcBorders>
          </w:tcPr>
          <w:p>
            <w:pPr>
              <w:spacing w:after="0"/>
              <w:rPr>
                <w:sz w:val="24"/>
                <w:szCs w:val="24"/>
                <w:color w:val="auto"/>
              </w:rPr>
            </w:pPr>
          </w:p>
        </w:tc>
        <w:tc>
          <w:tcPr>
            <w:tcW w:w="160" w:type="dxa"/>
            <w:vAlign w:val="bottom"/>
            <w:tcBorders>
              <w:top w:val="single" w:sz="8" w:color="023C5B"/>
              <w:bottom w:val="single" w:sz="8" w:color="023C5B"/>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top w:val="single" w:sz="8" w:color="023C5B"/>
              <w:bottom w:val="single" w:sz="8" w:color="023C5B"/>
            </w:tcBorders>
          </w:tcPr>
          <w:p>
            <w:pPr>
              <w:jc w:val="center"/>
              <w:spacing w:after="0"/>
              <w:rPr>
                <w:sz w:val="20"/>
                <w:szCs w:val="20"/>
                <w:color w:val="auto"/>
              </w:rPr>
            </w:pPr>
            <w:r>
              <w:rPr>
                <w:rFonts w:ascii="Arial" w:cs="Arial" w:eastAsia="Arial" w:hAnsi="Arial"/>
                <w:sz w:val="18"/>
                <w:szCs w:val="18"/>
                <w:color w:val="auto"/>
                <w:w w:val="98"/>
              </w:rPr>
              <w:t>$17,626</w:t>
            </w:r>
          </w:p>
        </w:tc>
        <w:tc>
          <w:tcPr>
            <w:tcW w:w="60" w:type="dxa"/>
            <w:vAlign w:val="bottom"/>
          </w:tcPr>
          <w:p>
            <w:pPr>
              <w:spacing w:after="0"/>
              <w:rPr>
                <w:sz w:val="24"/>
                <w:szCs w:val="24"/>
                <w:color w:val="auto"/>
              </w:rPr>
            </w:pPr>
          </w:p>
        </w:tc>
        <w:tc>
          <w:tcPr>
            <w:tcW w:w="1100" w:type="dxa"/>
            <w:vAlign w:val="bottom"/>
            <w:tcBorders>
              <w:top w:val="single" w:sz="8" w:color="023C5B"/>
              <w:bottom w:val="single" w:sz="8" w:color="023C5B"/>
            </w:tcBorders>
          </w:tcPr>
          <w:p>
            <w:pPr>
              <w:jc w:val="center"/>
              <w:ind w:left="12"/>
              <w:spacing w:after="0"/>
              <w:rPr>
                <w:sz w:val="20"/>
                <w:szCs w:val="20"/>
                <w:color w:val="auto"/>
              </w:rPr>
            </w:pPr>
            <w:r>
              <w:rPr>
                <w:rFonts w:ascii="Arial" w:cs="Arial" w:eastAsia="Arial" w:hAnsi="Arial"/>
                <w:sz w:val="18"/>
                <w:szCs w:val="18"/>
                <w:color w:val="auto"/>
                <w:w w:val="98"/>
              </w:rPr>
              <w:t>$16,471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Borders>
              <w:bottom w:val="single" w:sz="8" w:color="023C5B"/>
            </w:tcBorders>
          </w:tcPr>
          <w:p>
            <w:pPr>
              <w:spacing w:after="0" w:line="20" w:lineRule="exact"/>
              <w:rPr>
                <w:sz w:val="1"/>
                <w:szCs w:val="1"/>
                <w:color w:val="auto"/>
              </w:rPr>
            </w:pPr>
          </w:p>
        </w:tc>
        <w:tc>
          <w:tcPr>
            <w:tcW w:w="40" w:type="dxa"/>
            <w:vAlign w:val="bottom"/>
            <w:tcBorders>
              <w:bottom w:val="single" w:sz="8" w:color="023C5B"/>
            </w:tcBorders>
          </w:tcPr>
          <w:p>
            <w:pPr>
              <w:spacing w:after="0" w:line="20" w:lineRule="exact"/>
              <w:rPr>
                <w:sz w:val="1"/>
                <w:szCs w:val="1"/>
                <w:color w:val="auto"/>
              </w:rPr>
            </w:pPr>
          </w:p>
        </w:tc>
        <w:tc>
          <w:tcPr>
            <w:tcW w:w="160" w:type="dxa"/>
            <w:vAlign w:val="bottom"/>
            <w:tcBorders>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023C5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60" w:type="dxa"/>
            <w:vAlign w:val="bottom"/>
            <w:shd w:val="clear" w:color="auto" w:fill="E5EBEE"/>
          </w:tcPr>
          <w:p>
            <w:pPr>
              <w:spacing w:after="0"/>
              <w:rPr>
                <w:sz w:val="19"/>
                <w:szCs w:val="19"/>
                <w:color w:val="auto"/>
              </w:rPr>
            </w:pPr>
          </w:p>
        </w:tc>
        <w:tc>
          <w:tcPr>
            <w:tcW w:w="2580" w:type="dxa"/>
            <w:vAlign w:val="bottom"/>
            <w:shd w:val="clear" w:color="auto" w:fill="E5EBEE"/>
          </w:tcPr>
          <w:p>
            <w:pPr>
              <w:spacing w:after="0"/>
              <w:rPr>
                <w:sz w:val="19"/>
                <w:szCs w:val="19"/>
                <w:color w:val="auto"/>
              </w:rPr>
            </w:pPr>
          </w:p>
        </w:tc>
        <w:tc>
          <w:tcPr>
            <w:tcW w:w="980" w:type="dxa"/>
            <w:vAlign w:val="bottom"/>
            <w:tcBorders>
              <w:right w:val="single" w:sz="8" w:color="E5EBEE"/>
            </w:tcBorders>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60" w:type="dxa"/>
            <w:vAlign w:val="bottom"/>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080" w:type="dxa"/>
            <w:vAlign w:val="bottom"/>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100" w:type="dxa"/>
            <w:vAlign w:val="bottom"/>
            <w:shd w:val="clear" w:color="auto" w:fill="E5EBEE"/>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Tangible common equity (period-end)</w:t>
            </w:r>
          </w:p>
        </w:tc>
        <w:tc>
          <w:tcPr>
            <w:tcW w:w="2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486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Stockholders’ equity</w:t>
            </w:r>
          </w:p>
        </w:tc>
        <w:tc>
          <w:tcPr>
            <w:tcW w:w="3600" w:type="dxa"/>
            <w:vAlign w:val="bottom"/>
            <w:tcBorders>
              <w:bottom w:val="single" w:sz="8" w:color="E5EBEE"/>
            </w:tcBorders>
            <w:gridSpan w:val="3"/>
            <w:shd w:val="clear" w:color="auto" w:fill="E5EBEE"/>
          </w:tcPr>
          <w:p>
            <w:pPr>
              <w:jc w:val="center"/>
              <w:ind w:left="2734"/>
              <w:spacing w:after="0"/>
              <w:rPr>
                <w:sz w:val="20"/>
                <w:szCs w:val="20"/>
                <w:color w:val="auto"/>
              </w:rPr>
            </w:pPr>
            <w:r>
              <w:rPr>
                <w:rFonts w:ascii="Arial" w:cs="Arial" w:eastAsia="Arial" w:hAnsi="Arial"/>
                <w:sz w:val="18"/>
                <w:szCs w:val="18"/>
                <w:color w:val="auto"/>
                <w:w w:val="98"/>
              </w:rPr>
              <w:t>$113,616</w:t>
            </w:r>
          </w:p>
        </w:tc>
        <w:tc>
          <w:tcPr>
            <w:tcW w:w="1300" w:type="dxa"/>
            <w:vAlign w:val="bottom"/>
            <w:tcBorders>
              <w:bottom w:val="single" w:sz="8" w:color="E5EBEE"/>
            </w:tcBorders>
            <w:gridSpan w:val="3"/>
            <w:shd w:val="clear" w:color="auto" w:fill="E5EBEE"/>
          </w:tcPr>
          <w:p>
            <w:pPr>
              <w:jc w:val="center"/>
              <w:ind w:left="213"/>
              <w:spacing w:after="0"/>
              <w:rPr>
                <w:sz w:val="20"/>
                <w:szCs w:val="20"/>
                <w:color w:val="auto"/>
              </w:rPr>
            </w:pPr>
            <w:r>
              <w:rPr>
                <w:rFonts w:ascii="Arial" w:cs="Arial" w:eastAsia="Arial" w:hAnsi="Arial"/>
                <w:sz w:val="18"/>
                <w:szCs w:val="18"/>
                <w:color w:val="auto"/>
                <w:w w:val="98"/>
              </w:rPr>
              <w:t>$60,784</w:t>
            </w:r>
          </w:p>
        </w:tc>
        <w:tc>
          <w:tcPr>
            <w:tcW w:w="6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ind w:left="12"/>
              <w:spacing w:after="0"/>
              <w:rPr>
                <w:sz w:val="20"/>
                <w:szCs w:val="20"/>
                <w:color w:val="auto"/>
              </w:rPr>
            </w:pPr>
            <w:r>
              <w:rPr>
                <w:rFonts w:ascii="Arial" w:cs="Arial" w:eastAsia="Arial" w:hAnsi="Arial"/>
                <w:sz w:val="18"/>
                <w:szCs w:val="18"/>
                <w:color w:val="auto"/>
                <w:w w:val="98"/>
              </w:rPr>
              <w:t>$58,089</w:t>
            </w:r>
          </w:p>
        </w:tc>
        <w:tc>
          <w:tcPr>
            <w:tcW w:w="0" w:type="dxa"/>
            <w:vAlign w:val="bottom"/>
          </w:tcPr>
          <w:p>
            <w:pPr>
              <w:spacing w:after="0"/>
              <w:rPr>
                <w:sz w:val="1"/>
                <w:szCs w:val="1"/>
                <w:color w:val="auto"/>
              </w:rPr>
            </w:pPr>
          </w:p>
        </w:tc>
      </w:tr>
      <w:tr>
        <w:trPr>
          <w:trHeight w:val="308"/>
        </w:trPr>
        <w:tc>
          <w:tcPr>
            <w:tcW w:w="4860" w:type="dxa"/>
            <w:vAlign w:val="bottom"/>
          </w:tcPr>
          <w:p>
            <w:pPr>
              <w:ind w:left="280"/>
              <w:spacing w:after="0"/>
              <w:rPr>
                <w:sz w:val="20"/>
                <w:szCs w:val="20"/>
                <w:color w:val="auto"/>
              </w:rPr>
            </w:pPr>
            <w:r>
              <w:rPr>
                <w:rFonts w:ascii="Arial" w:cs="Arial" w:eastAsia="Arial" w:hAnsi="Arial"/>
                <w:sz w:val="18"/>
                <w:szCs w:val="18"/>
                <w:color w:val="auto"/>
              </w:rPr>
              <w:t>Goodwill and other intangible assets</w:t>
            </w:r>
            <w:r>
              <w:rPr>
                <w:rFonts w:ascii="Arial" w:cs="Arial" w:eastAsia="Arial" w:hAnsi="Arial"/>
                <w:sz w:val="26"/>
                <w:szCs w:val="26"/>
                <w:color w:val="auto"/>
                <w:vertAlign w:val="superscript"/>
              </w:rPr>
              <w:t>(2)</w:t>
            </w:r>
          </w:p>
        </w:tc>
        <w:tc>
          <w:tcPr>
            <w:tcW w:w="3560" w:type="dxa"/>
            <w:vAlign w:val="bottom"/>
            <w:gridSpan w:val="2"/>
          </w:tcPr>
          <w:p>
            <w:pPr>
              <w:jc w:val="center"/>
              <w:ind w:left="2774"/>
              <w:spacing w:after="0"/>
              <w:rPr>
                <w:sz w:val="20"/>
                <w:szCs w:val="20"/>
                <w:color w:val="auto"/>
              </w:rPr>
            </w:pPr>
            <w:r>
              <w:rPr>
                <w:rFonts w:ascii="Arial" w:cs="Arial" w:eastAsia="Arial" w:hAnsi="Arial"/>
                <w:sz w:val="18"/>
                <w:szCs w:val="18"/>
                <w:color w:val="auto"/>
                <w:w w:val="98"/>
              </w:rPr>
              <w:t>(40,876)</w:t>
            </w:r>
          </w:p>
        </w:tc>
        <w:tc>
          <w:tcPr>
            <w:tcW w:w="40" w:type="dxa"/>
            <w:vAlign w:val="bottom"/>
          </w:tcPr>
          <w:p>
            <w:pPr>
              <w:spacing w:after="0"/>
              <w:rPr>
                <w:sz w:val="24"/>
                <w:szCs w:val="24"/>
                <w:color w:val="auto"/>
              </w:rPr>
            </w:pPr>
          </w:p>
        </w:tc>
        <w:tc>
          <w:tcPr>
            <w:tcW w:w="1300" w:type="dxa"/>
            <w:vAlign w:val="bottom"/>
            <w:gridSpan w:val="3"/>
          </w:tcPr>
          <w:p>
            <w:pPr>
              <w:jc w:val="center"/>
              <w:ind w:left="193"/>
              <w:spacing w:after="0"/>
              <w:rPr>
                <w:sz w:val="20"/>
                <w:szCs w:val="20"/>
                <w:color w:val="auto"/>
              </w:rPr>
            </w:pPr>
            <w:r>
              <w:rPr>
                <w:rFonts w:ascii="Arial" w:cs="Arial" w:eastAsia="Arial" w:hAnsi="Arial"/>
                <w:sz w:val="18"/>
                <w:szCs w:val="18"/>
                <w:color w:val="auto"/>
                <w:w w:val="98"/>
              </w:rPr>
              <w:t>(15,157)</w:t>
            </w:r>
          </w:p>
        </w:tc>
        <w:tc>
          <w:tcPr>
            <w:tcW w:w="60" w:type="dxa"/>
            <w:vAlign w:val="bottom"/>
          </w:tcPr>
          <w:p>
            <w:pPr>
              <w:spacing w:after="0"/>
              <w:rPr>
                <w:sz w:val="24"/>
                <w:szCs w:val="24"/>
                <w:color w:val="auto"/>
              </w:rPr>
            </w:pPr>
          </w:p>
        </w:tc>
        <w:tc>
          <w:tcPr>
            <w:tcW w:w="1100" w:type="dxa"/>
            <w:vAlign w:val="bottom"/>
          </w:tcPr>
          <w:p>
            <w:pPr>
              <w:jc w:val="center"/>
              <w:ind w:left="12"/>
              <w:spacing w:after="0"/>
              <w:rPr>
                <w:sz w:val="20"/>
                <w:szCs w:val="20"/>
                <w:color w:val="auto"/>
              </w:rPr>
            </w:pPr>
            <w:r>
              <w:rPr>
                <w:rFonts w:ascii="Arial" w:cs="Arial" w:eastAsia="Arial" w:hAnsi="Arial"/>
                <w:sz w:val="18"/>
                <w:szCs w:val="18"/>
                <w:color w:val="auto"/>
              </w:rPr>
              <w:t>(15,289)</w:t>
            </w:r>
          </w:p>
        </w:tc>
        <w:tc>
          <w:tcPr>
            <w:tcW w:w="0" w:type="dxa"/>
            <w:vAlign w:val="bottom"/>
          </w:tcPr>
          <w:p>
            <w:pPr>
              <w:spacing w:after="0"/>
              <w:rPr>
                <w:sz w:val="1"/>
                <w:szCs w:val="1"/>
                <w:color w:val="auto"/>
              </w:rPr>
            </w:pPr>
          </w:p>
        </w:tc>
      </w:tr>
      <w:tr>
        <w:trPr>
          <w:trHeight w:val="308"/>
        </w:trPr>
        <w:tc>
          <w:tcPr>
            <w:tcW w:w="486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Noncumulative perpetual preferred stock</w:t>
            </w:r>
          </w:p>
        </w:tc>
        <w:tc>
          <w:tcPr>
            <w:tcW w:w="2580" w:type="dxa"/>
            <w:vAlign w:val="bottom"/>
            <w:tcBorders>
              <w:bottom w:val="single" w:sz="8" w:color="E5EBEE"/>
            </w:tcBorders>
            <w:shd w:val="clear" w:color="auto" w:fill="E5EBEE"/>
          </w:tcPr>
          <w:p>
            <w:pPr>
              <w:spacing w:after="0"/>
              <w:rPr>
                <w:sz w:val="24"/>
                <w:szCs w:val="24"/>
                <w:color w:val="auto"/>
              </w:rPr>
            </w:pPr>
          </w:p>
        </w:tc>
        <w:tc>
          <w:tcPr>
            <w:tcW w:w="980" w:type="dxa"/>
            <w:vAlign w:val="bottom"/>
            <w:tcBorders>
              <w:bottom w:val="single" w:sz="8" w:color="E5EBEE"/>
              <w:right w:val="single" w:sz="8" w:color="E5EBEE"/>
            </w:tcBorders>
            <w:shd w:val="clear" w:color="auto" w:fill="E5EBEE"/>
          </w:tcPr>
          <w:p>
            <w:pPr>
              <w:jc w:val="center"/>
              <w:ind w:left="192"/>
              <w:spacing w:after="0"/>
              <w:rPr>
                <w:sz w:val="20"/>
                <w:szCs w:val="20"/>
                <w:color w:val="auto"/>
              </w:rPr>
            </w:pPr>
            <w:r>
              <w:rPr>
                <w:rFonts w:ascii="Arial" w:cs="Arial" w:eastAsia="Arial" w:hAnsi="Arial"/>
                <w:sz w:val="18"/>
                <w:szCs w:val="18"/>
                <w:color w:val="auto"/>
              </w:rPr>
              <w:t>(5,407)</w:t>
            </w:r>
          </w:p>
        </w:tc>
        <w:tc>
          <w:tcPr>
            <w:tcW w:w="40" w:type="dxa"/>
            <w:vAlign w:val="bottom"/>
            <w:tcBorders>
              <w:bottom w:val="single" w:sz="8" w:color="E5EBEE"/>
            </w:tcBorders>
            <w:shd w:val="clear" w:color="auto" w:fill="E5EBEE"/>
          </w:tcPr>
          <w:p>
            <w:pPr>
              <w:spacing w:after="0"/>
              <w:rPr>
                <w:sz w:val="24"/>
                <w:szCs w:val="24"/>
                <w:color w:val="auto"/>
              </w:rPr>
            </w:pPr>
          </w:p>
        </w:tc>
        <w:tc>
          <w:tcPr>
            <w:tcW w:w="1300" w:type="dxa"/>
            <w:vAlign w:val="bottom"/>
            <w:tcBorders>
              <w:bottom w:val="single" w:sz="8" w:color="E5EBEE"/>
            </w:tcBorders>
            <w:gridSpan w:val="3"/>
            <w:shd w:val="clear" w:color="auto" w:fill="E5EBEE"/>
          </w:tcPr>
          <w:p>
            <w:pPr>
              <w:jc w:val="center"/>
              <w:ind w:left="213"/>
              <w:spacing w:after="0"/>
              <w:rPr>
                <w:sz w:val="20"/>
                <w:szCs w:val="20"/>
                <w:color w:val="auto"/>
              </w:rPr>
            </w:pPr>
            <w:r>
              <w:rPr>
                <w:rFonts w:ascii="Arial" w:cs="Arial" w:eastAsia="Arial" w:hAnsi="Arial"/>
                <w:sz w:val="18"/>
                <w:szCs w:val="18"/>
                <w:color w:val="auto"/>
                <w:w w:val="98"/>
              </w:rPr>
              <w:t>(4,845)</w:t>
            </w:r>
          </w:p>
        </w:tc>
        <w:tc>
          <w:tcPr>
            <w:tcW w:w="6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ind w:left="12"/>
              <w:spacing w:after="0"/>
              <w:rPr>
                <w:sz w:val="20"/>
                <w:szCs w:val="20"/>
                <w:color w:val="auto"/>
              </w:rPr>
            </w:pPr>
            <w:r>
              <w:rPr>
                <w:rFonts w:ascii="Arial" w:cs="Arial" w:eastAsia="Arial" w:hAnsi="Arial"/>
                <w:sz w:val="18"/>
                <w:szCs w:val="18"/>
                <w:color w:val="auto"/>
                <w:w w:val="98"/>
              </w:rPr>
              <w:t>(4,845)</w:t>
            </w:r>
          </w:p>
        </w:tc>
        <w:tc>
          <w:tcPr>
            <w:tcW w:w="0" w:type="dxa"/>
            <w:vAlign w:val="bottom"/>
          </w:tcPr>
          <w:p>
            <w:pPr>
              <w:spacing w:after="0"/>
              <w:rPr>
                <w:sz w:val="1"/>
                <w:szCs w:val="1"/>
                <w:color w:val="auto"/>
              </w:rPr>
            </w:pPr>
          </w:p>
        </w:tc>
      </w:tr>
      <w:tr>
        <w:trPr>
          <w:trHeight w:val="314"/>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Tangible common equity</w:t>
            </w:r>
            <w:r>
              <w:rPr>
                <w:rFonts w:ascii="Arial" w:cs="Arial" w:eastAsia="Arial" w:hAnsi="Arial"/>
                <w:sz w:val="26"/>
                <w:szCs w:val="26"/>
                <w:b w:val="1"/>
                <w:bCs w:val="1"/>
                <w:color w:val="auto"/>
                <w:vertAlign w:val="superscript"/>
              </w:rPr>
              <w:t>(3)</w:t>
            </w:r>
          </w:p>
        </w:tc>
        <w:tc>
          <w:tcPr>
            <w:tcW w:w="2580" w:type="dxa"/>
            <w:vAlign w:val="bottom"/>
          </w:tcPr>
          <w:p>
            <w:pPr>
              <w:spacing w:after="0"/>
              <w:rPr>
                <w:sz w:val="24"/>
                <w:szCs w:val="24"/>
                <w:color w:val="auto"/>
              </w:rPr>
            </w:pPr>
          </w:p>
        </w:tc>
        <w:tc>
          <w:tcPr>
            <w:tcW w:w="980" w:type="dxa"/>
            <w:vAlign w:val="bottom"/>
            <w:tcBorders>
              <w:top w:val="single" w:sz="8" w:color="023C5B"/>
              <w:bottom w:val="single" w:sz="8" w:color="023C5B"/>
            </w:tcBorders>
          </w:tcPr>
          <w:p>
            <w:pPr>
              <w:jc w:val="center"/>
              <w:ind w:left="192"/>
              <w:spacing w:after="0"/>
              <w:rPr>
                <w:sz w:val="20"/>
                <w:szCs w:val="20"/>
                <w:color w:val="auto"/>
              </w:rPr>
            </w:pPr>
            <w:r>
              <w:rPr>
                <w:rFonts w:ascii="Arial" w:cs="Arial" w:eastAsia="Arial" w:hAnsi="Arial"/>
                <w:sz w:val="18"/>
                <w:szCs w:val="18"/>
                <w:color w:val="auto"/>
              </w:rPr>
              <w:t>$67,333</w:t>
            </w:r>
          </w:p>
        </w:tc>
        <w:tc>
          <w:tcPr>
            <w:tcW w:w="40" w:type="dxa"/>
            <w:vAlign w:val="bottom"/>
            <w:tcBorders>
              <w:top w:val="single" w:sz="8" w:color="023C5B"/>
              <w:bottom w:val="single" w:sz="8" w:color="023C5B"/>
            </w:tcBorders>
          </w:tcPr>
          <w:p>
            <w:pPr>
              <w:spacing w:after="0"/>
              <w:rPr>
                <w:sz w:val="24"/>
                <w:szCs w:val="24"/>
                <w:color w:val="auto"/>
              </w:rPr>
            </w:pPr>
          </w:p>
        </w:tc>
        <w:tc>
          <w:tcPr>
            <w:tcW w:w="160" w:type="dxa"/>
            <w:vAlign w:val="bottom"/>
            <w:tcBorders>
              <w:top w:val="single" w:sz="8" w:color="023C5B"/>
              <w:bottom w:val="single" w:sz="8" w:color="023C5B"/>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top w:val="single" w:sz="8" w:color="023C5B"/>
              <w:bottom w:val="single" w:sz="8" w:color="023C5B"/>
            </w:tcBorders>
          </w:tcPr>
          <w:p>
            <w:pPr>
              <w:jc w:val="center"/>
              <w:spacing w:after="0"/>
              <w:rPr>
                <w:sz w:val="20"/>
                <w:szCs w:val="20"/>
                <w:color w:val="auto"/>
              </w:rPr>
            </w:pPr>
            <w:r>
              <w:rPr>
                <w:rFonts w:ascii="Arial" w:cs="Arial" w:eastAsia="Arial" w:hAnsi="Arial"/>
                <w:sz w:val="18"/>
                <w:szCs w:val="18"/>
                <w:color w:val="auto"/>
                <w:w w:val="98"/>
              </w:rPr>
              <w:t>$40,782</w:t>
            </w:r>
          </w:p>
        </w:tc>
        <w:tc>
          <w:tcPr>
            <w:tcW w:w="60" w:type="dxa"/>
            <w:vAlign w:val="bottom"/>
          </w:tcPr>
          <w:p>
            <w:pPr>
              <w:spacing w:after="0"/>
              <w:rPr>
                <w:sz w:val="24"/>
                <w:szCs w:val="24"/>
                <w:color w:val="auto"/>
              </w:rPr>
            </w:pPr>
          </w:p>
        </w:tc>
        <w:tc>
          <w:tcPr>
            <w:tcW w:w="1100" w:type="dxa"/>
            <w:vAlign w:val="bottom"/>
            <w:tcBorders>
              <w:top w:val="single" w:sz="8" w:color="023C5B"/>
              <w:bottom w:val="single" w:sz="8" w:color="023C5B"/>
            </w:tcBorders>
          </w:tcPr>
          <w:p>
            <w:pPr>
              <w:jc w:val="center"/>
              <w:ind w:left="12"/>
              <w:spacing w:after="0"/>
              <w:rPr>
                <w:sz w:val="20"/>
                <w:szCs w:val="20"/>
                <w:color w:val="auto"/>
              </w:rPr>
            </w:pPr>
            <w:r>
              <w:rPr>
                <w:rFonts w:ascii="Arial" w:cs="Arial" w:eastAsia="Arial" w:hAnsi="Arial"/>
                <w:sz w:val="18"/>
                <w:szCs w:val="18"/>
                <w:color w:val="auto"/>
                <w:w w:val="98"/>
              </w:rPr>
              <w:t>$37,955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Borders>
              <w:bottom w:val="single" w:sz="8" w:color="023C5B"/>
            </w:tcBorders>
          </w:tcPr>
          <w:p>
            <w:pPr>
              <w:spacing w:after="0" w:line="20" w:lineRule="exact"/>
              <w:rPr>
                <w:sz w:val="1"/>
                <w:szCs w:val="1"/>
                <w:color w:val="auto"/>
              </w:rPr>
            </w:pPr>
          </w:p>
        </w:tc>
        <w:tc>
          <w:tcPr>
            <w:tcW w:w="40" w:type="dxa"/>
            <w:vAlign w:val="bottom"/>
            <w:tcBorders>
              <w:bottom w:val="single" w:sz="8" w:color="023C5B"/>
            </w:tcBorders>
          </w:tcPr>
          <w:p>
            <w:pPr>
              <w:spacing w:after="0" w:line="20" w:lineRule="exact"/>
              <w:rPr>
                <w:sz w:val="1"/>
                <w:szCs w:val="1"/>
                <w:color w:val="auto"/>
              </w:rPr>
            </w:pPr>
          </w:p>
        </w:tc>
        <w:tc>
          <w:tcPr>
            <w:tcW w:w="160" w:type="dxa"/>
            <w:vAlign w:val="bottom"/>
            <w:tcBorders>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023C5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60" w:type="dxa"/>
            <w:vAlign w:val="bottom"/>
            <w:shd w:val="clear" w:color="auto" w:fill="E5EBEE"/>
          </w:tcPr>
          <w:p>
            <w:pPr>
              <w:spacing w:after="0"/>
              <w:rPr>
                <w:sz w:val="19"/>
                <w:szCs w:val="19"/>
                <w:color w:val="auto"/>
              </w:rPr>
            </w:pPr>
          </w:p>
        </w:tc>
        <w:tc>
          <w:tcPr>
            <w:tcW w:w="2580" w:type="dxa"/>
            <w:vAlign w:val="bottom"/>
            <w:shd w:val="clear" w:color="auto" w:fill="E5EBEE"/>
          </w:tcPr>
          <w:p>
            <w:pPr>
              <w:spacing w:after="0"/>
              <w:rPr>
                <w:sz w:val="19"/>
                <w:szCs w:val="19"/>
                <w:color w:val="auto"/>
              </w:rPr>
            </w:pPr>
          </w:p>
        </w:tc>
        <w:tc>
          <w:tcPr>
            <w:tcW w:w="980" w:type="dxa"/>
            <w:vAlign w:val="bottom"/>
            <w:tcBorders>
              <w:right w:val="single" w:sz="8" w:color="E5EBEE"/>
            </w:tcBorders>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60" w:type="dxa"/>
            <w:vAlign w:val="bottom"/>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080" w:type="dxa"/>
            <w:vAlign w:val="bottom"/>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100" w:type="dxa"/>
            <w:vAlign w:val="bottom"/>
            <w:shd w:val="clear" w:color="auto" w:fill="E5EBEE"/>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Tangible common equity (average)</w:t>
            </w:r>
          </w:p>
        </w:tc>
        <w:tc>
          <w:tcPr>
            <w:tcW w:w="2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48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8"/>
        </w:trPr>
        <w:tc>
          <w:tcPr>
            <w:tcW w:w="486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Stockholders’ equity</w:t>
            </w:r>
          </w:p>
        </w:tc>
        <w:tc>
          <w:tcPr>
            <w:tcW w:w="3560" w:type="dxa"/>
            <w:vAlign w:val="bottom"/>
            <w:tcBorders>
              <w:bottom w:val="single" w:sz="8" w:color="E5EBEE"/>
              <w:right w:val="single" w:sz="8" w:color="E5EBEE"/>
            </w:tcBorders>
            <w:gridSpan w:val="2"/>
            <w:shd w:val="clear" w:color="auto" w:fill="E5EBEE"/>
          </w:tcPr>
          <w:p>
            <w:pPr>
              <w:jc w:val="center"/>
              <w:ind w:left="2774"/>
              <w:spacing w:after="0"/>
              <w:rPr>
                <w:sz w:val="20"/>
                <w:szCs w:val="20"/>
                <w:color w:val="auto"/>
              </w:rPr>
            </w:pPr>
            <w:r>
              <w:rPr>
                <w:rFonts w:ascii="Arial" w:cs="Arial" w:eastAsia="Arial" w:hAnsi="Arial"/>
                <w:sz w:val="18"/>
                <w:szCs w:val="18"/>
                <w:color w:val="auto"/>
              </w:rPr>
              <w:t>$94,542</w:t>
            </w:r>
          </w:p>
        </w:tc>
        <w:tc>
          <w:tcPr>
            <w:tcW w:w="40" w:type="dxa"/>
            <w:vAlign w:val="bottom"/>
            <w:tcBorders>
              <w:bottom w:val="single" w:sz="8" w:color="E5EBEE"/>
            </w:tcBorders>
            <w:shd w:val="clear" w:color="auto" w:fill="E5EBEE"/>
          </w:tcPr>
          <w:p>
            <w:pPr>
              <w:spacing w:after="0"/>
              <w:rPr>
                <w:sz w:val="24"/>
                <w:szCs w:val="24"/>
                <w:color w:val="auto"/>
              </w:rPr>
            </w:pPr>
          </w:p>
        </w:tc>
        <w:tc>
          <w:tcPr>
            <w:tcW w:w="1300" w:type="dxa"/>
            <w:vAlign w:val="bottom"/>
            <w:tcBorders>
              <w:bottom w:val="single" w:sz="8" w:color="E5EBEE"/>
            </w:tcBorders>
            <w:gridSpan w:val="3"/>
            <w:shd w:val="clear" w:color="auto" w:fill="E5EBEE"/>
          </w:tcPr>
          <w:p>
            <w:pPr>
              <w:jc w:val="center"/>
              <w:ind w:left="213"/>
              <w:spacing w:after="0"/>
              <w:rPr>
                <w:sz w:val="20"/>
                <w:szCs w:val="20"/>
                <w:color w:val="auto"/>
              </w:rPr>
            </w:pPr>
            <w:r>
              <w:rPr>
                <w:rFonts w:ascii="Arial" w:cs="Arial" w:eastAsia="Arial" w:hAnsi="Arial"/>
                <w:sz w:val="18"/>
                <w:szCs w:val="18"/>
                <w:color w:val="auto"/>
                <w:w w:val="98"/>
              </w:rPr>
              <w:t>$59,799</w:t>
            </w:r>
          </w:p>
        </w:tc>
        <w:tc>
          <w:tcPr>
            <w:tcW w:w="6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ind w:left="12"/>
              <w:spacing w:after="0"/>
              <w:rPr>
                <w:sz w:val="20"/>
                <w:szCs w:val="20"/>
                <w:color w:val="auto"/>
              </w:rPr>
            </w:pPr>
            <w:r>
              <w:rPr>
                <w:rFonts w:ascii="Arial" w:cs="Arial" w:eastAsia="Arial" w:hAnsi="Arial"/>
                <w:sz w:val="18"/>
                <w:szCs w:val="18"/>
                <w:color w:val="auto"/>
                <w:w w:val="98"/>
              </w:rPr>
              <w:t>$55,195</w:t>
            </w:r>
          </w:p>
        </w:tc>
        <w:tc>
          <w:tcPr>
            <w:tcW w:w="0" w:type="dxa"/>
            <w:vAlign w:val="bottom"/>
          </w:tcPr>
          <w:p>
            <w:pPr>
              <w:spacing w:after="0"/>
              <w:rPr>
                <w:sz w:val="1"/>
                <w:szCs w:val="1"/>
                <w:color w:val="auto"/>
              </w:rPr>
            </w:pPr>
          </w:p>
        </w:tc>
      </w:tr>
      <w:tr>
        <w:trPr>
          <w:trHeight w:val="308"/>
        </w:trPr>
        <w:tc>
          <w:tcPr>
            <w:tcW w:w="4860" w:type="dxa"/>
            <w:vAlign w:val="bottom"/>
          </w:tcPr>
          <w:p>
            <w:pPr>
              <w:ind w:left="280"/>
              <w:spacing w:after="0"/>
              <w:rPr>
                <w:sz w:val="20"/>
                <w:szCs w:val="20"/>
                <w:color w:val="auto"/>
              </w:rPr>
            </w:pPr>
            <w:r>
              <w:rPr>
                <w:rFonts w:ascii="Arial" w:cs="Arial" w:eastAsia="Arial" w:hAnsi="Arial"/>
                <w:sz w:val="18"/>
                <w:szCs w:val="18"/>
                <w:color w:val="auto"/>
              </w:rPr>
              <w:t>Goodwill and other intangible assets</w:t>
            </w:r>
            <w:r>
              <w:rPr>
                <w:rFonts w:ascii="Arial" w:cs="Arial" w:eastAsia="Arial" w:hAnsi="Arial"/>
                <w:sz w:val="26"/>
                <w:szCs w:val="26"/>
                <w:color w:val="auto"/>
                <w:vertAlign w:val="superscript"/>
              </w:rPr>
              <w:t>(2)</w:t>
            </w:r>
          </w:p>
        </w:tc>
        <w:tc>
          <w:tcPr>
            <w:tcW w:w="3560" w:type="dxa"/>
            <w:vAlign w:val="bottom"/>
            <w:gridSpan w:val="2"/>
          </w:tcPr>
          <w:p>
            <w:pPr>
              <w:jc w:val="center"/>
              <w:ind w:left="2774"/>
              <w:spacing w:after="0"/>
              <w:rPr>
                <w:sz w:val="20"/>
                <w:szCs w:val="20"/>
                <w:color w:val="auto"/>
              </w:rPr>
            </w:pPr>
            <w:r>
              <w:rPr>
                <w:rFonts w:ascii="Arial" w:cs="Arial" w:eastAsia="Arial" w:hAnsi="Arial"/>
                <w:sz w:val="18"/>
                <w:szCs w:val="18"/>
                <w:color w:val="auto"/>
                <w:w w:val="98"/>
              </w:rPr>
              <w:t>(31,904)</w:t>
            </w:r>
          </w:p>
        </w:tc>
        <w:tc>
          <w:tcPr>
            <w:tcW w:w="40" w:type="dxa"/>
            <w:vAlign w:val="bottom"/>
          </w:tcPr>
          <w:p>
            <w:pPr>
              <w:spacing w:after="0"/>
              <w:rPr>
                <w:sz w:val="24"/>
                <w:szCs w:val="24"/>
                <w:color w:val="auto"/>
              </w:rPr>
            </w:pPr>
          </w:p>
        </w:tc>
        <w:tc>
          <w:tcPr>
            <w:tcW w:w="1300" w:type="dxa"/>
            <w:vAlign w:val="bottom"/>
            <w:gridSpan w:val="3"/>
          </w:tcPr>
          <w:p>
            <w:pPr>
              <w:jc w:val="center"/>
              <w:ind w:left="193"/>
              <w:spacing w:after="0"/>
              <w:rPr>
                <w:sz w:val="20"/>
                <w:szCs w:val="20"/>
                <w:color w:val="auto"/>
              </w:rPr>
            </w:pPr>
            <w:r>
              <w:rPr>
                <w:rFonts w:ascii="Arial" w:cs="Arial" w:eastAsia="Arial" w:hAnsi="Arial"/>
                <w:sz w:val="18"/>
                <w:szCs w:val="18"/>
                <w:color w:val="auto"/>
                <w:w w:val="98"/>
              </w:rPr>
              <w:t>(15,237)</w:t>
            </w:r>
          </w:p>
        </w:tc>
        <w:tc>
          <w:tcPr>
            <w:tcW w:w="60" w:type="dxa"/>
            <w:vAlign w:val="bottom"/>
          </w:tcPr>
          <w:p>
            <w:pPr>
              <w:spacing w:after="0"/>
              <w:rPr>
                <w:sz w:val="24"/>
                <w:szCs w:val="24"/>
                <w:color w:val="auto"/>
              </w:rPr>
            </w:pPr>
          </w:p>
        </w:tc>
        <w:tc>
          <w:tcPr>
            <w:tcW w:w="1100" w:type="dxa"/>
            <w:vAlign w:val="bottom"/>
          </w:tcPr>
          <w:p>
            <w:pPr>
              <w:jc w:val="center"/>
              <w:ind w:left="12"/>
              <w:spacing w:after="0"/>
              <w:rPr>
                <w:sz w:val="20"/>
                <w:szCs w:val="20"/>
                <w:color w:val="auto"/>
              </w:rPr>
            </w:pPr>
            <w:r>
              <w:rPr>
                <w:rFonts w:ascii="Arial" w:cs="Arial" w:eastAsia="Arial" w:hAnsi="Arial"/>
                <w:sz w:val="18"/>
                <w:szCs w:val="18"/>
                <w:color w:val="auto"/>
              </w:rPr>
              <w:t>(15,207)</w:t>
            </w:r>
          </w:p>
        </w:tc>
        <w:tc>
          <w:tcPr>
            <w:tcW w:w="0" w:type="dxa"/>
            <w:vAlign w:val="bottom"/>
          </w:tcPr>
          <w:p>
            <w:pPr>
              <w:spacing w:after="0"/>
              <w:rPr>
                <w:sz w:val="1"/>
                <w:szCs w:val="1"/>
                <w:color w:val="auto"/>
              </w:rPr>
            </w:pPr>
          </w:p>
        </w:tc>
      </w:tr>
      <w:tr>
        <w:trPr>
          <w:trHeight w:val="308"/>
        </w:trPr>
        <w:tc>
          <w:tcPr>
            <w:tcW w:w="486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Noncumulative perpetual preferred stock</w:t>
            </w:r>
          </w:p>
        </w:tc>
        <w:tc>
          <w:tcPr>
            <w:tcW w:w="2580" w:type="dxa"/>
            <w:vAlign w:val="bottom"/>
            <w:tcBorders>
              <w:bottom w:val="single" w:sz="8" w:color="E5EBEE"/>
            </w:tcBorders>
            <w:shd w:val="clear" w:color="auto" w:fill="E5EBEE"/>
          </w:tcPr>
          <w:p>
            <w:pPr>
              <w:spacing w:after="0"/>
              <w:rPr>
                <w:sz w:val="24"/>
                <w:szCs w:val="24"/>
                <w:color w:val="auto"/>
              </w:rPr>
            </w:pPr>
          </w:p>
        </w:tc>
        <w:tc>
          <w:tcPr>
            <w:tcW w:w="980" w:type="dxa"/>
            <w:vAlign w:val="bottom"/>
            <w:tcBorders>
              <w:bottom w:val="single" w:sz="8" w:color="E5EBEE"/>
              <w:right w:val="single" w:sz="8" w:color="E5EBEE"/>
            </w:tcBorders>
            <w:shd w:val="clear" w:color="auto" w:fill="E5EBEE"/>
          </w:tcPr>
          <w:p>
            <w:pPr>
              <w:jc w:val="center"/>
              <w:ind w:left="192"/>
              <w:spacing w:after="0"/>
              <w:rPr>
                <w:sz w:val="20"/>
                <w:szCs w:val="20"/>
                <w:color w:val="auto"/>
              </w:rPr>
            </w:pPr>
            <w:r>
              <w:rPr>
                <w:rFonts w:ascii="Arial" w:cs="Arial" w:eastAsia="Arial" w:hAnsi="Arial"/>
                <w:sz w:val="18"/>
                <w:szCs w:val="18"/>
                <w:color w:val="auto"/>
              </w:rPr>
              <w:t>(5,255)</w:t>
            </w:r>
          </w:p>
        </w:tc>
        <w:tc>
          <w:tcPr>
            <w:tcW w:w="40" w:type="dxa"/>
            <w:vAlign w:val="bottom"/>
            <w:tcBorders>
              <w:bottom w:val="single" w:sz="8" w:color="E5EBEE"/>
            </w:tcBorders>
            <w:shd w:val="clear" w:color="auto" w:fill="E5EBEE"/>
          </w:tcPr>
          <w:p>
            <w:pPr>
              <w:spacing w:after="0"/>
              <w:rPr>
                <w:sz w:val="24"/>
                <w:szCs w:val="24"/>
                <w:color w:val="auto"/>
              </w:rPr>
            </w:pPr>
          </w:p>
        </w:tc>
        <w:tc>
          <w:tcPr>
            <w:tcW w:w="1300" w:type="dxa"/>
            <w:vAlign w:val="bottom"/>
            <w:tcBorders>
              <w:bottom w:val="single" w:sz="8" w:color="E5EBEE"/>
            </w:tcBorders>
            <w:gridSpan w:val="3"/>
            <w:shd w:val="clear" w:color="auto" w:fill="E5EBEE"/>
          </w:tcPr>
          <w:p>
            <w:pPr>
              <w:jc w:val="center"/>
              <w:ind w:left="213"/>
              <w:spacing w:after="0"/>
              <w:rPr>
                <w:sz w:val="20"/>
                <w:szCs w:val="20"/>
                <w:color w:val="auto"/>
              </w:rPr>
            </w:pPr>
            <w:r>
              <w:rPr>
                <w:rFonts w:ascii="Arial" w:cs="Arial" w:eastAsia="Arial" w:hAnsi="Arial"/>
                <w:sz w:val="18"/>
                <w:szCs w:val="18"/>
                <w:color w:val="auto"/>
                <w:w w:val="98"/>
              </w:rPr>
              <w:t>(4,845)</w:t>
            </w:r>
          </w:p>
        </w:tc>
        <w:tc>
          <w:tcPr>
            <w:tcW w:w="6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ind w:left="12"/>
              <w:spacing w:after="0"/>
              <w:rPr>
                <w:sz w:val="20"/>
                <w:szCs w:val="20"/>
                <w:color w:val="auto"/>
              </w:rPr>
            </w:pPr>
            <w:r>
              <w:rPr>
                <w:rFonts w:ascii="Arial" w:cs="Arial" w:eastAsia="Arial" w:hAnsi="Arial"/>
                <w:sz w:val="18"/>
                <w:szCs w:val="18"/>
                <w:color w:val="auto"/>
                <w:w w:val="98"/>
              </w:rPr>
              <w:t>(4,845)</w:t>
            </w:r>
          </w:p>
        </w:tc>
        <w:tc>
          <w:tcPr>
            <w:tcW w:w="0" w:type="dxa"/>
            <w:vAlign w:val="bottom"/>
          </w:tcPr>
          <w:p>
            <w:pPr>
              <w:spacing w:after="0"/>
              <w:rPr>
                <w:sz w:val="1"/>
                <w:szCs w:val="1"/>
                <w:color w:val="auto"/>
              </w:rPr>
            </w:pPr>
          </w:p>
        </w:tc>
      </w:tr>
      <w:tr>
        <w:trPr>
          <w:trHeight w:val="314"/>
        </w:trPr>
        <w:tc>
          <w:tcPr>
            <w:tcW w:w="4860" w:type="dxa"/>
            <w:vAlign w:val="bottom"/>
          </w:tcPr>
          <w:p>
            <w:pPr>
              <w:ind w:left="100"/>
              <w:spacing w:after="0"/>
              <w:rPr>
                <w:sz w:val="20"/>
                <w:szCs w:val="20"/>
                <w:color w:val="auto"/>
              </w:rPr>
            </w:pPr>
            <w:r>
              <w:rPr>
                <w:rFonts w:ascii="Arial" w:cs="Arial" w:eastAsia="Arial" w:hAnsi="Arial"/>
                <w:sz w:val="18"/>
                <w:szCs w:val="18"/>
                <w:b w:val="1"/>
                <w:bCs w:val="1"/>
                <w:color w:val="auto"/>
              </w:rPr>
              <w:t>Tangible common equity</w:t>
            </w:r>
            <w:r>
              <w:rPr>
                <w:rFonts w:ascii="Arial" w:cs="Arial" w:eastAsia="Arial" w:hAnsi="Arial"/>
                <w:sz w:val="26"/>
                <w:szCs w:val="26"/>
                <w:b w:val="1"/>
                <w:bCs w:val="1"/>
                <w:color w:val="auto"/>
                <w:vertAlign w:val="superscript"/>
              </w:rPr>
              <w:t>(3)</w:t>
            </w:r>
          </w:p>
        </w:tc>
        <w:tc>
          <w:tcPr>
            <w:tcW w:w="2580" w:type="dxa"/>
            <w:vAlign w:val="bottom"/>
          </w:tcPr>
          <w:p>
            <w:pPr>
              <w:spacing w:after="0"/>
              <w:rPr>
                <w:sz w:val="24"/>
                <w:szCs w:val="24"/>
                <w:color w:val="auto"/>
              </w:rPr>
            </w:pPr>
          </w:p>
        </w:tc>
        <w:tc>
          <w:tcPr>
            <w:tcW w:w="980" w:type="dxa"/>
            <w:vAlign w:val="bottom"/>
            <w:tcBorders>
              <w:top w:val="single" w:sz="8" w:color="023C5B"/>
              <w:bottom w:val="single" w:sz="8" w:color="023C5B"/>
            </w:tcBorders>
          </w:tcPr>
          <w:p>
            <w:pPr>
              <w:jc w:val="center"/>
              <w:ind w:left="192"/>
              <w:spacing w:after="0"/>
              <w:rPr>
                <w:sz w:val="20"/>
                <w:szCs w:val="20"/>
                <w:color w:val="auto"/>
              </w:rPr>
            </w:pPr>
            <w:r>
              <w:rPr>
                <w:rFonts w:ascii="Arial" w:cs="Arial" w:eastAsia="Arial" w:hAnsi="Arial"/>
                <w:sz w:val="18"/>
                <w:szCs w:val="18"/>
                <w:color w:val="auto"/>
              </w:rPr>
              <w:t>$57,383</w:t>
            </w:r>
          </w:p>
        </w:tc>
        <w:tc>
          <w:tcPr>
            <w:tcW w:w="40" w:type="dxa"/>
            <w:vAlign w:val="bottom"/>
            <w:tcBorders>
              <w:top w:val="single" w:sz="8" w:color="023C5B"/>
              <w:bottom w:val="single" w:sz="8" w:color="023C5B"/>
            </w:tcBorders>
          </w:tcPr>
          <w:p>
            <w:pPr>
              <w:spacing w:after="0"/>
              <w:rPr>
                <w:sz w:val="24"/>
                <w:szCs w:val="24"/>
                <w:color w:val="auto"/>
              </w:rPr>
            </w:pPr>
          </w:p>
        </w:tc>
        <w:tc>
          <w:tcPr>
            <w:tcW w:w="160" w:type="dxa"/>
            <w:vAlign w:val="bottom"/>
            <w:tcBorders>
              <w:top w:val="single" w:sz="8" w:color="023C5B"/>
              <w:bottom w:val="single" w:sz="8" w:color="023C5B"/>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top w:val="single" w:sz="8" w:color="023C5B"/>
              <w:bottom w:val="single" w:sz="8" w:color="023C5B"/>
            </w:tcBorders>
          </w:tcPr>
          <w:p>
            <w:pPr>
              <w:jc w:val="center"/>
              <w:spacing w:after="0"/>
              <w:rPr>
                <w:sz w:val="20"/>
                <w:szCs w:val="20"/>
                <w:color w:val="auto"/>
              </w:rPr>
            </w:pPr>
            <w:r>
              <w:rPr>
                <w:rFonts w:ascii="Arial" w:cs="Arial" w:eastAsia="Arial" w:hAnsi="Arial"/>
                <w:sz w:val="18"/>
                <w:szCs w:val="18"/>
                <w:color w:val="auto"/>
                <w:w w:val="98"/>
              </w:rPr>
              <w:t>$39,717</w:t>
            </w:r>
          </w:p>
        </w:tc>
        <w:tc>
          <w:tcPr>
            <w:tcW w:w="60" w:type="dxa"/>
            <w:vAlign w:val="bottom"/>
          </w:tcPr>
          <w:p>
            <w:pPr>
              <w:spacing w:after="0"/>
              <w:rPr>
                <w:sz w:val="24"/>
                <w:szCs w:val="24"/>
                <w:color w:val="auto"/>
              </w:rPr>
            </w:pPr>
          </w:p>
        </w:tc>
        <w:tc>
          <w:tcPr>
            <w:tcW w:w="1100" w:type="dxa"/>
            <w:vAlign w:val="bottom"/>
            <w:tcBorders>
              <w:top w:val="single" w:sz="8" w:color="023C5B"/>
              <w:bottom w:val="single" w:sz="8" w:color="023C5B"/>
            </w:tcBorders>
          </w:tcPr>
          <w:p>
            <w:pPr>
              <w:jc w:val="center"/>
              <w:ind w:left="12"/>
              <w:spacing w:after="0"/>
              <w:rPr>
                <w:sz w:val="20"/>
                <w:szCs w:val="20"/>
                <w:color w:val="auto"/>
              </w:rPr>
            </w:pPr>
            <w:r>
              <w:rPr>
                <w:rFonts w:ascii="Arial" w:cs="Arial" w:eastAsia="Arial" w:hAnsi="Arial"/>
                <w:sz w:val="18"/>
                <w:szCs w:val="18"/>
                <w:color w:val="auto"/>
                <w:w w:val="98"/>
              </w:rPr>
              <w:t>$35,143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80" w:type="dxa"/>
            <w:vAlign w:val="bottom"/>
            <w:tcBorders>
              <w:bottom w:val="single" w:sz="8" w:color="023C5B"/>
            </w:tcBorders>
          </w:tcPr>
          <w:p>
            <w:pPr>
              <w:spacing w:after="0" w:line="20" w:lineRule="exact"/>
              <w:rPr>
                <w:sz w:val="1"/>
                <w:szCs w:val="1"/>
                <w:color w:val="auto"/>
              </w:rPr>
            </w:pPr>
          </w:p>
        </w:tc>
        <w:tc>
          <w:tcPr>
            <w:tcW w:w="40" w:type="dxa"/>
            <w:vAlign w:val="bottom"/>
            <w:tcBorders>
              <w:bottom w:val="single" w:sz="8" w:color="023C5B"/>
            </w:tcBorders>
          </w:tcPr>
          <w:p>
            <w:pPr>
              <w:spacing w:after="0" w:line="20" w:lineRule="exact"/>
              <w:rPr>
                <w:sz w:val="1"/>
                <w:szCs w:val="1"/>
                <w:color w:val="auto"/>
              </w:rPr>
            </w:pPr>
          </w:p>
        </w:tc>
        <w:tc>
          <w:tcPr>
            <w:tcW w:w="160" w:type="dxa"/>
            <w:vAlign w:val="bottom"/>
            <w:tcBorders>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023C5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860" w:type="dxa"/>
            <w:vAlign w:val="bottom"/>
          </w:tcPr>
          <w:p>
            <w:pPr>
              <w:spacing w:after="0"/>
              <w:rPr>
                <w:sz w:val="13"/>
                <w:szCs w:val="13"/>
                <w:color w:val="auto"/>
              </w:rPr>
            </w:pPr>
          </w:p>
        </w:tc>
        <w:tc>
          <w:tcPr>
            <w:tcW w:w="3600" w:type="dxa"/>
            <w:vAlign w:val="bottom"/>
            <w:gridSpan w:val="3"/>
          </w:tcPr>
          <w:p>
            <w:pPr>
              <w:spacing w:after="0"/>
              <w:rPr>
                <w:sz w:val="13"/>
                <w:szCs w:val="13"/>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5"/>
                <w:szCs w:val="15"/>
                <w:b w:val="1"/>
                <w:bCs w:val="1"/>
                <w:color w:val="023C5B"/>
                <w:w w:val="99"/>
              </w:rPr>
              <w:t xml:space="preserve">  2026 PROXY STATEMENT  </w:t>
            </w:r>
            <w:r>
              <w:rPr>
                <w:rFonts w:ascii="Arial" w:cs="Arial" w:eastAsia="Arial" w:hAnsi="Arial"/>
                <w:sz w:val="17"/>
                <w:szCs w:val="17"/>
                <w:b w:val="1"/>
                <w:bCs w:val="1"/>
                <w:color w:val="000000"/>
                <w:w w:val="99"/>
              </w:rPr>
              <w:t xml:space="preserve">  139</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3560" w:type="dxa"/>
            <w:vAlign w:val="bottom"/>
            <w:tcBorders>
              <w:right w:val="single" w:sz="8" w:color="023C5B"/>
            </w:tcBorders>
            <w:gridSpan w:val="2"/>
          </w:tcPr>
          <w:p>
            <w:pPr>
              <w:ind w:left="500"/>
              <w:spacing w:after="0"/>
              <w:rPr>
                <w:sz w:val="20"/>
                <w:szCs w:val="20"/>
                <w:color w:val="auto"/>
              </w:rPr>
            </w:pPr>
            <w:r>
              <w:rPr>
                <w:rFonts w:ascii="Arial" w:cs="Arial" w:eastAsia="Arial" w:hAnsi="Arial"/>
                <w:sz w:val="15"/>
                <w:szCs w:val="15"/>
                <w:color w:val="023C5B"/>
              </w:rPr>
              <w:t>CAPITAL ONE FINANCIAL CORPORATION</w:t>
            </w:r>
          </w:p>
        </w:tc>
        <w:tc>
          <w:tcPr>
            <w:tcW w:w="40" w:type="dxa"/>
            <w:vAlign w:val="bottom"/>
          </w:tcPr>
          <w:p>
            <w:pPr>
              <w:spacing w:after="0"/>
              <w:rPr>
                <w:sz w:val="19"/>
                <w:szCs w:val="19"/>
                <w:color w:val="auto"/>
              </w:rPr>
            </w:pPr>
          </w:p>
        </w:tc>
        <w:tc>
          <w:tcPr>
            <w:tcW w:w="24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48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980" w:type="dxa"/>
            <w:vAlign w:val="bottom"/>
            <w:tcBorders>
              <w:right w:val="single" w:sz="8" w:color="023C5B"/>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78" w:right="4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Appendix A - Information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52400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929755" cy="5240020"/>
                    </a:xfrm>
                    <a:prstGeom prst="rect">
                      <a:avLst/>
                    </a:prstGeom>
                    <a:noFill/>
                  </pic:spPr>
                </pic:pic>
              </a:graphicData>
            </a:graphic>
          </wp:anchor>
        </w:drawing>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7540" w:type="dxa"/>
            <w:vAlign w:val="bottom"/>
            <w:shd w:val="clear" w:color="auto" w:fill="023C5B"/>
          </w:tcPr>
          <w:p>
            <w:pPr>
              <w:spacing w:after="0"/>
              <w:rPr>
                <w:sz w:val="22"/>
                <w:szCs w:val="22"/>
                <w:color w:val="auto"/>
              </w:rPr>
            </w:pPr>
          </w:p>
        </w:tc>
        <w:tc>
          <w:tcPr>
            <w:tcW w:w="20" w:type="dxa"/>
            <w:vAlign w:val="bottom"/>
            <w:shd w:val="clear" w:color="auto" w:fill="023C5B"/>
          </w:tcPr>
          <w:p>
            <w:pPr>
              <w:spacing w:after="0"/>
              <w:rPr>
                <w:sz w:val="22"/>
                <w:szCs w:val="22"/>
                <w:color w:val="auto"/>
              </w:rPr>
            </w:pPr>
          </w:p>
        </w:tc>
        <w:tc>
          <w:tcPr>
            <w:tcW w:w="3360" w:type="dxa"/>
            <w:vAlign w:val="bottom"/>
            <w:gridSpan w:val="5"/>
            <w:shd w:val="clear" w:color="auto" w:fill="023C5B"/>
          </w:tcPr>
          <w:p>
            <w:pPr>
              <w:ind w:left="800"/>
              <w:spacing w:after="0"/>
              <w:rPr>
                <w:sz w:val="20"/>
                <w:szCs w:val="20"/>
                <w:color w:val="auto"/>
              </w:rPr>
            </w:pPr>
            <w:r>
              <w:rPr>
                <w:rFonts w:ascii="Arial" w:cs="Arial" w:eastAsia="Arial" w:hAnsi="Arial"/>
                <w:sz w:val="16"/>
                <w:szCs w:val="16"/>
                <w:b w:val="1"/>
                <w:bCs w:val="1"/>
                <w:color w:val="FFFFFF"/>
              </w:rPr>
              <w:t>Year Ended December 31,</w:t>
            </w:r>
          </w:p>
        </w:tc>
        <w:tc>
          <w:tcPr>
            <w:tcW w:w="0" w:type="dxa"/>
            <w:vAlign w:val="bottom"/>
          </w:tcPr>
          <w:p>
            <w:pPr>
              <w:spacing w:after="0"/>
              <w:rPr>
                <w:sz w:val="1"/>
                <w:szCs w:val="1"/>
                <w:color w:val="auto"/>
              </w:rPr>
            </w:pPr>
          </w:p>
        </w:tc>
      </w:tr>
      <w:tr>
        <w:trPr>
          <w:trHeight w:val="401"/>
        </w:trPr>
        <w:tc>
          <w:tcPr>
            <w:tcW w:w="7540" w:type="dxa"/>
            <w:vAlign w:val="bottom"/>
            <w:tcBorders>
              <w:bottom w:val="single" w:sz="8" w:color="023C5B"/>
            </w:tcBorders>
            <w:shd w:val="clear" w:color="auto" w:fill="023C5B"/>
          </w:tcPr>
          <w:p>
            <w:pPr>
              <w:ind w:left="100"/>
              <w:spacing w:after="0"/>
              <w:rPr>
                <w:sz w:val="20"/>
                <w:szCs w:val="20"/>
                <w:color w:val="auto"/>
              </w:rPr>
            </w:pPr>
            <w:r>
              <w:rPr>
                <w:rFonts w:ascii="Arial" w:cs="Arial" w:eastAsia="Arial" w:hAnsi="Arial"/>
                <w:sz w:val="16"/>
                <w:szCs w:val="16"/>
                <w:b w:val="1"/>
                <w:bCs w:val="1"/>
                <w:color w:val="FFFFFF"/>
              </w:rPr>
              <w:t>(Dollars in millions, except per share data and as noted)</w:t>
            </w:r>
          </w:p>
        </w:tc>
        <w:tc>
          <w:tcPr>
            <w:tcW w:w="1100" w:type="dxa"/>
            <w:vAlign w:val="bottom"/>
            <w:tcBorders>
              <w:bottom w:val="single" w:sz="8" w:color="023C5B"/>
            </w:tcBorders>
            <w:gridSpan w:val="2"/>
            <w:shd w:val="clear" w:color="auto" w:fill="023C5B"/>
          </w:tcPr>
          <w:p>
            <w:pPr>
              <w:jc w:val="center"/>
              <w:ind w:left="135"/>
              <w:spacing w:after="0"/>
              <w:rPr>
                <w:sz w:val="20"/>
                <w:szCs w:val="20"/>
                <w:color w:val="auto"/>
              </w:rPr>
            </w:pPr>
            <w:r>
              <w:rPr>
                <w:rFonts w:ascii="Arial" w:cs="Arial" w:eastAsia="Arial" w:hAnsi="Arial"/>
                <w:sz w:val="16"/>
                <w:szCs w:val="16"/>
                <w:b w:val="1"/>
                <w:bCs w:val="1"/>
                <w:color w:val="FFFFFF"/>
              </w:rPr>
              <w:t>2025</w:t>
            </w:r>
          </w:p>
        </w:tc>
        <w:tc>
          <w:tcPr>
            <w:tcW w:w="60" w:type="dxa"/>
            <w:vAlign w:val="bottom"/>
            <w:tcBorders>
              <w:bottom w:val="single" w:sz="8" w:color="023C5B"/>
            </w:tcBorders>
            <w:shd w:val="clear" w:color="auto" w:fill="023C5B"/>
          </w:tcPr>
          <w:p>
            <w:pPr>
              <w:spacing w:after="0"/>
              <w:rPr>
                <w:sz w:val="24"/>
                <w:szCs w:val="24"/>
                <w:color w:val="auto"/>
              </w:rPr>
            </w:pPr>
          </w:p>
        </w:tc>
        <w:tc>
          <w:tcPr>
            <w:tcW w:w="1080" w:type="dxa"/>
            <w:vAlign w:val="bottom"/>
            <w:tcBorders>
              <w:bottom w:val="single" w:sz="8" w:color="023C5B"/>
            </w:tcBorders>
            <w:shd w:val="clear" w:color="auto" w:fill="023C5B"/>
          </w:tcPr>
          <w:p>
            <w:pPr>
              <w:jc w:val="center"/>
              <w:ind w:left="111"/>
              <w:spacing w:after="0"/>
              <w:rPr>
                <w:sz w:val="20"/>
                <w:szCs w:val="20"/>
                <w:color w:val="auto"/>
              </w:rPr>
            </w:pPr>
            <w:r>
              <w:rPr>
                <w:rFonts w:ascii="Arial" w:cs="Arial" w:eastAsia="Arial" w:hAnsi="Arial"/>
                <w:sz w:val="16"/>
                <w:szCs w:val="16"/>
                <w:b w:val="1"/>
                <w:bCs w:val="1"/>
                <w:color w:val="FFFFFF"/>
              </w:rPr>
              <w:t>2024</w:t>
            </w:r>
          </w:p>
        </w:tc>
        <w:tc>
          <w:tcPr>
            <w:tcW w:w="60" w:type="dxa"/>
            <w:vAlign w:val="bottom"/>
            <w:tcBorders>
              <w:bottom w:val="single" w:sz="8" w:color="023C5B"/>
            </w:tcBorders>
            <w:shd w:val="clear" w:color="auto" w:fill="023C5B"/>
          </w:tcPr>
          <w:p>
            <w:pPr>
              <w:spacing w:after="0"/>
              <w:rPr>
                <w:sz w:val="24"/>
                <w:szCs w:val="24"/>
                <w:color w:val="auto"/>
              </w:rPr>
            </w:pPr>
          </w:p>
        </w:tc>
        <w:tc>
          <w:tcPr>
            <w:tcW w:w="1080" w:type="dxa"/>
            <w:vAlign w:val="bottom"/>
            <w:tcBorders>
              <w:bottom w:val="single" w:sz="8" w:color="023C5B"/>
            </w:tcBorders>
            <w:shd w:val="clear" w:color="auto" w:fill="023C5B"/>
          </w:tcPr>
          <w:p>
            <w:pPr>
              <w:jc w:val="center"/>
              <w:ind w:left="111"/>
              <w:spacing w:after="0"/>
              <w:rPr>
                <w:sz w:val="20"/>
                <w:szCs w:val="20"/>
                <w:color w:val="auto"/>
              </w:rPr>
            </w:pPr>
            <w:r>
              <w:rPr>
                <w:rFonts w:ascii="Arial" w:cs="Arial" w:eastAsia="Arial" w:hAnsi="Arial"/>
                <w:sz w:val="16"/>
                <w:szCs w:val="16"/>
                <w:b w:val="1"/>
                <w:bCs w:val="1"/>
                <w:color w:val="FFFFFF"/>
              </w:rPr>
              <w:t>2023</w:t>
            </w:r>
          </w:p>
        </w:tc>
        <w:tc>
          <w:tcPr>
            <w:tcW w:w="0" w:type="dxa"/>
            <w:vAlign w:val="bottom"/>
          </w:tcPr>
          <w:p>
            <w:pPr>
              <w:spacing w:after="0"/>
              <w:rPr>
                <w:sz w:val="1"/>
                <w:szCs w:val="1"/>
                <w:color w:val="auto"/>
              </w:rPr>
            </w:pPr>
          </w:p>
        </w:tc>
      </w:tr>
      <w:tr>
        <w:trPr>
          <w:trHeight w:val="288"/>
        </w:trPr>
        <w:tc>
          <w:tcPr>
            <w:tcW w:w="7540" w:type="dxa"/>
            <w:vAlign w:val="bottom"/>
            <w:tcBorders>
              <w:bottom w:val="single" w:sz="8" w:color="E5EBEE"/>
            </w:tcBorders>
            <w:shd w:val="clear" w:color="auto" w:fill="E5EBEE"/>
          </w:tcPr>
          <w:p>
            <w:pPr>
              <w:ind w:left="100"/>
              <w:spacing w:after="0"/>
              <w:rPr>
                <w:sz w:val="20"/>
                <w:szCs w:val="20"/>
                <w:color w:val="auto"/>
              </w:rPr>
            </w:pPr>
            <w:r>
              <w:rPr>
                <w:rFonts w:ascii="Arial" w:cs="Arial" w:eastAsia="Arial" w:hAnsi="Arial"/>
                <w:sz w:val="18"/>
                <w:szCs w:val="18"/>
                <w:b w:val="1"/>
                <w:bCs w:val="1"/>
                <w:color w:val="auto"/>
              </w:rPr>
              <w:t>Return on tangible common equity (“ROTCE”):</w:t>
            </w:r>
          </w:p>
        </w:tc>
        <w:tc>
          <w:tcPr>
            <w:tcW w:w="2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spacing w:after="0"/>
              <w:rPr>
                <w:sz w:val="24"/>
                <w:szCs w:val="24"/>
                <w:color w:val="auto"/>
              </w:rPr>
            </w:pP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spacing w:after="0"/>
              <w:rPr>
                <w:sz w:val="24"/>
                <w:szCs w:val="24"/>
                <w:color w:val="auto"/>
              </w:rPr>
            </w:pP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tcPr>
          <w:p>
            <w:pPr>
              <w:ind w:left="280"/>
              <w:spacing w:after="0"/>
              <w:rPr>
                <w:sz w:val="20"/>
                <w:szCs w:val="20"/>
                <w:color w:val="auto"/>
              </w:rPr>
            </w:pPr>
            <w:r>
              <w:rPr>
                <w:rFonts w:ascii="Arial" w:cs="Arial" w:eastAsia="Arial" w:hAnsi="Arial"/>
                <w:sz w:val="18"/>
                <w:szCs w:val="18"/>
                <w:color w:val="auto"/>
              </w:rPr>
              <w:t>Net income available to common stockholders</w:t>
            </w:r>
          </w:p>
        </w:tc>
        <w:tc>
          <w:tcPr>
            <w:tcW w:w="1100" w:type="dxa"/>
            <w:vAlign w:val="bottom"/>
            <w:gridSpan w:val="2"/>
          </w:tcPr>
          <w:p>
            <w:pPr>
              <w:jc w:val="center"/>
              <w:ind w:left="135"/>
              <w:spacing w:after="0"/>
              <w:rPr>
                <w:sz w:val="20"/>
                <w:szCs w:val="20"/>
                <w:color w:val="auto"/>
              </w:rPr>
            </w:pPr>
            <w:r>
              <w:rPr>
                <w:rFonts w:ascii="Arial" w:cs="Arial" w:eastAsia="Arial" w:hAnsi="Arial"/>
                <w:sz w:val="18"/>
                <w:szCs w:val="18"/>
                <w:color w:val="auto"/>
              </w:rPr>
              <w:t>$2,181</w:t>
            </w:r>
          </w:p>
        </w:tc>
        <w:tc>
          <w:tcPr>
            <w:tcW w:w="60" w:type="dxa"/>
            <w:vAlign w:val="bottom"/>
          </w:tcPr>
          <w:p>
            <w:pPr>
              <w:spacing w:after="0"/>
              <w:rPr>
                <w:sz w:val="23"/>
                <w:szCs w:val="23"/>
                <w:color w:val="auto"/>
              </w:rPr>
            </w:pPr>
          </w:p>
        </w:tc>
        <w:tc>
          <w:tcPr>
            <w:tcW w:w="1080" w:type="dxa"/>
            <w:vAlign w:val="bottom"/>
          </w:tcPr>
          <w:p>
            <w:pPr>
              <w:jc w:val="center"/>
              <w:ind w:left="91"/>
              <w:spacing w:after="0"/>
              <w:rPr>
                <w:sz w:val="20"/>
                <w:szCs w:val="20"/>
                <w:color w:val="auto"/>
              </w:rPr>
            </w:pPr>
            <w:r>
              <w:rPr>
                <w:rFonts w:ascii="Arial" w:cs="Arial" w:eastAsia="Arial" w:hAnsi="Arial"/>
                <w:sz w:val="18"/>
                <w:szCs w:val="18"/>
                <w:color w:val="auto"/>
                <w:w w:val="98"/>
              </w:rPr>
              <w:t>$4,445</w:t>
            </w:r>
          </w:p>
        </w:tc>
        <w:tc>
          <w:tcPr>
            <w:tcW w:w="60" w:type="dxa"/>
            <w:vAlign w:val="bottom"/>
          </w:tcPr>
          <w:p>
            <w:pPr>
              <w:spacing w:after="0"/>
              <w:rPr>
                <w:sz w:val="23"/>
                <w:szCs w:val="23"/>
                <w:color w:val="auto"/>
              </w:rPr>
            </w:pPr>
          </w:p>
        </w:tc>
        <w:tc>
          <w:tcPr>
            <w:tcW w:w="1080" w:type="dxa"/>
            <w:vAlign w:val="bottom"/>
          </w:tcPr>
          <w:p>
            <w:pPr>
              <w:jc w:val="center"/>
              <w:ind w:left="91"/>
              <w:spacing w:after="0"/>
              <w:rPr>
                <w:sz w:val="20"/>
                <w:szCs w:val="20"/>
                <w:color w:val="auto"/>
              </w:rPr>
            </w:pPr>
            <w:r>
              <w:rPr>
                <w:rFonts w:ascii="Arial" w:cs="Arial" w:eastAsia="Arial" w:hAnsi="Arial"/>
                <w:sz w:val="18"/>
                <w:szCs w:val="18"/>
                <w:color w:val="auto"/>
                <w:w w:val="98"/>
              </w:rPr>
              <w:t>$4,582</w:t>
            </w:r>
          </w:p>
        </w:tc>
        <w:tc>
          <w:tcPr>
            <w:tcW w:w="0" w:type="dxa"/>
            <w:vAlign w:val="bottom"/>
          </w:tcPr>
          <w:p>
            <w:pPr>
              <w:spacing w:after="0"/>
              <w:rPr>
                <w:sz w:val="1"/>
                <w:szCs w:val="1"/>
                <w:color w:val="auto"/>
              </w:rPr>
            </w:pPr>
          </w:p>
        </w:tc>
      </w:tr>
      <w:tr>
        <w:trPr>
          <w:trHeight w:val="38"/>
        </w:trPr>
        <w:tc>
          <w:tcPr>
            <w:tcW w:w="7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754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3"/>
              </w:rPr>
              <w:t>365</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9"/>
              </w:rPr>
              <w:t>3</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2"/>
        </w:trPr>
        <w:tc>
          <w:tcPr>
            <w:tcW w:w="7540" w:type="dxa"/>
            <w:vAlign w:val="bottom"/>
          </w:tcPr>
          <w:p>
            <w:pPr>
              <w:ind w:left="280"/>
              <w:spacing w:after="0"/>
              <w:rPr>
                <w:sz w:val="20"/>
                <w:szCs w:val="20"/>
                <w:color w:val="auto"/>
              </w:rPr>
            </w:pPr>
            <w:r>
              <w:rPr>
                <w:rFonts w:ascii="Arial" w:cs="Arial" w:eastAsia="Arial" w:hAnsi="Arial"/>
                <w:sz w:val="18"/>
                <w:szCs w:val="18"/>
                <w:color w:val="auto"/>
              </w:rPr>
              <w:t>Net income available to common stockholders less income from discontinued operations,</w:t>
            </w:r>
          </w:p>
        </w:tc>
        <w:tc>
          <w:tcPr>
            <w:tcW w:w="20" w:type="dxa"/>
            <w:vAlign w:val="bottom"/>
            <w:vMerge w:val="restart"/>
          </w:tcPr>
          <w:p>
            <w:pPr>
              <w:spacing w:after="0"/>
              <w:rPr>
                <w:sz w:val="21"/>
                <w:szCs w:val="21"/>
                <w:color w:val="auto"/>
              </w:rPr>
            </w:pPr>
          </w:p>
        </w:tc>
        <w:tc>
          <w:tcPr>
            <w:tcW w:w="1080" w:type="dxa"/>
            <w:vAlign w:val="bottom"/>
            <w:tcBorders>
              <w:top w:val="single" w:sz="8" w:color="023C5B"/>
            </w:tcBorders>
            <w:vMerge w:val="restart"/>
          </w:tcPr>
          <w:p>
            <w:pPr>
              <w:jc w:val="center"/>
              <w:ind w:left="111"/>
              <w:spacing w:after="0"/>
              <w:rPr>
                <w:sz w:val="20"/>
                <w:szCs w:val="20"/>
                <w:color w:val="auto"/>
              </w:rPr>
            </w:pPr>
            <w:r>
              <w:rPr>
                <w:rFonts w:ascii="Arial" w:cs="Arial" w:eastAsia="Arial" w:hAnsi="Arial"/>
                <w:sz w:val="18"/>
                <w:szCs w:val="18"/>
                <w:color w:val="auto"/>
                <w:w w:val="97"/>
              </w:rPr>
              <w:t>1,816</w:t>
            </w:r>
          </w:p>
        </w:tc>
        <w:tc>
          <w:tcPr>
            <w:tcW w:w="60" w:type="dxa"/>
            <w:vAlign w:val="bottom"/>
          </w:tcPr>
          <w:p>
            <w:pPr>
              <w:spacing w:after="0"/>
              <w:rPr>
                <w:sz w:val="21"/>
                <w:szCs w:val="21"/>
                <w:color w:val="auto"/>
              </w:rPr>
            </w:pPr>
          </w:p>
        </w:tc>
        <w:tc>
          <w:tcPr>
            <w:tcW w:w="1080" w:type="dxa"/>
            <w:vAlign w:val="bottom"/>
            <w:tcBorders>
              <w:top w:val="single" w:sz="8" w:color="023C5B"/>
            </w:tcBorders>
            <w:vMerge w:val="restart"/>
          </w:tcPr>
          <w:p>
            <w:pPr>
              <w:jc w:val="center"/>
              <w:ind w:left="111"/>
              <w:spacing w:after="0"/>
              <w:rPr>
                <w:sz w:val="20"/>
                <w:szCs w:val="20"/>
                <w:color w:val="auto"/>
              </w:rPr>
            </w:pPr>
            <w:r>
              <w:rPr>
                <w:rFonts w:ascii="Arial" w:cs="Arial" w:eastAsia="Arial" w:hAnsi="Arial"/>
                <w:sz w:val="18"/>
                <w:szCs w:val="18"/>
                <w:color w:val="auto"/>
                <w:w w:val="97"/>
              </w:rPr>
              <w:t>4,442</w:t>
            </w:r>
          </w:p>
        </w:tc>
        <w:tc>
          <w:tcPr>
            <w:tcW w:w="60" w:type="dxa"/>
            <w:vAlign w:val="bottom"/>
          </w:tcPr>
          <w:p>
            <w:pPr>
              <w:spacing w:after="0"/>
              <w:rPr>
                <w:sz w:val="21"/>
                <w:szCs w:val="21"/>
                <w:color w:val="auto"/>
              </w:rPr>
            </w:pPr>
          </w:p>
        </w:tc>
        <w:tc>
          <w:tcPr>
            <w:tcW w:w="1080" w:type="dxa"/>
            <w:vAlign w:val="bottom"/>
            <w:tcBorders>
              <w:top w:val="single" w:sz="8" w:color="023C5B"/>
            </w:tcBorders>
            <w:vMerge w:val="restart"/>
          </w:tcPr>
          <w:p>
            <w:pPr>
              <w:jc w:val="center"/>
              <w:ind w:left="91"/>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128"/>
        </w:trPr>
        <w:tc>
          <w:tcPr>
            <w:tcW w:w="7540" w:type="dxa"/>
            <w:vAlign w:val="bottom"/>
            <w:vMerge w:val="restart"/>
          </w:tcPr>
          <w:p>
            <w:pPr>
              <w:ind w:left="460"/>
              <w:spacing w:after="0"/>
              <w:rPr>
                <w:sz w:val="20"/>
                <w:szCs w:val="20"/>
                <w:color w:val="auto"/>
              </w:rPr>
            </w:pPr>
            <w:r>
              <w:rPr>
                <w:rFonts w:ascii="Arial" w:cs="Arial" w:eastAsia="Arial" w:hAnsi="Arial"/>
                <w:sz w:val="18"/>
                <w:szCs w:val="18"/>
                <w:color w:val="auto"/>
              </w:rPr>
              <w:t>net of tax</w:t>
            </w:r>
          </w:p>
        </w:tc>
        <w:tc>
          <w:tcPr>
            <w:tcW w:w="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7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754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Tangible common equity (Average)</w:t>
            </w:r>
          </w:p>
        </w:tc>
        <w:tc>
          <w:tcPr>
            <w:tcW w:w="2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rPr>
              <w:t>57,383</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8"/>
              </w:rPr>
              <w:t>39,717</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8"/>
              </w:rPr>
              <w:t>35,143</w:t>
            </w:r>
          </w:p>
        </w:tc>
        <w:tc>
          <w:tcPr>
            <w:tcW w:w="0" w:type="dxa"/>
            <w:vAlign w:val="bottom"/>
          </w:tcPr>
          <w:p>
            <w:pPr>
              <w:spacing w:after="0"/>
              <w:rPr>
                <w:sz w:val="1"/>
                <w:szCs w:val="1"/>
                <w:color w:val="auto"/>
              </w:rPr>
            </w:pPr>
          </w:p>
        </w:tc>
      </w:tr>
      <w:tr>
        <w:trPr>
          <w:trHeight w:val="314"/>
        </w:trPr>
        <w:tc>
          <w:tcPr>
            <w:tcW w:w="7540" w:type="dxa"/>
            <w:vAlign w:val="bottom"/>
          </w:tcPr>
          <w:p>
            <w:pPr>
              <w:ind w:left="100"/>
              <w:spacing w:after="0" w:line="314" w:lineRule="exact"/>
              <w:rPr>
                <w:sz w:val="20"/>
                <w:szCs w:val="20"/>
                <w:color w:val="auto"/>
              </w:rPr>
            </w:pPr>
            <w:r>
              <w:rPr>
                <w:rFonts w:ascii="Arial" w:cs="Arial" w:eastAsia="Arial" w:hAnsi="Arial"/>
                <w:sz w:val="35"/>
                <w:szCs w:val="35"/>
                <w:b w:val="1"/>
                <w:bCs w:val="1"/>
                <w:color w:val="auto"/>
                <w:vertAlign w:val="subscript"/>
              </w:rPr>
              <w:t>ROTCE</w:t>
            </w:r>
            <w:r>
              <w:rPr>
                <w:rFonts w:ascii="Arial" w:cs="Arial" w:eastAsia="Arial" w:hAnsi="Arial"/>
                <w:sz w:val="13"/>
                <w:szCs w:val="13"/>
                <w:b w:val="1"/>
                <w:bCs w:val="1"/>
                <w:color w:val="auto"/>
              </w:rPr>
              <w:t>(3)(4)</w:t>
            </w:r>
          </w:p>
        </w:tc>
        <w:tc>
          <w:tcPr>
            <w:tcW w:w="20" w:type="dxa"/>
            <w:vAlign w:val="bottom"/>
          </w:tcPr>
          <w:p>
            <w:pPr>
              <w:spacing w:after="0"/>
              <w:rPr>
                <w:sz w:val="24"/>
                <w:szCs w:val="24"/>
                <w:color w:val="auto"/>
              </w:rPr>
            </w:pPr>
          </w:p>
        </w:tc>
        <w:tc>
          <w:tcPr>
            <w:tcW w:w="1080" w:type="dxa"/>
            <w:vAlign w:val="bottom"/>
            <w:tcBorders>
              <w:top w:val="single" w:sz="8" w:color="023C5B"/>
              <w:bottom w:val="single" w:sz="8" w:color="023C5B"/>
            </w:tcBorders>
          </w:tcPr>
          <w:p>
            <w:pPr>
              <w:jc w:val="center"/>
              <w:ind w:left="111"/>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24"/>
                <w:szCs w:val="24"/>
                <w:color w:val="auto"/>
              </w:rPr>
            </w:pPr>
          </w:p>
        </w:tc>
        <w:tc>
          <w:tcPr>
            <w:tcW w:w="1080" w:type="dxa"/>
            <w:vAlign w:val="bottom"/>
            <w:tcBorders>
              <w:top w:val="single" w:sz="8" w:color="023C5B"/>
              <w:bottom w:val="single" w:sz="8" w:color="023C5B"/>
            </w:tcBorders>
          </w:tcPr>
          <w:p>
            <w:pPr>
              <w:jc w:val="center"/>
              <w:ind w:left="111"/>
              <w:spacing w:after="0"/>
              <w:rPr>
                <w:sz w:val="20"/>
                <w:szCs w:val="20"/>
                <w:color w:val="auto"/>
              </w:rPr>
            </w:pPr>
            <w:r>
              <w:rPr>
                <w:rFonts w:ascii="Arial" w:cs="Arial" w:eastAsia="Arial" w:hAnsi="Arial"/>
                <w:sz w:val="18"/>
                <w:szCs w:val="18"/>
                <w:color w:val="auto"/>
                <w:w w:val="98"/>
              </w:rPr>
              <w:t>11.18%</w:t>
            </w:r>
          </w:p>
        </w:tc>
        <w:tc>
          <w:tcPr>
            <w:tcW w:w="60" w:type="dxa"/>
            <w:vAlign w:val="bottom"/>
          </w:tcPr>
          <w:p>
            <w:pPr>
              <w:spacing w:after="0"/>
              <w:rPr>
                <w:sz w:val="24"/>
                <w:szCs w:val="24"/>
                <w:color w:val="auto"/>
              </w:rPr>
            </w:pPr>
          </w:p>
        </w:tc>
        <w:tc>
          <w:tcPr>
            <w:tcW w:w="1080" w:type="dxa"/>
            <w:vAlign w:val="bottom"/>
            <w:tcBorders>
              <w:top w:val="single" w:sz="8" w:color="023C5B"/>
              <w:bottom w:val="single" w:sz="8" w:color="023C5B"/>
            </w:tcBorders>
          </w:tcPr>
          <w:p>
            <w:pPr>
              <w:jc w:val="center"/>
              <w:ind w:left="111"/>
              <w:spacing w:after="0"/>
              <w:rPr>
                <w:sz w:val="20"/>
                <w:szCs w:val="20"/>
                <w:color w:val="auto"/>
              </w:rPr>
            </w:pPr>
            <w:r>
              <w:rPr>
                <w:rFonts w:ascii="Arial" w:cs="Arial" w:eastAsia="Arial" w:hAnsi="Arial"/>
                <w:sz w:val="18"/>
                <w:szCs w:val="18"/>
                <w:color w:val="auto"/>
                <w:w w:val="98"/>
              </w:rPr>
              <w:t>13.04%</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023C5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540" w:type="dxa"/>
            <w:vAlign w:val="bottom"/>
            <w:shd w:val="clear" w:color="auto" w:fill="E5EBEE"/>
          </w:tcPr>
          <w:p>
            <w:pPr>
              <w:spacing w:after="0"/>
              <w:rPr>
                <w:sz w:val="19"/>
                <w:szCs w:val="19"/>
                <w:color w:val="auto"/>
              </w:rPr>
            </w:pPr>
          </w:p>
        </w:tc>
        <w:tc>
          <w:tcPr>
            <w:tcW w:w="20" w:type="dxa"/>
            <w:vAlign w:val="bottom"/>
            <w:shd w:val="clear" w:color="auto" w:fill="E5EBEE"/>
          </w:tcPr>
          <w:p>
            <w:pPr>
              <w:spacing w:after="0"/>
              <w:rPr>
                <w:sz w:val="19"/>
                <w:szCs w:val="19"/>
                <w:color w:val="auto"/>
              </w:rPr>
            </w:pPr>
          </w:p>
        </w:tc>
        <w:tc>
          <w:tcPr>
            <w:tcW w:w="1080" w:type="dxa"/>
            <w:vAlign w:val="bottom"/>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080" w:type="dxa"/>
            <w:vAlign w:val="bottom"/>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080" w:type="dxa"/>
            <w:vAlign w:val="bottom"/>
            <w:shd w:val="clear" w:color="auto" w:fill="E5EBEE"/>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7540" w:type="dxa"/>
            <w:vAlign w:val="bottom"/>
          </w:tcPr>
          <w:p>
            <w:pPr>
              <w:ind w:left="100"/>
              <w:spacing w:after="0"/>
              <w:rPr>
                <w:sz w:val="20"/>
                <w:szCs w:val="20"/>
                <w:color w:val="auto"/>
              </w:rPr>
            </w:pPr>
            <w:r>
              <w:rPr>
                <w:rFonts w:ascii="Arial" w:cs="Arial" w:eastAsia="Arial" w:hAnsi="Arial"/>
                <w:sz w:val="18"/>
                <w:szCs w:val="18"/>
                <w:b w:val="1"/>
                <w:bCs w:val="1"/>
                <w:color w:val="auto"/>
              </w:rPr>
              <w:t>Adjusted ROTCE:</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7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8"/>
        </w:trPr>
        <w:tc>
          <w:tcPr>
            <w:tcW w:w="754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Net income available to common stockholders less discontinued operations, net of tax</w:t>
            </w:r>
          </w:p>
        </w:tc>
        <w:tc>
          <w:tcPr>
            <w:tcW w:w="2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rPr>
              <w:t>$1,816</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8"/>
              </w:rPr>
              <w:t>$4,442</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8"/>
              </w:rPr>
              <w:t>$4,582</w:t>
            </w:r>
          </w:p>
        </w:tc>
        <w:tc>
          <w:tcPr>
            <w:tcW w:w="0" w:type="dxa"/>
            <w:vAlign w:val="bottom"/>
          </w:tcPr>
          <w:p>
            <w:pPr>
              <w:spacing w:after="0"/>
              <w:rPr>
                <w:sz w:val="1"/>
                <w:szCs w:val="1"/>
                <w:color w:val="auto"/>
              </w:rPr>
            </w:pPr>
          </w:p>
        </w:tc>
      </w:tr>
      <w:tr>
        <w:trPr>
          <w:trHeight w:val="250"/>
        </w:trPr>
        <w:tc>
          <w:tcPr>
            <w:tcW w:w="7540" w:type="dxa"/>
            <w:vAlign w:val="bottom"/>
          </w:tcPr>
          <w:p>
            <w:pPr>
              <w:ind w:left="280"/>
              <w:spacing w:after="0"/>
              <w:rPr>
                <w:sz w:val="20"/>
                <w:szCs w:val="20"/>
                <w:color w:val="auto"/>
              </w:rPr>
            </w:pPr>
            <w:r>
              <w:rPr>
                <w:rFonts w:ascii="Arial" w:cs="Arial" w:eastAsia="Arial" w:hAnsi="Arial"/>
                <w:sz w:val="18"/>
                <w:szCs w:val="18"/>
                <w:color w:val="auto"/>
              </w:rPr>
              <w:t>Initial allowance build for Discover non-PCD loans</w:t>
            </w:r>
          </w:p>
        </w:tc>
        <w:tc>
          <w:tcPr>
            <w:tcW w:w="20" w:type="dxa"/>
            <w:vAlign w:val="bottom"/>
          </w:tcPr>
          <w:p>
            <w:pPr>
              <w:spacing w:after="0"/>
              <w:rPr>
                <w:sz w:val="21"/>
                <w:szCs w:val="21"/>
                <w:color w:val="auto"/>
              </w:rPr>
            </w:pPr>
          </w:p>
        </w:tc>
        <w:tc>
          <w:tcPr>
            <w:tcW w:w="1080" w:type="dxa"/>
            <w:vAlign w:val="bottom"/>
            <w:tcBorders>
              <w:top w:val="single" w:sz="8" w:color="023C5B"/>
            </w:tcBorders>
          </w:tcPr>
          <w:p>
            <w:pPr>
              <w:jc w:val="center"/>
              <w:ind w:left="111"/>
              <w:spacing w:after="0"/>
              <w:rPr>
                <w:sz w:val="20"/>
                <w:szCs w:val="20"/>
                <w:color w:val="auto"/>
              </w:rPr>
            </w:pPr>
            <w:r>
              <w:rPr>
                <w:rFonts w:ascii="Arial" w:cs="Arial" w:eastAsia="Arial" w:hAnsi="Arial"/>
                <w:sz w:val="18"/>
                <w:szCs w:val="18"/>
                <w:color w:val="auto"/>
                <w:w w:val="97"/>
              </w:rPr>
              <w:t>8,767</w:t>
            </w:r>
          </w:p>
        </w:tc>
        <w:tc>
          <w:tcPr>
            <w:tcW w:w="60" w:type="dxa"/>
            <w:vAlign w:val="bottom"/>
          </w:tcPr>
          <w:p>
            <w:pPr>
              <w:spacing w:after="0"/>
              <w:rPr>
                <w:sz w:val="21"/>
                <w:szCs w:val="21"/>
                <w:color w:val="auto"/>
              </w:rPr>
            </w:pPr>
          </w:p>
        </w:tc>
        <w:tc>
          <w:tcPr>
            <w:tcW w:w="1080" w:type="dxa"/>
            <w:vAlign w:val="bottom"/>
            <w:tcBorders>
              <w:top w:val="single" w:sz="8" w:color="023C5B"/>
            </w:tcBorders>
          </w:tcPr>
          <w:p>
            <w:pPr>
              <w:jc w:val="center"/>
              <w:ind w:left="9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80" w:type="dxa"/>
            <w:vAlign w:val="bottom"/>
            <w:tcBorders>
              <w:top w:val="single" w:sz="8" w:color="023C5B"/>
            </w:tcBorders>
          </w:tcPr>
          <w:p>
            <w:pPr>
              <w:jc w:val="center"/>
              <w:ind w:left="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8"/>
        </w:trPr>
        <w:tc>
          <w:tcPr>
            <w:tcW w:w="7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754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Discover intangible amortization expense</w:t>
            </w:r>
          </w:p>
        </w:tc>
        <w:tc>
          <w:tcPr>
            <w:tcW w:w="2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7"/>
              </w:rPr>
              <w:t>1,262</w:t>
            </w:r>
          </w:p>
        </w:tc>
        <w:tc>
          <w:tcPr>
            <w:tcW w:w="6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gridSpan w:val="2"/>
            <w:shd w:val="clear" w:color="auto" w:fill="E5EBEE"/>
          </w:tcPr>
          <w:p>
            <w:pPr>
              <w:jc w:val="center"/>
              <w:ind w:left="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7540" w:type="dxa"/>
            <w:vAlign w:val="bottom"/>
          </w:tcPr>
          <w:p>
            <w:pPr>
              <w:ind w:left="280"/>
              <w:spacing w:after="0"/>
              <w:rPr>
                <w:sz w:val="20"/>
                <w:szCs w:val="20"/>
                <w:color w:val="auto"/>
              </w:rPr>
            </w:pPr>
            <w:r>
              <w:rPr>
                <w:rFonts w:ascii="Arial" w:cs="Arial" w:eastAsia="Arial" w:hAnsi="Arial"/>
                <w:sz w:val="18"/>
                <w:szCs w:val="18"/>
                <w:color w:val="auto"/>
              </w:rPr>
              <w:t>Discover loan and deposit fair value mark amortization</w:t>
            </w:r>
          </w:p>
        </w:tc>
        <w:tc>
          <w:tcPr>
            <w:tcW w:w="20" w:type="dxa"/>
            <w:vAlign w:val="bottom"/>
          </w:tcPr>
          <w:p>
            <w:pPr>
              <w:spacing w:after="0"/>
              <w:rPr>
                <w:sz w:val="21"/>
                <w:szCs w:val="21"/>
                <w:color w:val="auto"/>
              </w:rPr>
            </w:pPr>
          </w:p>
        </w:tc>
        <w:tc>
          <w:tcPr>
            <w:tcW w:w="1080" w:type="dxa"/>
            <w:vAlign w:val="bottom"/>
            <w:tcBorders>
              <w:top w:val="single" w:sz="8" w:color="023C5B"/>
            </w:tcBorders>
          </w:tcPr>
          <w:p>
            <w:pPr>
              <w:jc w:val="center"/>
              <w:ind w:left="111"/>
              <w:spacing w:after="0"/>
              <w:rPr>
                <w:sz w:val="20"/>
                <w:szCs w:val="20"/>
                <w:color w:val="auto"/>
              </w:rPr>
            </w:pPr>
            <w:r>
              <w:rPr>
                <w:rFonts w:ascii="Arial" w:cs="Arial" w:eastAsia="Arial" w:hAnsi="Arial"/>
                <w:sz w:val="18"/>
                <w:szCs w:val="18"/>
                <w:color w:val="auto"/>
                <w:w w:val="93"/>
              </w:rPr>
              <w:t>227</w:t>
            </w:r>
          </w:p>
        </w:tc>
        <w:tc>
          <w:tcPr>
            <w:tcW w:w="60" w:type="dxa"/>
            <w:vAlign w:val="bottom"/>
          </w:tcPr>
          <w:p>
            <w:pPr>
              <w:spacing w:after="0"/>
              <w:rPr>
                <w:sz w:val="21"/>
                <w:szCs w:val="21"/>
                <w:color w:val="auto"/>
              </w:rPr>
            </w:pPr>
          </w:p>
        </w:tc>
        <w:tc>
          <w:tcPr>
            <w:tcW w:w="1080" w:type="dxa"/>
            <w:vAlign w:val="bottom"/>
            <w:tcBorders>
              <w:top w:val="single" w:sz="8" w:color="023C5B"/>
            </w:tcBorders>
          </w:tcPr>
          <w:p>
            <w:pPr>
              <w:jc w:val="center"/>
              <w:ind w:left="9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80" w:type="dxa"/>
            <w:vAlign w:val="bottom"/>
            <w:tcBorders>
              <w:top w:val="single" w:sz="8" w:color="023C5B"/>
            </w:tcBorders>
          </w:tcPr>
          <w:p>
            <w:pPr>
              <w:jc w:val="center"/>
              <w:ind w:left="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8"/>
        </w:trPr>
        <w:tc>
          <w:tcPr>
            <w:tcW w:w="7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754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Discover integration expenses</w:t>
            </w:r>
          </w:p>
        </w:tc>
        <w:tc>
          <w:tcPr>
            <w:tcW w:w="2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7"/>
              </w:rPr>
              <w:t>1,109</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9"/>
              </w:rPr>
              <w:t>234</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7540" w:type="dxa"/>
            <w:vAlign w:val="bottom"/>
          </w:tcPr>
          <w:p>
            <w:pPr>
              <w:ind w:left="280"/>
              <w:spacing w:after="0"/>
              <w:rPr>
                <w:sz w:val="20"/>
                <w:szCs w:val="20"/>
                <w:color w:val="auto"/>
              </w:rPr>
            </w:pPr>
            <w:r>
              <w:rPr>
                <w:rFonts w:ascii="Arial" w:cs="Arial" w:eastAsia="Arial" w:hAnsi="Arial"/>
                <w:sz w:val="18"/>
                <w:szCs w:val="18"/>
                <w:color w:val="auto"/>
              </w:rPr>
              <w:t>Legal reserve activities</w:t>
            </w:r>
          </w:p>
        </w:tc>
        <w:tc>
          <w:tcPr>
            <w:tcW w:w="20" w:type="dxa"/>
            <w:vAlign w:val="bottom"/>
          </w:tcPr>
          <w:p>
            <w:pPr>
              <w:spacing w:after="0"/>
              <w:rPr>
                <w:sz w:val="21"/>
                <w:szCs w:val="21"/>
                <w:color w:val="auto"/>
              </w:rPr>
            </w:pPr>
          </w:p>
        </w:tc>
        <w:tc>
          <w:tcPr>
            <w:tcW w:w="1080" w:type="dxa"/>
            <w:vAlign w:val="bottom"/>
            <w:tcBorders>
              <w:top w:val="single" w:sz="8" w:color="023C5B"/>
            </w:tcBorders>
          </w:tcPr>
          <w:p>
            <w:pPr>
              <w:jc w:val="center"/>
              <w:ind w:left="111"/>
              <w:spacing w:after="0"/>
              <w:rPr>
                <w:sz w:val="20"/>
                <w:szCs w:val="20"/>
                <w:color w:val="auto"/>
              </w:rPr>
            </w:pPr>
            <w:r>
              <w:rPr>
                <w:rFonts w:ascii="Arial" w:cs="Arial" w:eastAsia="Arial" w:hAnsi="Arial"/>
                <w:sz w:val="18"/>
                <w:szCs w:val="18"/>
                <w:color w:val="auto"/>
                <w:w w:val="93"/>
              </w:rPr>
              <w:t>356</w:t>
            </w:r>
          </w:p>
        </w:tc>
        <w:tc>
          <w:tcPr>
            <w:tcW w:w="60" w:type="dxa"/>
            <w:vAlign w:val="bottom"/>
          </w:tcPr>
          <w:p>
            <w:pPr>
              <w:spacing w:after="0"/>
              <w:rPr>
                <w:sz w:val="21"/>
                <w:szCs w:val="21"/>
                <w:color w:val="auto"/>
              </w:rPr>
            </w:pPr>
          </w:p>
        </w:tc>
        <w:tc>
          <w:tcPr>
            <w:tcW w:w="1080" w:type="dxa"/>
            <w:vAlign w:val="bottom"/>
            <w:tcBorders>
              <w:top w:val="single" w:sz="8" w:color="023C5B"/>
            </w:tcBorders>
          </w:tcPr>
          <w:p>
            <w:pPr>
              <w:jc w:val="center"/>
              <w:ind w:left="111"/>
              <w:spacing w:after="0"/>
              <w:rPr>
                <w:sz w:val="20"/>
                <w:szCs w:val="20"/>
                <w:color w:val="auto"/>
              </w:rPr>
            </w:pPr>
            <w:r>
              <w:rPr>
                <w:rFonts w:ascii="Arial" w:cs="Arial" w:eastAsia="Arial" w:hAnsi="Arial"/>
                <w:sz w:val="18"/>
                <w:szCs w:val="18"/>
                <w:color w:val="auto"/>
                <w:w w:val="99"/>
              </w:rPr>
              <w:t>75</w:t>
            </w:r>
          </w:p>
        </w:tc>
        <w:tc>
          <w:tcPr>
            <w:tcW w:w="60" w:type="dxa"/>
            <w:vAlign w:val="bottom"/>
          </w:tcPr>
          <w:p>
            <w:pPr>
              <w:spacing w:after="0"/>
              <w:rPr>
                <w:sz w:val="21"/>
                <w:szCs w:val="21"/>
                <w:color w:val="auto"/>
              </w:rPr>
            </w:pPr>
          </w:p>
        </w:tc>
        <w:tc>
          <w:tcPr>
            <w:tcW w:w="1080" w:type="dxa"/>
            <w:vAlign w:val="bottom"/>
            <w:tcBorders>
              <w:top w:val="single" w:sz="8" w:color="023C5B"/>
            </w:tcBorders>
          </w:tcPr>
          <w:p>
            <w:pPr>
              <w:jc w:val="center"/>
              <w:ind w:left="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8"/>
        </w:trPr>
        <w:tc>
          <w:tcPr>
            <w:tcW w:w="7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754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FDIC special assessment</w:t>
            </w:r>
          </w:p>
        </w:tc>
        <w:tc>
          <w:tcPr>
            <w:tcW w:w="2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(29)</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41</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9"/>
              </w:rPr>
              <w:t>289</w:t>
            </w:r>
          </w:p>
        </w:tc>
        <w:tc>
          <w:tcPr>
            <w:tcW w:w="0" w:type="dxa"/>
            <w:vAlign w:val="bottom"/>
          </w:tcPr>
          <w:p>
            <w:pPr>
              <w:spacing w:after="0"/>
              <w:rPr>
                <w:sz w:val="1"/>
                <w:szCs w:val="1"/>
                <w:color w:val="auto"/>
              </w:rPr>
            </w:pPr>
          </w:p>
        </w:tc>
      </w:tr>
      <w:tr>
        <w:trPr>
          <w:trHeight w:val="250"/>
        </w:trPr>
        <w:tc>
          <w:tcPr>
            <w:tcW w:w="7540" w:type="dxa"/>
            <w:vAlign w:val="bottom"/>
          </w:tcPr>
          <w:p>
            <w:pPr>
              <w:ind w:left="280"/>
              <w:spacing w:after="0"/>
              <w:rPr>
                <w:sz w:val="20"/>
                <w:szCs w:val="20"/>
                <w:color w:val="auto"/>
              </w:rPr>
            </w:pPr>
            <w:r>
              <w:rPr>
                <w:rFonts w:ascii="Arial" w:cs="Arial" w:eastAsia="Arial" w:hAnsi="Arial"/>
                <w:sz w:val="18"/>
                <w:szCs w:val="18"/>
                <w:color w:val="auto"/>
              </w:rPr>
              <w:t>Allowance build for Walmart program agreement loss sharing</w:t>
            </w:r>
          </w:p>
        </w:tc>
        <w:tc>
          <w:tcPr>
            <w:tcW w:w="20" w:type="dxa"/>
            <w:vAlign w:val="bottom"/>
          </w:tcPr>
          <w:p>
            <w:pPr>
              <w:spacing w:after="0"/>
              <w:rPr>
                <w:sz w:val="21"/>
                <w:szCs w:val="21"/>
                <w:color w:val="auto"/>
              </w:rPr>
            </w:pPr>
          </w:p>
        </w:tc>
        <w:tc>
          <w:tcPr>
            <w:tcW w:w="1080" w:type="dxa"/>
            <w:vAlign w:val="bottom"/>
            <w:tcBorders>
              <w:top w:val="single" w:sz="8" w:color="023C5B"/>
            </w:tcBorders>
          </w:tcPr>
          <w:p>
            <w:pPr>
              <w:jc w:val="center"/>
              <w:ind w:left="9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080" w:type="dxa"/>
            <w:vAlign w:val="bottom"/>
            <w:tcBorders>
              <w:top w:val="single" w:sz="8" w:color="023C5B"/>
            </w:tcBorders>
          </w:tcPr>
          <w:p>
            <w:pPr>
              <w:jc w:val="center"/>
              <w:ind w:left="91"/>
              <w:spacing w:after="0"/>
              <w:rPr>
                <w:sz w:val="20"/>
                <w:szCs w:val="20"/>
                <w:color w:val="auto"/>
              </w:rPr>
            </w:pPr>
            <w:r>
              <w:rPr>
                <w:rFonts w:ascii="Arial" w:cs="Arial" w:eastAsia="Arial" w:hAnsi="Arial"/>
                <w:sz w:val="18"/>
                <w:szCs w:val="18"/>
                <w:color w:val="auto"/>
                <w:w w:val="99"/>
              </w:rPr>
              <w:t>826</w:t>
            </w:r>
          </w:p>
        </w:tc>
        <w:tc>
          <w:tcPr>
            <w:tcW w:w="60" w:type="dxa"/>
            <w:vAlign w:val="bottom"/>
          </w:tcPr>
          <w:p>
            <w:pPr>
              <w:spacing w:after="0"/>
              <w:rPr>
                <w:sz w:val="21"/>
                <w:szCs w:val="21"/>
                <w:color w:val="auto"/>
              </w:rPr>
            </w:pPr>
          </w:p>
        </w:tc>
        <w:tc>
          <w:tcPr>
            <w:tcW w:w="1080" w:type="dxa"/>
            <w:vAlign w:val="bottom"/>
            <w:tcBorders>
              <w:top w:val="single" w:sz="8" w:color="023C5B"/>
            </w:tcBorders>
          </w:tcPr>
          <w:p>
            <w:pPr>
              <w:jc w:val="center"/>
              <w:ind w:left="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8"/>
        </w:trPr>
        <w:tc>
          <w:tcPr>
            <w:tcW w:w="7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754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Walmart program agreement termination contra revenue impact</w:t>
            </w:r>
          </w:p>
        </w:tc>
        <w:tc>
          <w:tcPr>
            <w:tcW w:w="20" w:type="dxa"/>
            <w:vAlign w:val="bottom"/>
            <w:tcBorders>
              <w:bottom w:val="single" w:sz="8" w:color="E5EBEE"/>
            </w:tcBorders>
            <w:shd w:val="clear" w:color="auto" w:fill="E5EBEE"/>
          </w:tcPr>
          <w:p>
            <w:pPr>
              <w:spacing w:after="0"/>
              <w:rPr>
                <w:sz w:val="24"/>
                <w:szCs w:val="24"/>
                <w:color w:val="auto"/>
              </w:rPr>
            </w:pPr>
          </w:p>
        </w:tc>
        <w:tc>
          <w:tcPr>
            <w:tcW w:w="1140" w:type="dxa"/>
            <w:vAlign w:val="bottom"/>
            <w:tcBorders>
              <w:bottom w:val="single" w:sz="8" w:color="E5EBEE"/>
            </w:tcBorders>
            <w:gridSpan w:val="2"/>
            <w:shd w:val="clear" w:color="auto" w:fill="E5EBEE"/>
          </w:tcPr>
          <w:p>
            <w:pPr>
              <w:jc w:val="center"/>
              <w:ind w:left="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27</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7540" w:type="dxa"/>
            <w:vAlign w:val="bottom"/>
          </w:tcPr>
          <w:p>
            <w:pPr>
              <w:ind w:left="280"/>
              <w:spacing w:after="0"/>
              <w:rPr>
                <w:sz w:val="20"/>
                <w:szCs w:val="20"/>
                <w:color w:val="auto"/>
              </w:rPr>
            </w:pPr>
            <w:r>
              <w:rPr>
                <w:rFonts w:ascii="Arial" w:cs="Arial" w:eastAsia="Arial" w:hAnsi="Arial"/>
                <w:sz w:val="18"/>
                <w:szCs w:val="18"/>
                <w:color w:val="auto"/>
                <w:w w:val="99"/>
              </w:rPr>
              <w:t>Adjusted net income available to common stockholders less discontinued operations before</w:t>
            </w:r>
          </w:p>
        </w:tc>
        <w:tc>
          <w:tcPr>
            <w:tcW w:w="20" w:type="dxa"/>
            <w:vAlign w:val="bottom"/>
            <w:vMerge w:val="restart"/>
          </w:tcPr>
          <w:p>
            <w:pPr>
              <w:spacing w:after="0"/>
              <w:rPr>
                <w:sz w:val="18"/>
                <w:szCs w:val="18"/>
                <w:color w:val="auto"/>
              </w:rPr>
            </w:pPr>
          </w:p>
        </w:tc>
        <w:tc>
          <w:tcPr>
            <w:tcW w:w="1080" w:type="dxa"/>
            <w:vAlign w:val="bottom"/>
            <w:tcBorders>
              <w:top w:val="single" w:sz="8" w:color="023C5B"/>
            </w:tcBorders>
            <w:vMerge w:val="restart"/>
          </w:tcPr>
          <w:p>
            <w:pPr>
              <w:jc w:val="center"/>
              <w:ind w:left="111"/>
              <w:spacing w:after="0"/>
              <w:rPr>
                <w:sz w:val="20"/>
                <w:szCs w:val="20"/>
                <w:color w:val="auto"/>
              </w:rPr>
            </w:pPr>
            <w:r>
              <w:rPr>
                <w:rFonts w:ascii="Arial" w:cs="Arial" w:eastAsia="Arial" w:hAnsi="Arial"/>
                <w:sz w:val="18"/>
                <w:szCs w:val="18"/>
                <w:color w:val="auto"/>
              </w:rPr>
              <w:t>13,508</w:t>
            </w:r>
          </w:p>
        </w:tc>
        <w:tc>
          <w:tcPr>
            <w:tcW w:w="60" w:type="dxa"/>
            <w:vAlign w:val="bottom"/>
          </w:tcPr>
          <w:p>
            <w:pPr>
              <w:spacing w:after="0"/>
              <w:rPr>
                <w:sz w:val="18"/>
                <w:szCs w:val="18"/>
                <w:color w:val="auto"/>
              </w:rPr>
            </w:pPr>
          </w:p>
        </w:tc>
        <w:tc>
          <w:tcPr>
            <w:tcW w:w="1080" w:type="dxa"/>
            <w:vAlign w:val="bottom"/>
            <w:tcBorders>
              <w:top w:val="single" w:sz="8" w:color="023C5B"/>
            </w:tcBorders>
            <w:vMerge w:val="restart"/>
          </w:tcPr>
          <w:p>
            <w:pPr>
              <w:jc w:val="center"/>
              <w:ind w:left="111"/>
              <w:spacing w:after="0"/>
              <w:rPr>
                <w:sz w:val="20"/>
                <w:szCs w:val="20"/>
                <w:color w:val="auto"/>
              </w:rPr>
            </w:pPr>
            <w:r>
              <w:rPr>
                <w:rFonts w:ascii="Arial" w:cs="Arial" w:eastAsia="Arial" w:hAnsi="Arial"/>
                <w:sz w:val="18"/>
                <w:szCs w:val="18"/>
                <w:color w:val="auto"/>
                <w:w w:val="97"/>
              </w:rPr>
              <w:t>5,645</w:t>
            </w:r>
          </w:p>
        </w:tc>
        <w:tc>
          <w:tcPr>
            <w:tcW w:w="60" w:type="dxa"/>
            <w:vAlign w:val="bottom"/>
          </w:tcPr>
          <w:p>
            <w:pPr>
              <w:spacing w:after="0"/>
              <w:rPr>
                <w:sz w:val="18"/>
                <w:szCs w:val="18"/>
                <w:color w:val="auto"/>
              </w:rPr>
            </w:pPr>
          </w:p>
        </w:tc>
        <w:tc>
          <w:tcPr>
            <w:tcW w:w="1080" w:type="dxa"/>
            <w:vAlign w:val="bottom"/>
            <w:tcBorders>
              <w:top w:val="single" w:sz="8" w:color="023C5B"/>
            </w:tcBorders>
            <w:vMerge w:val="restart"/>
          </w:tcPr>
          <w:p>
            <w:pPr>
              <w:jc w:val="center"/>
              <w:ind w:left="91"/>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128"/>
        </w:trPr>
        <w:tc>
          <w:tcPr>
            <w:tcW w:w="7540" w:type="dxa"/>
            <w:vAlign w:val="bottom"/>
            <w:vMerge w:val="restart"/>
          </w:tcPr>
          <w:p>
            <w:pPr>
              <w:ind w:left="460"/>
              <w:spacing w:after="0"/>
              <w:rPr>
                <w:sz w:val="20"/>
                <w:szCs w:val="20"/>
                <w:color w:val="auto"/>
              </w:rPr>
            </w:pPr>
            <w:r>
              <w:rPr>
                <w:rFonts w:ascii="Arial" w:cs="Arial" w:eastAsia="Arial" w:hAnsi="Arial"/>
                <w:sz w:val="18"/>
                <w:szCs w:val="18"/>
                <w:color w:val="auto"/>
              </w:rPr>
              <w:t>income tax impacts (non-GAAP)</w:t>
            </w:r>
          </w:p>
        </w:tc>
        <w:tc>
          <w:tcPr>
            <w:tcW w:w="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7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8"/>
        </w:trPr>
        <w:tc>
          <w:tcPr>
            <w:tcW w:w="754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Income tax impacts</w:t>
            </w:r>
          </w:p>
        </w:tc>
        <w:tc>
          <w:tcPr>
            <w:tcW w:w="2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8"/>
              </w:rPr>
              <w:t>(2,894)</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91"/>
              <w:spacing w:after="0"/>
              <w:rPr>
                <w:sz w:val="20"/>
                <w:szCs w:val="20"/>
                <w:color w:val="auto"/>
              </w:rPr>
            </w:pPr>
            <w:r>
              <w:rPr>
                <w:rFonts w:ascii="Arial" w:cs="Arial" w:eastAsia="Arial" w:hAnsi="Arial"/>
                <w:sz w:val="18"/>
                <w:szCs w:val="18"/>
                <w:color w:val="auto"/>
                <w:w w:val="99"/>
              </w:rPr>
              <w:t>(293)</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9"/>
              </w:rPr>
              <w:t>(70)</w:t>
            </w:r>
          </w:p>
        </w:tc>
        <w:tc>
          <w:tcPr>
            <w:tcW w:w="0" w:type="dxa"/>
            <w:vAlign w:val="bottom"/>
          </w:tcPr>
          <w:p>
            <w:pPr>
              <w:spacing w:after="0"/>
              <w:rPr>
                <w:sz w:val="1"/>
                <w:szCs w:val="1"/>
                <w:color w:val="auto"/>
              </w:rPr>
            </w:pPr>
          </w:p>
        </w:tc>
      </w:tr>
      <w:tr>
        <w:trPr>
          <w:trHeight w:val="242"/>
        </w:trPr>
        <w:tc>
          <w:tcPr>
            <w:tcW w:w="7540" w:type="dxa"/>
            <w:vAlign w:val="bottom"/>
          </w:tcPr>
          <w:p>
            <w:pPr>
              <w:ind w:left="280"/>
              <w:spacing w:after="0"/>
              <w:rPr>
                <w:sz w:val="20"/>
                <w:szCs w:val="20"/>
                <w:color w:val="auto"/>
              </w:rPr>
            </w:pPr>
            <w:r>
              <w:rPr>
                <w:rFonts w:ascii="Arial" w:cs="Arial" w:eastAsia="Arial" w:hAnsi="Arial"/>
                <w:sz w:val="18"/>
                <w:szCs w:val="18"/>
                <w:color w:val="auto"/>
              </w:rPr>
              <w:t>Adjusted net income available to common stockholders less discontinued operations (non-</w:t>
            </w:r>
          </w:p>
        </w:tc>
        <w:tc>
          <w:tcPr>
            <w:tcW w:w="20" w:type="dxa"/>
            <w:vAlign w:val="bottom"/>
            <w:vMerge w:val="restart"/>
          </w:tcPr>
          <w:p>
            <w:pPr>
              <w:spacing w:after="0"/>
              <w:rPr>
                <w:sz w:val="21"/>
                <w:szCs w:val="21"/>
                <w:color w:val="auto"/>
              </w:rPr>
            </w:pPr>
          </w:p>
        </w:tc>
        <w:tc>
          <w:tcPr>
            <w:tcW w:w="1080" w:type="dxa"/>
            <w:vAlign w:val="bottom"/>
            <w:tcBorders>
              <w:top w:val="single" w:sz="8" w:color="023C5B"/>
            </w:tcBorders>
            <w:vMerge w:val="restart"/>
          </w:tcPr>
          <w:p>
            <w:pPr>
              <w:jc w:val="center"/>
              <w:ind w:left="111"/>
              <w:spacing w:after="0"/>
              <w:rPr>
                <w:sz w:val="20"/>
                <w:szCs w:val="20"/>
                <w:color w:val="auto"/>
              </w:rPr>
            </w:pPr>
            <w:r>
              <w:rPr>
                <w:rFonts w:ascii="Arial" w:cs="Arial" w:eastAsia="Arial" w:hAnsi="Arial"/>
                <w:sz w:val="18"/>
                <w:szCs w:val="18"/>
                <w:color w:val="auto"/>
                <w:w w:val="98"/>
              </w:rPr>
              <w:t>$10,614</w:t>
            </w:r>
          </w:p>
        </w:tc>
        <w:tc>
          <w:tcPr>
            <w:tcW w:w="60" w:type="dxa"/>
            <w:vAlign w:val="bottom"/>
          </w:tcPr>
          <w:p>
            <w:pPr>
              <w:spacing w:after="0"/>
              <w:rPr>
                <w:sz w:val="21"/>
                <w:szCs w:val="21"/>
                <w:color w:val="auto"/>
              </w:rPr>
            </w:pPr>
          </w:p>
        </w:tc>
        <w:tc>
          <w:tcPr>
            <w:tcW w:w="1080" w:type="dxa"/>
            <w:vAlign w:val="bottom"/>
            <w:tcBorders>
              <w:top w:val="single" w:sz="8" w:color="023C5B"/>
            </w:tcBorders>
            <w:vMerge w:val="restart"/>
          </w:tcPr>
          <w:p>
            <w:pPr>
              <w:jc w:val="center"/>
              <w:ind w:left="91"/>
              <w:spacing w:after="0"/>
              <w:rPr>
                <w:sz w:val="20"/>
                <w:szCs w:val="20"/>
                <w:color w:val="auto"/>
              </w:rPr>
            </w:pPr>
            <w:r>
              <w:rPr>
                <w:rFonts w:ascii="Arial" w:cs="Arial" w:eastAsia="Arial" w:hAnsi="Arial"/>
                <w:sz w:val="18"/>
                <w:szCs w:val="18"/>
                <w:color w:val="auto"/>
                <w:w w:val="98"/>
              </w:rPr>
              <w:t>$5,352</w:t>
            </w:r>
          </w:p>
        </w:tc>
        <w:tc>
          <w:tcPr>
            <w:tcW w:w="60" w:type="dxa"/>
            <w:vAlign w:val="bottom"/>
          </w:tcPr>
          <w:p>
            <w:pPr>
              <w:spacing w:after="0"/>
              <w:rPr>
                <w:sz w:val="21"/>
                <w:szCs w:val="21"/>
                <w:color w:val="auto"/>
              </w:rPr>
            </w:pPr>
          </w:p>
        </w:tc>
        <w:tc>
          <w:tcPr>
            <w:tcW w:w="1080" w:type="dxa"/>
            <w:vAlign w:val="bottom"/>
            <w:tcBorders>
              <w:top w:val="single" w:sz="8" w:color="023C5B"/>
            </w:tcBorders>
            <w:vMerge w:val="restart"/>
          </w:tcPr>
          <w:p>
            <w:pPr>
              <w:jc w:val="center"/>
              <w:ind w:left="91"/>
              <w:spacing w:after="0"/>
              <w:rPr>
                <w:sz w:val="20"/>
                <w:szCs w:val="20"/>
                <w:color w:val="auto"/>
              </w:rPr>
            </w:pPr>
            <w:r>
              <w:rPr>
                <w:rFonts w:ascii="Arial" w:cs="Arial" w:eastAsia="Arial" w:hAnsi="Arial"/>
                <w:sz w:val="18"/>
                <w:szCs w:val="18"/>
                <w:color w:val="auto"/>
                <w:w w:val="98"/>
              </w:rPr>
              <w:t>$4,801</w:t>
            </w:r>
          </w:p>
        </w:tc>
        <w:tc>
          <w:tcPr>
            <w:tcW w:w="0" w:type="dxa"/>
            <w:vAlign w:val="bottom"/>
          </w:tcPr>
          <w:p>
            <w:pPr>
              <w:spacing w:after="0"/>
              <w:rPr>
                <w:sz w:val="1"/>
                <w:szCs w:val="1"/>
                <w:color w:val="auto"/>
              </w:rPr>
            </w:pPr>
          </w:p>
        </w:tc>
      </w:tr>
      <w:tr>
        <w:trPr>
          <w:trHeight w:val="128"/>
        </w:trPr>
        <w:tc>
          <w:tcPr>
            <w:tcW w:w="7540" w:type="dxa"/>
            <w:vAlign w:val="bottom"/>
            <w:vMerge w:val="restart"/>
          </w:tcPr>
          <w:p>
            <w:pPr>
              <w:ind w:left="460"/>
              <w:spacing w:after="0"/>
              <w:rPr>
                <w:sz w:val="20"/>
                <w:szCs w:val="20"/>
                <w:color w:val="auto"/>
              </w:rPr>
            </w:pPr>
            <w:r>
              <w:rPr>
                <w:rFonts w:ascii="Arial" w:cs="Arial" w:eastAsia="Arial" w:hAnsi="Arial"/>
                <w:sz w:val="18"/>
                <w:szCs w:val="18"/>
                <w:color w:val="auto"/>
              </w:rPr>
              <w:t>GAAP)</w:t>
            </w:r>
          </w:p>
        </w:tc>
        <w:tc>
          <w:tcPr>
            <w:tcW w:w="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7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7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Borders>
              <w:bottom w:val="single" w:sz="8" w:color="023C5B"/>
            </w:tcBorders>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Borders>
              <w:bottom w:val="single" w:sz="8" w:color="023C5B"/>
            </w:tcBorders>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Borders>
              <w:bottom w:val="single" w:sz="8" w:color="023C5B"/>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7540" w:type="dxa"/>
            <w:vAlign w:val="bottom"/>
            <w:tcBorders>
              <w:bottom w:val="single" w:sz="8" w:color="E5EBEE"/>
            </w:tcBorders>
            <w:shd w:val="clear" w:color="auto" w:fill="E5EBEE"/>
          </w:tcPr>
          <w:p>
            <w:pPr>
              <w:ind w:left="280"/>
              <w:spacing w:after="0"/>
              <w:rPr>
                <w:sz w:val="20"/>
                <w:szCs w:val="20"/>
                <w:color w:val="auto"/>
              </w:rPr>
            </w:pPr>
            <w:r>
              <w:rPr>
                <w:rFonts w:ascii="Arial" w:cs="Arial" w:eastAsia="Arial" w:hAnsi="Arial"/>
                <w:sz w:val="18"/>
                <w:szCs w:val="18"/>
                <w:color w:val="auto"/>
              </w:rPr>
              <w:t>Tangible common equity (Average)</w:t>
            </w:r>
          </w:p>
        </w:tc>
        <w:tc>
          <w:tcPr>
            <w:tcW w:w="2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8"/>
              </w:rPr>
              <w:t>$57,383</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8"/>
              </w:rPr>
              <w:t>$39,717</w:t>
            </w:r>
          </w:p>
        </w:tc>
        <w:tc>
          <w:tcPr>
            <w:tcW w:w="60" w:type="dxa"/>
            <w:vAlign w:val="bottom"/>
            <w:tcBorders>
              <w:bottom w:val="single" w:sz="8" w:color="E5EBEE"/>
            </w:tcBorders>
            <w:shd w:val="clear" w:color="auto" w:fill="E5EBEE"/>
          </w:tcPr>
          <w:p>
            <w:pPr>
              <w:spacing w:after="0"/>
              <w:rPr>
                <w:sz w:val="24"/>
                <w:szCs w:val="24"/>
                <w:color w:val="auto"/>
              </w:rPr>
            </w:pPr>
          </w:p>
        </w:tc>
        <w:tc>
          <w:tcPr>
            <w:tcW w:w="1080" w:type="dxa"/>
            <w:vAlign w:val="bottom"/>
            <w:tcBorders>
              <w:bottom w:val="single" w:sz="8" w:color="E5EBEE"/>
            </w:tcBorders>
            <w:shd w:val="clear" w:color="auto" w:fill="E5EBEE"/>
          </w:tcPr>
          <w:p>
            <w:pPr>
              <w:jc w:val="center"/>
              <w:ind w:left="111"/>
              <w:spacing w:after="0"/>
              <w:rPr>
                <w:sz w:val="20"/>
                <w:szCs w:val="20"/>
                <w:color w:val="auto"/>
              </w:rPr>
            </w:pPr>
            <w:r>
              <w:rPr>
                <w:rFonts w:ascii="Arial" w:cs="Arial" w:eastAsia="Arial" w:hAnsi="Arial"/>
                <w:sz w:val="18"/>
                <w:szCs w:val="18"/>
                <w:color w:val="auto"/>
                <w:w w:val="98"/>
              </w:rPr>
              <w:t>$35,143</w:t>
            </w:r>
          </w:p>
        </w:tc>
        <w:tc>
          <w:tcPr>
            <w:tcW w:w="0" w:type="dxa"/>
            <w:vAlign w:val="bottom"/>
          </w:tcPr>
          <w:p>
            <w:pPr>
              <w:spacing w:after="0"/>
              <w:rPr>
                <w:sz w:val="1"/>
                <w:szCs w:val="1"/>
                <w:color w:val="auto"/>
              </w:rPr>
            </w:pPr>
          </w:p>
        </w:tc>
      </w:tr>
      <w:tr>
        <w:trPr>
          <w:trHeight w:val="314"/>
        </w:trPr>
        <w:tc>
          <w:tcPr>
            <w:tcW w:w="7540" w:type="dxa"/>
            <w:vAlign w:val="bottom"/>
          </w:tcPr>
          <w:p>
            <w:pPr>
              <w:ind w:left="100"/>
              <w:spacing w:after="0"/>
              <w:rPr>
                <w:sz w:val="20"/>
                <w:szCs w:val="20"/>
                <w:color w:val="auto"/>
              </w:rPr>
            </w:pPr>
            <w:r>
              <w:rPr>
                <w:rFonts w:ascii="Arial" w:cs="Arial" w:eastAsia="Arial" w:hAnsi="Arial"/>
                <w:sz w:val="18"/>
                <w:szCs w:val="18"/>
                <w:b w:val="1"/>
                <w:bCs w:val="1"/>
                <w:color w:val="auto"/>
              </w:rPr>
              <w:t>Adjusted ROTCE</w:t>
            </w:r>
            <w:r>
              <w:rPr>
                <w:rFonts w:ascii="Arial" w:cs="Arial" w:eastAsia="Arial" w:hAnsi="Arial"/>
                <w:sz w:val="26"/>
                <w:szCs w:val="26"/>
                <w:b w:val="1"/>
                <w:bCs w:val="1"/>
                <w:color w:val="auto"/>
                <w:vertAlign w:val="superscript"/>
              </w:rPr>
              <w:t>(3)(4)</w:t>
            </w:r>
          </w:p>
        </w:tc>
        <w:tc>
          <w:tcPr>
            <w:tcW w:w="20" w:type="dxa"/>
            <w:vAlign w:val="bottom"/>
          </w:tcPr>
          <w:p>
            <w:pPr>
              <w:spacing w:after="0"/>
              <w:rPr>
                <w:sz w:val="24"/>
                <w:szCs w:val="24"/>
                <w:color w:val="auto"/>
              </w:rPr>
            </w:pPr>
          </w:p>
        </w:tc>
        <w:tc>
          <w:tcPr>
            <w:tcW w:w="1080" w:type="dxa"/>
            <w:vAlign w:val="bottom"/>
            <w:tcBorders>
              <w:top w:val="single" w:sz="8" w:color="023C5B"/>
              <w:bottom w:val="single" w:sz="8" w:color="023C5B"/>
            </w:tcBorders>
          </w:tcPr>
          <w:p>
            <w:pPr>
              <w:jc w:val="center"/>
              <w:ind w:left="111"/>
              <w:spacing w:after="0"/>
              <w:rPr>
                <w:sz w:val="20"/>
                <w:szCs w:val="20"/>
                <w:color w:val="auto"/>
              </w:rPr>
            </w:pPr>
            <w:r>
              <w:rPr>
                <w:rFonts w:ascii="Arial" w:cs="Arial" w:eastAsia="Arial" w:hAnsi="Arial"/>
                <w:sz w:val="18"/>
                <w:szCs w:val="18"/>
                <w:color w:val="auto"/>
                <w:w w:val="98"/>
              </w:rPr>
              <w:t>18.50%</w:t>
            </w:r>
          </w:p>
        </w:tc>
        <w:tc>
          <w:tcPr>
            <w:tcW w:w="60" w:type="dxa"/>
            <w:vAlign w:val="bottom"/>
          </w:tcPr>
          <w:p>
            <w:pPr>
              <w:spacing w:after="0"/>
              <w:rPr>
                <w:sz w:val="24"/>
                <w:szCs w:val="24"/>
                <w:color w:val="auto"/>
              </w:rPr>
            </w:pPr>
          </w:p>
        </w:tc>
        <w:tc>
          <w:tcPr>
            <w:tcW w:w="1080" w:type="dxa"/>
            <w:vAlign w:val="bottom"/>
            <w:tcBorders>
              <w:top w:val="single" w:sz="8" w:color="023C5B"/>
              <w:bottom w:val="single" w:sz="8" w:color="023C5B"/>
            </w:tcBorders>
          </w:tcPr>
          <w:p>
            <w:pPr>
              <w:jc w:val="center"/>
              <w:ind w:left="111"/>
              <w:spacing w:after="0"/>
              <w:rPr>
                <w:sz w:val="20"/>
                <w:szCs w:val="20"/>
                <w:color w:val="auto"/>
              </w:rPr>
            </w:pPr>
            <w:r>
              <w:rPr>
                <w:rFonts w:ascii="Arial" w:cs="Arial" w:eastAsia="Arial" w:hAnsi="Arial"/>
                <w:sz w:val="18"/>
                <w:szCs w:val="18"/>
                <w:color w:val="auto"/>
                <w:w w:val="98"/>
              </w:rPr>
              <w:t>13.48%</w:t>
            </w:r>
          </w:p>
        </w:tc>
        <w:tc>
          <w:tcPr>
            <w:tcW w:w="60" w:type="dxa"/>
            <w:vAlign w:val="bottom"/>
          </w:tcPr>
          <w:p>
            <w:pPr>
              <w:spacing w:after="0"/>
              <w:rPr>
                <w:sz w:val="24"/>
                <w:szCs w:val="24"/>
                <w:color w:val="auto"/>
              </w:rPr>
            </w:pPr>
          </w:p>
        </w:tc>
        <w:tc>
          <w:tcPr>
            <w:tcW w:w="1080" w:type="dxa"/>
            <w:vAlign w:val="bottom"/>
            <w:tcBorders>
              <w:top w:val="single" w:sz="8" w:color="023C5B"/>
              <w:bottom w:val="single" w:sz="8" w:color="023C5B"/>
            </w:tcBorders>
          </w:tcPr>
          <w:p>
            <w:pPr>
              <w:jc w:val="center"/>
              <w:ind w:left="111"/>
              <w:spacing w:after="0"/>
              <w:rPr>
                <w:sz w:val="20"/>
                <w:szCs w:val="20"/>
                <w:color w:val="auto"/>
              </w:rPr>
            </w:pPr>
            <w:r>
              <w:rPr>
                <w:rFonts w:ascii="Arial" w:cs="Arial" w:eastAsia="Arial" w:hAnsi="Arial"/>
                <w:sz w:val="18"/>
                <w:szCs w:val="18"/>
                <w:color w:val="auto"/>
                <w:w w:val="98"/>
              </w:rPr>
              <w:t>13.66%</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023C5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140</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23C5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23C5B"/>
        </w:rPr>
        <w:t>Appendix A - Information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29755" cy="5214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929755" cy="5214620"/>
                    </a:xfrm>
                    <a:prstGeom prst="rect">
                      <a:avLst/>
                    </a:prstGeom>
                    <a:noFill/>
                  </pic:spPr>
                </pic:pic>
              </a:graphicData>
            </a:graphic>
          </wp:anchor>
        </w:drawing>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61"/>
        </w:trPr>
        <w:tc>
          <w:tcPr>
            <w:tcW w:w="1220" w:type="dxa"/>
            <w:vAlign w:val="bottom"/>
            <w:shd w:val="clear" w:color="auto" w:fill="023C5B"/>
          </w:tcPr>
          <w:p>
            <w:pPr>
              <w:spacing w:after="0"/>
              <w:rPr>
                <w:sz w:val="22"/>
                <w:szCs w:val="22"/>
                <w:color w:val="auto"/>
              </w:rPr>
            </w:pPr>
          </w:p>
        </w:tc>
        <w:tc>
          <w:tcPr>
            <w:tcW w:w="6160" w:type="dxa"/>
            <w:vAlign w:val="bottom"/>
            <w:shd w:val="clear" w:color="auto" w:fill="023C5B"/>
          </w:tcPr>
          <w:p>
            <w:pPr>
              <w:spacing w:after="0"/>
              <w:rPr>
                <w:sz w:val="22"/>
                <w:szCs w:val="22"/>
                <w:color w:val="auto"/>
              </w:rPr>
            </w:pPr>
          </w:p>
        </w:tc>
        <w:tc>
          <w:tcPr>
            <w:tcW w:w="40" w:type="dxa"/>
            <w:vAlign w:val="bottom"/>
            <w:shd w:val="clear" w:color="auto" w:fill="023C5B"/>
          </w:tcPr>
          <w:p>
            <w:pPr>
              <w:spacing w:after="0"/>
              <w:rPr>
                <w:sz w:val="22"/>
                <w:szCs w:val="22"/>
                <w:color w:val="auto"/>
              </w:rPr>
            </w:pPr>
          </w:p>
        </w:tc>
        <w:tc>
          <w:tcPr>
            <w:tcW w:w="3500" w:type="dxa"/>
            <w:vAlign w:val="bottom"/>
            <w:gridSpan w:val="5"/>
            <w:shd w:val="clear" w:color="auto" w:fill="023C5B"/>
          </w:tcPr>
          <w:p>
            <w:pPr>
              <w:jc w:val="center"/>
              <w:spacing w:after="0"/>
              <w:rPr>
                <w:sz w:val="20"/>
                <w:szCs w:val="20"/>
                <w:color w:val="auto"/>
              </w:rPr>
            </w:pPr>
            <w:r>
              <w:rPr>
                <w:rFonts w:ascii="Arial" w:cs="Arial" w:eastAsia="Arial" w:hAnsi="Arial"/>
                <w:sz w:val="16"/>
                <w:szCs w:val="16"/>
                <w:b w:val="1"/>
                <w:bCs w:val="1"/>
                <w:color w:val="FFFFFF"/>
                <w:w w:val="99"/>
              </w:rPr>
              <w:t>Year Ended December 31,</w:t>
            </w:r>
          </w:p>
        </w:tc>
      </w:tr>
      <w:tr>
        <w:trPr>
          <w:trHeight w:val="401"/>
        </w:trPr>
        <w:tc>
          <w:tcPr>
            <w:tcW w:w="7380" w:type="dxa"/>
            <w:vAlign w:val="bottom"/>
            <w:tcBorders>
              <w:bottom w:val="single" w:sz="8" w:color="023C5B"/>
            </w:tcBorders>
            <w:gridSpan w:val="2"/>
            <w:shd w:val="clear" w:color="auto" w:fill="023C5B"/>
          </w:tcPr>
          <w:p>
            <w:pPr>
              <w:ind w:left="100"/>
              <w:spacing w:after="0"/>
              <w:rPr>
                <w:sz w:val="20"/>
                <w:szCs w:val="20"/>
                <w:color w:val="auto"/>
              </w:rPr>
            </w:pPr>
            <w:r>
              <w:rPr>
                <w:rFonts w:ascii="Arial" w:cs="Arial" w:eastAsia="Arial" w:hAnsi="Arial"/>
                <w:sz w:val="16"/>
                <w:szCs w:val="16"/>
                <w:b w:val="1"/>
                <w:bCs w:val="1"/>
                <w:color w:val="FFFFFF"/>
              </w:rPr>
              <w:t>(Dollars in millions, except per share data and as noted)</w:t>
            </w:r>
          </w:p>
        </w:tc>
        <w:tc>
          <w:tcPr>
            <w:tcW w:w="1220" w:type="dxa"/>
            <w:vAlign w:val="bottom"/>
            <w:tcBorders>
              <w:bottom w:val="single" w:sz="8" w:color="023C5B"/>
            </w:tcBorders>
            <w:gridSpan w:val="2"/>
            <w:shd w:val="clear" w:color="auto" w:fill="023C5B"/>
          </w:tcPr>
          <w:p>
            <w:pPr>
              <w:jc w:val="right"/>
              <w:ind w:right="332"/>
              <w:spacing w:after="0"/>
              <w:rPr>
                <w:sz w:val="20"/>
                <w:szCs w:val="20"/>
                <w:color w:val="auto"/>
              </w:rPr>
            </w:pPr>
            <w:r>
              <w:rPr>
                <w:rFonts w:ascii="Arial" w:cs="Arial" w:eastAsia="Arial" w:hAnsi="Arial"/>
                <w:sz w:val="16"/>
                <w:szCs w:val="16"/>
                <w:b w:val="1"/>
                <w:bCs w:val="1"/>
                <w:color w:val="FFFFFF"/>
              </w:rPr>
              <w:t>2025</w:t>
            </w:r>
          </w:p>
        </w:tc>
        <w:tc>
          <w:tcPr>
            <w:tcW w:w="40" w:type="dxa"/>
            <w:vAlign w:val="bottom"/>
            <w:tcBorders>
              <w:bottom w:val="single" w:sz="8" w:color="023C5B"/>
            </w:tcBorders>
            <w:shd w:val="clear" w:color="auto" w:fill="023C5B"/>
          </w:tcPr>
          <w:p>
            <w:pPr>
              <w:spacing w:after="0"/>
              <w:rPr>
                <w:sz w:val="24"/>
                <w:szCs w:val="24"/>
                <w:color w:val="auto"/>
              </w:rPr>
            </w:pPr>
          </w:p>
        </w:tc>
        <w:tc>
          <w:tcPr>
            <w:tcW w:w="1100" w:type="dxa"/>
            <w:vAlign w:val="bottom"/>
            <w:tcBorders>
              <w:bottom w:val="single" w:sz="8" w:color="023C5B"/>
            </w:tcBorders>
            <w:shd w:val="clear" w:color="auto" w:fill="023C5B"/>
          </w:tcPr>
          <w:p>
            <w:pPr>
              <w:jc w:val="right"/>
              <w:ind w:right="311"/>
              <w:spacing w:after="0"/>
              <w:rPr>
                <w:sz w:val="20"/>
                <w:szCs w:val="20"/>
                <w:color w:val="auto"/>
              </w:rPr>
            </w:pPr>
            <w:r>
              <w:rPr>
                <w:rFonts w:ascii="Arial" w:cs="Arial" w:eastAsia="Arial" w:hAnsi="Arial"/>
                <w:sz w:val="16"/>
                <w:szCs w:val="16"/>
                <w:b w:val="1"/>
                <w:bCs w:val="1"/>
                <w:color w:val="FFFFFF"/>
              </w:rPr>
              <w:t>2024</w:t>
            </w:r>
          </w:p>
        </w:tc>
        <w:tc>
          <w:tcPr>
            <w:tcW w:w="60" w:type="dxa"/>
            <w:vAlign w:val="bottom"/>
            <w:tcBorders>
              <w:bottom w:val="single" w:sz="8" w:color="023C5B"/>
            </w:tcBorders>
            <w:shd w:val="clear" w:color="auto" w:fill="023C5B"/>
          </w:tcPr>
          <w:p>
            <w:pPr>
              <w:spacing w:after="0"/>
              <w:rPr>
                <w:sz w:val="24"/>
                <w:szCs w:val="24"/>
                <w:color w:val="auto"/>
              </w:rPr>
            </w:pPr>
          </w:p>
        </w:tc>
        <w:tc>
          <w:tcPr>
            <w:tcW w:w="1120" w:type="dxa"/>
            <w:vAlign w:val="bottom"/>
            <w:tcBorders>
              <w:bottom w:val="single" w:sz="8" w:color="023C5B"/>
            </w:tcBorders>
            <w:shd w:val="clear" w:color="auto" w:fill="023C5B"/>
          </w:tcPr>
          <w:p>
            <w:pPr>
              <w:jc w:val="right"/>
              <w:ind w:right="351"/>
              <w:spacing w:after="0"/>
              <w:rPr>
                <w:sz w:val="20"/>
                <w:szCs w:val="20"/>
                <w:color w:val="auto"/>
              </w:rPr>
            </w:pPr>
            <w:r>
              <w:rPr>
                <w:rFonts w:ascii="Arial" w:cs="Arial" w:eastAsia="Arial" w:hAnsi="Arial"/>
                <w:sz w:val="16"/>
                <w:szCs w:val="16"/>
                <w:b w:val="1"/>
                <w:bCs w:val="1"/>
                <w:color w:val="FFFFFF"/>
              </w:rPr>
              <w:t>2023</w:t>
            </w:r>
          </w:p>
        </w:tc>
      </w:tr>
      <w:tr>
        <w:trPr>
          <w:trHeight w:val="280"/>
        </w:trPr>
        <w:tc>
          <w:tcPr>
            <w:tcW w:w="7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Adjusted return on average assets (“ROA”):</w:t>
            </w: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
        </w:trPr>
        <w:tc>
          <w:tcPr>
            <w:tcW w:w="12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8"/>
        </w:trPr>
        <w:tc>
          <w:tcPr>
            <w:tcW w:w="7380" w:type="dxa"/>
            <w:vAlign w:val="bottom"/>
            <w:tcBorders>
              <w:bottom w:val="single" w:sz="8" w:color="E5EBEE"/>
            </w:tcBorders>
            <w:gridSpan w:val="2"/>
            <w:shd w:val="clear" w:color="auto" w:fill="E5EBEE"/>
          </w:tcPr>
          <w:p>
            <w:pPr>
              <w:ind w:left="28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8"/>
              </w:rPr>
              <w:t>$2,453</w:t>
            </w:r>
          </w:p>
        </w:tc>
        <w:tc>
          <w:tcPr>
            <w:tcW w:w="4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$4,750</w:t>
            </w:r>
          </w:p>
        </w:tc>
        <w:tc>
          <w:tcPr>
            <w:tcW w:w="60" w:type="dxa"/>
            <w:vAlign w:val="bottom"/>
            <w:tcBorders>
              <w:bottom w:val="single" w:sz="8" w:color="E5EBEE"/>
            </w:tcBorders>
            <w:shd w:val="clear" w:color="auto" w:fill="E5EBEE"/>
          </w:tcPr>
          <w:p>
            <w:pPr>
              <w:spacing w:after="0"/>
              <w:rPr>
                <w:sz w:val="24"/>
                <w:szCs w:val="24"/>
                <w:color w:val="auto"/>
              </w:rPr>
            </w:pPr>
          </w:p>
        </w:tc>
        <w:tc>
          <w:tcPr>
            <w:tcW w:w="11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$4,887</w:t>
            </w:r>
          </w:p>
        </w:tc>
      </w:tr>
      <w:tr>
        <w:trPr>
          <w:trHeight w:val="270"/>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Income from discontinued operations, net of tax</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365</w:t>
            </w:r>
          </w:p>
        </w:tc>
        <w:tc>
          <w:tcPr>
            <w:tcW w:w="4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6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12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Borders>
              <w:bottom w:val="single" w:sz="8" w:color="023C5B"/>
            </w:tcBorders>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023C5B"/>
            </w:tcBorders>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Borders>
              <w:bottom w:val="single" w:sz="8" w:color="023C5B"/>
            </w:tcBorders>
          </w:tcPr>
          <w:p>
            <w:pPr>
              <w:spacing w:after="0"/>
              <w:rPr>
                <w:sz w:val="3"/>
                <w:szCs w:val="3"/>
                <w:color w:val="auto"/>
              </w:rPr>
            </w:pPr>
          </w:p>
        </w:tc>
      </w:tr>
      <w:tr>
        <w:trPr>
          <w:trHeight w:val="20"/>
        </w:trPr>
        <w:tc>
          <w:tcPr>
            <w:tcW w:w="12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4"/>
        </w:trPr>
        <w:tc>
          <w:tcPr>
            <w:tcW w:w="7380" w:type="dxa"/>
            <w:vAlign w:val="bottom"/>
            <w:tcBorders>
              <w:bottom w:val="single" w:sz="8" w:color="E5EBEE"/>
            </w:tcBorders>
            <w:gridSpan w:val="2"/>
            <w:shd w:val="clear" w:color="auto" w:fill="E5EBEE"/>
          </w:tcPr>
          <w:p>
            <w:pPr>
              <w:ind w:left="280"/>
              <w:spacing w:after="0"/>
              <w:rPr>
                <w:sz w:val="20"/>
                <w:szCs w:val="20"/>
                <w:color w:val="auto"/>
              </w:rPr>
            </w:pPr>
            <w:r>
              <w:rPr>
                <w:rFonts w:ascii="Arial" w:cs="Arial" w:eastAsia="Arial" w:hAnsi="Arial"/>
                <w:sz w:val="18"/>
                <w:szCs w:val="18"/>
                <w:color w:val="auto"/>
              </w:rPr>
              <w:t>Net income less discontinued operations, net of tax</w:t>
            </w:r>
          </w:p>
        </w:tc>
        <w:tc>
          <w:tcPr>
            <w:tcW w:w="12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rPr>
              <w:t>2,088</w:t>
            </w:r>
          </w:p>
        </w:tc>
        <w:tc>
          <w:tcPr>
            <w:tcW w:w="40" w:type="dxa"/>
            <w:vAlign w:val="bottom"/>
            <w:tcBorders>
              <w:bottom w:val="single" w:sz="8" w:color="E5EBEE"/>
            </w:tcBorders>
            <w:shd w:val="clear" w:color="auto" w:fill="E5EBEE"/>
          </w:tcPr>
          <w:p>
            <w:pPr>
              <w:spacing w:after="0"/>
              <w:rPr>
                <w:sz w:val="23"/>
                <w:szCs w:val="23"/>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7"/>
              </w:rPr>
              <w:t>4,747</w:t>
            </w:r>
          </w:p>
        </w:tc>
        <w:tc>
          <w:tcPr>
            <w:tcW w:w="60" w:type="dxa"/>
            <w:vAlign w:val="bottom"/>
            <w:tcBorders>
              <w:bottom w:val="single" w:sz="8" w:color="E5EBEE"/>
            </w:tcBorders>
            <w:shd w:val="clear" w:color="auto" w:fill="E5EBEE"/>
          </w:tcPr>
          <w:p>
            <w:pPr>
              <w:spacing w:after="0"/>
              <w:rPr>
                <w:sz w:val="23"/>
                <w:szCs w:val="23"/>
                <w:color w:val="auto"/>
              </w:rPr>
            </w:pPr>
          </w:p>
        </w:tc>
        <w:tc>
          <w:tcPr>
            <w:tcW w:w="11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4,887</w:t>
            </w:r>
          </w:p>
        </w:tc>
      </w:tr>
      <w:tr>
        <w:trPr>
          <w:trHeight w:val="270"/>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Initial allowance build for Discover non-PCD loans</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rPr>
              <w:t>8,767</w:t>
            </w:r>
          </w:p>
        </w:tc>
        <w:tc>
          <w:tcPr>
            <w:tcW w:w="40" w:type="dxa"/>
            <w:vAlign w:val="bottom"/>
          </w:tcPr>
          <w:p>
            <w:pPr>
              <w:spacing w:after="0"/>
              <w:rPr>
                <w:sz w:val="23"/>
                <w:szCs w:val="23"/>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12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8"/>
        </w:trPr>
        <w:tc>
          <w:tcPr>
            <w:tcW w:w="7380" w:type="dxa"/>
            <w:vAlign w:val="bottom"/>
            <w:tcBorders>
              <w:bottom w:val="single" w:sz="8" w:color="E5EBEE"/>
            </w:tcBorders>
            <w:gridSpan w:val="2"/>
            <w:shd w:val="clear" w:color="auto" w:fill="E5EBEE"/>
          </w:tcPr>
          <w:p>
            <w:pPr>
              <w:ind w:left="360"/>
              <w:spacing w:after="0"/>
              <w:rPr>
                <w:sz w:val="20"/>
                <w:szCs w:val="20"/>
                <w:color w:val="auto"/>
              </w:rPr>
            </w:pPr>
            <w:r>
              <w:rPr>
                <w:rFonts w:ascii="Arial" w:cs="Arial" w:eastAsia="Arial" w:hAnsi="Arial"/>
                <w:sz w:val="18"/>
                <w:szCs w:val="18"/>
                <w:color w:val="auto"/>
              </w:rPr>
              <w:t>Discover intangible amortization expense</w:t>
            </w:r>
          </w:p>
        </w:tc>
        <w:tc>
          <w:tcPr>
            <w:tcW w:w="12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rPr>
              <w:t>1,262</w:t>
            </w:r>
          </w:p>
        </w:tc>
        <w:tc>
          <w:tcPr>
            <w:tcW w:w="40" w:type="dxa"/>
            <w:vAlign w:val="bottom"/>
            <w:tcBorders>
              <w:bottom w:val="single" w:sz="8" w:color="E5EBEE"/>
            </w:tcBorders>
            <w:shd w:val="clear" w:color="auto" w:fill="E5EBEE"/>
          </w:tcPr>
          <w:p>
            <w:pPr>
              <w:spacing w:after="0"/>
              <w:rPr>
                <w:sz w:val="24"/>
                <w:szCs w:val="24"/>
                <w:color w:val="auto"/>
              </w:rPr>
            </w:pPr>
          </w:p>
        </w:tc>
        <w:tc>
          <w:tcPr>
            <w:tcW w:w="1160" w:type="dxa"/>
            <w:vAlign w:val="bottom"/>
            <w:tcBorders>
              <w:bottom w:val="single" w:sz="8" w:color="E5EBEE"/>
            </w:tcBorders>
            <w:gridSpan w:val="2"/>
            <w:shd w:val="clear" w:color="auto" w:fill="E5EBEE"/>
          </w:tcPr>
          <w:p>
            <w:pPr>
              <w:jc w:val="center"/>
              <w:ind w:right="6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Discover loan and deposit fair value mark amortization</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227</w:t>
            </w:r>
          </w:p>
        </w:tc>
        <w:tc>
          <w:tcPr>
            <w:tcW w:w="40" w:type="dxa"/>
            <w:vAlign w:val="bottom"/>
          </w:tcPr>
          <w:p>
            <w:pPr>
              <w:spacing w:after="0"/>
              <w:rPr>
                <w:sz w:val="23"/>
                <w:szCs w:val="23"/>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12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8"/>
        </w:trPr>
        <w:tc>
          <w:tcPr>
            <w:tcW w:w="7380" w:type="dxa"/>
            <w:vAlign w:val="bottom"/>
            <w:tcBorders>
              <w:bottom w:val="single" w:sz="8" w:color="E5EBEE"/>
            </w:tcBorders>
            <w:gridSpan w:val="2"/>
            <w:shd w:val="clear" w:color="auto" w:fill="E5EBEE"/>
          </w:tcPr>
          <w:p>
            <w:pPr>
              <w:ind w:left="360"/>
              <w:spacing w:after="0"/>
              <w:rPr>
                <w:sz w:val="20"/>
                <w:szCs w:val="20"/>
                <w:color w:val="auto"/>
              </w:rPr>
            </w:pPr>
            <w:r>
              <w:rPr>
                <w:rFonts w:ascii="Arial" w:cs="Arial" w:eastAsia="Arial" w:hAnsi="Arial"/>
                <w:sz w:val="18"/>
                <w:szCs w:val="18"/>
                <w:color w:val="auto"/>
              </w:rPr>
              <w:t>Discover integration expenses</w:t>
            </w:r>
          </w:p>
        </w:tc>
        <w:tc>
          <w:tcPr>
            <w:tcW w:w="12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rPr>
              <w:t>1,109</w:t>
            </w:r>
          </w:p>
        </w:tc>
        <w:tc>
          <w:tcPr>
            <w:tcW w:w="4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234</w:t>
            </w:r>
          </w:p>
        </w:tc>
        <w:tc>
          <w:tcPr>
            <w:tcW w:w="60" w:type="dxa"/>
            <w:vAlign w:val="bottom"/>
            <w:tcBorders>
              <w:bottom w:val="single" w:sz="8" w:color="E5EBEE"/>
            </w:tcBorders>
            <w:shd w:val="clear" w:color="auto" w:fill="E5EBEE"/>
          </w:tcPr>
          <w:p>
            <w:pPr>
              <w:spacing w:after="0"/>
              <w:rPr>
                <w:sz w:val="24"/>
                <w:szCs w:val="24"/>
                <w:color w:val="auto"/>
              </w:rPr>
            </w:pPr>
          </w:p>
        </w:tc>
        <w:tc>
          <w:tcPr>
            <w:tcW w:w="11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Legal reserve activities</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356</w:t>
            </w:r>
          </w:p>
        </w:tc>
        <w:tc>
          <w:tcPr>
            <w:tcW w:w="4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75</w:t>
            </w:r>
          </w:p>
        </w:tc>
        <w:tc>
          <w:tcPr>
            <w:tcW w:w="6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12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8"/>
        </w:trPr>
        <w:tc>
          <w:tcPr>
            <w:tcW w:w="7380" w:type="dxa"/>
            <w:vAlign w:val="bottom"/>
            <w:tcBorders>
              <w:bottom w:val="single" w:sz="8" w:color="E5EBEE"/>
            </w:tcBorders>
            <w:gridSpan w:val="2"/>
            <w:shd w:val="clear" w:color="auto" w:fill="E5EBEE"/>
          </w:tcPr>
          <w:p>
            <w:pPr>
              <w:ind w:left="360"/>
              <w:spacing w:after="0"/>
              <w:rPr>
                <w:sz w:val="20"/>
                <w:szCs w:val="20"/>
                <w:color w:val="auto"/>
              </w:rPr>
            </w:pPr>
            <w:r>
              <w:rPr>
                <w:rFonts w:ascii="Arial" w:cs="Arial" w:eastAsia="Arial" w:hAnsi="Arial"/>
                <w:sz w:val="18"/>
                <w:szCs w:val="18"/>
                <w:color w:val="auto"/>
              </w:rPr>
              <w:t>FDIC special assessment</w:t>
            </w:r>
          </w:p>
        </w:tc>
        <w:tc>
          <w:tcPr>
            <w:tcW w:w="1220" w:type="dxa"/>
            <w:vAlign w:val="bottom"/>
            <w:tcBorders>
              <w:bottom w:val="single" w:sz="8" w:color="E5EBEE"/>
            </w:tcBorders>
            <w:gridSpan w:val="2"/>
            <w:shd w:val="clear" w:color="auto" w:fill="E5EBEE"/>
          </w:tcPr>
          <w:p>
            <w:pPr>
              <w:jc w:val="center"/>
              <w:ind w:left="11"/>
              <w:spacing w:after="0"/>
              <w:rPr>
                <w:sz w:val="20"/>
                <w:szCs w:val="20"/>
                <w:color w:val="auto"/>
              </w:rPr>
            </w:pPr>
            <w:r>
              <w:rPr>
                <w:rFonts w:ascii="Arial" w:cs="Arial" w:eastAsia="Arial" w:hAnsi="Arial"/>
                <w:sz w:val="18"/>
                <w:szCs w:val="18"/>
                <w:color w:val="auto"/>
                <w:w w:val="99"/>
              </w:rPr>
              <w:t>(29)</w:t>
            </w:r>
          </w:p>
        </w:tc>
        <w:tc>
          <w:tcPr>
            <w:tcW w:w="4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41</w:t>
            </w:r>
          </w:p>
        </w:tc>
        <w:tc>
          <w:tcPr>
            <w:tcW w:w="60" w:type="dxa"/>
            <w:vAlign w:val="bottom"/>
            <w:tcBorders>
              <w:bottom w:val="single" w:sz="8" w:color="E5EBEE"/>
            </w:tcBorders>
            <w:shd w:val="clear" w:color="auto" w:fill="E5EBEE"/>
          </w:tcPr>
          <w:p>
            <w:pPr>
              <w:spacing w:after="0"/>
              <w:rPr>
                <w:sz w:val="24"/>
                <w:szCs w:val="24"/>
                <w:color w:val="auto"/>
              </w:rPr>
            </w:pPr>
          </w:p>
        </w:tc>
        <w:tc>
          <w:tcPr>
            <w:tcW w:w="11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289</w:t>
            </w:r>
          </w:p>
        </w:tc>
      </w:tr>
      <w:tr>
        <w:trPr>
          <w:trHeight w:val="270"/>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Allowance build for Walmart program agreement loss sharing</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826</w:t>
            </w:r>
          </w:p>
        </w:tc>
        <w:tc>
          <w:tcPr>
            <w:tcW w:w="6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8"/>
        </w:trPr>
        <w:tc>
          <w:tcPr>
            <w:tcW w:w="12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08"/>
        </w:trPr>
        <w:tc>
          <w:tcPr>
            <w:tcW w:w="7380" w:type="dxa"/>
            <w:vAlign w:val="bottom"/>
            <w:tcBorders>
              <w:bottom w:val="single" w:sz="8" w:color="E5EBEE"/>
            </w:tcBorders>
            <w:gridSpan w:val="2"/>
            <w:shd w:val="clear" w:color="auto" w:fill="E5EBEE"/>
          </w:tcPr>
          <w:p>
            <w:pPr>
              <w:ind w:left="360"/>
              <w:spacing w:after="0"/>
              <w:rPr>
                <w:sz w:val="20"/>
                <w:szCs w:val="20"/>
                <w:color w:val="auto"/>
              </w:rPr>
            </w:pPr>
            <w:r>
              <w:rPr>
                <w:rFonts w:ascii="Arial" w:cs="Arial" w:eastAsia="Arial" w:hAnsi="Arial"/>
                <w:sz w:val="18"/>
                <w:szCs w:val="18"/>
                <w:color w:val="auto"/>
              </w:rPr>
              <w:t>Walmart program agreement termination contra revenue impact</w:t>
            </w:r>
          </w:p>
        </w:tc>
        <w:tc>
          <w:tcPr>
            <w:tcW w:w="40" w:type="dxa"/>
            <w:vAlign w:val="bottom"/>
            <w:tcBorders>
              <w:bottom w:val="single" w:sz="8" w:color="E5EBEE"/>
            </w:tcBorders>
            <w:shd w:val="clear" w:color="auto" w:fill="E5EBEE"/>
          </w:tcPr>
          <w:p>
            <w:pPr>
              <w:spacing w:after="0"/>
              <w:rPr>
                <w:sz w:val="24"/>
                <w:szCs w:val="24"/>
                <w:color w:val="auto"/>
              </w:rPr>
            </w:pPr>
          </w:p>
        </w:tc>
        <w:tc>
          <w:tcPr>
            <w:tcW w:w="12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27</w:t>
            </w:r>
          </w:p>
        </w:tc>
        <w:tc>
          <w:tcPr>
            <w:tcW w:w="60" w:type="dxa"/>
            <w:vAlign w:val="bottom"/>
            <w:tcBorders>
              <w:bottom w:val="single" w:sz="8" w:color="E5EBEE"/>
            </w:tcBorders>
            <w:shd w:val="clear" w:color="auto" w:fill="E5EBEE"/>
          </w:tcPr>
          <w:p>
            <w:pPr>
              <w:spacing w:after="0"/>
              <w:rPr>
                <w:sz w:val="24"/>
                <w:szCs w:val="24"/>
                <w:color w:val="auto"/>
              </w:rPr>
            </w:pPr>
          </w:p>
        </w:tc>
        <w:tc>
          <w:tcPr>
            <w:tcW w:w="11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w:t>
            </w:r>
          </w:p>
        </w:tc>
      </w:tr>
      <w:tr>
        <w:trPr>
          <w:trHeight w:val="250"/>
        </w:trPr>
        <w:tc>
          <w:tcPr>
            <w:tcW w:w="7380" w:type="dxa"/>
            <w:vAlign w:val="bottom"/>
            <w:gridSpan w:val="2"/>
          </w:tcPr>
          <w:p>
            <w:pPr>
              <w:ind w:left="280"/>
              <w:spacing w:after="0"/>
              <w:rPr>
                <w:sz w:val="20"/>
                <w:szCs w:val="20"/>
                <w:color w:val="auto"/>
              </w:rPr>
            </w:pPr>
            <w:r>
              <w:rPr>
                <w:rFonts w:ascii="Arial" w:cs="Arial" w:eastAsia="Arial" w:hAnsi="Arial"/>
                <w:sz w:val="18"/>
                <w:szCs w:val="18"/>
                <w:color w:val="auto"/>
                <w:w w:val="99"/>
              </w:rPr>
              <w:t>Adjusted net income less discontinued operations before income tax impacts (non-GAAP)</w:t>
            </w:r>
          </w:p>
        </w:tc>
        <w:tc>
          <w:tcPr>
            <w:tcW w:w="40" w:type="dxa"/>
            <w:vAlign w:val="bottom"/>
          </w:tcPr>
          <w:p>
            <w:pPr>
              <w:spacing w:after="0"/>
              <w:rPr>
                <w:sz w:val="21"/>
                <w:szCs w:val="21"/>
                <w:color w:val="auto"/>
              </w:rPr>
            </w:pPr>
          </w:p>
        </w:tc>
        <w:tc>
          <w:tcPr>
            <w:tcW w:w="11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13,780</w:t>
            </w:r>
          </w:p>
        </w:tc>
        <w:tc>
          <w:tcPr>
            <w:tcW w:w="40" w:type="dxa"/>
            <w:vAlign w:val="bottom"/>
          </w:tcPr>
          <w:p>
            <w:pPr>
              <w:spacing w:after="0"/>
              <w:rPr>
                <w:sz w:val="21"/>
                <w:szCs w:val="21"/>
                <w:color w:val="auto"/>
              </w:rPr>
            </w:pPr>
          </w:p>
        </w:tc>
        <w:tc>
          <w:tcPr>
            <w:tcW w:w="110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7"/>
              </w:rPr>
              <w:t>5,950</w:t>
            </w:r>
          </w:p>
        </w:tc>
        <w:tc>
          <w:tcPr>
            <w:tcW w:w="60" w:type="dxa"/>
            <w:vAlign w:val="bottom"/>
          </w:tcPr>
          <w:p>
            <w:pPr>
              <w:spacing w:after="0"/>
              <w:rPr>
                <w:sz w:val="21"/>
                <w:szCs w:val="21"/>
                <w:color w:val="auto"/>
              </w:rPr>
            </w:pPr>
          </w:p>
        </w:tc>
        <w:tc>
          <w:tcPr>
            <w:tcW w:w="11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5,176</w:t>
            </w:r>
          </w:p>
        </w:tc>
      </w:tr>
      <w:tr>
        <w:trPr>
          <w:trHeight w:val="38"/>
        </w:trPr>
        <w:tc>
          <w:tcPr>
            <w:tcW w:w="12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08"/>
        </w:trPr>
        <w:tc>
          <w:tcPr>
            <w:tcW w:w="7380" w:type="dxa"/>
            <w:vAlign w:val="bottom"/>
            <w:tcBorders>
              <w:bottom w:val="single" w:sz="8" w:color="E5EBEE"/>
            </w:tcBorders>
            <w:gridSpan w:val="2"/>
            <w:shd w:val="clear" w:color="auto" w:fill="E5EBEE"/>
          </w:tcPr>
          <w:p>
            <w:pPr>
              <w:ind w:left="360"/>
              <w:spacing w:after="0"/>
              <w:rPr>
                <w:sz w:val="20"/>
                <w:szCs w:val="20"/>
                <w:color w:val="auto"/>
              </w:rPr>
            </w:pPr>
            <w:r>
              <w:rPr>
                <w:rFonts w:ascii="Arial" w:cs="Arial" w:eastAsia="Arial" w:hAnsi="Arial"/>
                <w:sz w:val="18"/>
                <w:szCs w:val="18"/>
                <w:color w:val="auto"/>
              </w:rPr>
              <w:t>Income tax impacts</w:t>
            </w:r>
          </w:p>
        </w:tc>
        <w:tc>
          <w:tcPr>
            <w:tcW w:w="40" w:type="dxa"/>
            <w:vAlign w:val="bottom"/>
            <w:tcBorders>
              <w:bottom w:val="single" w:sz="8" w:color="E5EBEE"/>
            </w:tcBorders>
            <w:shd w:val="clear" w:color="auto" w:fill="E5EBEE"/>
          </w:tcPr>
          <w:p>
            <w:pPr>
              <w:spacing w:after="0"/>
              <w:rPr>
                <w:sz w:val="24"/>
                <w:szCs w:val="24"/>
                <w:color w:val="auto"/>
              </w:rPr>
            </w:pPr>
          </w:p>
        </w:tc>
        <w:tc>
          <w:tcPr>
            <w:tcW w:w="118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(2,894)</w:t>
            </w:r>
          </w:p>
        </w:tc>
        <w:tc>
          <w:tcPr>
            <w:tcW w:w="4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(293)</w:t>
            </w:r>
          </w:p>
        </w:tc>
        <w:tc>
          <w:tcPr>
            <w:tcW w:w="60" w:type="dxa"/>
            <w:vAlign w:val="bottom"/>
            <w:tcBorders>
              <w:bottom w:val="single" w:sz="8" w:color="E5EBEE"/>
            </w:tcBorders>
            <w:shd w:val="clear" w:color="auto" w:fill="E5EBEE"/>
          </w:tcPr>
          <w:p>
            <w:pPr>
              <w:spacing w:after="0"/>
              <w:rPr>
                <w:sz w:val="24"/>
                <w:szCs w:val="24"/>
                <w:color w:val="auto"/>
              </w:rPr>
            </w:pPr>
          </w:p>
        </w:tc>
        <w:tc>
          <w:tcPr>
            <w:tcW w:w="11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9"/>
              </w:rPr>
              <w:t>(70)</w:t>
            </w:r>
          </w:p>
        </w:tc>
      </w:tr>
      <w:tr>
        <w:trPr>
          <w:trHeight w:val="250"/>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Adjusted net income less discontinued operations (non-GAAP)</w:t>
            </w:r>
          </w:p>
        </w:tc>
        <w:tc>
          <w:tcPr>
            <w:tcW w:w="40" w:type="dxa"/>
            <w:vAlign w:val="bottom"/>
          </w:tcPr>
          <w:p>
            <w:pPr>
              <w:spacing w:after="0"/>
              <w:rPr>
                <w:sz w:val="21"/>
                <w:szCs w:val="21"/>
                <w:color w:val="auto"/>
              </w:rPr>
            </w:pPr>
          </w:p>
        </w:tc>
        <w:tc>
          <w:tcPr>
            <w:tcW w:w="118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$10,886</w:t>
            </w:r>
          </w:p>
        </w:tc>
        <w:tc>
          <w:tcPr>
            <w:tcW w:w="40" w:type="dxa"/>
            <w:vAlign w:val="bottom"/>
          </w:tcPr>
          <w:p>
            <w:pPr>
              <w:spacing w:after="0"/>
              <w:rPr>
                <w:sz w:val="21"/>
                <w:szCs w:val="21"/>
                <w:color w:val="auto"/>
              </w:rPr>
            </w:pPr>
          </w:p>
        </w:tc>
        <w:tc>
          <w:tcPr>
            <w:tcW w:w="110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rPr>
              <w:t>$5,657</w:t>
            </w:r>
          </w:p>
        </w:tc>
        <w:tc>
          <w:tcPr>
            <w:tcW w:w="60" w:type="dxa"/>
            <w:vAlign w:val="bottom"/>
          </w:tcPr>
          <w:p>
            <w:pPr>
              <w:spacing w:after="0"/>
              <w:rPr>
                <w:sz w:val="21"/>
                <w:szCs w:val="21"/>
                <w:color w:val="auto"/>
              </w:rPr>
            </w:pPr>
          </w:p>
        </w:tc>
        <w:tc>
          <w:tcPr>
            <w:tcW w:w="1120" w:type="dxa"/>
            <w:vAlign w:val="bottom"/>
            <w:tcBorders>
              <w:top w:val="single" w:sz="8" w:color="023C5B"/>
            </w:tcBorders>
          </w:tcPr>
          <w:p>
            <w:pPr>
              <w:jc w:val="center"/>
              <w:spacing w:after="0"/>
              <w:rPr>
                <w:sz w:val="20"/>
                <w:szCs w:val="20"/>
                <w:color w:val="auto"/>
              </w:rPr>
            </w:pPr>
            <w:r>
              <w:rPr>
                <w:rFonts w:ascii="Arial" w:cs="Arial" w:eastAsia="Arial" w:hAnsi="Arial"/>
                <w:sz w:val="18"/>
                <w:szCs w:val="18"/>
                <w:color w:val="auto"/>
                <w:w w:val="98"/>
              </w:rPr>
              <w:t>$5,106</w:t>
            </w:r>
          </w:p>
        </w:tc>
      </w:tr>
      <w:tr>
        <w:trPr>
          <w:trHeight w:val="38"/>
        </w:trPr>
        <w:tc>
          <w:tcPr>
            <w:tcW w:w="12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Borders>
              <w:bottom w:val="single" w:sz="8" w:color="023C5B"/>
            </w:tcBorders>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023C5B"/>
            </w:tcBorders>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Borders>
              <w:bottom w:val="single" w:sz="8" w:color="023C5B"/>
            </w:tcBorders>
          </w:tcPr>
          <w:p>
            <w:pPr>
              <w:spacing w:after="0"/>
              <w:rPr>
                <w:sz w:val="3"/>
                <w:szCs w:val="3"/>
                <w:color w:val="auto"/>
              </w:rPr>
            </w:pPr>
          </w:p>
        </w:tc>
      </w:tr>
      <w:tr>
        <w:trPr>
          <w:trHeight w:val="20"/>
        </w:trPr>
        <w:tc>
          <w:tcPr>
            <w:tcW w:w="12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4"/>
        </w:trPr>
        <w:tc>
          <w:tcPr>
            <w:tcW w:w="7380" w:type="dxa"/>
            <w:vAlign w:val="bottom"/>
            <w:tcBorders>
              <w:bottom w:val="single" w:sz="8" w:color="E5EBEE"/>
            </w:tcBorders>
            <w:gridSpan w:val="2"/>
            <w:shd w:val="clear" w:color="auto" w:fill="E5EBEE"/>
          </w:tcPr>
          <w:p>
            <w:pPr>
              <w:ind w:left="360"/>
              <w:spacing w:after="0"/>
              <w:rPr>
                <w:sz w:val="20"/>
                <w:szCs w:val="20"/>
                <w:color w:val="auto"/>
              </w:rPr>
            </w:pPr>
            <w:r>
              <w:rPr>
                <w:rFonts w:ascii="Arial" w:cs="Arial" w:eastAsia="Arial" w:hAnsi="Arial"/>
                <w:sz w:val="18"/>
                <w:szCs w:val="18"/>
                <w:color w:val="auto"/>
              </w:rPr>
              <w:t>Average assets</w:t>
            </w:r>
          </w:p>
        </w:tc>
        <w:tc>
          <w:tcPr>
            <w:tcW w:w="12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8"/>
              </w:rPr>
              <w:t>$597,536</w:t>
            </w:r>
          </w:p>
        </w:tc>
        <w:tc>
          <w:tcPr>
            <w:tcW w:w="40" w:type="dxa"/>
            <w:vAlign w:val="bottom"/>
            <w:tcBorders>
              <w:bottom w:val="single" w:sz="8" w:color="E5EBEE"/>
            </w:tcBorders>
            <w:shd w:val="clear" w:color="auto" w:fill="E5EBEE"/>
          </w:tcPr>
          <w:p>
            <w:pPr>
              <w:spacing w:after="0"/>
              <w:rPr>
                <w:sz w:val="23"/>
                <w:szCs w:val="23"/>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$480,451</w:t>
            </w:r>
          </w:p>
        </w:tc>
        <w:tc>
          <w:tcPr>
            <w:tcW w:w="60" w:type="dxa"/>
            <w:vAlign w:val="bottom"/>
            <w:tcBorders>
              <w:bottom w:val="single" w:sz="8" w:color="E5EBEE"/>
            </w:tcBorders>
            <w:shd w:val="clear" w:color="auto" w:fill="E5EBEE"/>
          </w:tcPr>
          <w:p>
            <w:pPr>
              <w:spacing w:after="0"/>
              <w:rPr>
                <w:sz w:val="23"/>
                <w:szCs w:val="23"/>
                <w:color w:val="auto"/>
              </w:rPr>
            </w:pPr>
          </w:p>
        </w:tc>
        <w:tc>
          <w:tcPr>
            <w:tcW w:w="11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$467,807</w:t>
            </w:r>
          </w:p>
        </w:tc>
      </w:tr>
      <w:tr>
        <w:trPr>
          <w:trHeight w:val="270"/>
        </w:trPr>
        <w:tc>
          <w:tcPr>
            <w:tcW w:w="7380" w:type="dxa"/>
            <w:vAlign w:val="bottom"/>
            <w:gridSpan w:val="2"/>
          </w:tcPr>
          <w:p>
            <w:pPr>
              <w:ind w:left="100"/>
              <w:spacing w:after="0"/>
              <w:rPr>
                <w:sz w:val="20"/>
                <w:szCs w:val="20"/>
                <w:color w:val="auto"/>
              </w:rPr>
            </w:pPr>
            <w:r>
              <w:rPr>
                <w:rFonts w:ascii="Arial" w:cs="Arial" w:eastAsia="Arial" w:hAnsi="Arial"/>
                <w:sz w:val="18"/>
                <w:szCs w:val="18"/>
                <w:color w:val="auto"/>
              </w:rPr>
              <w:t>ROA (GAAP)</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7"/>
              </w:rPr>
              <w:t>0.35%</w:t>
            </w:r>
          </w:p>
        </w:tc>
        <w:tc>
          <w:tcPr>
            <w:tcW w:w="4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0.99%</w:t>
            </w:r>
          </w:p>
        </w:tc>
        <w:tc>
          <w:tcPr>
            <w:tcW w:w="6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1.04%</w:t>
            </w:r>
          </w:p>
        </w:tc>
      </w:tr>
      <w:tr>
        <w:trPr>
          <w:trHeight w:val="38"/>
        </w:trPr>
        <w:tc>
          <w:tcPr>
            <w:tcW w:w="12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8"/>
        </w:trPr>
        <w:tc>
          <w:tcPr>
            <w:tcW w:w="7380" w:type="dxa"/>
            <w:vAlign w:val="bottom"/>
            <w:tcBorders>
              <w:bottom w:val="single" w:sz="8" w:color="E5EBEE"/>
            </w:tcBorders>
            <w:gridSpan w:val="2"/>
            <w:shd w:val="clear" w:color="auto" w:fill="E5EBEE"/>
          </w:tcPr>
          <w:p>
            <w:pPr>
              <w:ind w:left="280"/>
              <w:spacing w:after="0"/>
              <w:rPr>
                <w:sz w:val="20"/>
                <w:szCs w:val="20"/>
                <w:color w:val="auto"/>
              </w:rPr>
            </w:pPr>
            <w:r>
              <w:rPr>
                <w:rFonts w:ascii="Arial" w:cs="Arial" w:eastAsia="Arial" w:hAnsi="Arial"/>
                <w:sz w:val="18"/>
                <w:szCs w:val="18"/>
                <w:color w:val="auto"/>
              </w:rPr>
              <w:t>Impact of adjustments noted above</w:t>
            </w:r>
          </w:p>
        </w:tc>
        <w:tc>
          <w:tcPr>
            <w:tcW w:w="12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w w:val="97"/>
              </w:rPr>
              <w:t>1.47%</w:t>
            </w:r>
          </w:p>
        </w:tc>
        <w:tc>
          <w:tcPr>
            <w:tcW w:w="4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0.19%</w:t>
            </w:r>
          </w:p>
        </w:tc>
        <w:tc>
          <w:tcPr>
            <w:tcW w:w="60" w:type="dxa"/>
            <w:vAlign w:val="bottom"/>
            <w:tcBorders>
              <w:bottom w:val="single" w:sz="8" w:color="E5EBEE"/>
            </w:tcBorders>
            <w:shd w:val="clear" w:color="auto" w:fill="E5EBEE"/>
          </w:tcPr>
          <w:p>
            <w:pPr>
              <w:spacing w:after="0"/>
              <w:rPr>
                <w:sz w:val="24"/>
                <w:szCs w:val="24"/>
                <w:color w:val="auto"/>
              </w:rPr>
            </w:pPr>
          </w:p>
        </w:tc>
        <w:tc>
          <w:tcPr>
            <w:tcW w:w="11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7"/>
              </w:rPr>
              <w:t>0.05%</w:t>
            </w:r>
          </w:p>
        </w:tc>
      </w:tr>
      <w:tr>
        <w:trPr>
          <w:trHeight w:val="321"/>
        </w:trPr>
        <w:tc>
          <w:tcPr>
            <w:tcW w:w="738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Adjusted ROA (Non-GAAP) </w:t>
            </w:r>
            <w:r>
              <w:rPr>
                <w:rFonts w:ascii="Arial" w:cs="Arial" w:eastAsia="Arial" w:hAnsi="Arial"/>
                <w:sz w:val="26"/>
                <w:szCs w:val="26"/>
                <w:b w:val="1"/>
                <w:bCs w:val="1"/>
                <w:color w:val="auto"/>
                <w:vertAlign w:val="superscript"/>
              </w:rPr>
              <w:t>(5)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7"/>
              </w:rPr>
              <w:t>1.82%</w:t>
            </w:r>
          </w:p>
        </w:tc>
        <w:tc>
          <w:tcPr>
            <w:tcW w:w="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1.09%</w:t>
            </w:r>
          </w:p>
        </w:tc>
      </w:tr>
      <w:tr>
        <w:trPr>
          <w:trHeight w:val="20"/>
        </w:trPr>
        <w:tc>
          <w:tcPr>
            <w:tcW w:w="1220" w:type="dxa"/>
            <w:vAlign w:val="bottom"/>
            <w:tcBorders>
              <w:bottom w:val="single" w:sz="8" w:color="E5EBEE"/>
            </w:tcBorders>
          </w:tcPr>
          <w:p>
            <w:pPr>
              <w:spacing w:after="0" w:line="20" w:lineRule="exact"/>
              <w:rPr>
                <w:sz w:val="1"/>
                <w:szCs w:val="1"/>
                <w:color w:val="auto"/>
              </w:rPr>
            </w:pPr>
          </w:p>
        </w:tc>
        <w:tc>
          <w:tcPr>
            <w:tcW w:w="6160" w:type="dxa"/>
            <w:vAlign w:val="bottom"/>
            <w:tcBorders>
              <w:bottom w:val="single" w:sz="8" w:color="E5EBEE"/>
            </w:tcBorders>
          </w:tcPr>
          <w:p>
            <w:pPr>
              <w:spacing w:after="0" w:line="20" w:lineRule="exact"/>
              <w:rPr>
                <w:sz w:val="1"/>
                <w:szCs w:val="1"/>
                <w:color w:val="auto"/>
              </w:rPr>
            </w:pPr>
          </w:p>
        </w:tc>
        <w:tc>
          <w:tcPr>
            <w:tcW w:w="40" w:type="dxa"/>
            <w:vAlign w:val="bottom"/>
            <w:tcBorders>
              <w:bottom w:val="single" w:sz="8" w:color="E5EBEE"/>
            </w:tcBorders>
          </w:tcPr>
          <w:p>
            <w:pPr>
              <w:spacing w:after="0" w:line="20" w:lineRule="exact"/>
              <w:rPr>
                <w:sz w:val="1"/>
                <w:szCs w:val="1"/>
                <w:color w:val="auto"/>
              </w:rPr>
            </w:pPr>
          </w:p>
        </w:tc>
        <w:tc>
          <w:tcPr>
            <w:tcW w:w="1180" w:type="dxa"/>
            <w:vAlign w:val="bottom"/>
            <w:tcBorders>
              <w:top w:val="single" w:sz="8" w:color="023C5B"/>
              <w:bottom w:val="single" w:sz="8" w:color="023C5B"/>
            </w:tcBorders>
          </w:tcPr>
          <w:p>
            <w:pPr>
              <w:spacing w:after="0" w:line="20" w:lineRule="exact"/>
              <w:rPr>
                <w:sz w:val="1"/>
                <w:szCs w:val="1"/>
                <w:color w:val="auto"/>
              </w:rPr>
            </w:pPr>
          </w:p>
        </w:tc>
        <w:tc>
          <w:tcPr>
            <w:tcW w:w="40" w:type="dxa"/>
            <w:vAlign w:val="bottom"/>
            <w:tcBorders>
              <w:bottom w:val="single" w:sz="8" w:color="E5EBEE"/>
            </w:tcBorders>
          </w:tcPr>
          <w:p>
            <w:pPr>
              <w:spacing w:after="0" w:line="20" w:lineRule="exact"/>
              <w:rPr>
                <w:sz w:val="1"/>
                <w:szCs w:val="1"/>
                <w:color w:val="auto"/>
              </w:rPr>
            </w:pPr>
          </w:p>
        </w:tc>
        <w:tc>
          <w:tcPr>
            <w:tcW w:w="1100" w:type="dxa"/>
            <w:vAlign w:val="bottom"/>
            <w:tcBorders>
              <w:top w:val="single" w:sz="8" w:color="023C5B"/>
              <w:bottom w:val="single" w:sz="8" w:color="023C5B"/>
            </w:tcBorders>
          </w:tcPr>
          <w:p>
            <w:pPr>
              <w:spacing w:after="0" w:line="20" w:lineRule="exact"/>
              <w:rPr>
                <w:sz w:val="1"/>
                <w:szCs w:val="1"/>
                <w:color w:val="auto"/>
              </w:rPr>
            </w:pPr>
          </w:p>
        </w:tc>
        <w:tc>
          <w:tcPr>
            <w:tcW w:w="60" w:type="dxa"/>
            <w:vAlign w:val="bottom"/>
            <w:tcBorders>
              <w:bottom w:val="single" w:sz="8" w:color="E5EBEE"/>
            </w:tcBorders>
          </w:tcPr>
          <w:p>
            <w:pPr>
              <w:spacing w:after="0" w:line="20" w:lineRule="exact"/>
              <w:rPr>
                <w:sz w:val="1"/>
                <w:szCs w:val="1"/>
                <w:color w:val="auto"/>
              </w:rPr>
            </w:pPr>
          </w:p>
        </w:tc>
        <w:tc>
          <w:tcPr>
            <w:tcW w:w="1120" w:type="dxa"/>
            <w:vAlign w:val="bottom"/>
            <w:tcBorders>
              <w:top w:val="single" w:sz="8" w:color="023C5B"/>
              <w:bottom w:val="single" w:sz="8" w:color="023C5B"/>
            </w:tcBorders>
          </w:tcPr>
          <w:p>
            <w:pPr>
              <w:spacing w:after="0" w:line="20" w:lineRule="exact"/>
              <w:rPr>
                <w:sz w:val="1"/>
                <w:szCs w:val="1"/>
                <w:color w:val="auto"/>
              </w:rPr>
            </w:pPr>
          </w:p>
        </w:tc>
      </w:tr>
      <w:tr>
        <w:trPr>
          <w:trHeight w:val="221"/>
        </w:trPr>
        <w:tc>
          <w:tcPr>
            <w:tcW w:w="1220" w:type="dxa"/>
            <w:vAlign w:val="bottom"/>
            <w:shd w:val="clear" w:color="auto" w:fill="E5EBEE"/>
          </w:tcPr>
          <w:p>
            <w:pPr>
              <w:spacing w:after="0"/>
              <w:rPr>
                <w:sz w:val="19"/>
                <w:szCs w:val="19"/>
                <w:color w:val="auto"/>
              </w:rPr>
            </w:pPr>
          </w:p>
        </w:tc>
        <w:tc>
          <w:tcPr>
            <w:tcW w:w="6160" w:type="dxa"/>
            <w:vAlign w:val="bottom"/>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180" w:type="dxa"/>
            <w:vAlign w:val="bottom"/>
            <w:shd w:val="clear" w:color="auto" w:fill="E5EBEE"/>
          </w:tcPr>
          <w:p>
            <w:pPr>
              <w:spacing w:after="0"/>
              <w:rPr>
                <w:sz w:val="19"/>
                <w:szCs w:val="19"/>
                <w:color w:val="auto"/>
              </w:rPr>
            </w:pPr>
          </w:p>
        </w:tc>
        <w:tc>
          <w:tcPr>
            <w:tcW w:w="40" w:type="dxa"/>
            <w:vAlign w:val="bottom"/>
            <w:shd w:val="clear" w:color="auto" w:fill="E5EBEE"/>
          </w:tcPr>
          <w:p>
            <w:pPr>
              <w:spacing w:after="0"/>
              <w:rPr>
                <w:sz w:val="19"/>
                <w:szCs w:val="19"/>
                <w:color w:val="auto"/>
              </w:rPr>
            </w:pPr>
          </w:p>
        </w:tc>
        <w:tc>
          <w:tcPr>
            <w:tcW w:w="1100" w:type="dxa"/>
            <w:vAlign w:val="bottom"/>
            <w:shd w:val="clear" w:color="auto" w:fill="E5EBEE"/>
          </w:tcPr>
          <w:p>
            <w:pPr>
              <w:spacing w:after="0"/>
              <w:rPr>
                <w:sz w:val="19"/>
                <w:szCs w:val="19"/>
                <w:color w:val="auto"/>
              </w:rPr>
            </w:pPr>
          </w:p>
        </w:tc>
        <w:tc>
          <w:tcPr>
            <w:tcW w:w="60" w:type="dxa"/>
            <w:vAlign w:val="bottom"/>
            <w:shd w:val="clear" w:color="auto" w:fill="E5EBEE"/>
          </w:tcPr>
          <w:p>
            <w:pPr>
              <w:spacing w:after="0"/>
              <w:rPr>
                <w:sz w:val="19"/>
                <w:szCs w:val="19"/>
                <w:color w:val="auto"/>
              </w:rPr>
            </w:pPr>
          </w:p>
        </w:tc>
        <w:tc>
          <w:tcPr>
            <w:tcW w:w="1120" w:type="dxa"/>
            <w:vAlign w:val="bottom"/>
            <w:shd w:val="clear" w:color="auto" w:fill="E5EBEE"/>
          </w:tcPr>
          <w:p>
            <w:pPr>
              <w:spacing w:after="0"/>
              <w:rPr>
                <w:sz w:val="19"/>
                <w:szCs w:val="19"/>
                <w:color w:val="auto"/>
              </w:rPr>
            </w:pPr>
          </w:p>
        </w:tc>
      </w:tr>
      <w:tr>
        <w:trPr>
          <w:trHeight w:val="293"/>
        </w:trPr>
        <w:tc>
          <w:tcPr>
            <w:tcW w:w="7380" w:type="dxa"/>
            <w:vAlign w:val="bottom"/>
            <w:gridSpan w:val="2"/>
          </w:tcPr>
          <w:p>
            <w:pPr>
              <w:ind w:left="100"/>
              <w:spacing w:after="0"/>
              <w:rPr>
                <w:sz w:val="20"/>
                <w:szCs w:val="20"/>
                <w:color w:val="auto"/>
              </w:rPr>
            </w:pPr>
            <w:r>
              <w:rPr>
                <w:rFonts w:ascii="Arial" w:cs="Arial" w:eastAsia="Arial" w:hAnsi="Arial"/>
                <w:sz w:val="18"/>
                <w:szCs w:val="18"/>
                <w:b w:val="1"/>
                <w:bCs w:val="1"/>
                <w:color w:val="auto"/>
              </w:rPr>
              <w:t>Tangible book value per common share:</w:t>
            </w: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
        </w:trPr>
        <w:tc>
          <w:tcPr>
            <w:tcW w:w="12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8"/>
        </w:trPr>
        <w:tc>
          <w:tcPr>
            <w:tcW w:w="7380" w:type="dxa"/>
            <w:vAlign w:val="bottom"/>
            <w:tcBorders>
              <w:bottom w:val="single" w:sz="8" w:color="E5EBEE"/>
            </w:tcBorders>
            <w:gridSpan w:val="2"/>
            <w:shd w:val="clear" w:color="auto" w:fill="E5EBEE"/>
          </w:tcPr>
          <w:p>
            <w:pPr>
              <w:ind w:left="280"/>
              <w:spacing w:after="0"/>
              <w:rPr>
                <w:sz w:val="20"/>
                <w:szCs w:val="20"/>
                <w:color w:val="auto"/>
              </w:rPr>
            </w:pPr>
            <w:r>
              <w:rPr>
                <w:rFonts w:ascii="Arial" w:cs="Arial" w:eastAsia="Arial" w:hAnsi="Arial"/>
                <w:sz w:val="18"/>
                <w:szCs w:val="18"/>
                <w:color w:val="auto"/>
              </w:rPr>
              <w:t>Tangible common equity (period-end)</w:t>
            </w:r>
          </w:p>
        </w:tc>
        <w:tc>
          <w:tcPr>
            <w:tcW w:w="1220" w:type="dxa"/>
            <w:vAlign w:val="bottom"/>
            <w:tcBorders>
              <w:bottom w:val="single" w:sz="8" w:color="E5EBEE"/>
            </w:tcBorders>
            <w:gridSpan w:val="2"/>
            <w:shd w:val="clear" w:color="auto" w:fill="E5EBEE"/>
          </w:tcPr>
          <w:p>
            <w:pPr>
              <w:jc w:val="center"/>
              <w:spacing w:after="0"/>
              <w:rPr>
                <w:sz w:val="20"/>
                <w:szCs w:val="20"/>
                <w:color w:val="auto"/>
              </w:rPr>
            </w:pPr>
            <w:r>
              <w:rPr>
                <w:rFonts w:ascii="Arial" w:cs="Arial" w:eastAsia="Arial" w:hAnsi="Arial"/>
                <w:sz w:val="18"/>
                <w:szCs w:val="18"/>
                <w:color w:val="auto"/>
              </w:rPr>
              <w:t>$67,333</w:t>
            </w:r>
          </w:p>
        </w:tc>
        <w:tc>
          <w:tcPr>
            <w:tcW w:w="40" w:type="dxa"/>
            <w:vAlign w:val="bottom"/>
            <w:tcBorders>
              <w:bottom w:val="single" w:sz="8" w:color="E5EBEE"/>
            </w:tcBorders>
            <w:shd w:val="clear" w:color="auto" w:fill="E5EBEE"/>
          </w:tcPr>
          <w:p>
            <w:pPr>
              <w:spacing w:after="0"/>
              <w:rPr>
                <w:sz w:val="24"/>
                <w:szCs w:val="24"/>
                <w:color w:val="auto"/>
              </w:rPr>
            </w:pPr>
          </w:p>
        </w:tc>
        <w:tc>
          <w:tcPr>
            <w:tcW w:w="110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w w:val="98"/>
              </w:rPr>
              <w:t>$40,782</w:t>
            </w:r>
          </w:p>
        </w:tc>
        <w:tc>
          <w:tcPr>
            <w:tcW w:w="60" w:type="dxa"/>
            <w:vAlign w:val="bottom"/>
            <w:tcBorders>
              <w:bottom w:val="single" w:sz="8" w:color="E5EBEE"/>
            </w:tcBorders>
            <w:shd w:val="clear" w:color="auto" w:fill="E5EBEE"/>
          </w:tcPr>
          <w:p>
            <w:pPr>
              <w:spacing w:after="0"/>
              <w:rPr>
                <w:sz w:val="24"/>
                <w:szCs w:val="24"/>
                <w:color w:val="auto"/>
              </w:rPr>
            </w:pPr>
          </w:p>
        </w:tc>
        <w:tc>
          <w:tcPr>
            <w:tcW w:w="1120" w:type="dxa"/>
            <w:vAlign w:val="bottom"/>
            <w:tcBorders>
              <w:bottom w:val="single" w:sz="8" w:color="E5EBEE"/>
            </w:tcBorders>
            <w:shd w:val="clear" w:color="auto" w:fill="E5EBEE"/>
          </w:tcPr>
          <w:p>
            <w:pPr>
              <w:jc w:val="center"/>
              <w:spacing w:after="0"/>
              <w:rPr>
                <w:sz w:val="20"/>
                <w:szCs w:val="20"/>
                <w:color w:val="auto"/>
              </w:rPr>
            </w:pPr>
            <w:r>
              <w:rPr>
                <w:rFonts w:ascii="Arial" w:cs="Arial" w:eastAsia="Arial" w:hAnsi="Arial"/>
                <w:sz w:val="18"/>
                <w:szCs w:val="18"/>
                <w:color w:val="auto"/>
              </w:rPr>
              <w:t>$37,955</w:t>
            </w:r>
          </w:p>
        </w:tc>
      </w:tr>
      <w:tr>
        <w:trPr>
          <w:trHeight w:val="270"/>
        </w:trPr>
        <w:tc>
          <w:tcPr>
            <w:tcW w:w="7380" w:type="dxa"/>
            <w:vAlign w:val="bottom"/>
            <w:gridSpan w:val="2"/>
          </w:tcPr>
          <w:p>
            <w:pPr>
              <w:ind w:left="280"/>
              <w:spacing w:after="0"/>
              <w:rPr>
                <w:sz w:val="20"/>
                <w:szCs w:val="20"/>
                <w:color w:val="auto"/>
              </w:rPr>
            </w:pPr>
            <w:r>
              <w:rPr>
                <w:rFonts w:ascii="Arial" w:cs="Arial" w:eastAsia="Arial" w:hAnsi="Arial"/>
                <w:sz w:val="18"/>
                <w:szCs w:val="18"/>
                <w:color w:val="auto"/>
              </w:rPr>
              <w:t>Outstanding Common Shares</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rPr>
              <w:t>625.1</w:t>
            </w:r>
          </w:p>
        </w:tc>
        <w:tc>
          <w:tcPr>
            <w:tcW w:w="4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381.2</w:t>
            </w:r>
          </w:p>
        </w:tc>
        <w:tc>
          <w:tcPr>
            <w:tcW w:w="6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380.4</w:t>
            </w:r>
          </w:p>
        </w:tc>
      </w:tr>
      <w:tr>
        <w:trPr>
          <w:trHeight w:val="38"/>
        </w:trPr>
        <w:tc>
          <w:tcPr>
            <w:tcW w:w="12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Borders>
              <w:bottom w:val="single" w:sz="8" w:color="023C5B"/>
            </w:tcBorders>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023C5B"/>
            </w:tcBorders>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Borders>
              <w:bottom w:val="single" w:sz="8" w:color="023C5B"/>
            </w:tcBorders>
          </w:tcPr>
          <w:p>
            <w:pPr>
              <w:spacing w:after="0"/>
              <w:rPr>
                <w:sz w:val="3"/>
                <w:szCs w:val="3"/>
                <w:color w:val="auto"/>
              </w:rPr>
            </w:pPr>
          </w:p>
        </w:tc>
      </w:tr>
      <w:tr>
        <w:trPr>
          <w:trHeight w:val="20"/>
        </w:trPr>
        <w:tc>
          <w:tcPr>
            <w:tcW w:w="12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4"/>
        </w:trPr>
        <w:tc>
          <w:tcPr>
            <w:tcW w:w="7380" w:type="dxa"/>
            <w:vAlign w:val="bottom"/>
            <w:gridSpan w:val="2"/>
            <w:shd w:val="clear" w:color="auto" w:fill="E5EBEE"/>
          </w:tcPr>
          <w:p>
            <w:pPr>
              <w:ind w:left="100"/>
              <w:spacing w:after="0" w:line="295" w:lineRule="exact"/>
              <w:rPr>
                <w:sz w:val="20"/>
                <w:szCs w:val="20"/>
                <w:color w:val="auto"/>
              </w:rPr>
            </w:pPr>
            <w:r>
              <w:rPr>
                <w:rFonts w:ascii="Arial" w:cs="Arial" w:eastAsia="Arial" w:hAnsi="Arial"/>
                <w:sz w:val="18"/>
                <w:szCs w:val="18"/>
                <w:b w:val="1"/>
                <w:bCs w:val="1"/>
                <w:color w:val="auto"/>
              </w:rPr>
              <w:t>Tangible book value per common share</w:t>
            </w:r>
            <w:r>
              <w:rPr>
                <w:rFonts w:ascii="Arial" w:cs="Arial" w:eastAsia="Arial" w:hAnsi="Arial"/>
                <w:sz w:val="26"/>
                <w:szCs w:val="26"/>
                <w:b w:val="1"/>
                <w:bCs w:val="1"/>
                <w:color w:val="auto"/>
                <w:vertAlign w:val="superscript"/>
              </w:rPr>
              <w:t>(3)</w:t>
            </w:r>
          </w:p>
        </w:tc>
        <w:tc>
          <w:tcPr>
            <w:tcW w:w="1220" w:type="dxa"/>
            <w:vAlign w:val="bottom"/>
            <w:gridSpan w:val="2"/>
            <w:shd w:val="clear" w:color="auto" w:fill="E5EBEE"/>
          </w:tcPr>
          <w:p>
            <w:pPr>
              <w:jc w:val="center"/>
              <w:spacing w:after="0"/>
              <w:rPr>
                <w:sz w:val="20"/>
                <w:szCs w:val="20"/>
                <w:color w:val="auto"/>
              </w:rPr>
            </w:pPr>
            <w:r>
              <w:rPr>
                <w:rFonts w:ascii="Arial" w:cs="Arial" w:eastAsia="Arial" w:hAnsi="Arial"/>
                <w:sz w:val="18"/>
                <w:szCs w:val="18"/>
                <w:color w:val="auto"/>
              </w:rPr>
              <w:t>$107.72</w:t>
            </w:r>
          </w:p>
        </w:tc>
        <w:tc>
          <w:tcPr>
            <w:tcW w:w="40" w:type="dxa"/>
            <w:vAlign w:val="bottom"/>
            <w:shd w:val="clear" w:color="auto" w:fill="E5EBEE"/>
          </w:tcPr>
          <w:p>
            <w:pPr>
              <w:spacing w:after="0"/>
              <w:rPr>
                <w:sz w:val="24"/>
                <w:szCs w:val="24"/>
                <w:color w:val="auto"/>
              </w:rPr>
            </w:pPr>
          </w:p>
        </w:tc>
        <w:tc>
          <w:tcPr>
            <w:tcW w:w="1100" w:type="dxa"/>
            <w:vAlign w:val="bottom"/>
            <w:shd w:val="clear" w:color="auto" w:fill="E5EBEE"/>
          </w:tcPr>
          <w:p>
            <w:pPr>
              <w:jc w:val="center"/>
              <w:spacing w:after="0"/>
              <w:rPr>
                <w:sz w:val="20"/>
                <w:szCs w:val="20"/>
                <w:color w:val="auto"/>
              </w:rPr>
            </w:pPr>
            <w:r>
              <w:rPr>
                <w:rFonts w:ascii="Arial" w:cs="Arial" w:eastAsia="Arial" w:hAnsi="Arial"/>
                <w:sz w:val="18"/>
                <w:szCs w:val="18"/>
                <w:color w:val="auto"/>
                <w:w w:val="98"/>
              </w:rPr>
              <w:t>$106.97</w:t>
            </w:r>
          </w:p>
        </w:tc>
        <w:tc>
          <w:tcPr>
            <w:tcW w:w="60" w:type="dxa"/>
            <w:vAlign w:val="bottom"/>
            <w:shd w:val="clear" w:color="auto" w:fill="E5EBEE"/>
          </w:tcPr>
          <w:p>
            <w:pPr>
              <w:spacing w:after="0"/>
              <w:rPr>
                <w:sz w:val="24"/>
                <w:szCs w:val="24"/>
                <w:color w:val="auto"/>
              </w:rPr>
            </w:pPr>
          </w:p>
        </w:tc>
        <w:tc>
          <w:tcPr>
            <w:tcW w:w="1120" w:type="dxa"/>
            <w:vAlign w:val="bottom"/>
            <w:shd w:val="clear" w:color="auto" w:fill="E5EBEE"/>
          </w:tcPr>
          <w:p>
            <w:pPr>
              <w:jc w:val="center"/>
              <w:spacing w:after="0"/>
              <w:rPr>
                <w:sz w:val="20"/>
                <w:szCs w:val="20"/>
                <w:color w:val="auto"/>
              </w:rPr>
            </w:pPr>
            <w:r>
              <w:rPr>
                <w:rFonts w:ascii="Arial" w:cs="Arial" w:eastAsia="Arial" w:hAnsi="Arial"/>
                <w:sz w:val="18"/>
                <w:szCs w:val="18"/>
                <w:color w:val="auto"/>
                <w:w w:val="98"/>
              </w:rPr>
              <w:t>$99.78</w:t>
            </w:r>
          </w:p>
        </w:tc>
      </w:tr>
      <w:tr>
        <w:trPr>
          <w:trHeight w:val="20"/>
        </w:trPr>
        <w:tc>
          <w:tcPr>
            <w:tcW w:w="12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top w:val="single" w:sz="8" w:color="023C5B"/>
              <w:bottom w:val="single" w:sz="8" w:color="023C5B"/>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top w:val="single" w:sz="8" w:color="023C5B"/>
              <w:bottom w:val="single" w:sz="8" w:color="023C5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023C5B"/>
              <w:bottom w:val="single" w:sz="8" w:color="023C5B"/>
            </w:tcBorders>
          </w:tcPr>
          <w:p>
            <w:pPr>
              <w:spacing w:after="0" w:line="20" w:lineRule="exact"/>
              <w:rPr>
                <w:sz w:val="1"/>
                <w:szCs w:val="1"/>
                <w:color w:val="auto"/>
              </w:rPr>
            </w:pPr>
          </w:p>
        </w:tc>
      </w:tr>
      <w:tr>
        <w:trPr>
          <w:trHeight w:val="141"/>
        </w:trPr>
        <w:tc>
          <w:tcPr>
            <w:tcW w:w="1220" w:type="dxa"/>
            <w:vAlign w:val="bottom"/>
            <w:tcBorders>
              <w:bottom w:val="single" w:sz="8" w:color="auto"/>
            </w:tcBorders>
          </w:tcPr>
          <w:p>
            <w:pPr>
              <w:spacing w:after="0"/>
              <w:rPr>
                <w:sz w:val="12"/>
                <w:szCs w:val="12"/>
                <w:color w:val="auto"/>
              </w:rPr>
            </w:pPr>
          </w:p>
        </w:tc>
        <w:tc>
          <w:tcPr>
            <w:tcW w:w="6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r>
    </w:tbl>
    <w:p>
      <w:pPr>
        <w:spacing w:after="0" w:line="31" w:lineRule="exact"/>
        <w:rPr>
          <w:sz w:val="20"/>
          <w:szCs w:val="20"/>
          <w:color w:val="auto"/>
        </w:rPr>
      </w:pPr>
    </w:p>
    <w:p>
      <w:pPr>
        <w:ind w:left="600" w:hanging="433"/>
        <w:spacing w:after="0"/>
        <w:tabs>
          <w:tab w:leader="none" w:pos="60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Management believes that this financial metric is useful in assessing the ability of a lending institution to generate income in excess of its provision for credit losses.</w:t>
      </w:r>
    </w:p>
    <w:p>
      <w:pPr>
        <w:spacing w:after="0" w:line="79" w:lineRule="exact"/>
        <w:rPr>
          <w:rFonts w:ascii="Arial" w:cs="Arial" w:eastAsia="Arial" w:hAnsi="Arial"/>
          <w:sz w:val="14"/>
          <w:szCs w:val="14"/>
          <w:color w:val="auto"/>
        </w:rPr>
      </w:pPr>
    </w:p>
    <w:p>
      <w:pPr>
        <w:ind w:left="600" w:hanging="433"/>
        <w:spacing w:after="0"/>
        <w:tabs>
          <w:tab w:leader="none" w:pos="60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Includes impact of related deferred taxes.</w:t>
      </w:r>
    </w:p>
    <w:p>
      <w:pPr>
        <w:spacing w:after="0" w:line="137" w:lineRule="exact"/>
        <w:rPr>
          <w:sz w:val="20"/>
          <w:szCs w:val="20"/>
          <w:color w:val="auto"/>
        </w:rPr>
      </w:pPr>
    </w:p>
    <w:p>
      <w:pPr>
        <w:ind w:left="5520"/>
        <w:spacing w:after="0"/>
        <w:tabs>
          <w:tab w:leader="none" w:pos="8620" w:val="left"/>
        </w:tabs>
        <w:rPr>
          <w:sz w:val="20"/>
          <w:szCs w:val="20"/>
          <w:color w:val="auto"/>
        </w:rPr>
      </w:pP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5"/>
          <w:szCs w:val="15"/>
          <w:b w:val="1"/>
          <w:bCs w:val="1"/>
          <w:color w:val="023C5B"/>
        </w:rPr>
        <w:t xml:space="preserve">  2026 PROXY STATEMENT  </w:t>
      </w:r>
      <w:r>
        <w:rPr>
          <w:rFonts w:ascii="Arial" w:cs="Arial" w:eastAsia="Arial" w:hAnsi="Arial"/>
          <w:sz w:val="17"/>
          <w:szCs w:val="17"/>
          <w:b w:val="1"/>
          <w:bCs w:val="1"/>
          <w:color w:val="000000"/>
        </w:rPr>
        <w:t xml:space="preserve">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5439410</wp:posOffset>
            </wp:positionH>
            <wp:positionV relativeFrom="paragraph">
              <wp:posOffset>-111760</wp:posOffset>
            </wp:positionV>
            <wp:extent cx="8255" cy="1784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23C5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50165</wp:posOffset>
            </wp:positionV>
            <wp:extent cx="69297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23C5B"/>
        </w:rPr>
        <w:t>Appendix A - Information Regarding Non-GAAP Financial Measures</w:t>
      </w:r>
    </w:p>
    <w:p>
      <w:pPr>
        <w:spacing w:after="0" w:line="155" w:lineRule="exact"/>
        <w:rPr>
          <w:sz w:val="20"/>
          <w:szCs w:val="20"/>
          <w:color w:val="auto"/>
        </w:rPr>
      </w:pPr>
    </w:p>
    <w:p>
      <w:pPr>
        <w:ind w:left="600" w:hanging="433"/>
        <w:spacing w:after="0"/>
        <w:tabs>
          <w:tab w:leader="none" w:pos="6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Management considers this metric to be part of the key financial performance measures when assessing returns and capital management over time.</w:t>
      </w:r>
    </w:p>
    <w:p>
      <w:pPr>
        <w:spacing w:after="0" w:line="79" w:lineRule="exact"/>
        <w:rPr>
          <w:rFonts w:ascii="Arial" w:cs="Arial" w:eastAsia="Arial" w:hAnsi="Arial"/>
          <w:sz w:val="14"/>
          <w:szCs w:val="14"/>
          <w:color w:val="auto"/>
        </w:rPr>
      </w:pPr>
    </w:p>
    <w:p>
      <w:pPr>
        <w:jc w:val="both"/>
        <w:ind w:left="600" w:hanging="433"/>
        <w:spacing w:after="0" w:line="260" w:lineRule="auto"/>
        <w:tabs>
          <w:tab w:leader="none" w:pos="6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ROTCE is a non-GAAP measure calculated based on net income (loss) available to common stockholders less income (loss) from discontinued operations, net of tax, for the period, divided by average tangible common equity. Adjusted ROTCE is calculated based on adjusted net income available to common stockholders less discontinued operations, net of tax, divided by average tangible common equity. Average tangible common equity is not adjusted.</w:t>
      </w:r>
    </w:p>
    <w:p>
      <w:pPr>
        <w:spacing w:after="0" w:line="38" w:lineRule="exact"/>
        <w:rPr>
          <w:rFonts w:ascii="Arial" w:cs="Arial" w:eastAsia="Arial" w:hAnsi="Arial"/>
          <w:sz w:val="14"/>
          <w:szCs w:val="14"/>
          <w:color w:val="auto"/>
        </w:rPr>
      </w:pPr>
    </w:p>
    <w:p>
      <w:pPr>
        <w:jc w:val="both"/>
        <w:ind w:left="600" w:right="20" w:hanging="433"/>
        <w:spacing w:after="0" w:line="266" w:lineRule="auto"/>
        <w:tabs>
          <w:tab w:leader="none" w:pos="6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ROA is calculated based on net income (loss) less income (loss) from discontinued operations, net of tax, for the period divided by average total assets for the period. Adjusted ROA is a non-GAAP measure. Management believes this metric to be a key financial performance measures in its assessment of the Company’s performance.</w:t>
      </w:r>
    </w:p>
    <w:p>
      <w:pPr>
        <w:spacing w:after="0" w:line="254" w:lineRule="exact"/>
        <w:rPr>
          <w:sz w:val="20"/>
          <w:szCs w:val="20"/>
          <w:color w:val="auto"/>
        </w:rPr>
      </w:pPr>
    </w:p>
    <w:p>
      <w:pPr>
        <w:ind w:left="160"/>
        <w:spacing w:after="0"/>
        <w:tabs>
          <w:tab w:leader="none" w:pos="700" w:val="left"/>
          <w:tab w:leader="none" w:pos="38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5"/>
          <w:szCs w:val="15"/>
          <w:color w:val="023C5B"/>
        </w:rPr>
        <w:t>CAPITAL ONE FINANCIAL CORPORATION</w:t>
      </w:r>
      <w:r>
        <w:rPr>
          <w:sz w:val="20"/>
          <w:szCs w:val="20"/>
          <w:color w:val="auto"/>
        </w:rPr>
        <w:tab/>
      </w:r>
      <w:r>
        <w:rPr>
          <w:rFonts w:ascii="Arial" w:cs="Arial" w:eastAsia="Arial" w:hAnsi="Arial"/>
          <w:sz w:val="14"/>
          <w:szCs w:val="14"/>
          <w:b w:val="1"/>
          <w:bCs w:val="1"/>
          <w:color w:val="023C5B"/>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-113665</wp:posOffset>
            </wp:positionV>
            <wp:extent cx="8255" cy="1784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1784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248285</wp:posOffset>
            </wp:positionV>
            <wp:extent cx="1265555" cy="46736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65555" cy="46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0" w:hanging="116"/>
        <w:spacing w:after="0"/>
        <w:tabs>
          <w:tab w:leader="none" w:pos="600" w:val="left"/>
        </w:tabs>
        <w:numPr>
          <w:ilvl w:val="0"/>
          <w:numId w:val="138"/>
        </w:numPr>
        <w:rPr>
          <w:rFonts w:ascii="Arial" w:cs="Arial" w:eastAsia="Arial" w:hAnsi="Arial"/>
          <w:sz w:val="10"/>
          <w:szCs w:val="10"/>
          <w:i w:val="1"/>
          <w:iCs w:val="1"/>
          <w:color w:val="auto"/>
        </w:rPr>
      </w:pPr>
      <w:r>
        <w:rPr>
          <w:rFonts w:ascii="Arial" w:cs="Arial" w:eastAsia="Arial" w:hAnsi="Arial"/>
          <w:sz w:val="10"/>
          <w:szCs w:val="10"/>
          <w:i w:val="1"/>
          <w:iCs w:val="1"/>
          <w:color w:val="auto"/>
        </w:rPr>
        <w:t>   CAPITAL ONE FINANCIAL CORPORATION</w:t>
      </w:r>
    </w:p>
    <w:p>
      <w:pPr>
        <w:spacing w:after="0" w:line="28" w:lineRule="exact"/>
        <w:rPr>
          <w:rFonts w:ascii="Arial" w:cs="Arial" w:eastAsia="Arial" w:hAnsi="Arial"/>
          <w:sz w:val="10"/>
          <w:szCs w:val="10"/>
          <w:i w:val="1"/>
          <w:iCs w:val="1"/>
          <w:color w:val="auto"/>
        </w:rPr>
      </w:pPr>
    </w:p>
    <w:p>
      <w:pPr>
        <w:ind w:left="600" w:hanging="116"/>
        <w:spacing w:after="0"/>
        <w:tabs>
          <w:tab w:leader="none" w:pos="600" w:val="left"/>
        </w:tabs>
        <w:numPr>
          <w:ilvl w:val="0"/>
          <w:numId w:val="138"/>
        </w:numPr>
        <w:rPr>
          <w:rFonts w:ascii="Arial" w:cs="Arial" w:eastAsia="Arial" w:hAnsi="Arial"/>
          <w:sz w:val="10"/>
          <w:szCs w:val="10"/>
          <w:i w:val="1"/>
          <w:iCs w:val="1"/>
          <w:color w:val="auto"/>
        </w:rPr>
      </w:pPr>
      <w:r>
        <w:rPr>
          <w:rFonts w:ascii="Arial" w:cs="Arial" w:eastAsia="Arial" w:hAnsi="Arial"/>
          <w:sz w:val="10"/>
          <w:szCs w:val="10"/>
          <w:i w:val="1"/>
          <w:iCs w:val="1"/>
          <w:color w:val="auto"/>
        </w:rPr>
        <w:t>   1680 CAPITAL ONE DRIVE</w:t>
      </w:r>
    </w:p>
    <w:p>
      <w:pPr>
        <w:spacing w:after="0" w:line="18" w:lineRule="exact"/>
        <w:rPr>
          <w:rFonts w:ascii="Arial" w:cs="Arial" w:eastAsia="Arial" w:hAnsi="Arial"/>
          <w:sz w:val="10"/>
          <w:szCs w:val="10"/>
          <w:i w:val="1"/>
          <w:iCs w:val="1"/>
          <w:color w:val="auto"/>
        </w:rPr>
      </w:pPr>
    </w:p>
    <w:p>
      <w:pPr>
        <w:ind w:left="600" w:hanging="116"/>
        <w:spacing w:after="0"/>
        <w:tabs>
          <w:tab w:leader="none" w:pos="600" w:val="left"/>
        </w:tabs>
        <w:numPr>
          <w:ilvl w:val="0"/>
          <w:numId w:val="138"/>
        </w:numPr>
        <w:rPr>
          <w:rFonts w:ascii="Arial" w:cs="Arial" w:eastAsia="Arial" w:hAnsi="Arial"/>
          <w:sz w:val="10"/>
          <w:szCs w:val="10"/>
          <w:i w:val="1"/>
          <w:iCs w:val="1"/>
          <w:color w:val="auto"/>
        </w:rPr>
      </w:pPr>
      <w:r>
        <w:rPr>
          <w:rFonts w:ascii="Arial" w:cs="Arial" w:eastAsia="Arial" w:hAnsi="Arial"/>
          <w:sz w:val="10"/>
          <w:szCs w:val="10"/>
          <w:i w:val="1"/>
          <w:iCs w:val="1"/>
          <w:color w:val="auto"/>
        </w:rPr>
        <w:t>   MCLEAN, VA 22102-3491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0"/>
        <w:spacing w:after="0"/>
        <w:rPr>
          <w:sz w:val="20"/>
          <w:szCs w:val="20"/>
          <w:color w:val="auto"/>
        </w:rPr>
      </w:pPr>
      <w:r>
        <w:rPr>
          <w:rFonts w:ascii="Arial" w:cs="Arial" w:eastAsia="Arial" w:hAnsi="Arial"/>
          <w:sz w:val="10"/>
          <w:szCs w:val="10"/>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-1188085</wp:posOffset>
            </wp:positionV>
            <wp:extent cx="7176135" cy="552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163830</wp:posOffset>
            </wp:positionH>
            <wp:positionV relativeFrom="paragraph">
              <wp:posOffset>-441325</wp:posOffset>
            </wp:positionV>
            <wp:extent cx="1834515" cy="4248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834515" cy="42481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VOTE BY INTERNET - </w:t>
      </w:r>
      <w:r>
        <w:rPr>
          <w:rFonts w:ascii="Arial" w:cs="Arial" w:eastAsia="Arial" w:hAnsi="Arial"/>
          <w:sz w:val="12"/>
          <w:szCs w:val="12"/>
          <w:b w:val="1"/>
          <w:bCs w:val="1"/>
          <w:u w:val="single" w:color="auto"/>
          <w:color w:val="auto"/>
        </w:rPr>
        <w:t>www.proxyvote.com</w:t>
      </w:r>
      <w:r>
        <w:rPr>
          <w:rFonts w:ascii="Arial" w:cs="Arial" w:eastAsia="Arial" w:hAnsi="Arial"/>
          <w:sz w:val="12"/>
          <w:szCs w:val="12"/>
          <w:b w:val="1"/>
          <w:bCs w:val="1"/>
          <w:color w:val="auto"/>
        </w:rPr>
        <w:t xml:space="preserve"> or scan the QR Barcode above</w:t>
      </w:r>
    </w:p>
    <w:p>
      <w:pPr>
        <w:spacing w:after="0" w:line="47" w:lineRule="exact"/>
        <w:rPr>
          <w:sz w:val="20"/>
          <w:szCs w:val="20"/>
          <w:color w:val="auto"/>
        </w:rPr>
      </w:pPr>
    </w:p>
    <w:p>
      <w:pPr>
        <w:jc w:val="both"/>
        <w:ind w:right="360"/>
        <w:spacing w:after="0" w:line="238" w:lineRule="auto"/>
        <w:rPr>
          <w:sz w:val="20"/>
          <w:szCs w:val="20"/>
          <w:color w:val="auto"/>
        </w:rPr>
      </w:pPr>
      <w:r>
        <w:rPr>
          <w:rFonts w:ascii="Arial" w:cs="Arial" w:eastAsia="Arial" w:hAnsi="Arial"/>
          <w:sz w:val="11"/>
          <w:szCs w:val="11"/>
          <w:color w:val="auto"/>
        </w:rPr>
        <w:t>Use the Internet to transmit your voting instructions and for electronic delivery of information. Vote by 11:59 p.m. ET on May 7, 2026 for shares held directly and by 11:59 p.m. ET on May 5, 2026 for shares held in a Plan. Have your proxy card in hand when you access the website and follow the instructions to obtain your records and to create an electronic voting instruction form.</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2" w:lineRule="exact"/>
        <w:rPr>
          <w:sz w:val="20"/>
          <w:szCs w:val="20"/>
          <w:color w:val="auto"/>
        </w:rPr>
      </w:pPr>
    </w:p>
    <w:p>
      <w:pPr>
        <w:jc w:val="both"/>
        <w:ind w:right="360"/>
        <w:spacing w:after="0" w:line="232" w:lineRule="auto"/>
        <w:rPr>
          <w:sz w:val="20"/>
          <w:szCs w:val="20"/>
          <w:color w:val="auto"/>
        </w:rPr>
      </w:pPr>
      <w:r>
        <w:rPr>
          <w:rFonts w:ascii="Arial" w:cs="Arial" w:eastAsia="Arial" w:hAnsi="Arial"/>
          <w:sz w:val="11"/>
          <w:szCs w:val="1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2" w:lineRule="exact"/>
        <w:rPr>
          <w:sz w:val="20"/>
          <w:szCs w:val="20"/>
          <w:color w:val="auto"/>
        </w:rPr>
      </w:pPr>
    </w:p>
    <w:p>
      <w:pPr>
        <w:jc w:val="both"/>
        <w:ind w:right="360"/>
        <w:spacing w:after="0" w:line="235" w:lineRule="auto"/>
        <w:rPr>
          <w:sz w:val="20"/>
          <w:szCs w:val="20"/>
          <w:color w:val="auto"/>
        </w:rPr>
      </w:pPr>
      <w:r>
        <w:rPr>
          <w:rFonts w:ascii="Arial" w:cs="Arial" w:eastAsia="Arial" w:hAnsi="Arial"/>
          <w:sz w:val="11"/>
          <w:szCs w:val="11"/>
          <w:color w:val="auto"/>
        </w:rPr>
        <w:t>Use any touch-tone telephone to transmit your voting instructions. Vote by 11:59 p.m. ET on May 7, 2026 for shares held directly and by 11:59 p.m. ET on May 5, 2026 for shares held in a Plan. Have your proxy card in hand when you call and then follow the instructions.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2" w:lineRule="exact"/>
        <w:rPr>
          <w:sz w:val="20"/>
          <w:szCs w:val="20"/>
          <w:color w:val="auto"/>
        </w:rPr>
      </w:pPr>
    </w:p>
    <w:p>
      <w:pPr>
        <w:jc w:val="both"/>
        <w:ind w:right="360"/>
        <w:spacing w:after="0" w:line="238"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V85105-P40817-Z91539                   KEEP THIS PORTION FOR YOUR RECORDS</w:t>
      </w:r>
    </w:p>
    <w:p>
      <w:pPr>
        <w:spacing w:after="0" w:line="3" w:lineRule="exact"/>
        <w:rPr>
          <w:sz w:val="20"/>
          <w:szCs w:val="20"/>
          <w:color w:val="auto"/>
        </w:rPr>
      </w:pPr>
    </w:p>
    <w:p>
      <w:pPr>
        <w:sectPr>
          <w:pgSz w:w="11900" w:h="16838" w:orient="portrait"/>
          <w:cols w:equalWidth="0" w:num="2">
            <w:col w:w="5020" w:space="720"/>
            <w:col w:w="5340"/>
          </w:cols>
          <w:pgMar w:left="320" w:top="478" w:right="499" w:bottom="1440" w:gutter="0" w:footer="0" w:header="0"/>
        </w:sectPr>
      </w:pPr>
    </w:p>
    <w:p>
      <w:pPr>
        <w:ind w:left="160"/>
        <w:spacing w:after="0"/>
        <w:rPr>
          <w:sz w:val="20"/>
          <w:szCs w:val="20"/>
          <w:color w:val="auto"/>
        </w:rPr>
      </w:pPr>
      <w:r>
        <w:rPr>
          <w:rFonts w:ascii="Arial" w:cs="Arial" w:eastAsia="Arial" w:hAnsi="Arial"/>
          <w:sz w:val="13"/>
          <w:szCs w:val="13"/>
          <w:color w:val="auto"/>
        </w:rPr>
        <w:t>— — — — — — — — — — — — — — — — — — — — — — — — — — — — — — — — — — — — — — — — — — — — — — — — — — — — — — — — — — — — — — — —  — — — </w:t>
      </w:r>
    </w:p>
    <w:p>
      <w:pPr>
        <w:jc w:val="right"/>
        <w:spacing w:after="0" w:line="228" w:lineRule="auto"/>
        <w:rPr>
          <w:sz w:val="20"/>
          <w:szCs w:val="20"/>
          <w:color w:val="auto"/>
        </w:rPr>
      </w:pPr>
      <w:r>
        <w:rPr>
          <w:rFonts w:ascii="Arial" w:cs="Arial" w:eastAsia="Arial" w:hAnsi="Arial"/>
          <w:sz w:val="12"/>
          <w:szCs w:val="12"/>
          <w:color w:val="auto"/>
        </w:rPr>
        <w:t>DETACH AND RETURN THIS PORTION ONLY</w:t>
      </w:r>
    </w:p>
    <w:p>
      <w:pPr>
        <w:jc w:val="center"/>
        <w:ind w:right="-159"/>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77470</wp:posOffset>
            </wp:positionV>
            <wp:extent cx="6925310" cy="47428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925310" cy="4742815"/>
                    </a:xfrm>
                    <a:prstGeom prst="rect">
                      <a:avLst/>
                    </a:prstGeom>
                    <a:noFill/>
                  </pic:spPr>
                </pic:pic>
              </a:graphicData>
            </a:graphic>
          </wp:anchor>
        </w:drawing>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  CAPITAL ONE FINANCIAL CORPORATION</w:t>
      </w:r>
    </w:p>
    <w:p>
      <w:pPr>
        <w:sectPr>
          <w:pgSz w:w="11900" w:h="16838" w:orient="portrait"/>
          <w:cols w:equalWidth="0" w:num="1">
            <w:col w:w="11080"/>
          </w:cols>
          <w:pgMar w:left="320" w:top="478" w:right="499" w:bottom="1440" w:gutter="0" w:footer="0" w:header="0"/>
          <w:type w:val="continuous"/>
        </w:sectPr>
      </w:pPr>
    </w:p>
    <w:p>
      <w:pPr>
        <w:spacing w:after="0" w:line="349" w:lineRule="exact"/>
        <w:rPr>
          <w:sz w:val="20"/>
          <w:szCs w:val="20"/>
          <w:color w:val="auto"/>
        </w:rPr>
      </w:pPr>
    </w:p>
    <w:p>
      <w:pPr>
        <w:ind w:left="600" w:right="1100"/>
        <w:spacing w:after="0" w:line="289" w:lineRule="auto"/>
        <w:rPr>
          <w:sz w:val="20"/>
          <w:szCs w:val="20"/>
          <w:color w:val="auto"/>
        </w:rPr>
      </w:pPr>
      <w:r>
        <w:rPr>
          <w:rFonts w:ascii="Arial" w:cs="Arial" w:eastAsia="Arial" w:hAnsi="Arial"/>
          <w:sz w:val="12"/>
          <w:szCs w:val="12"/>
          <w:b w:val="1"/>
          <w:bCs w:val="1"/>
          <w:color w:val="auto"/>
        </w:rPr>
        <w:t>The Board of Directors recommends you vote FOR each of the following nominees:</w:t>
      </w:r>
    </w:p>
    <w:p>
      <w:pPr>
        <w:spacing w:after="0" w:line="42" w:lineRule="exact"/>
        <w:rPr>
          <w:sz w:val="20"/>
          <w:szCs w:val="20"/>
          <w:color w:val="auto"/>
        </w:rPr>
      </w:pPr>
    </w:p>
    <w:p>
      <w:pPr>
        <w:ind w:left="600" w:hanging="288"/>
        <w:spacing w:after="0"/>
        <w:tabs>
          <w:tab w:leader="none" w:pos="60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1.    Election of Directors</w:t>
      </w:r>
    </w:p>
    <w:p>
      <w:pPr>
        <w:spacing w:after="0" w:line="103"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2440" w:type="dxa"/>
            <w:vAlign w:val="bottom"/>
            <w:gridSpan w:val="2"/>
          </w:tcPr>
          <w:p>
            <w:pPr>
              <w:spacing w:after="0"/>
              <w:rPr>
                <w:sz w:val="20"/>
                <w:szCs w:val="20"/>
                <w:color w:val="auto"/>
              </w:rPr>
            </w:pPr>
            <w:r>
              <w:rPr>
                <w:rFonts w:ascii="Arial" w:cs="Arial" w:eastAsia="Arial" w:hAnsi="Arial"/>
                <w:sz w:val="12"/>
                <w:szCs w:val="12"/>
                <w:b w:val="1"/>
                <w:bCs w:val="1"/>
                <w:color w:val="auto"/>
              </w:rPr>
              <w:t>Nominees:</w:t>
            </w:r>
          </w:p>
        </w:tc>
        <w:tc>
          <w:tcPr>
            <w:tcW w:w="2060" w:type="dxa"/>
            <w:vAlign w:val="bottom"/>
            <w:gridSpan w:val="3"/>
          </w:tcPr>
          <w:p>
            <w:pPr>
              <w:ind w:left="820"/>
              <w:spacing w:after="0"/>
              <w:rPr>
                <w:sz w:val="20"/>
                <w:szCs w:val="20"/>
                <w:color w:val="auto"/>
              </w:rPr>
            </w:pPr>
            <w:r>
              <w:rPr>
                <w:rFonts w:ascii="Arial" w:cs="Arial" w:eastAsia="Arial" w:hAnsi="Arial"/>
                <w:sz w:val="12"/>
                <w:szCs w:val="12"/>
                <w:b w:val="1"/>
                <w:bCs w:val="1"/>
                <w:color w:val="auto"/>
              </w:rPr>
              <w:t>For Against Abstain</w:t>
            </w:r>
          </w:p>
        </w:tc>
      </w:tr>
      <w:tr>
        <w:trPr>
          <w:trHeight w:val="331"/>
        </w:trPr>
        <w:tc>
          <w:tcPr>
            <w:tcW w:w="240" w:type="dxa"/>
            <w:vAlign w:val="bottom"/>
          </w:tcPr>
          <w:p>
            <w:pPr>
              <w:spacing w:after="0"/>
              <w:rPr>
                <w:sz w:val="20"/>
                <w:szCs w:val="20"/>
                <w:color w:val="auto"/>
              </w:rPr>
            </w:pPr>
            <w:r>
              <w:rPr>
                <w:rFonts w:ascii="Arial" w:cs="Arial" w:eastAsia="Arial" w:hAnsi="Arial"/>
                <w:sz w:val="12"/>
                <w:szCs w:val="12"/>
                <w:color w:val="auto"/>
                <w:w w:val="76"/>
              </w:rPr>
              <w:t>1a. </w:t>
            </w:r>
          </w:p>
        </w:tc>
        <w:tc>
          <w:tcPr>
            <w:tcW w:w="2200" w:type="dxa"/>
            <w:vAlign w:val="bottom"/>
          </w:tcPr>
          <w:p>
            <w:pPr>
              <w:ind w:left="60"/>
              <w:spacing w:after="0"/>
              <w:rPr>
                <w:sz w:val="20"/>
                <w:szCs w:val="20"/>
                <w:color w:val="auto"/>
              </w:rPr>
            </w:pPr>
            <w:r>
              <w:rPr>
                <w:rFonts w:ascii="Arial" w:cs="Arial" w:eastAsia="Arial" w:hAnsi="Arial"/>
                <w:sz w:val="12"/>
                <w:szCs w:val="12"/>
                <w:color w:val="auto"/>
              </w:rPr>
              <w:t>Richard D. Fairbank</w:t>
            </w:r>
          </w:p>
        </w:tc>
        <w:tc>
          <w:tcPr>
            <w:tcW w:w="112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321"/>
        </w:trPr>
        <w:tc>
          <w:tcPr>
            <w:tcW w:w="240" w:type="dxa"/>
            <w:vAlign w:val="bottom"/>
          </w:tcPr>
          <w:p>
            <w:pPr>
              <w:spacing w:after="0"/>
              <w:rPr>
                <w:sz w:val="20"/>
                <w:szCs w:val="20"/>
                <w:color w:val="auto"/>
              </w:rPr>
            </w:pPr>
            <w:r>
              <w:rPr>
                <w:rFonts w:ascii="Arial" w:cs="Arial" w:eastAsia="Arial" w:hAnsi="Arial"/>
                <w:sz w:val="12"/>
                <w:szCs w:val="12"/>
                <w:color w:val="auto"/>
                <w:w w:val="76"/>
              </w:rPr>
              <w:t>1b. </w:t>
            </w:r>
          </w:p>
        </w:tc>
        <w:tc>
          <w:tcPr>
            <w:tcW w:w="2200" w:type="dxa"/>
            <w:vAlign w:val="bottom"/>
          </w:tcPr>
          <w:p>
            <w:pPr>
              <w:ind w:left="60"/>
              <w:spacing w:after="0"/>
              <w:rPr>
                <w:sz w:val="20"/>
                <w:szCs w:val="20"/>
                <w:color w:val="auto"/>
              </w:rPr>
            </w:pPr>
            <w:r>
              <w:rPr>
                <w:rFonts w:ascii="Arial" w:cs="Arial" w:eastAsia="Arial" w:hAnsi="Arial"/>
                <w:sz w:val="12"/>
                <w:szCs w:val="12"/>
                <w:color w:val="auto"/>
              </w:rPr>
              <w:t>Ime Archibong</w:t>
            </w:r>
          </w:p>
        </w:tc>
        <w:tc>
          <w:tcPr>
            <w:tcW w:w="112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321"/>
        </w:trPr>
        <w:tc>
          <w:tcPr>
            <w:tcW w:w="240" w:type="dxa"/>
            <w:vAlign w:val="bottom"/>
          </w:tcPr>
          <w:p>
            <w:pPr>
              <w:spacing w:after="0"/>
              <w:rPr>
                <w:sz w:val="20"/>
                <w:szCs w:val="20"/>
                <w:color w:val="auto"/>
              </w:rPr>
            </w:pPr>
            <w:r>
              <w:rPr>
                <w:rFonts w:ascii="Arial" w:cs="Arial" w:eastAsia="Arial" w:hAnsi="Arial"/>
                <w:sz w:val="12"/>
                <w:szCs w:val="12"/>
                <w:color w:val="auto"/>
                <w:w w:val="78"/>
              </w:rPr>
              <w:t>1c. </w:t>
            </w:r>
          </w:p>
        </w:tc>
        <w:tc>
          <w:tcPr>
            <w:tcW w:w="2200" w:type="dxa"/>
            <w:vAlign w:val="bottom"/>
          </w:tcPr>
          <w:p>
            <w:pPr>
              <w:ind w:left="60"/>
              <w:spacing w:after="0"/>
              <w:rPr>
                <w:sz w:val="20"/>
                <w:szCs w:val="20"/>
                <w:color w:val="auto"/>
              </w:rPr>
            </w:pPr>
            <w:r>
              <w:rPr>
                <w:rFonts w:ascii="Arial" w:cs="Arial" w:eastAsia="Arial" w:hAnsi="Arial"/>
                <w:sz w:val="12"/>
                <w:szCs w:val="12"/>
                <w:color w:val="auto"/>
              </w:rPr>
              <w:t>Christine Detrick</w:t>
            </w:r>
          </w:p>
        </w:tc>
        <w:tc>
          <w:tcPr>
            <w:tcW w:w="112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321"/>
        </w:trPr>
        <w:tc>
          <w:tcPr>
            <w:tcW w:w="240" w:type="dxa"/>
            <w:vAlign w:val="bottom"/>
          </w:tcPr>
          <w:p>
            <w:pPr>
              <w:spacing w:after="0"/>
              <w:rPr>
                <w:sz w:val="20"/>
                <w:szCs w:val="20"/>
                <w:color w:val="auto"/>
              </w:rPr>
            </w:pPr>
            <w:r>
              <w:rPr>
                <w:rFonts w:ascii="Arial" w:cs="Arial" w:eastAsia="Arial" w:hAnsi="Arial"/>
                <w:sz w:val="12"/>
                <w:szCs w:val="12"/>
                <w:color w:val="auto"/>
                <w:w w:val="76"/>
              </w:rPr>
              <w:t>1d. </w:t>
            </w:r>
          </w:p>
        </w:tc>
        <w:tc>
          <w:tcPr>
            <w:tcW w:w="2200" w:type="dxa"/>
            <w:vAlign w:val="bottom"/>
          </w:tcPr>
          <w:p>
            <w:pPr>
              <w:ind w:left="60"/>
              <w:spacing w:after="0"/>
              <w:rPr>
                <w:sz w:val="20"/>
                <w:szCs w:val="20"/>
                <w:color w:val="auto"/>
              </w:rPr>
            </w:pPr>
            <w:r>
              <w:rPr>
                <w:rFonts w:ascii="Arial" w:cs="Arial" w:eastAsia="Arial" w:hAnsi="Arial"/>
                <w:sz w:val="12"/>
                <w:szCs w:val="12"/>
                <w:color w:val="auto"/>
              </w:rPr>
              <w:t>Suni P. Harford</w:t>
            </w:r>
          </w:p>
        </w:tc>
        <w:tc>
          <w:tcPr>
            <w:tcW w:w="112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321"/>
        </w:trPr>
        <w:tc>
          <w:tcPr>
            <w:tcW w:w="240" w:type="dxa"/>
            <w:vAlign w:val="bottom"/>
          </w:tcPr>
          <w:p>
            <w:pPr>
              <w:spacing w:after="0"/>
              <w:rPr>
                <w:sz w:val="20"/>
                <w:szCs w:val="20"/>
                <w:color w:val="auto"/>
              </w:rPr>
            </w:pPr>
            <w:r>
              <w:rPr>
                <w:rFonts w:ascii="Arial" w:cs="Arial" w:eastAsia="Arial" w:hAnsi="Arial"/>
                <w:sz w:val="12"/>
                <w:szCs w:val="12"/>
                <w:color w:val="auto"/>
                <w:w w:val="76"/>
              </w:rPr>
              <w:t>1e. </w:t>
            </w:r>
          </w:p>
        </w:tc>
        <w:tc>
          <w:tcPr>
            <w:tcW w:w="2200" w:type="dxa"/>
            <w:vAlign w:val="bottom"/>
          </w:tcPr>
          <w:p>
            <w:pPr>
              <w:ind w:left="60"/>
              <w:spacing w:after="0"/>
              <w:rPr>
                <w:sz w:val="20"/>
                <w:szCs w:val="20"/>
                <w:color w:val="auto"/>
              </w:rPr>
            </w:pPr>
            <w:r>
              <w:rPr>
                <w:rFonts w:ascii="Arial" w:cs="Arial" w:eastAsia="Arial" w:hAnsi="Arial"/>
                <w:sz w:val="12"/>
                <w:szCs w:val="12"/>
                <w:color w:val="auto"/>
              </w:rPr>
              <w:t>Peter Thomas Killalea</w:t>
            </w:r>
          </w:p>
        </w:tc>
        <w:tc>
          <w:tcPr>
            <w:tcW w:w="112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321"/>
        </w:trPr>
        <w:tc>
          <w:tcPr>
            <w:tcW w:w="240" w:type="dxa"/>
            <w:vAlign w:val="bottom"/>
          </w:tcPr>
          <w:p>
            <w:pPr>
              <w:spacing w:after="0"/>
              <w:rPr>
                <w:sz w:val="20"/>
                <w:szCs w:val="20"/>
                <w:color w:val="auto"/>
              </w:rPr>
            </w:pPr>
            <w:r>
              <w:rPr>
                <w:rFonts w:ascii="Arial" w:cs="Arial" w:eastAsia="Arial" w:hAnsi="Arial"/>
                <w:sz w:val="12"/>
                <w:szCs w:val="12"/>
                <w:color w:val="auto"/>
                <w:w w:val="86"/>
              </w:rPr>
              <w:t>1f. </w:t>
            </w:r>
          </w:p>
        </w:tc>
        <w:tc>
          <w:tcPr>
            <w:tcW w:w="2200" w:type="dxa"/>
            <w:vAlign w:val="bottom"/>
          </w:tcPr>
          <w:p>
            <w:pPr>
              <w:ind w:left="20"/>
              <w:spacing w:after="0"/>
              <w:rPr>
                <w:sz w:val="20"/>
                <w:szCs w:val="20"/>
                <w:color w:val="auto"/>
              </w:rPr>
            </w:pPr>
            <w:r>
              <w:rPr>
                <w:rFonts w:ascii="Arial" w:cs="Arial" w:eastAsia="Arial" w:hAnsi="Arial"/>
                <w:sz w:val="12"/>
                <w:szCs w:val="12"/>
                <w:color w:val="auto"/>
              </w:rPr>
              <w:t> Cornelis (“Eli”) Leenaars</w:t>
            </w:r>
          </w:p>
        </w:tc>
        <w:tc>
          <w:tcPr>
            <w:tcW w:w="112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321"/>
        </w:trPr>
        <w:tc>
          <w:tcPr>
            <w:tcW w:w="240" w:type="dxa"/>
            <w:vAlign w:val="bottom"/>
          </w:tcPr>
          <w:p>
            <w:pPr>
              <w:spacing w:after="0"/>
              <w:rPr>
                <w:sz w:val="20"/>
                <w:szCs w:val="20"/>
                <w:color w:val="auto"/>
              </w:rPr>
            </w:pPr>
            <w:r>
              <w:rPr>
                <w:rFonts w:ascii="Arial" w:cs="Arial" w:eastAsia="Arial" w:hAnsi="Arial"/>
                <w:sz w:val="12"/>
                <w:szCs w:val="12"/>
                <w:color w:val="auto"/>
                <w:w w:val="76"/>
              </w:rPr>
              <w:t>1g. </w:t>
            </w:r>
          </w:p>
        </w:tc>
        <w:tc>
          <w:tcPr>
            <w:tcW w:w="2200" w:type="dxa"/>
            <w:vAlign w:val="bottom"/>
          </w:tcPr>
          <w:p>
            <w:pPr>
              <w:ind w:left="60"/>
              <w:spacing w:after="0"/>
              <w:rPr>
                <w:sz w:val="20"/>
                <w:szCs w:val="20"/>
                <w:color w:val="auto"/>
              </w:rPr>
            </w:pPr>
            <w:r>
              <w:rPr>
                <w:rFonts w:ascii="Arial" w:cs="Arial" w:eastAsia="Arial" w:hAnsi="Arial"/>
                <w:sz w:val="12"/>
                <w:szCs w:val="12"/>
                <w:color w:val="auto"/>
              </w:rPr>
              <w:t>François Locoh-Donou</w:t>
            </w:r>
          </w:p>
        </w:tc>
        <w:tc>
          <w:tcPr>
            <w:tcW w:w="112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321"/>
        </w:trPr>
        <w:tc>
          <w:tcPr>
            <w:tcW w:w="240" w:type="dxa"/>
            <w:vAlign w:val="bottom"/>
          </w:tcPr>
          <w:p>
            <w:pPr>
              <w:spacing w:after="0"/>
              <w:rPr>
                <w:sz w:val="20"/>
                <w:szCs w:val="20"/>
                <w:color w:val="auto"/>
              </w:rPr>
            </w:pPr>
            <w:r>
              <w:rPr>
                <w:rFonts w:ascii="Arial" w:cs="Arial" w:eastAsia="Arial" w:hAnsi="Arial"/>
                <w:sz w:val="12"/>
                <w:szCs w:val="12"/>
                <w:color w:val="auto"/>
                <w:w w:val="76"/>
              </w:rPr>
              <w:t>1h. </w:t>
            </w:r>
          </w:p>
        </w:tc>
        <w:tc>
          <w:tcPr>
            <w:tcW w:w="2200" w:type="dxa"/>
            <w:vAlign w:val="bottom"/>
          </w:tcPr>
          <w:p>
            <w:pPr>
              <w:ind w:left="60"/>
              <w:spacing w:after="0"/>
              <w:rPr>
                <w:sz w:val="20"/>
                <w:szCs w:val="20"/>
                <w:color w:val="auto"/>
              </w:rPr>
            </w:pPr>
            <w:r>
              <w:rPr>
                <w:rFonts w:ascii="Arial" w:cs="Arial" w:eastAsia="Arial" w:hAnsi="Arial"/>
                <w:sz w:val="12"/>
                <w:szCs w:val="12"/>
                <w:color w:val="auto"/>
              </w:rPr>
              <w:t>Peter E. Raskind</w:t>
            </w:r>
          </w:p>
        </w:tc>
        <w:tc>
          <w:tcPr>
            <w:tcW w:w="112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321"/>
        </w:trPr>
        <w:tc>
          <w:tcPr>
            <w:tcW w:w="240" w:type="dxa"/>
            <w:vAlign w:val="bottom"/>
          </w:tcPr>
          <w:p>
            <w:pPr>
              <w:spacing w:after="0"/>
              <w:rPr>
                <w:sz w:val="20"/>
                <w:szCs w:val="20"/>
                <w:color w:val="auto"/>
              </w:rPr>
            </w:pPr>
            <w:r>
              <w:rPr>
                <w:rFonts w:ascii="Arial" w:cs="Arial" w:eastAsia="Arial" w:hAnsi="Arial"/>
                <w:sz w:val="12"/>
                <w:szCs w:val="12"/>
                <w:color w:val="auto"/>
                <w:w w:val="88"/>
              </w:rPr>
              <w:t>1i. </w:t>
            </w:r>
          </w:p>
        </w:tc>
        <w:tc>
          <w:tcPr>
            <w:tcW w:w="2200" w:type="dxa"/>
            <w:vAlign w:val="bottom"/>
          </w:tcPr>
          <w:p>
            <w:pPr>
              <w:ind w:left="20"/>
              <w:spacing w:after="0"/>
              <w:rPr>
                <w:sz w:val="20"/>
                <w:szCs w:val="20"/>
                <w:color w:val="auto"/>
              </w:rPr>
            </w:pPr>
            <w:r>
              <w:rPr>
                <w:rFonts w:ascii="Arial" w:cs="Arial" w:eastAsia="Arial" w:hAnsi="Arial"/>
                <w:sz w:val="12"/>
                <w:szCs w:val="12"/>
                <w:color w:val="auto"/>
              </w:rPr>
              <w:t>  Eileen Serra</w:t>
            </w:r>
          </w:p>
        </w:tc>
        <w:tc>
          <w:tcPr>
            <w:tcW w:w="112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321"/>
        </w:trPr>
        <w:tc>
          <w:tcPr>
            <w:tcW w:w="2440" w:type="dxa"/>
            <w:vAlign w:val="bottom"/>
            <w:gridSpan w:val="2"/>
          </w:tcPr>
          <w:p>
            <w:pPr>
              <w:spacing w:after="0"/>
              <w:rPr>
                <w:sz w:val="20"/>
                <w:szCs w:val="20"/>
                <w:color w:val="auto"/>
              </w:rPr>
            </w:pPr>
            <w:r>
              <w:rPr>
                <w:rFonts w:ascii="Arial" w:cs="Arial" w:eastAsia="Arial" w:hAnsi="Arial"/>
                <w:sz w:val="12"/>
                <w:szCs w:val="12"/>
                <w:color w:val="auto"/>
              </w:rPr>
              <w:t>1j.     Mayo A. Shattuck III</w:t>
            </w:r>
          </w:p>
        </w:tc>
        <w:tc>
          <w:tcPr>
            <w:tcW w:w="112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321"/>
        </w:trPr>
        <w:tc>
          <w:tcPr>
            <w:tcW w:w="240" w:type="dxa"/>
            <w:vAlign w:val="bottom"/>
          </w:tcPr>
          <w:p>
            <w:pPr>
              <w:spacing w:after="0"/>
              <w:rPr>
                <w:sz w:val="20"/>
                <w:szCs w:val="20"/>
                <w:color w:val="auto"/>
              </w:rPr>
            </w:pPr>
            <w:r>
              <w:rPr>
                <w:rFonts w:ascii="Arial" w:cs="Arial" w:eastAsia="Arial" w:hAnsi="Arial"/>
                <w:sz w:val="12"/>
                <w:szCs w:val="12"/>
                <w:color w:val="auto"/>
                <w:w w:val="78"/>
              </w:rPr>
              <w:t>1k. </w:t>
            </w:r>
          </w:p>
        </w:tc>
        <w:tc>
          <w:tcPr>
            <w:tcW w:w="2200" w:type="dxa"/>
            <w:vAlign w:val="bottom"/>
          </w:tcPr>
          <w:p>
            <w:pPr>
              <w:ind w:left="60"/>
              <w:spacing w:after="0"/>
              <w:rPr>
                <w:sz w:val="20"/>
                <w:szCs w:val="20"/>
                <w:color w:val="auto"/>
              </w:rPr>
            </w:pPr>
            <w:r>
              <w:rPr>
                <w:rFonts w:ascii="Arial" w:cs="Arial" w:eastAsia="Arial" w:hAnsi="Arial"/>
                <w:sz w:val="12"/>
                <w:szCs w:val="12"/>
                <w:color w:val="auto"/>
              </w:rPr>
              <w:t>J. Michael Shepherd</w:t>
            </w:r>
          </w:p>
        </w:tc>
        <w:tc>
          <w:tcPr>
            <w:tcW w:w="112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321"/>
        </w:trPr>
        <w:tc>
          <w:tcPr>
            <w:tcW w:w="240" w:type="dxa"/>
            <w:vAlign w:val="bottom"/>
          </w:tcPr>
          <w:p>
            <w:pPr>
              <w:spacing w:after="0"/>
              <w:rPr>
                <w:sz w:val="20"/>
                <w:szCs w:val="20"/>
                <w:color w:val="auto"/>
              </w:rPr>
            </w:pPr>
            <w:r>
              <w:rPr>
                <w:rFonts w:ascii="Arial" w:cs="Arial" w:eastAsia="Arial" w:hAnsi="Arial"/>
                <w:sz w:val="12"/>
                <w:szCs w:val="12"/>
                <w:color w:val="auto"/>
                <w:w w:val="88"/>
              </w:rPr>
              <w:t>1l. </w:t>
            </w:r>
          </w:p>
        </w:tc>
        <w:tc>
          <w:tcPr>
            <w:tcW w:w="2200" w:type="dxa"/>
            <w:vAlign w:val="bottom"/>
          </w:tcPr>
          <w:p>
            <w:pPr>
              <w:ind w:left="20"/>
              <w:spacing w:after="0"/>
              <w:rPr>
                <w:sz w:val="20"/>
                <w:szCs w:val="20"/>
                <w:color w:val="auto"/>
              </w:rPr>
            </w:pPr>
            <w:r>
              <w:rPr>
                <w:rFonts w:ascii="Arial" w:cs="Arial" w:eastAsia="Arial" w:hAnsi="Arial"/>
                <w:sz w:val="12"/>
                <w:szCs w:val="12"/>
                <w:color w:val="auto"/>
              </w:rPr>
              <w:t>  Craig Anthony Williams</w:t>
            </w:r>
          </w:p>
        </w:tc>
        <w:tc>
          <w:tcPr>
            <w:tcW w:w="112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r>
        <w:trPr>
          <w:trHeight w:val="321"/>
        </w:trPr>
        <w:tc>
          <w:tcPr>
            <w:tcW w:w="2440" w:type="dxa"/>
            <w:vAlign w:val="bottom"/>
            <w:gridSpan w:val="2"/>
          </w:tcPr>
          <w:p>
            <w:pPr>
              <w:spacing w:after="0"/>
              <w:rPr>
                <w:sz w:val="20"/>
                <w:szCs w:val="20"/>
                <w:color w:val="auto"/>
              </w:rPr>
            </w:pPr>
            <w:r>
              <w:rPr>
                <w:rFonts w:ascii="Arial" w:cs="Arial" w:eastAsia="Arial" w:hAnsi="Arial"/>
                <w:sz w:val="12"/>
                <w:szCs w:val="12"/>
                <w:color w:val="auto"/>
              </w:rPr>
              <w:t>1m.   Jennifer L. Wong</w:t>
            </w:r>
          </w:p>
        </w:tc>
        <w:tc>
          <w:tcPr>
            <w:tcW w:w="1120" w:type="dxa"/>
            <w:vAlign w:val="bottom"/>
          </w:tcPr>
          <w:p>
            <w:pPr>
              <w:ind w:left="86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480" w:type="dxa"/>
            <w:vAlign w:val="bottom"/>
          </w:tcPr>
          <w:p>
            <w:pPr>
              <w:ind w:left="200"/>
              <w:spacing w:after="0" w:line="121" w:lineRule="exact"/>
              <w:rPr>
                <w:sz w:val="20"/>
                <w:szCs w:val="20"/>
                <w:color w:val="auto"/>
              </w:rPr>
            </w:pPr>
            <w:r>
              <w:rPr>
                <w:rFonts w:ascii="MS PGothic" w:cs="MS PGothic" w:eastAsia="MS PGothic" w:hAnsi="MS PGothic"/>
                <w:sz w:val="12"/>
                <w:szCs w:val="12"/>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b w:val="1"/>
          <w:bCs w:val="1"/>
          <w:color w:val="auto"/>
        </w:rPr>
        <w:t>The Board of Directors recommends you vote FOR the   For Against Abstain following items 2 and 3.</w:t>
      </w:r>
    </w:p>
    <w:tbl>
      <w:tblPr>
        <w:tblLayout w:type="fixed"/>
        <w:tblInd w:w="0" w:type="dxa"/>
        <w:tblCellMar>
          <w:top w:w="0" w:type="dxa"/>
          <w:left w:w="0" w:type="dxa"/>
          <w:bottom w:w="0" w:type="dxa"/>
          <w:right w:w="0" w:type="dxa"/>
        </w:tblCellMar>
      </w:tblPr>
      <w:tr>
        <w:trPr>
          <w:trHeight w:val="152"/>
        </w:trPr>
        <w:tc>
          <w:tcPr>
            <w:tcW w:w="180" w:type="dxa"/>
            <w:vAlign w:val="bottom"/>
          </w:tcPr>
          <w:p>
            <w:pPr>
              <w:spacing w:after="0"/>
              <w:rPr>
                <w:sz w:val="20"/>
                <w:szCs w:val="20"/>
                <w:color w:val="auto"/>
              </w:rPr>
            </w:pPr>
            <w:r>
              <w:rPr>
                <w:rFonts w:ascii="Arial" w:cs="Arial" w:eastAsia="Arial" w:hAnsi="Arial"/>
                <w:sz w:val="12"/>
                <w:szCs w:val="12"/>
                <w:color w:val="auto"/>
                <w:w w:val="72"/>
              </w:rPr>
              <w:t>2. 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3500" w:type="dxa"/>
            <w:vAlign w:val="bottom"/>
          </w:tcPr>
          <w:p>
            <w:pPr>
              <w:ind w:left="80"/>
              <w:spacing w:after="0"/>
              <w:rPr>
                <w:sz w:val="20"/>
                <w:szCs w:val="20"/>
                <w:color w:val="auto"/>
              </w:rPr>
            </w:pPr>
            <w:r>
              <w:rPr>
                <w:rFonts w:ascii="Arial" w:cs="Arial" w:eastAsia="Arial" w:hAnsi="Arial"/>
                <w:sz w:val="12"/>
                <w:szCs w:val="12"/>
                <w:color w:val="auto"/>
              </w:rPr>
              <w:t>Advisory vote on our Named Executive Officer compensation</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300" w:type="dxa"/>
            <w:vAlign w:val="bottom"/>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360" w:type="dxa"/>
            <w:vAlign w:val="bottom"/>
          </w:tcPr>
          <w:p>
            <w:pPr>
              <w:ind w:left="220"/>
              <w:spacing w:after="0" w:line="138" w:lineRule="exact"/>
              <w:rPr>
                <w:sz w:val="20"/>
                <w:szCs w:val="20"/>
                <w:color w:val="auto"/>
              </w:rPr>
            </w:pPr>
            <w:r>
              <w:rPr>
                <w:rFonts w:ascii="MS PGothic" w:cs="MS PGothic" w:eastAsia="MS PGothic" w:hAnsi="MS PGothic"/>
                <w:sz w:val="12"/>
                <w:szCs w:val="12"/>
                <w:color w:val="auto"/>
                <w:w w:val="99"/>
              </w:rPr>
              <w:t>☐</w:t>
            </w:r>
            <w:r>
              <w:rPr>
                <w:rFonts w:ascii="Arial" w:cs="Arial" w:eastAsia="Arial" w:hAnsi="Arial"/>
                <w:sz w:val="12"/>
                <w:szCs w:val="12"/>
                <w:color w:val="auto"/>
                <w:w w:val="99"/>
              </w:rPr>
              <w:t xml:space="preserve"> </w:t>
            </w:r>
          </w:p>
        </w:tc>
      </w:tr>
      <w:tr>
        <w:trPr>
          <w:trHeight w:val="165"/>
        </w:trPr>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00" w:type="dxa"/>
            <w:vAlign w:val="bottom"/>
          </w:tcPr>
          <w:p>
            <w:pPr>
              <w:ind w:left="80"/>
              <w:spacing w:after="0"/>
              <w:rPr>
                <w:sz w:val="20"/>
                <w:szCs w:val="20"/>
                <w:color w:val="auto"/>
              </w:rPr>
            </w:pPr>
            <w:r>
              <w:rPr>
                <w:rFonts w:ascii="Arial" w:cs="Arial" w:eastAsia="Arial" w:hAnsi="Arial"/>
                <w:sz w:val="12"/>
                <w:szCs w:val="12"/>
                <w:color w:val="auto"/>
              </w:rPr>
              <w:t>(“Say on Pay”).</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9"/>
        </w:trPr>
        <w:tc>
          <w:tcPr>
            <w:tcW w:w="180" w:type="dxa"/>
            <w:vAlign w:val="bottom"/>
          </w:tcPr>
          <w:p>
            <w:pPr>
              <w:spacing w:after="0"/>
              <w:rPr>
                <w:sz w:val="20"/>
                <w:szCs w:val="20"/>
                <w:color w:val="auto"/>
              </w:rPr>
            </w:pPr>
            <w:r>
              <w:rPr>
                <w:rFonts w:ascii="Arial" w:cs="Arial" w:eastAsia="Arial" w:hAnsi="Arial"/>
                <w:sz w:val="12"/>
                <w:szCs w:val="12"/>
                <w:color w:val="auto"/>
                <w:w w:val="72"/>
              </w:rPr>
              <w:t>3. 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3500" w:type="dxa"/>
            <w:vAlign w:val="bottom"/>
          </w:tcPr>
          <w:p>
            <w:pPr>
              <w:ind w:left="80"/>
              <w:spacing w:after="0"/>
              <w:rPr>
                <w:sz w:val="20"/>
                <w:szCs w:val="20"/>
                <w:color w:val="auto"/>
              </w:rPr>
            </w:pPr>
            <w:r>
              <w:rPr>
                <w:rFonts w:ascii="Arial" w:cs="Arial" w:eastAsia="Arial" w:hAnsi="Arial"/>
                <w:sz w:val="12"/>
                <w:szCs w:val="12"/>
                <w:color w:val="auto"/>
              </w:rPr>
              <w:t>Ratification of the selection of Ernst &amp; Young LLP as our</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300" w:type="dxa"/>
            <w:vAlign w:val="bottom"/>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360" w:type="dxa"/>
            <w:vAlign w:val="bottom"/>
          </w:tcPr>
          <w:p>
            <w:pPr>
              <w:ind w:left="220"/>
              <w:spacing w:after="0" w:line="138" w:lineRule="exact"/>
              <w:rPr>
                <w:sz w:val="20"/>
                <w:szCs w:val="20"/>
                <w:color w:val="auto"/>
              </w:rPr>
            </w:pPr>
            <w:r>
              <w:rPr>
                <w:rFonts w:ascii="MS PGothic" w:cs="MS PGothic" w:eastAsia="MS PGothic" w:hAnsi="MS PGothic"/>
                <w:sz w:val="12"/>
                <w:szCs w:val="12"/>
                <w:color w:val="auto"/>
                <w:w w:val="99"/>
              </w:rPr>
              <w:t>☐</w:t>
            </w:r>
            <w:r>
              <w:rPr>
                <w:rFonts w:ascii="Arial" w:cs="Arial" w:eastAsia="Arial" w:hAnsi="Arial"/>
                <w:sz w:val="12"/>
                <w:szCs w:val="12"/>
                <w:color w:val="auto"/>
                <w:w w:val="99"/>
              </w:rPr>
              <w:t xml:space="preserve"> </w:t>
            </w:r>
          </w:p>
        </w:tc>
      </w:tr>
      <w:tr>
        <w:trPr>
          <w:trHeight w:val="165"/>
        </w:trPr>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00" w:type="dxa"/>
            <w:vAlign w:val="bottom"/>
          </w:tcPr>
          <w:p>
            <w:pPr>
              <w:ind w:left="80"/>
              <w:spacing w:after="0"/>
              <w:rPr>
                <w:sz w:val="20"/>
                <w:szCs w:val="20"/>
                <w:color w:val="auto"/>
              </w:rPr>
            </w:pPr>
            <w:r>
              <w:rPr>
                <w:rFonts w:ascii="Arial" w:cs="Arial" w:eastAsia="Arial" w:hAnsi="Arial"/>
                <w:sz w:val="12"/>
                <w:szCs w:val="12"/>
                <w:color w:val="auto"/>
              </w:rPr>
              <w:t>independent registered public accounting firm for 2026.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31"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b w:val="1"/>
          <w:bCs w:val="1"/>
          <w:color w:val="auto"/>
        </w:rPr>
        <w:t>The Board of Directors recommends you vote AGAINST the   For Against Abstain following item 4.</w:t>
      </w:r>
    </w:p>
    <w:tbl>
      <w:tblPr>
        <w:tblLayout w:type="fixed"/>
        <w:tblInd w:w="0" w:type="dxa"/>
        <w:tblCellMar>
          <w:top w:w="0" w:type="dxa"/>
          <w:left w:w="0" w:type="dxa"/>
          <w:bottom w:w="0" w:type="dxa"/>
          <w:right w:w="0" w:type="dxa"/>
        </w:tblCellMar>
      </w:tblPr>
      <w:tr>
        <w:trPr>
          <w:trHeight w:val="152"/>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4.</w:t>
            </w:r>
          </w:p>
        </w:tc>
        <w:tc>
          <w:tcPr>
            <w:tcW w:w="4020" w:type="dxa"/>
            <w:vAlign w:val="bottom"/>
          </w:tcPr>
          <w:p>
            <w:pPr>
              <w:ind w:left="160"/>
              <w:spacing w:after="0" w:line="138" w:lineRule="exact"/>
              <w:rPr>
                <w:sz w:val="20"/>
                <w:szCs w:val="20"/>
                <w:color w:val="auto"/>
              </w:rPr>
            </w:pPr>
            <w:r>
              <w:rPr>
                <w:rFonts w:ascii="Arial" w:cs="Arial" w:eastAsia="Arial" w:hAnsi="Arial"/>
                <w:sz w:val="12"/>
                <w:szCs w:val="12"/>
                <w:color w:val="auto"/>
              </w:rPr>
              <w:t xml:space="preserve">Stockholder  proposal  to  require  a  shareholder  vote  on     </w:t>
            </w:r>
            <w:r>
              <w:rPr>
                <w:rFonts w:ascii="MS PGothic" w:cs="MS PGothic" w:eastAsia="MS PGothic" w:hAnsi="MS PGothic"/>
                <w:sz w:val="12"/>
                <w:szCs w:val="12"/>
                <w:color w:val="auto"/>
              </w:rPr>
              <w:t>☐</w:t>
            </w:r>
          </w:p>
        </w:tc>
        <w:tc>
          <w:tcPr>
            <w:tcW w:w="46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360" w:type="dxa"/>
            <w:vAlign w:val="bottom"/>
          </w:tcPr>
          <w:p>
            <w:pPr>
              <w:ind w:left="220"/>
              <w:spacing w:after="0" w:line="138" w:lineRule="exact"/>
              <w:rPr>
                <w:sz w:val="20"/>
                <w:szCs w:val="20"/>
                <w:color w:val="auto"/>
              </w:rPr>
            </w:pPr>
            <w:r>
              <w:rPr>
                <w:rFonts w:ascii="MS PGothic" w:cs="MS PGothic" w:eastAsia="MS PGothic" w:hAnsi="MS PGothic"/>
                <w:sz w:val="12"/>
                <w:szCs w:val="12"/>
                <w:color w:val="auto"/>
                <w:w w:val="99"/>
              </w:rPr>
              <w:t>☐</w:t>
            </w:r>
            <w:r>
              <w:rPr>
                <w:rFonts w:ascii="Arial" w:cs="Arial" w:eastAsia="Arial" w:hAnsi="Arial"/>
                <w:sz w:val="12"/>
                <w:szCs w:val="12"/>
                <w:color w:val="auto"/>
                <w:w w:val="99"/>
              </w:rPr>
              <w:t xml:space="preserve"> </w:t>
            </w:r>
          </w:p>
        </w:tc>
      </w:tr>
      <w:tr>
        <w:trPr>
          <w:trHeight w:val="165"/>
        </w:trPr>
        <w:tc>
          <w:tcPr>
            <w:tcW w:w="240" w:type="dxa"/>
            <w:vAlign w:val="bottom"/>
          </w:tcPr>
          <w:p>
            <w:pPr>
              <w:spacing w:after="0"/>
              <w:rPr>
                <w:sz w:val="14"/>
                <w:szCs w:val="14"/>
                <w:color w:val="auto"/>
              </w:rPr>
            </w:pPr>
          </w:p>
        </w:tc>
        <w:tc>
          <w:tcPr>
            <w:tcW w:w="4020" w:type="dxa"/>
            <w:vAlign w:val="bottom"/>
          </w:tcPr>
          <w:p>
            <w:pPr>
              <w:ind w:left="160"/>
              <w:spacing w:after="0"/>
              <w:rPr>
                <w:sz w:val="20"/>
                <w:szCs w:val="20"/>
                <w:color w:val="auto"/>
              </w:rPr>
            </w:pPr>
            <w:r>
              <w:rPr>
                <w:rFonts w:ascii="Arial" w:cs="Arial" w:eastAsia="Arial" w:hAnsi="Arial"/>
                <w:sz w:val="12"/>
                <w:szCs w:val="12"/>
                <w:color w:val="auto"/>
              </w:rPr>
              <w:t>golden parachute arrangements.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r>
    </w:tbl>
    <w:p>
      <w:pPr>
        <w:spacing w:after="0" w:line="31" w:lineRule="exact"/>
        <w:rPr>
          <w:sz w:val="20"/>
          <w:szCs w:val="20"/>
          <w:color w:val="auto"/>
        </w:rPr>
      </w:pPr>
    </w:p>
    <w:p>
      <w:pPr>
        <w:ind w:right="1580"/>
        <w:spacing w:after="0" w:line="279"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Such other business as may properly come before the</w:t>
      </w:r>
      <w:r>
        <w:rPr>
          <w:rFonts w:ascii="Arial" w:cs="Arial" w:eastAsia="Arial" w:hAnsi="Arial"/>
          <w:sz w:val="12"/>
          <w:szCs w:val="12"/>
          <w:b w:val="1"/>
          <w:bCs w:val="1"/>
          <w:color w:val="auto"/>
        </w:rPr>
        <w:t xml:space="preserve"> </w:t>
      </w:r>
      <w:r>
        <w:rPr>
          <w:rFonts w:ascii="Arial" w:cs="Arial" w:eastAsia="Arial" w:hAnsi="Arial"/>
          <w:sz w:val="12"/>
          <w:szCs w:val="12"/>
          <w:color w:val="auto"/>
        </w:rPr>
        <w:t>meeting or any adjournment or postponement thereof.</w:t>
      </w:r>
    </w:p>
    <w:p>
      <w:pPr>
        <w:spacing w:after="0" w:line="2774" w:lineRule="exact"/>
        <w:rPr>
          <w:sz w:val="20"/>
          <w:szCs w:val="20"/>
          <w:color w:val="auto"/>
        </w:rPr>
      </w:pPr>
    </w:p>
    <w:p>
      <w:pPr>
        <w:sectPr>
          <w:pgSz w:w="11900" w:h="16838" w:orient="portrait"/>
          <w:cols w:equalWidth="0" w:num="2">
            <w:col w:w="5400" w:space="340"/>
            <w:col w:w="5340"/>
          </w:cols>
          <w:pgMar w:left="320" w:top="478" w:right="499" w:bottom="1440" w:gutter="0" w:footer="0" w:header="0"/>
          <w:type w:val="continuous"/>
        </w:sectPr>
      </w:pPr>
    </w:p>
    <w:p>
      <w:pPr>
        <w:spacing w:after="0" w:line="381" w:lineRule="exact"/>
        <w:rPr>
          <w:sz w:val="20"/>
          <w:szCs w:val="20"/>
          <w:color w:val="auto"/>
        </w:rPr>
      </w:pPr>
    </w:p>
    <w:p>
      <w:pPr>
        <w:jc w:val="both"/>
        <w:ind w:left="640" w:right="2000"/>
        <w:spacing w:after="0" w:line="256"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89" w:lineRule="exact"/>
        <w:rPr>
          <w:sz w:val="20"/>
          <w:szCs w:val="20"/>
          <w:color w:val="auto"/>
        </w:rPr>
      </w:pPr>
    </w:p>
    <w:p>
      <w:pPr>
        <w:ind w:left="800"/>
        <w:spacing w:after="0"/>
        <w:rPr>
          <w:sz w:val="20"/>
          <w:szCs w:val="20"/>
          <w:color w:val="auto"/>
        </w:rPr>
      </w:pPr>
      <w:r>
        <w:rPr>
          <w:rFonts w:ascii="Arial" w:cs="Arial" w:eastAsia="Arial" w:hAnsi="Arial"/>
          <w:sz w:val="25"/>
          <w:szCs w:val="25"/>
          <w:color w:val="auto"/>
        </w:rPr>
        <w:t> </w:t>
      </w:r>
    </w:p>
    <w:p>
      <w:pPr>
        <w:spacing w:after="0" w:line="47" w:lineRule="exact"/>
        <w:rPr>
          <w:sz w:val="20"/>
          <w:szCs w:val="20"/>
          <w:color w:val="auto"/>
        </w:rPr>
      </w:pPr>
    </w:p>
    <w:p>
      <w:pPr>
        <w:ind w:left="640"/>
        <w:spacing w:after="0"/>
        <w:tabs>
          <w:tab w:leader="none" w:pos="3960" w:val="left"/>
          <w:tab w:leader="none" w:pos="6260" w:val="left"/>
          <w:tab w:leader="none" w:pos="8960" w:val="left"/>
        </w:tabs>
        <w:rPr>
          <w:sz w:val="20"/>
          <w:szCs w:val="20"/>
          <w:color w:val="auto"/>
        </w:rPr>
      </w:pPr>
      <w:r>
        <w:rPr>
          <w:rFonts w:ascii="Arial" w:cs="Arial" w:eastAsia="Arial" w:hAnsi="Arial"/>
          <w:sz w:val="14"/>
          <w:szCs w:val="14"/>
          <w:color w:val="auto"/>
        </w:rPr>
        <w:t xml:space="preserve">Signature [PLEASE SIGN WITHIN BOX]       </w:t>
      </w:r>
      <w:r>
        <w:rPr>
          <w:sz w:val="20"/>
          <w:szCs w:val="20"/>
          <w:color w:val="auto"/>
        </w:rPr>
        <w:tab/>
      </w:r>
      <w:r>
        <w:rPr>
          <w:rFonts w:ascii="Arial" w:cs="Arial" w:eastAsia="Arial" w:hAnsi="Arial"/>
          <w:sz w:val="14"/>
          <w:szCs w:val="14"/>
          <w:color w:val="auto"/>
        </w:rPr>
        <w:t xml:space="preserve">Date       </w:t>
      </w:r>
      <w:r>
        <w:rPr>
          <w:sz w:val="20"/>
          <w:szCs w:val="20"/>
          <w:color w:val="auto"/>
        </w:rPr>
        <w:tab/>
      </w:r>
      <w:r>
        <w:rPr>
          <w:rFonts w:ascii="Arial" w:cs="Arial" w:eastAsia="Arial" w:hAnsi="Arial"/>
          <w:sz w:val="14"/>
          <w:szCs w:val="14"/>
          <w:color w:val="auto"/>
        </w:rPr>
        <w:t xml:space="preserve">Signature (Joint Owners)                </w:t>
      </w:r>
      <w:r>
        <w:rPr>
          <w:sz w:val="20"/>
          <w:szCs w:val="20"/>
          <w:color w:val="auto"/>
        </w:rPr>
        <w:tab/>
      </w:r>
      <w:r>
        <w:rPr>
          <w:rFonts w:ascii="Arial" w:cs="Arial" w:eastAsia="Arial" w:hAnsi="Arial"/>
          <w:sz w:val="14"/>
          <w:szCs w:val="14"/>
          <w:color w:val="auto"/>
        </w:rPr>
        <w:t xml:space="preserve">Date       </w:t>
      </w:r>
    </w:p>
    <w:p>
      <w:pPr>
        <w:sectPr>
          <w:pgSz w:w="11900" w:h="16838" w:orient="portrait"/>
          <w:cols w:equalWidth="0" w:num="1">
            <w:col w:w="11080"/>
          </w:cols>
          <w:pgMar w:left="320" w:top="478" w:right="49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Stockholder Meeting:</w:t>
      </w:r>
    </w:p>
    <w:p>
      <w:pPr>
        <w:spacing w:after="0" w:line="1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Proxy Statement and Annual Report to Stockholders/10-K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 — — — — — — — — — — — — — — — — — — — — — — — — — — — — — — — — — — — — — — — — — — — — — — — — — — — — — — — — — — — — — — —  — — — </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V85106-P40817-Z91539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4220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929755" cy="422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CAPITAL ONE FINANCIAL CORPORATION</w:t>
      </w:r>
    </w:p>
    <w:p>
      <w:pPr>
        <w:spacing w:after="0" w:line="20"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auto"/>
        </w:rPr>
        <w:t>Annual Stockholder Meeting</w:t>
      </w:r>
    </w:p>
    <w:p>
      <w:pPr>
        <w:jc w:val="center"/>
        <w:ind w:right="-259"/>
        <w:spacing w:after="0"/>
        <w:rPr>
          <w:sz w:val="20"/>
          <w:szCs w:val="20"/>
          <w:color w:val="auto"/>
        </w:rPr>
      </w:pPr>
      <w:r>
        <w:rPr>
          <w:rFonts w:ascii="Arial" w:cs="Arial" w:eastAsia="Arial" w:hAnsi="Arial"/>
          <w:sz w:val="21"/>
          <w:szCs w:val="21"/>
          <w:b w:val="1"/>
          <w:bCs w:val="1"/>
          <w:color w:val="auto"/>
        </w:rPr>
        <w:t>Friday, May 8, 2026 10:00 a.m. Eastern Time</w:t>
      </w:r>
    </w:p>
    <w:p>
      <w:pPr>
        <w:spacing w:after="0" w:line="218" w:lineRule="exact"/>
        <w:rPr>
          <w:sz w:val="20"/>
          <w:szCs w:val="20"/>
          <w:color w:val="auto"/>
        </w:rPr>
      </w:pPr>
    </w:p>
    <w:p>
      <w:pPr>
        <w:ind w:left="4500"/>
        <w:spacing w:after="0"/>
        <w:rPr>
          <w:sz w:val="20"/>
          <w:szCs w:val="20"/>
          <w:color w:val="auto"/>
        </w:rPr>
      </w:pPr>
      <w:r>
        <w:rPr>
          <w:rFonts w:ascii="Arial" w:cs="Arial" w:eastAsia="Arial" w:hAnsi="Arial"/>
          <w:sz w:val="21"/>
          <w:szCs w:val="21"/>
          <w:b w:val="1"/>
          <w:bCs w:val="1"/>
          <w:color w:val="auto"/>
        </w:rPr>
        <w:t>Capital One’s Campus</w:t>
      </w:r>
    </w:p>
    <w:p>
      <w:pPr>
        <w:spacing w:after="0" w:line="20" w:lineRule="exact"/>
        <w:rPr>
          <w:sz w:val="20"/>
          <w:szCs w:val="20"/>
          <w:color w:val="auto"/>
        </w:rPr>
      </w:pPr>
    </w:p>
    <w:p>
      <w:pPr>
        <w:ind w:left="4480"/>
        <w:spacing w:after="0"/>
        <w:rPr>
          <w:sz w:val="20"/>
          <w:szCs w:val="20"/>
          <w:color w:val="auto"/>
        </w:rPr>
      </w:pPr>
      <w:r>
        <w:rPr>
          <w:rFonts w:ascii="Arial" w:cs="Arial" w:eastAsia="Arial" w:hAnsi="Arial"/>
          <w:sz w:val="21"/>
          <w:szCs w:val="21"/>
          <w:b w:val="1"/>
          <w:bCs w:val="1"/>
          <w:color w:val="auto"/>
        </w:rPr>
        <w:t>1600 Capital One Drive</w:t>
      </w:r>
    </w:p>
    <w:p>
      <w:pPr>
        <w:ind w:left="4460"/>
        <w:spacing w:after="0"/>
        <w:rPr>
          <w:sz w:val="20"/>
          <w:szCs w:val="20"/>
          <w:color w:val="auto"/>
        </w:rPr>
      </w:pPr>
      <w:r>
        <w:rPr>
          <w:rFonts w:ascii="Arial" w:cs="Arial" w:eastAsia="Arial" w:hAnsi="Arial"/>
          <w:sz w:val="21"/>
          <w:szCs w:val="21"/>
          <w:b w:val="1"/>
          <w:bCs w:val="1"/>
          <w:color w:val="auto"/>
        </w:rPr>
        <w:t>McLean, Virginia 22102</w:t>
      </w: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4" w:lineRule="exact"/>
        <w:rPr>
          <w:sz w:val="20"/>
          <w:szCs w:val="20"/>
          <w:color w:val="auto"/>
        </w:rPr>
      </w:pPr>
    </w:p>
    <w:p>
      <w:pPr>
        <w:jc w:val="both"/>
        <w:ind w:left="620" w:right="380"/>
        <w:spacing w:after="0" w:line="256" w:lineRule="auto"/>
        <w:rPr>
          <w:sz w:val="20"/>
          <w:szCs w:val="20"/>
          <w:color w:val="auto"/>
        </w:rPr>
      </w:pPr>
      <w:r>
        <w:rPr>
          <w:rFonts w:ascii="Arial" w:cs="Arial" w:eastAsia="Arial" w:hAnsi="Arial"/>
          <w:sz w:val="17"/>
          <w:szCs w:val="17"/>
          <w:color w:val="auto"/>
        </w:rPr>
        <w:t>The undersigned hereby appoints Richard D. Fairbank and Matthew W. Cooper, and either of them, proxies of the undersigned, with full power of substitution, to vote all the shares of Common Stock of Capital One Financial Corporation, a Delaware corporation, held of record by the undersigned on March 11, 2026, at the Annual Stockholder Meeting to be held on May 8, 2026, and at any postponement or adjournment thereof (including, if applicable, on any matter which the Board of Directors did not know would be presented at the Annual Stockholder Meeting by a reasonable time before the proxy solicitation was made or for the election of a person to the Board of Directors if any nominee named in Item 1 becomes unavailable to serve).</w:t>
      </w:r>
    </w:p>
    <w:p>
      <w:pPr>
        <w:spacing w:after="0" w:line="193" w:lineRule="exact"/>
        <w:rPr>
          <w:sz w:val="20"/>
          <w:szCs w:val="20"/>
          <w:color w:val="auto"/>
        </w:rPr>
      </w:pPr>
    </w:p>
    <w:p>
      <w:pPr>
        <w:jc w:val="both"/>
        <w:ind w:left="620" w:right="360"/>
        <w:spacing w:after="0" w:line="247" w:lineRule="auto"/>
        <w:rPr>
          <w:sz w:val="20"/>
          <w:szCs w:val="20"/>
          <w:color w:val="auto"/>
        </w:rPr>
      </w:pPr>
      <w:r>
        <w:rPr>
          <w:rFonts w:ascii="Arial" w:cs="Arial" w:eastAsia="Arial" w:hAnsi="Arial"/>
          <w:sz w:val="18"/>
          <w:szCs w:val="18"/>
          <w:b w:val="1"/>
          <w:bCs w:val="1"/>
          <w:color w:val="auto"/>
        </w:rPr>
        <w:t>THIS PROXY, WHEN PROPERLY EXECUTED, WILL BE VOTED AS SPECIFIED BY THE UNDERSIGNED STOCKHOLDER. IF NO CHOICE IS SPECIFIED BY THE STOCKHOLDER, THIS PROXY WILL BE VOTED “FOR” ALL PORTIONS OF ITEMS (1), (2) AND (3) AND “AGAINST” FOR ITEM (4) AND, IN THE PROXIES’ DISCRETION, ON ANY OTHER MATTERS COMING BEFORE THE MEETING OR ANY ADJOURNMENT OR POSTPONEMENT THEREOF.</w:t>
      </w:r>
    </w:p>
    <w:p>
      <w:pPr>
        <w:spacing w:after="0" w:line="3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560070</wp:posOffset>
            </wp:positionV>
            <wp:extent cx="6513830"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513830" cy="17145"/>
                    </a:xfrm>
                    <a:prstGeom prst="rect">
                      <a:avLst/>
                    </a:prstGeom>
                    <a:noFill/>
                  </pic:spPr>
                </pic:pic>
              </a:graphicData>
            </a:graphic>
          </wp:anchor>
        </w:drawing>
      </w:r>
    </w:p>
    <w:sectPr>
      <w:pgSz w:w="11900" w:h="16838" w:orient="portrait"/>
      <w:cols w:equalWidth="0" w:num="1">
        <w:col w:w="11020"/>
      </w:cols>
      <w:pgMar w:left="320" w:top="47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1)"/>
      <w:numFmt w:val="decimal"/>
      <w:start w:val="1"/>
    </w:lvl>
  </w:abstractNum>
  <w:abstractNum w:abstractNumId="12">
    <w:nsid w:val="613EFDC5"/>
    <w:multiLevelType w:val="hybridMultilevel"/>
    <w:lvl w:ilvl="0">
      <w:lvlJc w:val="left"/>
      <w:lvlText w:val="(%1)"/>
      <w:numFmt w:val="decimal"/>
      <w:start w:val="8"/>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lvl w:ilvl="1">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1)"/>
      <w:numFmt w:val="decimal"/>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
      <w:numFmt w:val="bullet"/>
      <w:start w:val="1"/>
    </w:lvl>
  </w:abstractNum>
  <w:abstractNum w:abstractNumId="19">
    <w:nsid w:val="3B0FD379"/>
    <w:multiLevelType w:val="hybridMultilevel"/>
    <w:lvl w:ilvl="0">
      <w:lvlJc w:val="left"/>
      <w:lvlText w:val="(%1)"/>
      <w:numFmt w:val="decimal"/>
      <w:start w:val="1"/>
    </w:lvl>
  </w:abstractNum>
  <w:abstractNum w:abstractNumId="20">
    <w:nsid w:val="68EB2F63"/>
    <w:multiLevelType w:val="hybridMultilevel"/>
    <w:lvl w:ilvl="0">
      <w:lvlJc w:val="left"/>
      <w:lvlText w:val="(%1)"/>
      <w:numFmt w:val="decimal"/>
      <w:start w:val="2"/>
    </w:lvl>
  </w:abstractNum>
  <w:abstractNum w:abstractNumId="21">
    <w:nsid w:val="4962813B"/>
    <w:multiLevelType w:val="hybridMultilevel"/>
    <w:lvl w:ilvl="0">
      <w:lvlJc w:val="left"/>
      <w:lvlText w:val=" "/>
      <w:numFmt w:val="bullet"/>
      <w:start w:val="1"/>
    </w:lvl>
  </w:abstractNum>
  <w:abstractNum w:abstractNumId="22">
    <w:nsid w:val="60B6DF70"/>
    <w:multiLevelType w:val="hybridMultilevel"/>
    <w:lvl w:ilvl="0">
      <w:lvlJc w:val="left"/>
      <w:lvlText w:val=" "/>
      <w:numFmt w:val="bullet"/>
      <w:start w:val="1"/>
    </w:lvl>
  </w:abstractNum>
  <w:abstractNum w:abstractNumId="23">
    <w:nsid w:val="6A5EE64"/>
    <w:multiLevelType w:val="hybridMultilevel"/>
    <w:lvl w:ilvl="0">
      <w:lvlJc w:val="left"/>
      <w:lvlText w:val=" "/>
      <w:numFmt w:val="bullet"/>
      <w:start w:val="1"/>
    </w:lvl>
  </w:abstractNum>
  <w:abstractNum w:abstractNumId="24">
    <w:nsid w:val="14330624"/>
    <w:multiLevelType w:val="hybridMultilevel"/>
    <w:lvl w:ilvl="0">
      <w:lvlJc w:val="left"/>
      <w:lvlText w:val="&amp;"/>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1)"/>
      <w:numFmt w:val="lowerRoman"/>
      <w:start w:val="1"/>
    </w:lvl>
  </w:abstractNum>
  <w:abstractNum w:abstractNumId="39">
    <w:nsid w:val="74DE0EE3"/>
    <w:multiLevelType w:val="hybridMultilevel"/>
    <w:lvl w:ilvl="0">
      <w:lvlJc w:val="left"/>
      <w:lvlText w:val="(%1)"/>
      <w:numFmt w:val="lowerRoman"/>
      <w:start w:val="3"/>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1)"/>
      <w:numFmt w:val="lowerRoman"/>
      <w:start w:val="4"/>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1)"/>
      <w:numFmt w:val="decimal"/>
      <w:start w:val="1"/>
    </w:lvl>
  </w:abstractNum>
  <w:abstractNum w:abstractNumId="51">
    <w:nsid w:val="49DA307D"/>
    <w:multiLevelType w:val="hybridMultilevel"/>
    <w:lvl w:ilvl="0">
      <w:lvlJc w:val="left"/>
      <w:lvlText w:val="(%1)"/>
      <w:numFmt w:val="decimal"/>
      <w:start w:val="2"/>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1)"/>
      <w:numFmt w:val="decimal"/>
      <w:start w:val="1"/>
    </w:lvl>
  </w:abstractNum>
  <w:abstractNum w:abstractNumId="61">
    <w:nsid w:val="7D5E18F8"/>
    <w:multiLevelType w:val="hybridMultilevel"/>
    <w:lvl w:ilvl="0">
      <w:lvlJc w:val="left"/>
      <w:lvlText w:val="(%1)"/>
      <w:numFmt w:val="decimal"/>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1)"/>
      <w:numFmt w:val="decimal"/>
    </w:lvl>
    <w:lvl w:ilvl="1">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lvl w:ilvl="1">
      <w:lvlJc w:val="left"/>
      <w:lvlText w:val="∎"/>
      <w:numFmt w:val="bullet"/>
      <w:start w:val="1"/>
    </w:lvl>
  </w:abstractNum>
  <w:abstractNum w:abstractNumId="68">
    <w:nsid w:val="6A3DD3E8"/>
    <w:multiLevelType w:val="hybridMultilevel"/>
    <w:lvl w:ilvl="0">
      <w:lvlJc w:val="left"/>
      <w:lvlText w:val="(%1)"/>
      <w:numFmt w:val="decimal"/>
      <w:start w:val="1"/>
    </w:lvl>
  </w:abstractNum>
  <w:abstractNum w:abstractNumId="69">
    <w:nsid w:val="71C91298"/>
    <w:multiLevelType w:val="hybridMultilevel"/>
    <w:lvl w:ilvl="0">
      <w:lvlJc w:val="left"/>
      <w:lvlText w:val="(%1)"/>
      <w:numFmt w:val="decimal"/>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1)"/>
      <w:numFmt w:val="decimal"/>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1)"/>
      <w:numFmt w:val="decimal"/>
      <w:start w:val="1"/>
    </w:lvl>
  </w:abstractNum>
  <w:abstractNum w:abstractNumId="81">
    <w:nsid w:val="1CA0C5FA"/>
    <w:multiLevelType w:val="hybridMultilevel"/>
    <w:lvl w:ilvl="0">
      <w:lvlJc w:val="left"/>
      <w:lvlText w:val="(%1)"/>
      <w:numFmt w:val="decimal"/>
      <w:start w:val="2"/>
    </w:lvl>
  </w:abstractNum>
  <w:abstractNum w:abstractNumId="82">
    <w:nsid w:val="53584BCB"/>
    <w:multiLevelType w:val="hybridMultilevel"/>
    <w:lvl w:ilvl="0">
      <w:lvlJc w:val="left"/>
      <w:lvlText w:val="(%1)"/>
      <w:numFmt w:val="decimal"/>
    </w:lvl>
    <w:lvl w:ilvl="1">
      <w:lvlJc w:val="left"/>
      <w:lvlText w:val="∎"/>
      <w:numFmt w:val="bullet"/>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1)"/>
      <w:numFmt w:val="decimal"/>
      <w:start w:val="1"/>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emdash "/>
      <w:numFmt w:val="bullet"/>
      <w:start w:val="1"/>
    </w:lvl>
  </w:abstractNum>
  <w:abstractNum w:abstractNumId="88">
    <w:nsid w:val="E7FFA2B"/>
    <w:multiLevelType w:val="hybridMultilevel"/>
    <w:lvl w:ilvl="0">
      <w:lvlJc w:val="left"/>
      <w:lvlText w:val="∎"/>
      <w:numFmt w:val="bullet"/>
      <w:start w:val="1"/>
    </w:lvl>
  </w:abstractNum>
  <w:abstractNum w:abstractNumId="89">
    <w:nsid w:val="3C5991AA"/>
    <w:multiLevelType w:val="hybridMultilevel"/>
    <w:lvl w:ilvl="0">
      <w:lvlJc w:val="left"/>
      <w:lvlText w:val="∎"/>
      <w:numFmt w:val="bullet"/>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1)"/>
      <w:numFmt w:val="decimal"/>
      <w:start w:val="1"/>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
      <w:numFmt w:val="bullet"/>
      <w:start w:val="1"/>
    </w:lvl>
  </w:abstractNum>
  <w:abstractNum w:abstractNumId="98">
    <w:nsid w:val="4C9B0904"/>
    <w:multiLevelType w:val="hybridMultilevel"/>
    <w:lvl w:ilvl="0">
      <w:lvlJc w:val="left"/>
      <w:lvlText w:val="∎"/>
      <w:numFmt w:val="bullet"/>
      <w:start w:val="1"/>
    </w:lvl>
  </w:abstractNum>
  <w:abstractNum w:abstractNumId="99">
    <w:nsid w:val="6AA7B75C"/>
    <w:multiLevelType w:val="hybridMultilevel"/>
    <w:lvl w:ilvl="0">
      <w:lvlJc w:val="left"/>
      <w:lvlText w:val="∎"/>
      <w:numFmt w:val="bullet"/>
      <w:start w:val="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
      <w:numFmt w:val="bullet"/>
      <w:start w:val="1"/>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
      <w:numFmt w:val="bullet"/>
      <w:start w:val="1"/>
    </w:lvl>
  </w:abstractNum>
  <w:abstractNum w:abstractNumId="105">
    <w:nsid w:val="5B25ACE2"/>
    <w:multiLevelType w:val="hybridMultilevel"/>
    <w:lvl w:ilvl="0">
      <w:lvlJc w:val="left"/>
      <w:lvlText w:val="(%1)"/>
      <w:numFmt w:val="decimal"/>
      <w:start w:val="1"/>
    </w:lvl>
    <w:lvl w:ilvl="1">
      <w:lvlJc w:val="left"/>
      <w:lvlText w:val="(%2)"/>
      <w:numFmt w:val="lowerRoman"/>
      <w:start w:val="3"/>
    </w:lvl>
  </w:abstractNum>
  <w:abstractNum w:abstractNumId="106">
    <w:nsid w:val="175DFCF0"/>
    <w:multiLevelType w:val="hybridMultilevel"/>
    <w:lvl w:ilvl="0">
      <w:lvlJc w:val="left"/>
      <w:lvlText w:val="(%1)"/>
      <w:numFmt w:val="decimal"/>
      <w:start w:val="5"/>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1)"/>
      <w:numFmt w:val="lowerLetter"/>
      <w:start w:val="1"/>
    </w:lvl>
  </w:abstractNum>
  <w:abstractNum w:abstractNumId="109">
    <w:nsid w:val="34FD6B4F"/>
    <w:multiLevelType w:val="hybridMultilevel"/>
    <w:lvl w:ilvl="0">
      <w:lvlJc w:val="left"/>
      <w:lvlText w:val="(%1)"/>
      <w:numFmt w:val="lowerRoman"/>
      <w:start w:val="2"/>
    </w:lvl>
  </w:abstractNum>
  <w:abstractNum w:abstractNumId="110">
    <w:nsid w:val="5915FF32"/>
    <w:multiLevelType w:val="hybridMultilevel"/>
    <w:lvl w:ilvl="0">
      <w:lvlJc w:val="left"/>
      <w:lvlText w:val="(%1)"/>
      <w:numFmt w:val="decimal"/>
      <w:start w:val="1"/>
    </w:lvl>
  </w:abstractNum>
  <w:abstractNum w:abstractNumId="111">
    <w:nsid w:val="56438D15"/>
    <w:multiLevelType w:val="hybridMultilevel"/>
    <w:lvl w:ilvl="0">
      <w:lvlJc w:val="left"/>
      <w:lvlText w:val="(%1)"/>
      <w:numFmt w:val="decimal"/>
      <w:start w:val="1"/>
    </w:lvl>
  </w:abstractNum>
  <w:abstractNum w:abstractNumId="112">
    <w:nsid w:val="519E3149"/>
    <w:multiLevelType w:val="hybridMultilevel"/>
    <w:lvl w:ilvl="0">
      <w:lvlJc w:val="left"/>
      <w:lvlText w:val="(%1)"/>
      <w:numFmt w:val="decimal"/>
      <w:start w:val="1"/>
    </w:lvl>
  </w:abstractNum>
  <w:abstractNum w:abstractNumId="113">
    <w:nsid w:val="2C6E4AFD"/>
    <w:multiLevelType w:val="hybridMultilevel"/>
    <w:lvl w:ilvl="0">
      <w:lvlJc w:val="left"/>
      <w:lvlText w:val="(%1)"/>
      <w:numFmt w:val="decimal"/>
      <w:start w:val="1"/>
    </w:lvl>
  </w:abstractNum>
  <w:abstractNum w:abstractNumId="114">
    <w:nsid w:val="17A1B582"/>
    <w:multiLevelType w:val="hybridMultilevel"/>
    <w:lvl w:ilvl="0">
      <w:lvlJc w:val="left"/>
      <w:lvlText w:val="(%1)"/>
      <w:numFmt w:val="decimal"/>
      <w:start w:val="1"/>
    </w:lvl>
  </w:abstractNum>
  <w:abstractNum w:abstractNumId="115">
    <w:nsid w:val="4DF72E4E"/>
    <w:multiLevelType w:val="hybridMultilevel"/>
    <w:lvl w:ilvl="0">
      <w:lvlJc w:val="left"/>
      <w:lvlText w:val="∎"/>
      <w:numFmt w:val="bullet"/>
      <w:start w:val="1"/>
    </w:lvl>
  </w:abstractNum>
  <w:abstractNum w:abstractNumId="116">
    <w:nsid w:val="5046B5A9"/>
    <w:multiLevelType w:val="hybridMultilevel"/>
    <w:lvl w:ilvl="0">
      <w:lvlJc w:val="left"/>
      <w:lvlText w:val="∎"/>
      <w:numFmt w:val="bullet"/>
      <w:start w:val="1"/>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
      <w:numFmt w:val="bullet"/>
      <w:start w:val="1"/>
    </w:lvl>
  </w:abstractNum>
  <w:abstractNum w:abstractNumId="119">
    <w:nsid w:val="5EC6AFD4"/>
    <w:multiLevelType w:val="hybridMultilevel"/>
    <w:lvl w:ilvl="0">
      <w:lvlJc w:val="left"/>
      <w:lvlText w:val="(%1)"/>
      <w:numFmt w:val="decimal"/>
      <w:start w:val="1"/>
    </w:lvl>
  </w:abstractNum>
  <w:abstractNum w:abstractNumId="120">
    <w:nsid w:val="19E21BB2"/>
    <w:multiLevelType w:val="hybridMultilevel"/>
    <w:lvl w:ilvl="0">
      <w:lvlJc w:val="left"/>
      <w:lvlText w:val="(%1)"/>
      <w:numFmt w:val="decimal"/>
      <w:start w:val="5"/>
    </w:lvl>
  </w:abstractNum>
  <w:abstractNum w:abstractNumId="121">
    <w:nsid w:val="75E0858A"/>
    <w:multiLevelType w:val="hybridMultilevel"/>
    <w:lvl w:ilvl="0">
      <w:lvlJc w:val="left"/>
      <w:lvlText w:val="∎"/>
      <w:numFmt w:val="bullet"/>
      <w:start w:val="1"/>
    </w:lvl>
  </w:abstractNum>
  <w:abstractNum w:abstractNumId="122">
    <w:nsid w:val="57A61A29"/>
    <w:multiLevelType w:val="hybridMultilevel"/>
    <w:lvl w:ilvl="0">
      <w:lvlJc w:val="left"/>
      <w:lvlText w:val="•"/>
      <w:numFmt w:val="bullet"/>
      <w:start w:val="1"/>
    </w:lvl>
  </w:abstractNum>
  <w:abstractNum w:abstractNumId="123">
    <w:nsid w:val="5399C654"/>
    <w:multiLevelType w:val="hybridMultilevel"/>
    <w:lvl w:ilvl="0">
      <w:lvlJc w:val="left"/>
      <w:lvlText w:val="(%1)"/>
      <w:numFmt w:val="decimal"/>
      <w:start w:val="1"/>
    </w:lvl>
  </w:abstractNum>
  <w:abstractNum w:abstractNumId="124">
    <w:nsid w:val="20EE1348"/>
    <w:multiLevelType w:val="hybridMultilevel"/>
    <w:lvl w:ilvl="0">
      <w:lvlJc w:val="left"/>
      <w:lvlText w:val="%1"/>
      <w:numFmt w:val="decimal"/>
      <w:start w:val="1"/>
    </w:lvl>
    <w:lvl w:ilvl="1">
      <w:lvlJc w:val="left"/>
      <w:lvlText w:val="(%2)"/>
      <w:numFmt w:val="lowerLetter"/>
      <w:start w:val="1"/>
    </w:lvl>
  </w:abstractNum>
  <w:abstractNum w:abstractNumId="125">
    <w:nsid w:val="4427069A"/>
    <w:multiLevelType w:val="hybridMultilevel"/>
    <w:lvl w:ilvl="0">
      <w:lvlJc w:val="left"/>
      <w:lvlText w:val="(%1)"/>
      <w:numFmt w:val="decimal"/>
      <w:start w:val="3"/>
    </w:lvl>
    <w:lvl w:ilvl="1">
      <w:lvlJc w:val="left"/>
      <w:lvlText w:val="%2"/>
      <w:numFmt w:val="lowerLetter"/>
      <w:start w:val="1"/>
    </w:lvl>
  </w:abstractNum>
  <w:abstractNum w:abstractNumId="126">
    <w:nsid w:val="B37E80A"/>
    <w:multiLevelType w:val="hybridMultilevel"/>
    <w:lvl w:ilvl="0">
      <w:lvlJc w:val="left"/>
      <w:lvlText w:val="∎"/>
      <w:numFmt w:val="bullet"/>
      <w:start w:val="1"/>
    </w:lvl>
  </w:abstractNum>
  <w:abstractNum w:abstractNumId="127">
    <w:nsid w:val="2157F6BC"/>
    <w:multiLevelType w:val="hybridMultilevel"/>
    <w:lvl w:ilvl="0">
      <w:lvlJc w:val="left"/>
      <w:lvlText w:val="∎"/>
      <w:numFmt w:val="bullet"/>
      <w:start w:val="1"/>
    </w:lvl>
  </w:abstractNum>
  <w:abstractNum w:abstractNumId="128">
    <w:nsid w:val="704E1DD5"/>
    <w:multiLevelType w:val="hybridMultilevel"/>
    <w:lvl w:ilvl="0">
      <w:lvlJc w:val="left"/>
      <w:lvlText w:val="∎"/>
      <w:numFmt w:val="bullet"/>
      <w:start w:val="1"/>
    </w:lvl>
  </w:abstractNum>
  <w:abstractNum w:abstractNumId="129">
    <w:nsid w:val="57D2F10E"/>
    <w:multiLevelType w:val="hybridMultilevel"/>
    <w:lvl w:ilvl="0">
      <w:lvlJc w:val="left"/>
      <w:lvlText w:val="(%1)"/>
      <w:numFmt w:val="decimal"/>
      <w:start w:val="1"/>
    </w:lvl>
  </w:abstractNum>
  <w:abstractNum w:abstractNumId="130">
    <w:nsid w:val="BFFAE18"/>
    <w:multiLevelType w:val="hybridMultilevel"/>
    <w:lvl w:ilvl="0">
      <w:lvlJc w:val="left"/>
      <w:lvlText w:val="(%1)"/>
      <w:numFmt w:val="decimal"/>
      <w:start w:val="1"/>
    </w:lvl>
  </w:abstractNum>
  <w:abstractNum w:abstractNumId="131">
    <w:nsid w:val="E3E47A8"/>
    <w:multiLevelType w:val="hybridMultilevel"/>
    <w:lvl w:ilvl="0">
      <w:lvlJc w:val="left"/>
      <w:lvlText w:val="(%1)"/>
      <w:numFmt w:val="decimal"/>
      <w:start w:val="1"/>
    </w:lvl>
  </w:abstractNum>
  <w:abstractNum w:abstractNumId="132">
    <w:nsid w:val="2E48F044"/>
    <w:multiLevelType w:val="hybridMultilevel"/>
    <w:lvl w:ilvl="0">
      <w:lvlJc w:val="left"/>
      <w:lvlText w:val="∎"/>
      <w:numFmt w:val="bullet"/>
      <w:start w:val="1"/>
    </w:lvl>
  </w:abstractNum>
  <w:abstractNum w:abstractNumId="133">
    <w:nsid w:val="49D0FEAC"/>
    <w:multiLevelType w:val="hybridMultilevel"/>
    <w:lvl w:ilvl="0">
      <w:lvlJc w:val="left"/>
      <w:lvlText w:val="∎"/>
      <w:numFmt w:val="bullet"/>
      <w:start w:val="1"/>
    </w:lvl>
  </w:abstractNum>
  <w:abstractNum w:abstractNumId="134">
    <w:nsid w:val="4BEE5A5B"/>
    <w:multiLevelType w:val="hybridMultilevel"/>
    <w:lvl w:ilvl="0">
      <w:lvlJc w:val="left"/>
      <w:lvlText w:val="(%1)"/>
      <w:numFmt w:val="decimal"/>
      <w:start w:val="1"/>
    </w:lvl>
  </w:abstractNum>
  <w:abstractNum w:abstractNumId="135">
    <w:nsid w:val="5551B9F3"/>
    <w:multiLevelType w:val="hybridMultilevel"/>
    <w:lvl w:ilvl="0">
      <w:lvlJc w:val="left"/>
      <w:lvlText w:val="(%1)"/>
      <w:numFmt w:val="decimal"/>
      <w:start w:val="1"/>
    </w:lvl>
  </w:abstractNum>
  <w:abstractNum w:abstractNumId="136">
    <w:nsid w:val="24F6AB8E"/>
    <w:multiLevelType w:val="hybridMultilevel"/>
    <w:lvl w:ilvl="0">
      <w:lvlJc w:val="left"/>
      <w:lvlText w:val="(%1)"/>
      <w:numFmt w:val="decimal"/>
      <w:start w:val="3"/>
    </w:lvl>
  </w:abstractNum>
  <w:abstractNum w:abstractNumId="137">
    <w:nsid w:val="634C574C"/>
    <w:multiLevelType w:val="hybridMultilevel"/>
    <w:lvl w:ilvl="0">
      <w:lvlJc w:val="left"/>
      <w:lvlText w:val=" "/>
      <w:numFmt w:val="bullet"/>
      <w:start w:val="1"/>
    </w:lvl>
  </w:abstractNum>
  <w:abstractNum w:abstractNumId="138">
    <w:nsid w:val="24E99DD7"/>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2026-03-25T15:47:26Z</dcterms:created>
  <dcterms:modified xsi:type="dcterms:W3CDTF">2026-03-25T15:47:26Z</dcterms:modified>
</cp:coreProperties>
</file>