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11-K</w:t>
      </w:r>
    </w:p>
    <w:p>
      <w:pPr>
        <w:spacing w:after="0" w:line="40"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00" w:lineRule="exact"/>
        <w:rPr>
          <w:sz w:val="24"/>
          <w:szCs w:val="24"/>
          <w:color w:val="auto"/>
        </w:rPr>
      </w:pPr>
    </w:p>
    <w:p>
      <w:pPr>
        <w:spacing w:after="0" w:line="237" w:lineRule="exact"/>
        <w:rPr>
          <w:sz w:val="24"/>
          <w:szCs w:val="24"/>
          <w:color w:val="auto"/>
        </w:rPr>
      </w:pPr>
    </w:p>
    <w:p>
      <w:pPr>
        <w:ind w:left="500" w:right="2339" w:hanging="492"/>
        <w:spacing w:after="0" w:line="523" w:lineRule="auto"/>
        <w:tabs>
          <w:tab w:leader="none" w:pos="385"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6"/>
          <w:szCs w:val="16"/>
          <w:b w:val="1"/>
          <w:bCs w:val="1"/>
          <w:color w:val="auto"/>
        </w:rPr>
        <w:t>ANNUAL REPORT PURSUANT TO SECTION 15(d) OF THE SECURITIES EXCHANGE ACT OF 1934 For the fiscal year ended December 31, 2025</w:t>
      </w:r>
    </w:p>
    <w:p>
      <w:pPr>
        <w:ind w:left="500"/>
        <w:spacing w:after="0"/>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6"/>
          <w:szCs w:val="16"/>
          <w:b w:val="1"/>
          <w:bCs w:val="1"/>
          <w:color w:val="auto"/>
        </w:rPr>
        <w:t>OR</w:t>
      </w:r>
    </w:p>
    <w:p>
      <w:pPr>
        <w:spacing w:after="0" w:line="26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15(d) OF THE SECURITIES EXCHANGE ACT OF 1934</w:t>
      </w:r>
    </w:p>
    <w:p>
      <w:pPr>
        <w:spacing w:after="0" w:line="229" w:lineRule="exact"/>
        <w:rPr>
          <w:sz w:val="24"/>
          <w:szCs w:val="24"/>
          <w:color w:val="auto"/>
        </w:rPr>
      </w:pPr>
    </w:p>
    <w:p>
      <w:pPr>
        <w:ind w:left="500"/>
        <w:spacing w:after="0"/>
        <w:tabs>
          <w:tab w:leader="none" w:pos="31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1668780</wp:posOffset>
            </wp:positionH>
            <wp:positionV relativeFrom="paragraph">
              <wp:posOffset>-3175</wp:posOffset>
            </wp:positionV>
            <wp:extent cx="7543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8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Commission File No. 001-13300</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 Full title of the plan and the address of the plan, if different from that of the issuer named below:</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CAPITAL ONE FINANCIAL CORPORATION</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ASSOCIATE SAVINGS PLAN</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 Name of issuer of the securities held pursuant to the plan and the address of its principal executive office:</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CAPITAL ONE FINANCIAL CORPORATION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1680 Capital One Drive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McLean, Virginia 22102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3533775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Capital One Financial Corporation Associate Savings Plan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Financial Statements and Supplemental Schedule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940" w:type="dxa"/>
            <w:vAlign w:val="bottom"/>
          </w:tcPr>
          <w:p>
            <w:pPr>
              <w:spacing w:after="0"/>
              <w:rPr>
                <w:sz w:val="20"/>
                <w:szCs w:val="20"/>
                <w:color w:val="auto"/>
              </w:rPr>
            </w:pPr>
          </w:p>
        </w:tc>
      </w:tr>
      <w:tr>
        <w:trPr>
          <w:trHeight w:val="783"/>
        </w:trPr>
        <w:tc>
          <w:tcPr>
            <w:tcW w:w="8300" w:type="dxa"/>
            <w:vAlign w:val="bottom"/>
          </w:tcPr>
          <w:p>
            <w:pPr>
              <w:spacing w:after="0"/>
              <w:rPr>
                <w:sz w:val="24"/>
                <w:szCs w:val="24"/>
                <w:color w:val="auto"/>
              </w:rPr>
            </w:pPr>
          </w:p>
        </w:tc>
        <w:tc>
          <w:tcPr>
            <w:tcW w:w="294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91"/>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29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2940" w:type="dxa"/>
            <w:vAlign w:val="bottom"/>
          </w:tcPr>
          <w:p>
            <w:pPr>
              <w:spacing w:after="0"/>
              <w:rPr>
                <w:sz w:val="20"/>
                <w:szCs w:val="20"/>
                <w:color w:val="auto"/>
              </w:rPr>
            </w:pPr>
          </w:p>
        </w:tc>
      </w:tr>
      <w:tr>
        <w:trPr>
          <w:trHeight w:val="229"/>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tc>
        <w:tc>
          <w:tcPr>
            <w:tcW w:w="29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tc>
        <w:tc>
          <w:tcPr>
            <w:tcW w:w="29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29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4</w:t>
            </w:r>
          </w:p>
        </w:tc>
      </w:tr>
      <w:tr>
        <w:trPr>
          <w:trHeight w:val="23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2940" w:type="dxa"/>
            <w:vAlign w:val="bottom"/>
          </w:tcPr>
          <w:p>
            <w:pPr>
              <w:spacing w:after="0"/>
              <w:rPr>
                <w:sz w:val="20"/>
                <w:szCs w:val="20"/>
                <w:color w:val="auto"/>
              </w:rPr>
            </w:pPr>
          </w:p>
        </w:tc>
      </w:tr>
      <w:tr>
        <w:trPr>
          <w:trHeight w:val="226"/>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Schedule H, Line 4i—Schedule of Assets (Held at End of Year)</w:t>
            </w:r>
          </w:p>
        </w:tc>
        <w:tc>
          <w:tcPr>
            <w:tcW w:w="29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9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15</w:t>
            </w:r>
          </w:p>
        </w:tc>
      </w:tr>
      <w:tr>
        <w:trPr>
          <w:trHeight w:val="23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940" w:type="dxa"/>
            <w:vAlign w:val="bottom"/>
          </w:tcPr>
          <w:p>
            <w:pPr>
              <w:spacing w:after="0"/>
              <w:rPr>
                <w:sz w:val="20"/>
                <w:szCs w:val="20"/>
                <w:color w:val="auto"/>
              </w:rPr>
            </w:pPr>
          </w:p>
        </w:tc>
      </w:tr>
      <w:tr>
        <w:trPr>
          <w:trHeight w:val="234"/>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Exhibit 23.1 Consent of Independent Registered Public Accounting Firm</w:t>
            </w:r>
          </w:p>
        </w:tc>
        <w:tc>
          <w:tcPr>
            <w:tcW w:w="2940" w:type="dxa"/>
            <w:vAlign w:val="bottom"/>
          </w:tcPr>
          <w:p>
            <w:pPr>
              <w:spacing w:after="0"/>
              <w:rPr>
                <w:sz w:val="20"/>
                <w:szCs w:val="20"/>
                <w:color w:val="auto"/>
              </w:rPr>
            </w:pPr>
          </w:p>
        </w:tc>
      </w:tr>
      <w:tr>
        <w:trPr>
          <w:trHeight w:val="1991"/>
        </w:trPr>
        <w:tc>
          <w:tcPr>
            <w:tcW w:w="83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76" w:lineRule="exact"/>
        <w:rPr>
          <w:sz w:val="20"/>
          <w:szCs w:val="20"/>
          <w:color w:val="auto"/>
        </w:rPr>
      </w:pPr>
    </w:p>
    <w:p>
      <w:pPr>
        <w:ind w:right="3080"/>
        <w:spacing w:after="0" w:line="407" w:lineRule="auto"/>
        <w:rPr>
          <w:sz w:val="20"/>
          <w:szCs w:val="20"/>
          <w:color w:val="auto"/>
        </w:rPr>
      </w:pPr>
      <w:r>
        <w:rPr>
          <w:rFonts w:ascii="Times New Roman" w:cs="Times New Roman" w:eastAsia="Times New Roman" w:hAnsi="Times New Roman"/>
          <w:sz w:val="18"/>
          <w:szCs w:val="18"/>
          <w:color w:val="auto"/>
        </w:rPr>
        <w:t xml:space="preserve">To the Plan Participants and the Plan Administrator of Capital One Financial Corporation Associate Savings Plan </w:t>
      </w:r>
      <w:r>
        <w:rPr>
          <w:rFonts w:ascii="Times New Roman" w:cs="Times New Roman" w:eastAsia="Times New Roman" w:hAnsi="Times New Roman"/>
          <w:sz w:val="18"/>
          <w:szCs w:val="18"/>
          <w:b w:val="1"/>
          <w:bCs w:val="1"/>
          <w:color w:val="auto"/>
        </w:rPr>
        <w:t>Opinion on the Financial Statements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Capital One Financial Corporation Associate Savings Plan (the Plan) as of December 31, 2025 and 2024, and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at December 31, 2025 and 2024, and the changes in its net assets available for benefits for the years then ended, in conformity with U.S. generally accepted accounting principles.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Schedule Required by ERISA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supplemental schedule of assets (held at end of year) as of December 31, 2025 (referred to as the “supplemental schedule”), has been subjected to audit procedures performed in conjunction with the audit of the Plan’s financial statements. The information in the supplemental schedule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Capital One Financial Corporation Associate Savings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8"/>
                <w:szCs w:val="18"/>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7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7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13,927,171,474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11,356,035,138</w:t>
            </w:r>
          </w:p>
        </w:tc>
      </w:tr>
      <w:tr>
        <w:trPr>
          <w:trHeight w:val="230"/>
        </w:trPr>
        <w:tc>
          <w:tcPr>
            <w:tcW w:w="7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521,101,688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508,304,661</w:t>
            </w:r>
          </w:p>
        </w:tc>
      </w:tr>
      <w:tr>
        <w:trPr>
          <w:trHeight w:val="223"/>
        </w:trPr>
        <w:tc>
          <w:tcPr>
            <w:tcW w:w="73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14,448,273,162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11,864,339,799</w:t>
            </w: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 maturing through 2035, 3.25% - 10.5% interest rates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215,034,471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163,195,712</w:t>
            </w:r>
          </w:p>
        </w:tc>
      </w:tr>
      <w:tr>
        <w:trPr>
          <w:trHeight w:val="216"/>
        </w:trPr>
        <w:tc>
          <w:tcPr>
            <w:tcW w:w="7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Unsettled trades in conjunction with Plan Merger</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3,686,127,902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16,395,877</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54,791,928</w:t>
            </w:r>
          </w:p>
        </w:tc>
      </w:tr>
      <w:tr>
        <w:trPr>
          <w:trHeight w:val="223"/>
        </w:trPr>
        <w:tc>
          <w:tcPr>
            <w:tcW w:w="734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18,365,831,412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12,082,327,439</w:t>
            </w:r>
          </w:p>
        </w:tc>
      </w:tr>
      <w:tr>
        <w:trPr>
          <w:trHeight w:val="196"/>
        </w:trPr>
        <w:tc>
          <w:tcPr>
            <w:tcW w:w="7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29"/>
        </w:trPr>
        <w:tc>
          <w:tcPr>
            <w:tcW w:w="7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4,352,390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49,736,985</w:t>
            </w:r>
          </w:p>
        </w:tc>
      </w:tr>
      <w:tr>
        <w:trPr>
          <w:trHeight w:val="223"/>
        </w:trPr>
        <w:tc>
          <w:tcPr>
            <w:tcW w:w="734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4,352,390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49,736,985</w:t>
            </w:r>
          </w:p>
        </w:tc>
      </w:tr>
      <w:tr>
        <w:trPr>
          <w:trHeight w:val="248"/>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18,361,479,022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12,032,590,454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4" w:name="page5"/>
    <w:bookmarkEnd w:id="4"/>
    <w:p>
      <w:pPr>
        <w:spacing w:after="0" w:line="26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Capital One Financial Corporation Associate Savings Plan</w:t>
      </w:r>
    </w:p>
    <w:p>
      <w:pPr>
        <w:spacing w:after="0" w:line="12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Statements of Changes in Net Assets Available for Benefits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40" w:type="dxa"/>
            <w:vAlign w:val="bottom"/>
            <w:tcBorders>
              <w:bottom w:val="single" w:sz="8" w:color="auto"/>
            </w:tcBorders>
          </w:tcPr>
          <w:p>
            <w:pPr>
              <w:spacing w:after="0"/>
              <w:rPr>
                <w:sz w:val="18"/>
                <w:szCs w:val="18"/>
                <w:color w:val="auto"/>
              </w:rPr>
            </w:pPr>
          </w:p>
        </w:tc>
      </w:tr>
      <w:tr>
        <w:trPr>
          <w:trHeight w:val="211"/>
        </w:trPr>
        <w:tc>
          <w:tcPr>
            <w:tcW w:w="6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appreciation of investments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2,234,516,867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1,594,354,374</w:t>
            </w:r>
          </w:p>
        </w:tc>
      </w:tr>
      <w:tr>
        <w:trPr>
          <w:trHeight w:val="230"/>
        </w:trPr>
        <w:tc>
          <w:tcPr>
            <w:tcW w:w="68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Interest and dividends on investments</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6,450,335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12,877,639</w:t>
            </w:r>
          </w:p>
        </w:tc>
      </w:tr>
      <w:tr>
        <w:trPr>
          <w:trHeight w:val="223"/>
        </w:trPr>
        <w:tc>
          <w:tcPr>
            <w:tcW w:w="6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2,240,967,202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1,607,232,013</w:t>
            </w:r>
          </w:p>
        </w:tc>
      </w:tr>
      <w:tr>
        <w:trPr>
          <w:trHeight w:val="230"/>
        </w:trPr>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14,791,762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13,295,650</w:t>
            </w:r>
          </w:p>
        </w:tc>
      </w:tr>
      <w:tr>
        <w:trPr>
          <w:trHeight w:val="229"/>
        </w:trPr>
        <w:tc>
          <w:tcPr>
            <w:tcW w:w="6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Employer</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502,736,534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466,075,524</w:t>
            </w:r>
          </w:p>
        </w:tc>
      </w:tr>
      <w:tr>
        <w:trPr>
          <w:trHeight w:val="229"/>
        </w:trPr>
        <w:tc>
          <w:tcPr>
            <w:tcW w:w="6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Participants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609,066,549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559,877,149</w:t>
            </w:r>
          </w:p>
        </w:tc>
      </w:tr>
      <w:tr>
        <w:trPr>
          <w:trHeight w:val="229"/>
        </w:trPr>
        <w:tc>
          <w:tcPr>
            <w:tcW w:w="68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Rollovers</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170,540,845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95,007,786</w:t>
            </w:r>
          </w:p>
        </w:tc>
      </w:tr>
      <w:tr>
        <w:trPr>
          <w:trHeight w:val="223"/>
        </w:trPr>
        <w:tc>
          <w:tcPr>
            <w:tcW w:w="6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contributions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1,282,343,928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1,120,960,459</w:t>
            </w:r>
          </w:p>
        </w:tc>
      </w:tr>
      <w:tr>
        <w:trPr>
          <w:trHeight w:val="229"/>
        </w:trPr>
        <w:tc>
          <w:tcPr>
            <w:tcW w:w="68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additions</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3,538,102,892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2,741,488,122</w:t>
            </w:r>
          </w:p>
        </w:tc>
      </w:tr>
      <w:tr>
        <w:trPr>
          <w:trHeight w:val="21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929,096,459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927,002,860</w:t>
            </w:r>
          </w:p>
        </w:tc>
      </w:tr>
      <w:tr>
        <w:trPr>
          <w:trHeight w:val="230"/>
        </w:trPr>
        <w:tc>
          <w:tcPr>
            <w:tcW w:w="6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12,339,688</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14,288,715</w:t>
            </w:r>
          </w:p>
        </w:tc>
      </w:tr>
      <w:tr>
        <w:trPr>
          <w:trHeight w:val="223"/>
        </w:trPr>
        <w:tc>
          <w:tcPr>
            <w:tcW w:w="68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deductions</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941,436,147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941,291,575</w:t>
            </w:r>
          </w:p>
        </w:tc>
      </w:tr>
      <w:tr>
        <w:trPr>
          <w:trHeight w:val="223"/>
        </w:trPr>
        <w:tc>
          <w:tcPr>
            <w:tcW w:w="6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2,596,666,745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1,800,196,547</w:t>
            </w:r>
          </w:p>
        </w:tc>
      </w:tr>
      <w:tr>
        <w:trPr>
          <w:trHeight w:val="230"/>
        </w:trPr>
        <w:tc>
          <w:tcPr>
            <w:tcW w:w="6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Transfer from Discover Financial Services 401k Plan</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3,732,221,823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8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Beginning of year</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12,032,590,454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10,232,393,907</w:t>
            </w:r>
          </w:p>
        </w:tc>
      </w:tr>
      <w:tr>
        <w:trPr>
          <w:trHeight w:val="248"/>
        </w:trPr>
        <w:tc>
          <w:tcPr>
            <w:tcW w:w="6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 of year</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18,361,479,022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12,032,590,454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Capital One Financial Corporation Associate Savings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January 1, 1995, Capital One Financial Corporation (the “Company”) established and adopted the Capital One Financial Corporation Associate Savings Plan (the “Plan”) for the benefit of its eligible employees.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Benefits Committee of the Company is the Plan administrator and Fidelity Management Trust Company (the “Trustee”) was the Plan trustee for both the 2025 and 2024 plan years. Pursuant to the Plan Merger discussed below, assets held in the Discover Financial Services 401(k) Plan (the “Discover 401(k) Plan”) were held at Alight/The Bank of New York Mellon ("BNY") as of December 31, 2025.</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Plan provides only general information. Participants should refer to the Plan document for a more complete description of the Plan’s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is a defined contribution plan covering all employees of the Company who are age 18 or older (including any related companies that adopt the Plan). Eligible employees are automatically enrolled in the Plan immediately upon hire unless they elect to opt-out of Plan participation. The Plan is a qualified defined contribution retirement plan with a cash or deferred arrangement under Internal Revenue Code (the "Code") Sections 401(a) and 401(k), respectively, and subject to the provisions of the Employee Retirement Income Security Act of 1974 (“ERISA”),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Merger</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18, 2025, the Company completed the acquisition of Discover Financial Services (“Discover”). Subsequently, effective as of the end of the day on December 31, 2025, Discover 401(k) Plan was merged into the Plan whereby the Plan became the surviving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Plan, participants can elect to make annual pre-tax and Roth contributions of no more than 50% of their eligible compensation, subject to Internal Revenue Service (“IRS”) limitations. The IRS limitation was $23,500 and $23,000 for 2025 and 2024, respectively. Participants who are age 50 or older at the end of a particular calendar year are permitted to make additional elective deferral contributions of $7,500 for both 2025 and 2024. New in 2025, participants who are age 60 to age 63 at the end of 2025 can defer an additional, higher catch-up contribution of $3,750. Participants may also contribute amounts representing distributions from other qualified plans as roll-over contributions.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makes non-elective contributions to each eligible associate’s account and matches a portion of associate contributions. The Company’s contributions, which provide for a maximum annual Company contribution of up to 7.5% of eligible compensation, consist of two major components: (1) a basic safe-harbor non-elective contribution and (2) Company matching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Capital One Financial Corporation Associate Savings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contribution structure under the Plan: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b w:val="1"/>
                <w:bCs w:val="1"/>
                <w:color w:val="auto"/>
              </w:rPr>
              <w:t>Contribution Type</w:t>
            </w:r>
          </w:p>
        </w:tc>
        <w:tc>
          <w:tcPr>
            <w:tcW w:w="632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6"/>
                <w:szCs w:val="16"/>
                <w:b w:val="1"/>
                <w:bCs w:val="1"/>
                <w:color w:val="auto"/>
              </w:rPr>
              <w:t>Contribution Structure</w:t>
            </w:r>
          </w:p>
        </w:tc>
      </w:tr>
      <w:tr>
        <w:trPr>
          <w:trHeight w:val="226"/>
        </w:trPr>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Basic safe-harbor non-elective contribution</w:t>
            </w:r>
          </w:p>
        </w:tc>
        <w:tc>
          <w:tcPr>
            <w:tcW w:w="63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 3% of eligible compensation</w:t>
            </w:r>
          </w:p>
        </w:tc>
      </w:tr>
      <w:tr>
        <w:trPr>
          <w:trHeight w:val="169"/>
        </w:trPr>
        <w:tc>
          <w:tcPr>
            <w:tcW w:w="58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432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Company matching contribution</w:t>
            </w:r>
          </w:p>
        </w:tc>
        <w:tc>
          <w:tcPr>
            <w:tcW w:w="6320" w:type="dxa"/>
            <w:vAlign w:val="bottom"/>
          </w:tcPr>
          <w:p>
            <w:pPr>
              <w:ind w:left="1100"/>
              <w:spacing w:after="0" w:line="169" w:lineRule="exact"/>
              <w:rPr>
                <w:sz w:val="20"/>
                <w:szCs w:val="20"/>
                <w:color w:val="auto"/>
              </w:rPr>
            </w:pPr>
            <w:r>
              <w:rPr>
                <w:rFonts w:ascii="Times New Roman" w:cs="Times New Roman" w:eastAsia="Times New Roman" w:hAnsi="Times New Roman"/>
                <w:sz w:val="18"/>
                <w:szCs w:val="18"/>
                <w:color w:val="auto"/>
              </w:rPr>
              <w:t>•  Up to 3% of eligible compensation, calculated as 100% Company</w:t>
            </w:r>
          </w:p>
        </w:tc>
      </w:tr>
      <w:tr>
        <w:trPr>
          <w:trHeight w:val="234"/>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63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match on the first 3% of associate deferrals</w:t>
            </w:r>
          </w:p>
        </w:tc>
      </w:tr>
      <w:tr>
        <w:trPr>
          <w:trHeight w:val="211"/>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63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Up to 4.5% of eligible compensation, calculated as 50% Company</w:t>
            </w:r>
          </w:p>
        </w:tc>
      </w:tr>
      <w:tr>
        <w:trPr>
          <w:trHeight w:val="234"/>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63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match on the next 3% of associate deferrals</w:t>
            </w:r>
          </w:p>
        </w:tc>
      </w:tr>
      <w:tr>
        <w:trPr>
          <w:trHeight w:val="103"/>
        </w:trPr>
        <w:tc>
          <w:tcPr>
            <w:tcW w:w="580" w:type="dxa"/>
            <w:vAlign w:val="bottom"/>
            <w:tcBorders>
              <w:bottom w:val="single" w:sz="8" w:color="auto"/>
            </w:tcBorders>
          </w:tcPr>
          <w:p>
            <w:pPr>
              <w:spacing w:after="0"/>
              <w:rPr>
                <w:sz w:val="8"/>
                <w:szCs w:val="8"/>
                <w:color w:val="auto"/>
              </w:rPr>
            </w:pPr>
          </w:p>
        </w:tc>
        <w:tc>
          <w:tcPr>
            <w:tcW w:w="4320" w:type="dxa"/>
            <w:vAlign w:val="bottom"/>
            <w:tcBorders>
              <w:bottom w:val="single" w:sz="8" w:color="auto"/>
            </w:tcBorders>
          </w:tcPr>
          <w:p>
            <w:pPr>
              <w:spacing w:after="0"/>
              <w:rPr>
                <w:sz w:val="8"/>
                <w:szCs w:val="8"/>
                <w:color w:val="auto"/>
              </w:rPr>
            </w:pPr>
          </w:p>
        </w:tc>
        <w:tc>
          <w:tcPr>
            <w:tcW w:w="6320" w:type="dxa"/>
            <w:vAlign w:val="bottom"/>
            <w:tcBorders>
              <w:bottom w:val="single" w:sz="8" w:color="auto"/>
            </w:tcBorders>
          </w:tcPr>
          <w:p>
            <w:pPr>
              <w:spacing w:after="0"/>
              <w:rPr>
                <w:sz w:val="8"/>
                <w:szCs w:val="8"/>
                <w:color w:val="auto"/>
              </w:rPr>
            </w:pPr>
          </w:p>
        </w:tc>
      </w:tr>
      <w:tr>
        <w:trPr>
          <w:trHeight w:val="228"/>
        </w:trPr>
        <w:tc>
          <w:tcPr>
            <w:tcW w:w="580" w:type="dxa"/>
            <w:vAlign w:val="bottom"/>
          </w:tcPr>
          <w:p>
            <w:pPr>
              <w:spacing w:after="0"/>
              <w:rPr>
                <w:sz w:val="19"/>
                <w:szCs w:val="19"/>
                <w:color w:val="auto"/>
              </w:rPr>
            </w:pPr>
          </w:p>
        </w:tc>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annual contribution opportunity</w:t>
            </w:r>
          </w:p>
        </w:tc>
        <w:tc>
          <w:tcPr>
            <w:tcW w:w="63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Maximum of 7.5% of eligible compensation</w:t>
            </w:r>
          </w:p>
        </w:tc>
      </w:tr>
    </w:tbl>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basic safe-harbor non-elective contribution of 3% of eligible compensation, as defined in the Plan document, is made for all eligible employees regardless of employee contributions to the Plan. In addition, the Company makes matching contributions of up to 4.5% of a participant’s eligible compensation. The Company makes “true-up” matching contributions for participants who did not receive the full match to which participants would have been entitled if participants had contributed to the Plan ratably throughout the year. Employees who have made pre-tax and/or Roth contributions to the Plan during the Plan year are eligible for the Company matching contributions. The Company makes contributions on a per-pay period basis and new employees become immediately eligible for the Company’s matching contributions. All Company contributions are cash contributions.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allocations of the Company’s contributions and Plan earnings. Allocations of Company contributions are determined based on participant contributions or eligible compensation, as defined in the Plan document. Allocations of Plan earnings are determined based upon the number of units of the Plan’s investment options in each participant’s account. The benefit to which a participant is entitled to is the benefit that can be provided from the participant’s vested account as of the date of record.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Participant contributions and the Company’s basic safe-harbor non-elective contributions vest immediately, along with earnings on those contributions. The Company’s matching contributions plus actual earnings thereon vest after two years of service.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Forfeited Accounts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Excess forfeited balances of terminated participants’ non-vested accounts, after payment of administrative expenses, are used to reduce future Company contributions. Forfeited non-vested accounts totaled $11,773,061 and $13,017,806 as of December 31, 2025 and 2024, respectively. Forfeitures used to reduce the Company contributions totaled $13,390,489 and $13,326,193 in 2025 and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investments in the Plan are participant-directed. Participants may change their investment options at any time. As of December 31, 2025, the Company offered 21 investment options, which are summarized below:</w:t>
      </w:r>
    </w:p>
    <w:p>
      <w:pPr>
        <w:spacing w:after="0" w:line="185" w:lineRule="exact"/>
        <w:rPr>
          <w:sz w:val="20"/>
          <w:szCs w:val="20"/>
          <w:color w:val="auto"/>
        </w:rPr>
      </w:pPr>
    </w:p>
    <w:p>
      <w:pPr>
        <w:ind w:left="340" w:right="20" w:hanging="332"/>
        <w:spacing w:after="0" w:line="28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Stable Value Fund (Invesco)</w:t>
      </w:r>
      <w:r>
        <w:rPr>
          <w:rFonts w:ascii="Times New Roman" w:cs="Times New Roman" w:eastAsia="Times New Roman" w:hAnsi="Times New Roman"/>
          <w:sz w:val="18"/>
          <w:szCs w:val="18"/>
          <w:color w:val="auto"/>
        </w:rPr>
        <w:t>—Monies are invested in a diversified portfolio of investment contracts issued by high quality insurance companies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banks, with each contract carrying a crediting rate of interest and backed by high quality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Capital One Financial Corporation Associate Savings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White Label Funds</w:t>
      </w:r>
    </w:p>
    <w:p>
      <w:pPr>
        <w:spacing w:after="0" w:line="248" w:lineRule="exact"/>
        <w:rPr>
          <w:sz w:val="20"/>
          <w:szCs w:val="20"/>
          <w:color w:val="auto"/>
        </w:rPr>
      </w:pPr>
    </w:p>
    <w:p>
      <w:pPr>
        <w:ind w:left="340" w:hanging="332"/>
        <w:spacing w:after="0" w:line="28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 Small/Mid Cap Equity Fund</w:t>
      </w:r>
      <w:r>
        <w:rPr>
          <w:rFonts w:ascii="Times New Roman" w:cs="Times New Roman" w:eastAsia="Times New Roman" w:hAnsi="Times New Roman"/>
          <w:sz w:val="18"/>
          <w:szCs w:val="18"/>
          <w:color w:val="auto"/>
        </w:rPr>
        <w:t>—Monies are primarily invested in common stocks included in the Russell 2500 Index, which broadly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of small to mid-capitalization companies publicly traded in the U.S.</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International Equity Fund</w:t>
      </w:r>
      <w:r>
        <w:rPr>
          <w:rFonts w:ascii="Times New Roman" w:cs="Times New Roman" w:eastAsia="Times New Roman" w:hAnsi="Times New Roman"/>
          <w:sz w:val="18"/>
          <w:szCs w:val="18"/>
          <w:color w:val="auto"/>
        </w:rPr>
        <w:t>—Monies are primarily invested in securities included in the MSCI ACWI (All Country World Index) ex USA Index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depository receipts representing securities included in the index, which broadly represents the performance of foreign developed and emerging stock markets.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Fidelity Brokerage Link</w:t>
      </w:r>
    </w:p>
    <w:p>
      <w:pPr>
        <w:spacing w:after="0" w:line="248" w:lineRule="exact"/>
        <w:rPr>
          <w:sz w:val="20"/>
          <w:szCs w:val="20"/>
          <w:color w:val="auto"/>
        </w:rPr>
      </w:pPr>
    </w:p>
    <w:p>
      <w:pPr>
        <w:ind w:left="340" w:hanging="332"/>
        <w:spacing w:after="0" w:line="286" w:lineRule="auto"/>
        <w:tabs>
          <w:tab w:leader="none" w:pos="33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Fidelity BrokerageLink</w:t>
      </w:r>
      <w:r>
        <w:rPr>
          <w:rFonts w:ascii="Times New Roman" w:cs="Times New Roman" w:eastAsia="Times New Roman" w:hAnsi="Times New Roman"/>
          <w:sz w:val="18"/>
          <w:szCs w:val="18"/>
          <w:color w:val="auto"/>
        </w:rPr>
        <w:t>—This self-directed option allows participants to invest in mutual funds and other investment options beyond the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offered directly through the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Collective Investment Funds</w:t>
      </w:r>
    </w:p>
    <w:p>
      <w:pPr>
        <w:spacing w:after="0" w:line="248" w:lineRule="exact"/>
        <w:rPr>
          <w:sz w:val="20"/>
          <w:szCs w:val="20"/>
          <w:color w:val="auto"/>
        </w:rPr>
      </w:pPr>
    </w:p>
    <w:p>
      <w:pPr>
        <w:ind w:left="340" w:hanging="332"/>
        <w:spacing w:after="0" w:line="286" w:lineRule="auto"/>
        <w:tabs>
          <w:tab w:leader="none" w:pos="33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Spartan Global ex U.S. Index Fund</w:t>
      </w:r>
      <w:r>
        <w:rPr>
          <w:rFonts w:ascii="Times New Roman" w:cs="Times New Roman" w:eastAsia="Times New Roman" w:hAnsi="Times New Roman"/>
          <w:sz w:val="18"/>
          <w:szCs w:val="18"/>
          <w:color w:val="auto"/>
        </w:rPr>
        <w:t>—The fund seeks to replicate the performance and overall characteristics, before fees and expenses, of the MSCI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ACWI ex USA Index in a risk-managed and cost-effective way.</w:t>
      </w:r>
    </w:p>
    <w:p>
      <w:pPr>
        <w:spacing w:after="0" w:line="181" w:lineRule="exact"/>
        <w:rPr>
          <w:rFonts w:ascii="Times New Roman" w:cs="Times New Roman" w:eastAsia="Times New Roman" w:hAnsi="Times New Roman"/>
          <w:sz w:val="18"/>
          <w:szCs w:val="18"/>
          <w:b w:val="1"/>
          <w:bCs w:val="1"/>
          <w:color w:val="auto"/>
        </w:rPr>
      </w:pPr>
    </w:p>
    <w:p>
      <w:pPr>
        <w:jc w:val="both"/>
        <w:ind w:left="340" w:hanging="332"/>
        <w:spacing w:after="0" w:line="262" w:lineRule="auto"/>
        <w:tabs>
          <w:tab w:leader="none" w:pos="33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BlackRock LifePath Index Non-Lendable Fund (2030, 2035, 2040, 2045, 2050, 2055, 2060, 2065, 2070 and Retirement)</w:t>
      </w:r>
      <w:r>
        <w:rPr>
          <w:rFonts w:ascii="Times New Roman" w:cs="Times New Roman" w:eastAsia="Times New Roman" w:hAnsi="Times New Roman"/>
          <w:sz w:val="18"/>
          <w:szCs w:val="18"/>
          <w:color w:val="auto"/>
        </w:rPr>
        <w:t>—Each fund is a broadly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diversified portfolio, tailored to the investment horizon of the fund. The name of each fund (e.g., BlackRock LifePath 2045) represents the year during which participants will most likely begin to draw income and/or principal from their investment. The LifePath funds are the default investment choices unless participants choose otherwise. The investment is a “qualified default investment alternative” for purposes of ERISA.</w:t>
      </w:r>
    </w:p>
    <w:p>
      <w:pPr>
        <w:spacing w:after="0" w:line="203"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3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BlackRock Russell 2500 Index Fund</w:t>
      </w:r>
      <w:r>
        <w:rPr>
          <w:rFonts w:ascii="Times New Roman" w:cs="Times New Roman" w:eastAsia="Times New Roman" w:hAnsi="Times New Roman"/>
          <w:sz w:val="18"/>
          <w:szCs w:val="18"/>
          <w:color w:val="auto"/>
        </w:rPr>
        <w:t>—Monies are primarily invested in common stocks included in the Russell 2500 Index, which broadly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the performance of small to mid-capitalization companies publicly traded in the U.S.</w:t>
      </w:r>
    </w:p>
    <w:p>
      <w:pPr>
        <w:spacing w:after="0" w:line="181"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BlackRock Strategic Completion Non-Lendable Fund</w:t>
      </w:r>
      <w:r>
        <w:rPr>
          <w:rFonts w:ascii="Times New Roman" w:cs="Times New Roman" w:eastAsia="Times New Roman" w:hAnsi="Times New Roman"/>
          <w:sz w:val="18"/>
          <w:szCs w:val="18"/>
          <w:color w:val="auto"/>
        </w:rPr>
        <w:t>—Monies are primarily invested in inflation-sensitive asset classes, such as U.S. treasury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inflation protected securities, real estate investment trusts and commodities.</w:t>
      </w:r>
    </w:p>
    <w:p>
      <w:pPr>
        <w:spacing w:after="0" w:line="181"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BlackRock U.S. Debt Index Non-Lendable Fund</w:t>
      </w:r>
      <w:r>
        <w:rPr>
          <w:rFonts w:ascii="Times New Roman" w:cs="Times New Roman" w:eastAsia="Times New Roman" w:hAnsi="Times New Roman"/>
          <w:sz w:val="18"/>
          <w:szCs w:val="18"/>
          <w:color w:val="auto"/>
        </w:rPr>
        <w:t>— Monies are primarily invested in debt securities included in the Bloomberg U.S.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Bond Index, which broadly represents the performance of intermediate duration debt securities publicly traded in the U.S.</w:t>
      </w:r>
    </w:p>
    <w:p>
      <w:pPr>
        <w:spacing w:after="0" w:line="181"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State Street S&amp;P 500 Index Non-Lending Series Fund</w:t>
      </w:r>
      <w:r>
        <w:rPr>
          <w:rFonts w:ascii="Times New Roman" w:cs="Times New Roman" w:eastAsia="Times New Roman" w:hAnsi="Times New Roman"/>
          <w:sz w:val="18"/>
          <w:szCs w:val="18"/>
          <w:color w:val="auto"/>
        </w:rPr>
        <w:t>—Monies are primarily invested in common stocks included in the S&amp;P 500 Index,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broadly represents the performance of large capitalization companies publicly traded in the U.S.</w:t>
      </w:r>
    </w:p>
    <w:p>
      <w:pPr>
        <w:spacing w:after="0" w:line="181" w:lineRule="exact"/>
        <w:rPr>
          <w:rFonts w:ascii="Times New Roman" w:cs="Times New Roman" w:eastAsia="Times New Roman" w:hAnsi="Times New Roman"/>
          <w:sz w:val="18"/>
          <w:szCs w:val="18"/>
          <w:color w:val="auto"/>
        </w:rPr>
      </w:pPr>
    </w:p>
    <w:p>
      <w:pPr>
        <w:ind w:left="340" w:hanging="332"/>
        <w:spacing w:after="0" w:line="286" w:lineRule="auto"/>
        <w:tabs>
          <w:tab w:leader="none" w:pos="33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Prudential Core Plus Bond Fund (Class 5)</w:t>
      </w:r>
      <w:r>
        <w:rPr>
          <w:rFonts w:ascii="Times New Roman" w:cs="Times New Roman" w:eastAsia="Times New Roman" w:hAnsi="Times New Roman"/>
          <w:sz w:val="18"/>
          <w:szCs w:val="18"/>
          <w:color w:val="auto"/>
        </w:rPr>
        <w:t>—Monies are primarily invested in debt securities meant to outperform the Bloomberg U.S.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Bond Index, which broadly represents the performance of debt securities publicly traded in the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One Stock Fund</w:t>
      </w:r>
    </w:p>
    <w:p>
      <w:pPr>
        <w:spacing w:after="0" w:line="248" w:lineRule="exact"/>
        <w:rPr>
          <w:sz w:val="20"/>
          <w:szCs w:val="20"/>
          <w:color w:val="auto"/>
        </w:rPr>
      </w:pPr>
    </w:p>
    <w:p>
      <w:pPr>
        <w:ind w:left="340" w:hanging="332"/>
        <w:spacing w:after="0" w:line="286" w:lineRule="auto"/>
        <w:tabs>
          <w:tab w:leader="none" w:pos="33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One Stock Fund</w:t>
      </w:r>
      <w:r>
        <w:rPr>
          <w:rFonts w:ascii="Times New Roman" w:cs="Times New Roman" w:eastAsia="Times New Roman" w:hAnsi="Times New Roman"/>
          <w:sz w:val="18"/>
          <w:szCs w:val="18"/>
          <w:color w:val="auto"/>
        </w:rPr>
        <w:t>—Monies are invested in a unitized trust fund which primarily invests in shares of the Company’s common stock,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short-term investments to provide for the Capital One Stock Fund's estimated liquidity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Capital One Financial Corporation Associate Savings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may elect to borrow from their fund accounts a minimum of $1,000 and up to a maximum of the lesser of $50,000 or 50% of their vested account balance. Loan transactions are treated as a transfer from (to) the investment fund to (from) the loan fund. Loan terms typically range from one to five years, but can extend up to ten years if used toward the purchase of a primary residence. The loans are secured by the balance in the participant’s account and bear interest at a fixed rate commensurate with prevailing rates as determined by the Benefits Committee (currently at a rate of Prime plus 2%). Principal and interest are paid ratably through bi-weekly payroll deductions.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participant may elect to receive an amount up to the vested value of his or her account through a lump-sum cash distribution upon the participant’s death, hardship, retirement, termination of service or for other reasons as governed by the Plan document. If the participant has invested in the Capital One Stock Fund, he or she may elect to receive distributions of whole shares of common stock with fractional shares paid in cash.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Administrative expenses consist primarily of record keeping, investment management, and advisory fees paid to the Trustee. Record keeping and investment management fees are paid by the plan participants. Advisory fees to the Trustee are paid either out of Plan forfeitures or by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to terminate the Plan subject to the provisions of ERISA. In the event of Plan termination, participants will become 100% vested in any unvested amounts in their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Use of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statements of the Plan have been prepared in accordance with generally accepted accounting principles in the U.S. (“U.S. GAAP”). The Financial Statements of the plan are prepared on an accrual basis of accounting. Benefits are recorded when paid. The preparation of financial statements in accordance with U.S. GAAP requires management to make a number of judgments, estimates and assumptions that affect the amounts reported in the financial statements and related disclosures. These estimates are based on information available as of the date of the financial statements. While management makes its best judgment, actual amounts or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Capital One Financial Corporation Associate Savings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investments are reported at fair value with the exception of fully benefit-responsive investment contracts, which are reported at contract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transactions are recorded as of the trade date.</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shares of registered investment companies is based on quoted market prices, which represent the net asset values of shares held by the Plan as of year end.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One Stock Fund is not traded on an active market. The unit value of the Capital One Stock Fund is based on the closing price of the Company’s stock and the value of the money market component on the last business day of the Plan year. The Company’s stock is listed and traded on the New York Stock Exchange.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Collective investment trusts are classified as Level 2 in the fair value hierarchy as of December 31, 2025 and 2024. Each collective investment trust provides for daily redemptions by the Plan at reported net asset value per share, with no advance notice requirements for participants and 30 days advance notice requirement for the Plan. There were no unfunded commitments as of December 31, 2025 and 2024.</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Self-managed funds are invested in underlying market securities that are traded on active markets and common collective trusts. The unit value for each fund is based on the closing price of the underlying sub-advisor stock and market holdings.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Plan’s investment in the Invesco Stable Value Fund has underlying investments in synthetic guaranteed investment contracts (“synthetic GICs”) and cash equivalents, and is measured and accounted for based on contract value. The contract value is equal to the principal balance plus accrued interest, which represents the amount participants would receive if they were to initiate permitted transactions under the terms of the Plan.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on investments is recorded on an accrual basis. Dividend income is recorded on the ex-dividend date. Net appreciation or depreciation of investments is reflected in statements of changes in net assets available for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receivable from participants represent participant loans that are recorded at their unpaid principal balance plus any accrued but unpaid interest. Interest income on notes receivable from participants is recorded when it is earned. Management has evaluated notes receivable from participants for collectability and has determined that no allowance is considered necessary.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Unsettled Trades in Conjunction with the Plan Merger</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Unsettled trades in conjunction with the Plan Merger represents the amount of funds that will be received upon settlement date for Discover 401(k) Plan investments that have been sold, but not yet settled as of year end.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invests in many types of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Capital One Financial Corporation Associate Savings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Plan’s investments are held in a trust administered by the Trustee. A complete listing of the Plan’s investments as of December 31, 2025 is included in the Supplemental Schedule—Schedule H, Line 4i—Schedule of Assets (Held at End of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Fully Benefit-Responsive Investment Contracts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One's Stable Value Fund from Invesco (the “Fund”) invests primarily in synthetic GICs. These contracts meet the fully benefit-responsive investment contract criteria and therefore are reported at contract value.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synthetic GIC includes a wrapper contract, which is an agreement for the wrap issuer, such as a bank or insurance company, to make payments to the Fund in certain circumstances. With synthetic GICs, the underlying investments are owned by the Fund and held in trust for Plan participants. The wrapper contract amortizes the realized and unrealized gains and losses on the underlying fixed income investments, typically over the duration of the investment, through adjustments to the future interest crediting rate. The issuer of the wrapper contract provides assurance that the adjustments to the interest crediting rate do not result in a future interest crediting rate that is less than zero. An interest crediting rate of less than zero would result in a loss of principal or accrued interest. The key factors that influence future interest crediting rates for a wrapper contract include the level of market interest rates, the amount and timing of participant contributions, transfers and withdrawals into and out of the wrapper contract, the investment returns generated by the fixed income investments that back the wrapper contract and the duration of the underlying investments backing the wrapper contract.</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circumstances may limit the Plan’s ability to execute transactions of the Fund at contract value with the contract issuer. These circumstances include termination of the Plan, a material adverse change to the provisions of the Plan, the Company making an election to withdraw from a wrapper contract in order to switch to a different investment provider, or the terms of a successor Plan (in the event of spin-off or sale of a division) do not meet the wrapper contract issuer’s underwriting criteria for the issuance of a clone wrapper contract. Examples of events that would permit a wrapper contract issuer to terminate a wrapper contract upon short notice include the Plan’s loss of its qualified status, uncured material breaches of responsibilities or material and adverse changes to the provisions of the Plan. If one of these events occurred, the wrapper contract issuer could terminate the wrapper contract at the market value of the underlying investments.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administrator believes that the events noted above that limit the Plan’s ability to execute transactions at contract value are unlikely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also referred to as an exit price, is defined as the price that would be received for an asset or paid to transfer a liability in an orderly transaction between market participants on the measurement date. The fair value accounting guidance provides a three-level fair value hierarchy for classifying financial instruments. This hierarchy is based on the markets in which the assets or liabilities trade and whether the inputs to the valuation techniques used to measure fair value are observable or unobservable. The fair value measurement of a financial asset or liability is assigned a level based on the lowest level of any input that is significant to the fair value measurement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Capital One Financial Corporation Associate Savings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described below:</w:t>
      </w:r>
    </w:p>
    <w:p>
      <w:pPr>
        <w:spacing w:after="0" w:line="30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Valuation is based on quoted prices (unadjusted) in active markets for identical assets or liabilities.</w:t>
      </w:r>
    </w:p>
    <w:p>
      <w:pPr>
        <w:spacing w:after="0" w:line="171" w:lineRule="exact"/>
        <w:rPr>
          <w:sz w:val="20"/>
          <w:szCs w:val="20"/>
          <w:color w:val="auto"/>
        </w:rPr>
      </w:pPr>
    </w:p>
    <w:p>
      <w:pPr>
        <w:jc w:val="both"/>
        <w:ind w:left="1220" w:right="20" w:hanging="1187"/>
        <w:spacing w:after="0" w:line="226" w:lineRule="auto"/>
        <w:tabs>
          <w:tab w:leader="none" w:pos="12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Valuation is based on observable market-based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58" w:lineRule="exact"/>
        <w:rPr>
          <w:sz w:val="20"/>
          <w:szCs w:val="20"/>
          <w:color w:val="auto"/>
        </w:rPr>
      </w:pPr>
    </w:p>
    <w:p>
      <w:pPr>
        <w:ind w:left="1220" w:right="60" w:hanging="1187"/>
        <w:spacing w:after="0" w:line="237" w:lineRule="auto"/>
        <w:tabs>
          <w:tab w:leader="none" w:pos="12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Valuation is generated from techniques that use significant assumptions not observable in the market. Valuation techniques include pricing models, discounted cash flow methodologies or similar techniques.</w:t>
      </w: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guidance for fair value measurements requires that management maximize the use of observable inputs and minimize the use of unobservable inputs in determining the fair value. The calculation of fair value is based on market conditions as of each statement of net assets available for benefits date and may not be reflective of the ultimate realizable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Recurring Basis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display the Plan’s assets measured on the statements of net assets available for benefits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Collective investment trusts</w:t>
            </w: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11,570,554,417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11,570,554,417</w:t>
            </w:r>
          </w:p>
        </w:tc>
        <w:tc>
          <w:tcPr>
            <w:tcW w:w="0" w:type="dxa"/>
            <w:vAlign w:val="bottom"/>
          </w:tcPr>
          <w:p>
            <w:pPr>
              <w:spacing w:after="0"/>
              <w:rPr>
                <w:sz w:val="1"/>
                <w:szCs w:val="1"/>
                <w:color w:val="auto"/>
              </w:rPr>
            </w:pPr>
          </w:p>
        </w:tc>
      </w:tr>
      <w:tr>
        <w:trPr>
          <w:trHeight w:val="229"/>
        </w:trPr>
        <w:tc>
          <w:tcPr>
            <w:tcW w:w="54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Self-managed funds</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968,849,795</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215,785,357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1,184,635,152</w:t>
            </w:r>
          </w:p>
        </w:tc>
        <w:tc>
          <w:tcPr>
            <w:tcW w:w="0" w:type="dxa"/>
            <w:vAlign w:val="bottom"/>
          </w:tcPr>
          <w:p>
            <w:pPr>
              <w:spacing w:after="0"/>
              <w:rPr>
                <w:sz w:val="1"/>
                <w:szCs w:val="1"/>
                <w:color w:val="auto"/>
              </w:rPr>
            </w:pPr>
          </w:p>
        </w:tc>
      </w:tr>
      <w:tr>
        <w:trPr>
          <w:trHeight w:val="230"/>
        </w:trPr>
        <w:tc>
          <w:tcPr>
            <w:tcW w:w="5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Fidelity Brokerage Link</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553,611,158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553,611,158</w:t>
            </w:r>
          </w:p>
        </w:tc>
        <w:tc>
          <w:tcPr>
            <w:tcW w:w="0" w:type="dxa"/>
            <w:vAlign w:val="bottom"/>
          </w:tcPr>
          <w:p>
            <w:pPr>
              <w:spacing w:after="0"/>
              <w:rPr>
                <w:sz w:val="1"/>
                <w:szCs w:val="1"/>
                <w:color w:val="auto"/>
              </w:rPr>
            </w:pPr>
          </w:p>
        </w:tc>
      </w:tr>
      <w:tr>
        <w:trPr>
          <w:trHeight w:val="230"/>
        </w:trPr>
        <w:tc>
          <w:tcPr>
            <w:tcW w:w="54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Capital One Stock Fund</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618,370,747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618,370,747</w:t>
            </w:r>
          </w:p>
        </w:tc>
        <w:tc>
          <w:tcPr>
            <w:tcW w:w="0" w:type="dxa"/>
            <w:vAlign w:val="bottom"/>
          </w:tcPr>
          <w:p>
            <w:pPr>
              <w:spacing w:after="0"/>
              <w:rPr>
                <w:sz w:val="1"/>
                <w:szCs w:val="1"/>
                <w:color w:val="auto"/>
              </w:rPr>
            </w:pPr>
          </w:p>
        </w:tc>
      </w:tr>
      <w:tr>
        <w:trPr>
          <w:trHeight w:val="223"/>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13,927,171,474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5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5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227,764,853</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227,764,853</w:t>
            </w:r>
          </w:p>
        </w:tc>
        <w:tc>
          <w:tcPr>
            <w:tcW w:w="0" w:type="dxa"/>
            <w:vAlign w:val="bottom"/>
          </w:tcPr>
          <w:p>
            <w:pPr>
              <w:spacing w:after="0"/>
              <w:rPr>
                <w:sz w:val="1"/>
                <w:szCs w:val="1"/>
                <w:color w:val="auto"/>
              </w:rPr>
            </w:pPr>
          </w:p>
        </w:tc>
      </w:tr>
      <w:tr>
        <w:trPr>
          <w:trHeight w:val="230"/>
        </w:trPr>
        <w:tc>
          <w:tcPr>
            <w:tcW w:w="54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Collective investment trusts</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8,146,645,815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8,146,645,815</w:t>
            </w:r>
          </w:p>
        </w:tc>
        <w:tc>
          <w:tcPr>
            <w:tcW w:w="0" w:type="dxa"/>
            <w:vAlign w:val="bottom"/>
          </w:tcPr>
          <w:p>
            <w:pPr>
              <w:spacing w:after="0"/>
              <w:rPr>
                <w:sz w:val="1"/>
                <w:szCs w:val="1"/>
                <w:color w:val="auto"/>
              </w:rPr>
            </w:pPr>
          </w:p>
        </w:tc>
      </w:tr>
      <w:tr>
        <w:trPr>
          <w:trHeight w:val="229"/>
        </w:trPr>
        <w:tc>
          <w:tcPr>
            <w:tcW w:w="5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Self-managed funds</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1,491,913,531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632,841,436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2,124,754,967</w:t>
            </w:r>
          </w:p>
        </w:tc>
        <w:tc>
          <w:tcPr>
            <w:tcW w:w="0" w:type="dxa"/>
            <w:vAlign w:val="bottom"/>
          </w:tcPr>
          <w:p>
            <w:pPr>
              <w:spacing w:after="0"/>
              <w:rPr>
                <w:sz w:val="1"/>
                <w:szCs w:val="1"/>
                <w:color w:val="auto"/>
              </w:rPr>
            </w:pPr>
          </w:p>
        </w:tc>
      </w:tr>
      <w:tr>
        <w:trPr>
          <w:trHeight w:val="230"/>
        </w:trPr>
        <w:tc>
          <w:tcPr>
            <w:tcW w:w="54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Fidelity Brokerage Link</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381,537,064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381,537,064</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Capital One Stock Fund</w:t>
            </w: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475,332,439</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475,332,439</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11,356,035,138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2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5—Income Tax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has received a determination letter from the IRS dated April 25, 2016, stating that the Plan is qualified under Section 401(a) of the Code, and, therefore, the related trust is exempt from taxation. Subsequent to this determination by the IRS, the Plan was amended and restated. Once qualified, the Plan is required to operate in conformity with the Code to maintain its qualified status. The plan administrator believes the Plan is being operated</w:t>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Capital One Financial Corporation Associate Savings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3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compliance with the applicable requirements of the Code and, therefore, believes the Plan, as amended and restated, is qualified and the related trust is tax-exempt.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GAAP requires plan management to evaluate tax positions taken by the Plan and recognize a tax liability if the Plan has taken an uncertain position that more likely than not would not be sustained upon examination by the IRS. Plan management has assessed the tax positions taken by the Plan, and has concluded that there are no uncertain positions taken or expected to be taken. The Plan is subject to routine audits by taxing jurisdictions; however, there are currently no audits for any tax periods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6—Transactions with Parties-in-Interest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Plan assets are Capital One Financial Corporation common stock and certain investments managed by the Plan trustee, Fidelity Management Trust Company. The following table summarizes the fair value of certain Plan investment options that are related to parties-in-interest as of December 31, 2025 and 2024:</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Pr>
          <w:p>
            <w:pPr>
              <w:spacing w:after="0"/>
              <w:rPr>
                <w:sz w:val="18"/>
                <w:szCs w:val="18"/>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49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Equity Fund</w:t>
            </w:r>
          </w:p>
        </w:tc>
        <w:tc>
          <w:tcPr>
            <w:tcW w:w="2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645,574,129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486,423,198</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One Stock Fund</w:t>
            </w:r>
          </w:p>
        </w:tc>
        <w:tc>
          <w:tcPr>
            <w:tcW w:w="2680" w:type="dxa"/>
            <w:vAlign w:val="bottom"/>
          </w:tcPr>
          <w:p>
            <w:pPr>
              <w:spacing w:after="0"/>
              <w:rPr>
                <w:sz w:val="19"/>
                <w:szCs w:val="19"/>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618,370,747</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475,332,439</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BrokerageLink</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553,611,158</w:t>
            </w: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381,537,064</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Small/Mid Cap Equity Fund</w:t>
            </w:r>
          </w:p>
        </w:tc>
        <w:tc>
          <w:tcPr>
            <w:tcW w:w="2680" w:type="dxa"/>
            <w:vAlign w:val="bottom"/>
          </w:tcPr>
          <w:p>
            <w:pPr>
              <w:spacing w:after="0"/>
              <w:rPr>
                <w:sz w:val="19"/>
                <w:szCs w:val="19"/>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539,061,023</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555,387,267</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Spartan Global ex U.S. Index Fund</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340,869,949</w:t>
            </w: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680" w:type="dxa"/>
            <w:vAlign w:val="bottom"/>
          </w:tcPr>
          <w:p>
            <w:pPr>
              <w:spacing w:after="0"/>
              <w:rPr>
                <w:sz w:val="19"/>
                <w:szCs w:val="19"/>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215,034,471</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163,195,712</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Large Cap Equity Fund</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1,082,944,502</w:t>
            </w:r>
          </w:p>
        </w:tc>
      </w:tr>
      <w:tr>
        <w:trPr>
          <w:trHeight w:val="23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Fidelity Global ex U.S. Index Fund</w:t>
            </w:r>
          </w:p>
        </w:tc>
        <w:tc>
          <w:tcPr>
            <w:tcW w:w="2680" w:type="dxa"/>
            <w:vAlign w:val="bottom"/>
          </w:tcPr>
          <w:p>
            <w:pPr>
              <w:spacing w:after="0"/>
              <w:rPr>
                <w:sz w:val="20"/>
                <w:szCs w:val="20"/>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227,764,852</w:t>
            </w:r>
          </w:p>
        </w:tc>
      </w:tr>
    </w:tbl>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allows participants to invest in the Company's common stock within the Capital One Stock Fund. During the years ended December 31, 2025 and 2024, the Plan received $6,685,413 and $6,658,155 of dividends on the Company's common stock, respectively. Net appreciation of the Company's common stock was $167,464,497 and $130,660,591 in 2025 and 2024, respectively. Purchases of $157,623,687 and sales of $35,447,206 of the Company's common stock were made through the Capital One Stock Fund during 2025. Purchases of $87,569,179 and sales of $57,614,417 of the Company's common stock were made through the Capital One Stock Fund during 2024.</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recognized administrative expense paid to the Trustee and other parties-in-interest of $12,339,688 and $14,288,715 in 2025 and 2024,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transactions qualify as exempt party-in-interest transactions under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Capital One Financial Corporation Associate Savings Plan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7—Reconciliation of Financial Statements to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assets available for benefits as of December 31, 2025 and 2024 per the financial statements to the net assets available for benefits per Form 5500:</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8"/>
                <w:szCs w:val="18"/>
                <w:color w:val="auto"/>
              </w:rPr>
            </w:pPr>
          </w:p>
        </w:tc>
        <w:tc>
          <w:tcPr>
            <w:tcW w:w="15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7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18,361,479,022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12,032,590,454</w:t>
            </w: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(11,974,745)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(28,223,210)</w:t>
            </w: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Benefits payable to participants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(10,293,309)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(6,361,632)</w:t>
            </w: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deemed distributed</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(5,367,557)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(4,576,049)</w:t>
            </w:r>
          </w:p>
        </w:tc>
      </w:tr>
      <w:tr>
        <w:trPr>
          <w:trHeight w:val="223"/>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Form 5500</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18,333,843,411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11,993,429,563</w:t>
            </w:r>
          </w:p>
        </w:tc>
      </w:tr>
      <w:tr>
        <w:trPr>
          <w:trHeight w:val="20"/>
        </w:trPr>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for the year ended December 31, 2025 and 2024 per the financial statements to the net income per Form 5500: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7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net assets available for benefits, per the financial statements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2,596,666,745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1,800,196,547</w:t>
            </w: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Reversal of prior year adjustment from contract value to fair value for fully benefit-responsive</w:t>
            </w:r>
          </w:p>
        </w:tc>
        <w:tc>
          <w:tcPr>
            <w:tcW w:w="4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28,223,210</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contracts</w:t>
            </w:r>
          </w:p>
        </w:tc>
        <w:tc>
          <w:tcPr>
            <w:tcW w:w="44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30,172,806</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(11,974,745)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(28,223,210)</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benefits payable to participants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(3,931,677)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(1,533,005)</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Change in deemed loans distributions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(791,508)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(772,252)</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Form 5500</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2,608,192,025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1,799,840,886</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was amended and restated effective January 1, 2026 and employees of Discover and its subsidiaries, that satisfy the participation requirements, became eligible to participate in the Plan on this date. Beginning on January 2, 2026 through January 8, 2026, all assets that were part of the Discover 401(k) Plan were physically transferred to the Trustee's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Capital One Financial Corporation Associate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EIN 54-1719854 Plan No. 002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H, Line 4i—Schedule of Assets (Held at End of Year)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 Description of Investment Including</w:t>
            </w:r>
          </w:p>
        </w:tc>
        <w:tc>
          <w:tcPr>
            <w:tcW w:w="0" w:type="dxa"/>
            <w:vAlign w:val="bottom"/>
          </w:tcPr>
          <w:p>
            <w:pPr>
              <w:spacing w:after="0"/>
              <w:rPr>
                <w:sz w:val="1"/>
                <w:szCs w:val="1"/>
                <w:color w:val="auto"/>
              </w:rPr>
            </w:pPr>
          </w:p>
        </w:tc>
      </w:tr>
      <w:tr>
        <w:trPr>
          <w:trHeight w:val="162"/>
        </w:trPr>
        <w:tc>
          <w:tcPr>
            <w:tcW w:w="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w:t>
            </w:r>
          </w:p>
        </w:tc>
        <w:tc>
          <w:tcPr>
            <w:tcW w:w="60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 Identity of Issue, Borrower, Lessor or Similar Party</w:t>
            </w:r>
          </w:p>
        </w:tc>
        <w:tc>
          <w:tcPr>
            <w:tcW w:w="4640" w:type="dxa"/>
            <w:vAlign w:val="bottom"/>
            <w:gridSpan w:val="4"/>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Maturity Date, Rate of Interest, Collateral,</w:t>
            </w:r>
          </w:p>
        </w:tc>
        <w:tc>
          <w:tcPr>
            <w:tcW w:w="0" w:type="dxa"/>
            <w:vAlign w:val="bottom"/>
          </w:tcPr>
          <w:p>
            <w:pPr>
              <w:spacing w:after="0"/>
              <w:rPr>
                <w:sz w:val="1"/>
                <w:szCs w:val="1"/>
                <w:color w:val="auto"/>
              </w:rPr>
            </w:pPr>
          </w:p>
        </w:tc>
      </w:tr>
      <w:tr>
        <w:trPr>
          <w:trHeight w:val="214"/>
        </w:trPr>
        <w:tc>
          <w:tcPr>
            <w:tcW w:w="520" w:type="dxa"/>
            <w:vAlign w:val="bottom"/>
            <w:gridSpan w:val="2"/>
            <w:vMerge w:val="continue"/>
            <w:shd w:val="clear" w:color="auto" w:fill="CCEEFF"/>
          </w:tcPr>
          <w:p>
            <w:pPr>
              <w:spacing w:after="0"/>
              <w:rPr>
                <w:sz w:val="18"/>
                <w:szCs w:val="18"/>
                <w:color w:val="auto"/>
              </w:rPr>
            </w:pPr>
          </w:p>
        </w:tc>
        <w:tc>
          <w:tcPr>
            <w:tcW w:w="6040" w:type="dxa"/>
            <w:vAlign w:val="bottom"/>
            <w:gridSpan w:val="2"/>
            <w:vMerge w:val="continue"/>
            <w:shd w:val="clear" w:color="auto" w:fill="CCEEFF"/>
          </w:tcPr>
          <w:p>
            <w:pPr>
              <w:spacing w:after="0"/>
              <w:rPr>
                <w:sz w:val="18"/>
                <w:szCs w:val="18"/>
                <w:color w:val="auto"/>
              </w:rPr>
            </w:pPr>
          </w:p>
        </w:tc>
        <w:tc>
          <w:tcPr>
            <w:tcW w:w="3100" w:type="dxa"/>
            <w:vAlign w:val="bottom"/>
            <w:gridSpan w:val="3"/>
            <w:shd w:val="clear" w:color="auto" w:fill="CCEEFF"/>
          </w:tcPr>
          <w:p>
            <w:pPr>
              <w:jc w:val="center"/>
              <w:ind w:left="1472"/>
              <w:spacing w:after="0"/>
              <w:rPr>
                <w:sz w:val="20"/>
                <w:szCs w:val="20"/>
                <w:color w:val="auto"/>
              </w:rPr>
            </w:pPr>
            <w:r>
              <w:rPr>
                <w:rFonts w:ascii="Times New Roman" w:cs="Times New Roman" w:eastAsia="Times New Roman" w:hAnsi="Times New Roman"/>
                <w:sz w:val="16"/>
                <w:szCs w:val="16"/>
                <w:b w:val="1"/>
                <w:bCs w:val="1"/>
                <w:color w:val="auto"/>
                <w:w w:val="99"/>
              </w:rPr>
              <w:t>Par or Maturity Value</w:t>
            </w: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9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Shares/Rate</w:t>
            </w:r>
          </w:p>
        </w:tc>
        <w:tc>
          <w:tcPr>
            <w:tcW w:w="10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w w:val="98"/>
              </w:rPr>
              <w:t>(e) Current Value</w:t>
            </w:r>
          </w:p>
        </w:tc>
        <w:tc>
          <w:tcPr>
            <w:tcW w:w="0" w:type="dxa"/>
            <w:vAlign w:val="bottom"/>
          </w:tcPr>
          <w:p>
            <w:pPr>
              <w:spacing w:after="0"/>
              <w:rPr>
                <w:sz w:val="1"/>
                <w:szCs w:val="1"/>
                <w:color w:val="auto"/>
              </w:rPr>
            </w:pPr>
          </w:p>
        </w:tc>
      </w:tr>
      <w:tr>
        <w:trPr>
          <w:trHeight w:val="211"/>
        </w:trPr>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9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shd w:val="clear" w:color="auto" w:fill="CCEEFF"/>
              </w:rPr>
              <w:t>Collective investment trusts (“CIT”):</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State Street S&amp;P 500 Index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28,723,778</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4,377,618,687</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BlackRock LifePath 2050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15,812,191</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1,098,275,271</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BlackRock LifePath 2055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20,003,307</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1,021,054,824</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BlackRock LifePath 2045</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14,792,769</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948,627,767</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BlackRock LifePath 2040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12,270,135</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706,617,465</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BlackRock LifePath 2060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26,149,109</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760,774,344</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BlackRock LifePath 2035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10,283,488</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524,155,576</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BlackRock LifePath 2030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8,096,259</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359,916,785</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BlackRock Russell 2500 Index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5,922,588</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334,191,421</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BlackRock U.S. Debt Index</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7,380,857</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120,691,787</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BlackRock LifePath 2065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14,401,600</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298,553,827</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BlackRock LifePath Retirement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8,018,857</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239,317,986</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Prudential Core Plus Bond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2,037,421</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410,397,812</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Spartan Global ex U.S. Index Fund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1,832,536</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340,869,949</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BlackRock Strategic Completion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1,366,148</w:t>
            </w: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20,819,289</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BlackRock LifePath 2070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718,545</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8,671,627</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Self-managed funds:</w:t>
            </w:r>
          </w:p>
        </w:tc>
        <w:tc>
          <w:tcPr>
            <w:tcW w:w="1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5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00" w:type="dxa"/>
            <w:vAlign w:val="bottom"/>
            <w:gridSpan w:val="3"/>
            <w:shd w:val="clear" w:color="auto" w:fill="CCEEFF"/>
          </w:tcPr>
          <w:p>
            <w:pPr>
              <w:jc w:val="center"/>
              <w:ind w:right="420"/>
              <w:spacing w:after="0" w:line="184" w:lineRule="exact"/>
              <w:rPr>
                <w:sz w:val="20"/>
                <w:szCs w:val="20"/>
                <w:color w:val="auto"/>
              </w:rPr>
            </w:pPr>
            <w:r>
              <w:rPr>
                <w:rFonts w:ascii="Times New Roman" w:cs="Times New Roman" w:eastAsia="Times New Roman" w:hAnsi="Times New Roman"/>
                <w:sz w:val="18"/>
                <w:szCs w:val="18"/>
                <w:color w:val="auto"/>
                <w:w w:val="98"/>
              </w:rPr>
              <w:t>Various RIC, CIT, and common</w:t>
            </w: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Small/Mid Cap Equity Fund</w:t>
            </w:r>
          </w:p>
        </w:tc>
        <w:tc>
          <w:tcPr>
            <w:tcW w:w="1740" w:type="dxa"/>
            <w:vAlign w:val="bottom"/>
            <w:shd w:val="clear" w:color="auto" w:fill="CCEEFF"/>
          </w:tcPr>
          <w:p>
            <w:pPr>
              <w:jc w:val="center"/>
              <w:ind w:left="852"/>
              <w:spacing w:after="0"/>
              <w:rPr>
                <w:sz w:val="20"/>
                <w:szCs w:val="20"/>
                <w:color w:val="auto"/>
              </w:rPr>
            </w:pPr>
            <w:r>
              <w:rPr>
                <w:rFonts w:ascii="Times New Roman" w:cs="Times New Roman" w:eastAsia="Times New Roman" w:hAnsi="Times New Roman"/>
                <w:sz w:val="18"/>
                <w:szCs w:val="18"/>
                <w:color w:val="auto"/>
                <w:w w:val="97"/>
              </w:rPr>
              <w:t>stocks</w:t>
            </w: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539,061,023</w:t>
            </w:r>
          </w:p>
        </w:tc>
        <w:tc>
          <w:tcPr>
            <w:tcW w:w="0" w:type="dxa"/>
            <w:vAlign w:val="bottom"/>
          </w:tcPr>
          <w:p>
            <w:pPr>
              <w:spacing w:after="0"/>
              <w:rPr>
                <w:sz w:val="1"/>
                <w:szCs w:val="1"/>
                <w:color w:val="auto"/>
              </w:rPr>
            </w:pPr>
          </w:p>
        </w:tc>
      </w:tr>
      <w:tr>
        <w:trPr>
          <w:trHeight w:val="184"/>
        </w:trPr>
        <w:tc>
          <w:tcPr>
            <w:tcW w:w="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3"/>
          </w:tcPr>
          <w:p>
            <w:pPr>
              <w:jc w:val="center"/>
              <w:ind w:right="420"/>
              <w:spacing w:after="0" w:line="184" w:lineRule="exact"/>
              <w:rPr>
                <w:sz w:val="20"/>
                <w:szCs w:val="20"/>
                <w:color w:val="auto"/>
              </w:rPr>
            </w:pPr>
            <w:r>
              <w:rPr>
                <w:rFonts w:ascii="Times New Roman" w:cs="Times New Roman" w:eastAsia="Times New Roman" w:hAnsi="Times New Roman"/>
                <w:sz w:val="18"/>
                <w:szCs w:val="18"/>
                <w:color w:val="auto"/>
                <w:w w:val="98"/>
              </w:rPr>
              <w:t>Various RIC, CIT, and common</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International Equity Fund</w:t>
            </w:r>
          </w:p>
        </w:tc>
        <w:tc>
          <w:tcPr>
            <w:tcW w:w="1740" w:type="dxa"/>
            <w:vAlign w:val="bottom"/>
          </w:tcPr>
          <w:p>
            <w:pPr>
              <w:jc w:val="center"/>
              <w:ind w:left="852"/>
              <w:spacing w:after="0"/>
              <w:rPr>
                <w:sz w:val="20"/>
                <w:szCs w:val="20"/>
                <w:color w:val="auto"/>
              </w:rPr>
            </w:pPr>
            <w:r>
              <w:rPr>
                <w:rFonts w:ascii="Times New Roman" w:cs="Times New Roman" w:eastAsia="Times New Roman" w:hAnsi="Times New Roman"/>
                <w:sz w:val="18"/>
                <w:szCs w:val="18"/>
                <w:color w:val="auto"/>
                <w:w w:val="97"/>
              </w:rPr>
              <w:t>stocks</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645,574,129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560" w:hanging="521"/>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Participant-directed brokerage accounts:</w:t>
      </w:r>
    </w:p>
    <w:tbl>
      <w:tblPr>
        <w:tblLayout w:type="fixed"/>
        <w:tblInd w:w="2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51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Fidelity BrokerageLink</w:t>
            </w:r>
          </w:p>
        </w:tc>
        <w:tc>
          <w:tcPr>
            <w:tcW w:w="38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Various mutual funds</w:t>
            </w: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60" w:type="dxa"/>
            <w:vAlign w:val="bottom"/>
          </w:tcPr>
          <w:p>
            <w:pPr>
              <w:spacing w:after="0"/>
              <w:rPr>
                <w:sz w:val="12"/>
                <w:szCs w:val="12"/>
                <w:color w:val="auto"/>
              </w:rPr>
            </w:pPr>
          </w:p>
        </w:tc>
        <w:tc>
          <w:tcPr>
            <w:tcW w:w="5140" w:type="dxa"/>
            <w:vAlign w:val="bottom"/>
            <w:vMerge w:val="continue"/>
          </w:tcPr>
          <w:p>
            <w:pPr>
              <w:spacing w:after="0"/>
              <w:rPr>
                <w:sz w:val="12"/>
                <w:szCs w:val="12"/>
                <w:color w:val="auto"/>
              </w:rPr>
            </w:pPr>
          </w:p>
        </w:tc>
        <w:tc>
          <w:tcPr>
            <w:tcW w:w="3840" w:type="dxa"/>
            <w:vAlign w:val="bottom"/>
            <w:vMerge w:val="restart"/>
          </w:tcPr>
          <w:p>
            <w:pPr>
              <w:jc w:val="center"/>
              <w:ind w:left="870"/>
              <w:spacing w:after="0"/>
              <w:rPr>
                <w:sz w:val="20"/>
                <w:szCs w:val="20"/>
                <w:color w:val="auto"/>
              </w:rPr>
            </w:pPr>
            <w:r>
              <w:rPr>
                <w:rFonts w:ascii="Times New Roman" w:cs="Times New Roman" w:eastAsia="Times New Roman" w:hAnsi="Times New Roman"/>
                <w:sz w:val="18"/>
                <w:szCs w:val="18"/>
                <w:color w:val="auto"/>
              </w:rPr>
              <w:t>and common stocks</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553,611,158</w:t>
            </w: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84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19"/>
                <w:szCs w:val="19"/>
                <w:color w:val="auto"/>
              </w:rPr>
            </w:pPr>
          </w:p>
        </w:tc>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Fully benefit-responsive investment contracts:</w:t>
            </w:r>
          </w:p>
        </w:tc>
        <w:tc>
          <w:tcPr>
            <w:tcW w:w="38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IGT Invesco Short Term Bond Fund</w:t>
            </w:r>
          </w:p>
        </w:tc>
        <w:tc>
          <w:tcPr>
            <w:tcW w:w="38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235,040,063</w:t>
            </w: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spacing w:after="0"/>
              <w:rPr>
                <w:sz w:val="19"/>
                <w:szCs w:val="19"/>
                <w:color w:val="auto"/>
              </w:rPr>
            </w:pPr>
          </w:p>
        </w:tc>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IGT Invesco Intermediate Fund</w:t>
            </w:r>
          </w:p>
        </w:tc>
        <w:tc>
          <w:tcPr>
            <w:tcW w:w="38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51,998,486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IGT Jennison Intermediate Fund</w:t>
            </w:r>
          </w:p>
        </w:tc>
        <w:tc>
          <w:tcPr>
            <w:tcW w:w="38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51,983,586</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19"/>
                <w:szCs w:val="19"/>
                <w:color w:val="auto"/>
              </w:rPr>
            </w:pPr>
          </w:p>
        </w:tc>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IGT Invesco Core Fixed Income Fund</w:t>
            </w:r>
          </w:p>
        </w:tc>
        <w:tc>
          <w:tcPr>
            <w:tcW w:w="38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26,015,370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IGT Pimco Intermediate Fund</w:t>
            </w:r>
          </w:p>
        </w:tc>
        <w:tc>
          <w:tcPr>
            <w:tcW w:w="38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26,024,033</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19"/>
                <w:szCs w:val="19"/>
                <w:color w:val="auto"/>
              </w:rPr>
            </w:pPr>
          </w:p>
        </w:tc>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IGT Pimco Core Fixed Income Fund</w:t>
            </w:r>
          </w:p>
        </w:tc>
        <w:tc>
          <w:tcPr>
            <w:tcW w:w="38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26,013,089</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IGT Loomis Sayles Core Fixed Income Fund</w:t>
            </w:r>
          </w:p>
        </w:tc>
        <w:tc>
          <w:tcPr>
            <w:tcW w:w="38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26,010,199</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19"/>
                <w:szCs w:val="19"/>
                <w:color w:val="auto"/>
              </w:rPr>
            </w:pPr>
          </w:p>
        </w:tc>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IGT Loomis Sayles Intermediate Fund</w:t>
            </w:r>
          </w:p>
        </w:tc>
        <w:tc>
          <w:tcPr>
            <w:tcW w:w="38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25,998,383</w:t>
            </w:r>
          </w:p>
        </w:tc>
        <w:tc>
          <w:tcPr>
            <w:tcW w:w="0" w:type="dxa"/>
            <w:vAlign w:val="bottom"/>
          </w:tcPr>
          <w:p>
            <w:pPr>
              <w:spacing w:after="0"/>
              <w:rPr>
                <w:sz w:val="1"/>
                <w:szCs w:val="1"/>
                <w:color w:val="auto"/>
              </w:rPr>
            </w:pPr>
          </w:p>
        </w:tc>
      </w:tr>
      <w:tr>
        <w:trPr>
          <w:trHeight w:val="230"/>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IGT Dodge &amp; Cox Core Fixed Income Fund</w:t>
            </w:r>
          </w:p>
        </w:tc>
        <w:tc>
          <w:tcPr>
            <w:tcW w:w="38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26,028,915</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19"/>
                <w:szCs w:val="19"/>
                <w:color w:val="auto"/>
              </w:rPr>
            </w:pPr>
          </w:p>
        </w:tc>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Wrapped holdings</w:t>
            </w:r>
          </w:p>
        </w:tc>
        <w:tc>
          <w:tcPr>
            <w:tcW w:w="384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507,086,870 shares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495,112,124</w:t>
            </w:r>
          </w:p>
        </w:tc>
        <w:tc>
          <w:tcPr>
            <w:tcW w:w="0" w:type="dxa"/>
            <w:vAlign w:val="bottom"/>
          </w:tcPr>
          <w:p>
            <w:pPr>
              <w:spacing w:after="0"/>
              <w:rPr>
                <w:sz w:val="1"/>
                <w:szCs w:val="1"/>
                <w:color w:val="auto"/>
              </w:rPr>
            </w:pPr>
          </w:p>
        </w:tc>
      </w:tr>
      <w:tr>
        <w:trPr>
          <w:trHeight w:val="229"/>
        </w:trPr>
        <w:tc>
          <w:tcPr>
            <w:tcW w:w="36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&amp; equivalents</w:t>
            </w:r>
          </w:p>
        </w:tc>
        <w:tc>
          <w:tcPr>
            <w:tcW w:w="3840" w:type="dxa"/>
            <w:vAlign w:val="bottom"/>
            <w:tcBorders>
              <w:bottom w:val="single" w:sz="8" w:color="CCEEFF"/>
            </w:tcBorders>
          </w:tcPr>
          <w:p>
            <w:pPr>
              <w:ind w:left="1900"/>
              <w:spacing w:after="0"/>
              <w:rPr>
                <w:sz w:val="20"/>
                <w:szCs w:val="20"/>
                <w:color w:val="auto"/>
              </w:rPr>
            </w:pPr>
            <w:r>
              <w:rPr>
                <w:rFonts w:ascii="Times New Roman" w:cs="Times New Roman" w:eastAsia="Times New Roman" w:hAnsi="Times New Roman"/>
                <w:sz w:val="18"/>
                <w:szCs w:val="18"/>
                <w:color w:val="auto"/>
              </w:rPr>
              <w:t>14,014,817 par</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14,094,805</w:t>
            </w:r>
          </w:p>
        </w:tc>
        <w:tc>
          <w:tcPr>
            <w:tcW w:w="0" w:type="dxa"/>
            <w:vAlign w:val="bottom"/>
          </w:tcPr>
          <w:p>
            <w:pPr>
              <w:spacing w:after="0"/>
              <w:rPr>
                <w:sz w:val="1"/>
                <w:szCs w:val="1"/>
                <w:color w:val="auto"/>
              </w:rPr>
            </w:pPr>
          </w:p>
        </w:tc>
      </w:tr>
      <w:tr>
        <w:trPr>
          <w:trHeight w:val="22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One Stable Value Fund (Invesco)</w:t>
            </w:r>
          </w:p>
        </w:tc>
        <w:tc>
          <w:tcPr>
            <w:tcW w:w="384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509,206,929</w:t>
            </w:r>
          </w:p>
        </w:tc>
        <w:tc>
          <w:tcPr>
            <w:tcW w:w="0" w:type="dxa"/>
            <w:vAlign w:val="bottom"/>
          </w:tcPr>
          <w:p>
            <w:pPr>
              <w:spacing w:after="0"/>
              <w:rPr>
                <w:sz w:val="1"/>
                <w:szCs w:val="1"/>
                <w:color w:val="auto"/>
              </w:rPr>
            </w:pPr>
          </w:p>
        </w:tc>
      </w:tr>
    </w:tbl>
    <w:p>
      <w:pPr>
        <w:ind w:left="560" w:hanging="521"/>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Stock Fund: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20" w:type="dxa"/>
            <w:vAlign w:val="bottom"/>
            <w:shd w:val="clear" w:color="auto" w:fill="CCEEFF"/>
          </w:tcPr>
          <w:p>
            <w:pPr>
              <w:spacing w:after="0"/>
              <w:rPr>
                <w:sz w:val="18"/>
                <w:szCs w:val="18"/>
                <w:color w:val="auto"/>
              </w:rPr>
            </w:pPr>
          </w:p>
        </w:tc>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common stock</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2,483,012</w:t>
            </w:r>
          </w:p>
        </w:tc>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601,782,789</w:t>
            </w:r>
          </w:p>
        </w:tc>
      </w:tr>
      <w:tr>
        <w:trPr>
          <w:trHeight w:val="229"/>
        </w:trPr>
        <w:tc>
          <w:tcPr>
            <w:tcW w:w="320" w:type="dxa"/>
            <w:vAlign w:val="bottom"/>
          </w:tcPr>
          <w:p>
            <w:pPr>
              <w:spacing w:after="0"/>
              <w:rPr>
                <w:sz w:val="19"/>
                <w:szCs w:val="19"/>
                <w:color w:val="auto"/>
              </w:rPr>
            </w:pPr>
          </w:p>
        </w:tc>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&amp; equivalents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16,587,958</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16,587,958</w:t>
            </w:r>
          </w:p>
        </w:tc>
      </w:tr>
      <w:tr>
        <w:trPr>
          <w:trHeight w:val="230"/>
        </w:trPr>
        <w:tc>
          <w:tcPr>
            <w:tcW w:w="320" w:type="dxa"/>
            <w:vAlign w:val="bottom"/>
            <w:shd w:val="clear" w:color="auto" w:fill="CCEEFF"/>
          </w:tcPr>
          <w:p>
            <w:pPr>
              <w:spacing w:after="0"/>
              <w:rPr>
                <w:sz w:val="19"/>
                <w:szCs w:val="19"/>
                <w:color w:val="auto"/>
              </w:rPr>
            </w:pPr>
          </w:p>
        </w:tc>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Capital One Stock Fund</w:t>
            </w:r>
          </w:p>
        </w:tc>
        <w:tc>
          <w:tcPr>
            <w:tcW w:w="2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618,370,747</w:t>
            </w:r>
          </w:p>
        </w:tc>
      </w:tr>
      <w:tr>
        <w:trPr>
          <w:trHeight w:val="223"/>
        </w:trPr>
        <w:tc>
          <w:tcPr>
            <w:tcW w:w="320" w:type="dxa"/>
            <w:vAlign w:val="bottom"/>
          </w:tcPr>
          <w:p>
            <w:pPr>
              <w:spacing w:after="0"/>
              <w:rPr>
                <w:sz w:val="19"/>
                <w:szCs w:val="19"/>
                <w:color w:val="auto"/>
              </w:rPr>
            </w:pPr>
          </w:p>
        </w:tc>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investments</w:t>
            </w:r>
          </w:p>
        </w:tc>
        <w:tc>
          <w:tcPr>
            <w:tcW w:w="2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14,436,378,403</w:t>
            </w:r>
          </w:p>
        </w:tc>
      </w:tr>
      <w:tr>
        <w:trPr>
          <w:trHeight w:val="230"/>
        </w:trPr>
        <w:tc>
          <w:tcPr>
            <w:tcW w:w="320" w:type="dxa"/>
            <w:vAlign w:val="bottom"/>
            <w:shd w:val="clear" w:color="auto" w:fill="CCEEFF"/>
          </w:tcPr>
          <w:p>
            <w:pPr>
              <w:spacing w:after="0"/>
              <w:rPr>
                <w:sz w:val="19"/>
                <w:szCs w:val="19"/>
                <w:color w:val="auto"/>
              </w:rPr>
            </w:pPr>
          </w:p>
        </w:tc>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Transfer due from Discover Financial Services 401k Plan</w:t>
            </w:r>
          </w:p>
        </w:tc>
        <w:tc>
          <w:tcPr>
            <w:tcW w:w="2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3,686,127,902</w:t>
            </w:r>
          </w:p>
        </w:tc>
      </w:tr>
      <w:tr>
        <w:trPr>
          <w:trHeight w:val="229"/>
        </w:trPr>
        <w:tc>
          <w:tcPr>
            <w:tcW w:w="32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5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Participant notes receivable, maturing through 2035</w:t>
            </w:r>
          </w:p>
        </w:tc>
        <w:tc>
          <w:tcPr>
            <w:tcW w:w="3520" w:type="dxa"/>
            <w:vAlign w:val="bottom"/>
            <w:tcBorders>
              <w:bottom w:val="single" w:sz="8" w:color="CCEEFF"/>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3.25% - 10.5% interest rates</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209,666,914</w:t>
            </w:r>
          </w:p>
        </w:tc>
      </w:tr>
      <w:tr>
        <w:trPr>
          <w:trHeight w:val="248"/>
        </w:trPr>
        <w:tc>
          <w:tcPr>
            <w:tcW w:w="3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 of December 31, 2025</w:t>
            </w:r>
          </w:p>
        </w:tc>
        <w:tc>
          <w:tcPr>
            <w:tcW w:w="2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$18,332,173,219</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a party-in-interest to the Plan.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Detailed holding listing follows this supplemental schedule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Column (d) is not applicable as all investments are participant-directed.</w:t>
      </w:r>
    </w:p>
    <w:p>
      <w:pPr>
        <w:sectPr>
          <w:pgSz w:w="11900" w:h="16838" w:orient="portrait"/>
          <w:cols w:equalWidth="0" w:num="1">
            <w:col w:w="11220"/>
          </w:cols>
          <w:pgMar w:left="320" w:top="410" w:right="35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0" w:right="359" w:bottom="1440" w:gutter="0" w:footer="0" w:header="0"/>
          <w:type w:val="continuous"/>
        </w:sectPr>
      </w:pPr>
    </w:p>
    <w:bookmarkStart w:id="15" w:name="page16"/>
    <w:bookmarkEnd w:id="15"/>
    <w:p>
      <w:pPr>
        <w:ind w:left="3160"/>
        <w:spacing w:after="0"/>
        <w:rPr>
          <w:sz w:val="20"/>
          <w:szCs w:val="20"/>
          <w:color w:val="auto"/>
        </w:rPr>
      </w:pPr>
      <w:r>
        <w:rPr>
          <w:rFonts w:ascii="Times New Roman" w:cs="Times New Roman" w:eastAsia="Times New Roman" w:hAnsi="Times New Roman"/>
          <w:sz w:val="20"/>
          <w:szCs w:val="20"/>
          <w:b w:val="1"/>
          <w:bCs w:val="1"/>
          <w:color w:val="auto"/>
        </w:rPr>
        <w:t>Capital One Financial Corporation Associate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Appendix to Schedule H, Line 4i</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 Name</w:t>
            </w:r>
          </w:p>
        </w:tc>
        <w:tc>
          <w:tcPr>
            <w:tcW w:w="142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 Value of</w:t>
            </w:r>
          </w:p>
        </w:tc>
        <w:tc>
          <w:tcPr>
            <w:tcW w:w="140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Security Identifier</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Description</w:t>
            </w:r>
          </w:p>
        </w:tc>
        <w:tc>
          <w:tcPr>
            <w:tcW w:w="138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Shares/Par</w:t>
            </w:r>
          </w:p>
        </w:tc>
        <w:tc>
          <w:tcPr>
            <w:tcW w:w="144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 Value</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80" w:type="dxa"/>
            <w:vAlign w:val="bottom"/>
            <w:tcBorders>
              <w:left w:val="single" w:sz="8" w:color="auto"/>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U.S. Small / Mid Cap</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$539,903,297.46</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09257C302</w:t>
            </w:r>
          </w:p>
        </w:tc>
        <w:tc>
          <w:tcPr>
            <w:tcW w:w="144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Russell 2500 Index</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36,792</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$2,076,059.92</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Equity Fund</w:t>
            </w: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Fund F</w:t>
            </w: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FRONTIER SMALL</w:t>
            </w:r>
          </w:p>
        </w:tc>
        <w:tc>
          <w:tcPr>
            <w:tcW w:w="13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74048G145</w:t>
            </w:r>
          </w:p>
        </w:tc>
        <w:tc>
          <w:tcPr>
            <w:tcW w:w="14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CAP GROWTH CIT -</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5,187,302</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$63,648,196.10</w:t>
            </w:r>
          </w:p>
        </w:tc>
        <w:tc>
          <w:tcPr>
            <w:tcW w:w="0" w:type="dxa"/>
            <w:vAlign w:val="bottom"/>
          </w:tcPr>
          <w:p>
            <w:pPr>
              <w:spacing w:after="0"/>
              <w:rPr>
                <w:sz w:val="1"/>
                <w:szCs w:val="1"/>
                <w:color w:val="auto"/>
              </w:rPr>
            </w:pPr>
          </w:p>
        </w:tc>
      </w:tr>
      <w:tr>
        <w:trPr>
          <w:trHeight w:val="188"/>
        </w:trPr>
        <w:tc>
          <w:tcPr>
            <w:tcW w:w="138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w:t>
            </w:r>
          </w:p>
        </w:tc>
        <w:tc>
          <w:tcPr>
            <w:tcW w:w="138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right w:val="single" w:sz="8" w:color="auto"/>
            </w:tcBorders>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94967E525</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Wellington CIF II</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13,531,208</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$150,228,496.01</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SMID Cap Research S7</w:t>
            </w: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FGD190000</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CAPITAL ONE RIVER</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4,654,032</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$103,822,155.92</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RD SMID</w:t>
            </w: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FGD192000</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CAPITAL ONE</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3,486,699</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$61,407,745.64</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WILLIAM SMID</w:t>
            </w: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ICB482000</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VICTORY CAPITAL</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12,249,986</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$158,723,066.59</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SMID</w:t>
            </w: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$539,905,720.18</w:t>
            </w: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FIMM MM</w:t>
            </w:r>
          </w:p>
        </w:tc>
        <w:tc>
          <w:tcPr>
            <w:tcW w:w="13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Stable Value Fund</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$522,549,500.91</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31607A703</w:t>
            </w:r>
          </w:p>
        </w:tc>
        <w:tc>
          <w:tcPr>
            <w:tcW w:w="14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Government Portfolio -</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14,014,817</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$14,094,804.50</w:t>
            </w:r>
          </w:p>
        </w:tc>
        <w:tc>
          <w:tcPr>
            <w:tcW w:w="0" w:type="dxa"/>
            <w:vAlign w:val="bottom"/>
          </w:tcPr>
          <w:p>
            <w:pPr>
              <w:spacing w:after="0"/>
              <w:rPr>
                <w:sz w:val="1"/>
                <w:szCs w:val="1"/>
                <w:color w:val="auto"/>
              </w:rPr>
            </w:pPr>
          </w:p>
        </w:tc>
      </w:tr>
      <w:tr>
        <w:trPr>
          <w:trHeight w:val="188"/>
        </w:trPr>
        <w:tc>
          <w:tcPr>
            <w:tcW w:w="1380" w:type="dxa"/>
            <w:vAlign w:val="bottom"/>
            <w:tcBorders>
              <w:left w:val="single" w:sz="8" w:color="auto"/>
              <w:right w:val="single" w:sz="8" w:color="auto"/>
            </w:tcBorders>
            <w:vMerge w:val="continue"/>
          </w:tcPr>
          <w:p>
            <w:pPr>
              <w:spacing w:after="0"/>
              <w:rPr>
                <w:sz w:val="16"/>
                <w:szCs w:val="16"/>
                <w:color w:val="auto"/>
              </w:rPr>
            </w:pPr>
          </w:p>
        </w:tc>
        <w:tc>
          <w:tcPr>
            <w:tcW w:w="1420" w:type="dxa"/>
            <w:vAlign w:val="bottom"/>
            <w:tcBorders>
              <w:right w:val="single" w:sz="8" w:color="auto"/>
            </w:tcBorders>
            <w:vMerge w:val="continue"/>
          </w:tcPr>
          <w:p>
            <w:pPr>
              <w:spacing w:after="0"/>
              <w:rPr>
                <w:sz w:val="16"/>
                <w:szCs w:val="16"/>
                <w:color w:val="auto"/>
              </w:rPr>
            </w:pPr>
          </w:p>
        </w:tc>
        <w:tc>
          <w:tcPr>
            <w:tcW w:w="140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Instl Cl</w:t>
            </w:r>
          </w:p>
        </w:tc>
        <w:tc>
          <w:tcPr>
            <w:tcW w:w="138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062454001</w:t>
            </w:r>
          </w:p>
        </w:tc>
        <w:tc>
          <w:tcPr>
            <w:tcW w:w="14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PRUDENTIAL INS</w:t>
            </w:r>
          </w:p>
        </w:tc>
        <w:tc>
          <w:tcPr>
            <w:tcW w:w="13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$85,445,426.28</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 AMERICA ACT</w:t>
            </w:r>
          </w:p>
        </w:tc>
        <w:tc>
          <w:tcPr>
            <w:tcW w:w="13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30099</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13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$80,159,425.97</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MUTUAL WBS</w:t>
            </w:r>
          </w:p>
        </w:tc>
        <w:tc>
          <w:tcPr>
            <w:tcW w:w="13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38004</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METROPOLITAN</w:t>
            </w:r>
          </w:p>
        </w:tc>
        <w:tc>
          <w:tcPr>
            <w:tcW w:w="13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$87,900,948.62</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LIFE INC CO SICN</w:t>
            </w:r>
          </w:p>
        </w:tc>
        <w:tc>
          <w:tcPr>
            <w:tcW w:w="13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60119-VOYA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VOYA ACT</w:t>
            </w:r>
          </w:p>
        </w:tc>
        <w:tc>
          <w:tcPr>
            <w:tcW w:w="13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$78,613,978.94</w:t>
            </w:r>
          </w:p>
        </w:tc>
        <w:tc>
          <w:tcPr>
            <w:tcW w:w="0" w:type="dxa"/>
            <w:vAlign w:val="bottom"/>
          </w:tcPr>
          <w:p>
            <w:pPr>
              <w:spacing w:after="0"/>
              <w:rPr>
                <w:sz w:val="1"/>
                <w:szCs w:val="1"/>
                <w:color w:val="auto"/>
              </w:rPr>
            </w:pPr>
          </w:p>
        </w:tc>
      </w:tr>
      <w:tr>
        <w:trPr>
          <w:trHeight w:val="148"/>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G-027257.01</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PACIFIC LIFE INS CO</w:t>
            </w:r>
          </w:p>
        </w:tc>
        <w:tc>
          <w:tcPr>
            <w:tcW w:w="13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$78,099,248.07</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ACT</w:t>
            </w:r>
          </w:p>
        </w:tc>
        <w:tc>
          <w:tcPr>
            <w:tcW w:w="13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MDA01269TR-00</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TRANSAMERICA</w:t>
            </w:r>
          </w:p>
        </w:tc>
        <w:tc>
          <w:tcPr>
            <w:tcW w:w="13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$84,893,096.41</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PREMIER LIFE ACT</w:t>
            </w:r>
          </w:p>
        </w:tc>
        <w:tc>
          <w:tcPr>
            <w:tcW w:w="13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$509,206,928.79</w:t>
            </w: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AMERICAN</w:t>
            </w:r>
          </w:p>
        </w:tc>
        <w:tc>
          <w:tcPr>
            <w:tcW w:w="138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CENTURY NON-U.S.</w:t>
            </w:r>
          </w:p>
        </w:tc>
        <w:tc>
          <w:tcPr>
            <w:tcW w:w="13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International Equity</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$645,433,746.03</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02509D541</w:t>
            </w:r>
          </w:p>
        </w:tc>
        <w:tc>
          <w:tcPr>
            <w:tcW w:w="14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CONCENTRATED</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6,759,624</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$112,182,723.64</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Fund</w:t>
            </w: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GROWTH (EAF</w:t>
            </w: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1380" w:type="dxa"/>
            <w:vAlign w:val="bottom"/>
            <w:tcBorders>
              <w:left w:val="single" w:sz="8" w:color="auto"/>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04281W762</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INTL EQ EAFE CIT M</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751,963</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$211,676,525.59</w:t>
            </w:r>
          </w:p>
        </w:tc>
        <w:tc>
          <w:tcPr>
            <w:tcW w:w="0" w:type="dxa"/>
            <w:vAlign w:val="bottom"/>
          </w:tcPr>
          <w:p>
            <w:pPr>
              <w:spacing w:after="0"/>
              <w:rPr>
                <w:sz w:val="1"/>
                <w:szCs w:val="1"/>
                <w:color w:val="auto"/>
              </w:rPr>
            </w:pP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49N99X671</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INVESTEC EM LLC</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529,608</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$128,403,426.14</w:t>
            </w: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SCHRODER</w:t>
            </w:r>
          </w:p>
        </w:tc>
        <w:tc>
          <w:tcPr>
            <w:tcW w:w="13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INTERNATIONAL</w:t>
            </w:r>
          </w:p>
        </w:tc>
        <w:tc>
          <w:tcPr>
            <w:tcW w:w="13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80808J609</w:t>
            </w:r>
          </w:p>
        </w:tc>
        <w:tc>
          <w:tcPr>
            <w:tcW w:w="14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MULTI-CAP VALUE</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7,222,635</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$168,792,972.38</w:t>
            </w:r>
          </w:p>
        </w:tc>
        <w:tc>
          <w:tcPr>
            <w:tcW w:w="0" w:type="dxa"/>
            <w:vAlign w:val="bottom"/>
          </w:tcPr>
          <w:p>
            <w:pPr>
              <w:spacing w:after="0"/>
              <w:rPr>
                <w:sz w:val="1"/>
                <w:szCs w:val="1"/>
                <w:color w:val="auto"/>
              </w:rPr>
            </w:pPr>
          </w:p>
        </w:tc>
      </w:tr>
      <w:tr>
        <w:trPr>
          <w:trHeight w:val="193"/>
        </w:trPr>
        <w:tc>
          <w:tcPr>
            <w:tcW w:w="138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TRUST M</w:t>
            </w:r>
          </w:p>
        </w:tc>
        <w:tc>
          <w:tcPr>
            <w:tcW w:w="138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38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SPARTAN GLOBAL</w:t>
            </w:r>
          </w:p>
        </w:tc>
        <w:tc>
          <w:tcPr>
            <w:tcW w:w="13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84679P611</w:t>
            </w:r>
          </w:p>
        </w:tc>
        <w:tc>
          <w:tcPr>
            <w:tcW w:w="14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EX US INDEX POOL -</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131,813</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$24,518,481.07</w:t>
            </w:r>
          </w:p>
        </w:tc>
        <w:tc>
          <w:tcPr>
            <w:tcW w:w="0" w:type="dxa"/>
            <w:vAlign w:val="bottom"/>
          </w:tcPr>
          <w:p>
            <w:pPr>
              <w:spacing w:after="0"/>
              <w:rPr>
                <w:sz w:val="1"/>
                <w:szCs w:val="1"/>
                <w:color w:val="auto"/>
              </w:rPr>
            </w:pPr>
          </w:p>
        </w:tc>
      </w:tr>
      <w:tr>
        <w:trPr>
          <w:trHeight w:val="188"/>
        </w:trPr>
        <w:tc>
          <w:tcPr>
            <w:tcW w:w="138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D</w:t>
            </w:r>
          </w:p>
        </w:tc>
        <w:tc>
          <w:tcPr>
            <w:tcW w:w="138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$645,574,128.82</w:t>
            </w:r>
          </w:p>
        </w:tc>
        <w:tc>
          <w:tcPr>
            <w:tcW w:w="0" w:type="dxa"/>
            <w:vAlign w:val="bottom"/>
          </w:tcPr>
          <w:p>
            <w:pPr>
              <w:spacing w:after="0"/>
              <w:rPr>
                <w:sz w:val="1"/>
                <w:szCs w:val="1"/>
                <w:color w:val="auto"/>
              </w:rPr>
            </w:pPr>
          </w:p>
        </w:tc>
      </w:tr>
      <w:tr>
        <w:trPr>
          <w:trHeight w:val="148"/>
        </w:trPr>
        <w:tc>
          <w:tcPr>
            <w:tcW w:w="1380" w:type="dxa"/>
            <w:vAlign w:val="bottom"/>
            <w:tcBorders>
              <w:left w:val="single" w:sz="8" w:color="auto"/>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Capital One Stock</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$618,417,462.00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CASH</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(CASH)</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$0.72</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Fund</w:t>
            </w: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14040H105</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CAPITAL ONE</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2,483,012</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$601,782,788.32</w:t>
            </w: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FINANCIAL CORP</w:t>
            </w: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FIMM MM</w:t>
            </w:r>
          </w:p>
        </w:tc>
        <w:tc>
          <w:tcPr>
            <w:tcW w:w="13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38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31607A703</w:t>
            </w:r>
          </w:p>
        </w:tc>
        <w:tc>
          <w:tcPr>
            <w:tcW w:w="14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Government Portfolio -</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16,587,958</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$16,634,672.96</w:t>
            </w:r>
          </w:p>
        </w:tc>
        <w:tc>
          <w:tcPr>
            <w:tcW w:w="0" w:type="dxa"/>
            <w:vAlign w:val="bottom"/>
          </w:tcPr>
          <w:p>
            <w:pPr>
              <w:spacing w:after="0"/>
              <w:rPr>
                <w:sz w:val="1"/>
                <w:szCs w:val="1"/>
                <w:color w:val="auto"/>
              </w:rPr>
            </w:pPr>
          </w:p>
        </w:tc>
      </w:tr>
      <w:tr>
        <w:trPr>
          <w:trHeight w:val="188"/>
        </w:trPr>
        <w:tc>
          <w:tcPr>
            <w:tcW w:w="138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Instl Cl</w:t>
            </w:r>
          </w:p>
        </w:tc>
        <w:tc>
          <w:tcPr>
            <w:tcW w:w="138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$618,417,462.00</w:t>
            </w: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State Street S&amp;P</w:t>
            </w:r>
          </w:p>
        </w:tc>
        <w:tc>
          <w:tcPr>
            <w:tcW w:w="14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State Street S&amp;P 500</w:t>
            </w:r>
          </w:p>
        </w:tc>
        <w:tc>
          <w:tcPr>
            <w:tcW w:w="13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380" w:type="dxa"/>
            <w:vAlign w:val="bottom"/>
            <w:tcBorders>
              <w:left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500® Index Non-</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$4,377,590,614.97</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857444590</w:t>
            </w:r>
          </w:p>
        </w:tc>
        <w:tc>
          <w:tcPr>
            <w:tcW w:w="14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Index Non-Lending</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28,723,778</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$4,377,618,687.17</w:t>
            </w:r>
          </w:p>
        </w:tc>
        <w:tc>
          <w:tcPr>
            <w:tcW w:w="0" w:type="dxa"/>
            <w:vAlign w:val="bottom"/>
          </w:tcPr>
          <w:p>
            <w:pPr>
              <w:spacing w:after="0"/>
              <w:rPr>
                <w:sz w:val="1"/>
                <w:szCs w:val="1"/>
                <w:color w:val="auto"/>
              </w:rPr>
            </w:pPr>
          </w:p>
        </w:tc>
      </w:tr>
      <w:tr>
        <w:trPr>
          <w:trHeight w:val="188"/>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Lending Series Fund</w:t>
            </w:r>
          </w:p>
        </w:tc>
        <w:tc>
          <w:tcPr>
            <w:tcW w:w="1420" w:type="dxa"/>
            <w:vAlign w:val="bottom"/>
            <w:tcBorders>
              <w:right w:val="single" w:sz="8" w:color="auto"/>
            </w:tcBorders>
            <w:vMerge w:val="continue"/>
          </w:tcPr>
          <w:p>
            <w:pPr>
              <w:spacing w:after="0"/>
              <w:rPr>
                <w:sz w:val="16"/>
                <w:szCs w:val="16"/>
                <w:color w:val="auto"/>
              </w:rPr>
            </w:pPr>
          </w:p>
        </w:tc>
        <w:tc>
          <w:tcPr>
            <w:tcW w:w="140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Series Fund</w:t>
            </w:r>
          </w:p>
        </w:tc>
        <w:tc>
          <w:tcPr>
            <w:tcW w:w="138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$4,377,618,687.17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410" w:right="1440" w:bottom="1440" w:gutter="0" w:footer="0" w:header="0"/>
        </w:sect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10" w:right="1440" w:bottom="1440" w:gutter="0" w:footer="0" w:header="0"/>
          <w:type w:val="continuous"/>
        </w:sectPr>
      </w:pPr>
    </w:p>
    <w:bookmarkStart w:id="16" w:name="page17"/>
    <w:bookmarkEnd w:id="16"/>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duly caused this annual report to be signed on its behalf by the undersigned hereunto duly authorized.</w:t>
      </w:r>
    </w:p>
    <w:p>
      <w:pPr>
        <w:spacing w:after="0" w:line="200" w:lineRule="exact"/>
        <w:rPr>
          <w:sz w:val="20"/>
          <w:szCs w:val="20"/>
          <w:color w:val="auto"/>
        </w:rPr>
      </w:pP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792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CAPITAL ONE FINANCIAL CORPORATION</w:t>
            </w:r>
          </w:p>
        </w:tc>
      </w:tr>
      <w:tr>
        <w:trPr>
          <w:trHeight w:val="238"/>
        </w:trPr>
        <w:tc>
          <w:tcPr>
            <w:tcW w:w="3260" w:type="dxa"/>
            <w:vAlign w:val="bottom"/>
          </w:tcPr>
          <w:p>
            <w:pPr>
              <w:spacing w:after="0"/>
              <w:rPr>
                <w:sz w:val="20"/>
                <w:szCs w:val="20"/>
                <w:color w:val="auto"/>
              </w:rPr>
            </w:pPr>
          </w:p>
        </w:tc>
        <w:tc>
          <w:tcPr>
            <w:tcW w:w="792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ASSOCIATE SAVINGS PLAN</w:t>
            </w:r>
          </w:p>
        </w:tc>
      </w:tr>
      <w:tr>
        <w:trPr>
          <w:trHeight w:val="48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2026</w:t>
            </w:r>
          </w:p>
        </w:tc>
        <w:tc>
          <w:tcPr>
            <w:tcW w:w="792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PAM VENTURA</w:t>
            </w:r>
          </w:p>
        </w:tc>
      </w:tr>
      <w:tr>
        <w:trPr>
          <w:trHeight w:val="218"/>
        </w:trPr>
        <w:tc>
          <w:tcPr>
            <w:tcW w:w="32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Pam Ventura</w:t>
            </w:r>
          </w:p>
        </w:tc>
      </w:tr>
      <w:tr>
        <w:trPr>
          <w:trHeight w:val="234"/>
        </w:trPr>
        <w:tc>
          <w:tcPr>
            <w:tcW w:w="32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on behalf of the Benefits Committee, as Plan Administrator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333-296268) pertaining to the Capital One Financial Corporation Associate Savings Plan of our report dated June 26, 2026, with respect to the financial statements and schedule of the Capital One Financial Corporation Associate Savings Plan included in this Annual Report (Form 11-K)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2026-06-29T05:21:26Z</dcterms:created>
  <dcterms:modified xsi:type="dcterms:W3CDTF">2026-06-29T05:21:26Z</dcterms:modified>
</cp:coreProperties>
</file>